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(Rule 14a-101)</w:t>
      </w: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14" w:lineRule="exact"/>
        <w:rPr>
          <w:sz w:val="24"/>
          <w:szCs w:val="24"/>
          <w:color w:val="auto"/>
        </w:rPr>
      </w:pPr>
    </w:p>
    <w:p>
      <w:pPr>
        <w:spacing w:after="0" w:line="207" w:lineRule="exact"/>
        <w:tabs>
          <w:tab w:leader="none" w:pos="1800" w:val="left"/>
        </w:tabs>
        <w:rPr>
          <w:sz w:val="20"/>
          <w:szCs w:val="20"/>
          <w:color w:val="auto"/>
        </w:rPr>
      </w:pPr>
      <w:r>
        <w:rPr>
          <w:rFonts w:ascii="Times New Roman" w:cs="Times New Roman" w:eastAsia="Times New Roman" w:hAnsi="Times New Roman"/>
          <w:sz w:val="18"/>
          <w:szCs w:val="18"/>
          <w:color w:val="auto"/>
        </w:rPr>
        <w:t>Filed by the Registrant </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 xml:space="preserve">  ☐</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98"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128905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351790</wp:posOffset>
            </wp:positionV>
            <wp:extent cx="1491615" cy="45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1639570</wp:posOffset>
            </wp:positionH>
            <wp:positionV relativeFrom="paragraph">
              <wp:posOffset>19685</wp:posOffset>
            </wp:positionV>
            <wp:extent cx="290576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0576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 (b) per Exchange Act Rules 14a-6 (i) (1) and D-11.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204470</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264795</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393065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wp:posOffset>
            </wp:positionV>
            <wp:extent cx="6995160" cy="905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right"/>
        <w:ind w:right="5000"/>
        <w:spacing w:after="0"/>
        <w:rPr>
          <w:sz w:val="20"/>
          <w:szCs w:val="20"/>
          <w:color w:val="auto"/>
        </w:rPr>
      </w:pPr>
      <w:r>
        <w:rPr>
          <w:rFonts w:ascii="Arial" w:cs="Arial" w:eastAsia="Arial" w:hAnsi="Arial"/>
          <w:sz w:val="18"/>
          <w:szCs w:val="18"/>
          <w:color w:val="CF1D4C"/>
        </w:rPr>
        <w:t>A LETTER FROM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300355</wp:posOffset>
            </wp:positionV>
            <wp:extent cx="1294130" cy="1337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413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CF1D4C"/>
        </w:rPr>
        <w:t>Ronald F. Clarke</w:t>
      </w:r>
    </w:p>
    <w:p>
      <w:pPr>
        <w:spacing w:after="0" w:line="48" w:lineRule="exact"/>
        <w:rPr>
          <w:sz w:val="20"/>
          <w:szCs w:val="20"/>
          <w:color w:val="auto"/>
        </w:rPr>
      </w:pPr>
    </w:p>
    <w:p>
      <w:pPr>
        <w:ind w:left="3060"/>
        <w:spacing w:after="0"/>
        <w:rPr>
          <w:sz w:val="20"/>
          <w:szCs w:val="20"/>
          <w:color w:val="auto"/>
        </w:rPr>
      </w:pPr>
      <w:r>
        <w:rPr>
          <w:rFonts w:ascii="Arial" w:cs="Arial" w:eastAsia="Arial" w:hAnsi="Arial"/>
          <w:sz w:val="14"/>
          <w:szCs w:val="14"/>
          <w:i w:val="1"/>
          <w:iCs w:val="1"/>
          <w:color w:val="auto"/>
        </w:rPr>
        <w:t>Chairman &amp;</w:t>
      </w:r>
    </w:p>
    <w:p>
      <w:pPr>
        <w:spacing w:after="0" w:line="55" w:lineRule="exact"/>
        <w:rPr>
          <w:sz w:val="20"/>
          <w:szCs w:val="20"/>
          <w:color w:val="auto"/>
        </w:rPr>
      </w:pPr>
    </w:p>
    <w:p>
      <w:pPr>
        <w:ind w:left="3060"/>
        <w:spacing w:after="0"/>
        <w:rPr>
          <w:sz w:val="20"/>
          <w:szCs w:val="20"/>
          <w:color w:val="auto"/>
        </w:rPr>
      </w:pPr>
      <w:r>
        <w:rPr>
          <w:rFonts w:ascii="Arial" w:cs="Arial" w:eastAsia="Arial" w:hAnsi="Arial"/>
          <w:sz w:val="14"/>
          <w:szCs w:val="14"/>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 </w:t>
      </w:r>
    </w:p>
    <w:p>
      <w:pPr>
        <w:sectPr>
          <w:pgSz w:w="11900" w:h="16838" w:orient="portrait"/>
          <w:cols w:equalWidth="0" w:num="1">
            <w:col w:w="10040"/>
          </w:cols>
          <w:pgMar w:left="920" w:top="114" w:right="939" w:bottom="1440" w:gutter="0" w:footer="0" w:header="0"/>
        </w:sect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CF1D4C"/>
        </w:rPr>
        <w:t>My Fellow Shareholders,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Thank you for your investment in Corpay.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Performance &amp; Positioning</w:t>
      </w:r>
    </w:p>
    <w:p>
      <w:pPr>
        <w:spacing w:after="0" w:line="216" w:lineRule="exact"/>
        <w:rPr>
          <w:sz w:val="20"/>
          <w:szCs w:val="20"/>
          <w:color w:val="auto"/>
        </w:rPr>
      </w:pPr>
    </w:p>
    <w:p>
      <w:pPr>
        <w:ind w:left="660" w:right="40"/>
        <w:spacing w:after="0" w:line="252" w:lineRule="auto"/>
        <w:rPr>
          <w:sz w:val="20"/>
          <w:szCs w:val="20"/>
          <w:color w:val="auto"/>
        </w:rPr>
      </w:pPr>
      <w:r>
        <w:rPr>
          <w:rFonts w:ascii="Arial" w:cs="Arial" w:eastAsia="Arial" w:hAnsi="Arial"/>
          <w:sz w:val="16"/>
          <w:szCs w:val="16"/>
          <w:color w:val="333333"/>
        </w:rPr>
        <w:t>Our full year 2023 financial performance reached record levels, with adjusted earnings per share up 5% to $16.92, EBITDA up 13% at nearly $2 billion, and revenue up 10% to $3.8 billion. All of these metrics set all-time records, and are further proof of the strength of our Company. We also closed several acquisitions improving our go-forward positioning around the vehicle payments and corporate payments businesses.</w:t>
      </w:r>
    </w:p>
    <w:p>
      <w:pPr>
        <w:spacing w:after="0" w:line="142" w:lineRule="exact"/>
        <w:rPr>
          <w:sz w:val="20"/>
          <w:szCs w:val="20"/>
          <w:color w:val="auto"/>
        </w:rPr>
      </w:pPr>
    </w:p>
    <w:p>
      <w:pPr>
        <w:ind w:left="660" w:right="20"/>
        <w:spacing w:after="0" w:line="250" w:lineRule="auto"/>
        <w:rPr>
          <w:sz w:val="20"/>
          <w:szCs w:val="20"/>
          <w:color w:val="auto"/>
        </w:rPr>
      </w:pPr>
      <w:r>
        <w:rPr>
          <w:rFonts w:ascii="Arial" w:cs="Arial" w:eastAsia="Arial" w:hAnsi="Arial"/>
          <w:sz w:val="16"/>
          <w:szCs w:val="16"/>
          <w:color w:val="333333"/>
        </w:rPr>
        <w:t xml:space="preserve">On March 25, 2024, we were excited to announce that we rebranded the entire Company to </w:t>
      </w:r>
      <w:r>
        <w:rPr>
          <w:rFonts w:ascii="Arial" w:cs="Arial" w:eastAsia="Arial" w:hAnsi="Arial"/>
          <w:sz w:val="16"/>
          <w:szCs w:val="16"/>
          <w:b w:val="1"/>
          <w:bCs w:val="1"/>
          <w:color w:val="E13279"/>
        </w:rPr>
        <w:t>Corpay</w:t>
      </w:r>
      <w:r>
        <w:rPr>
          <w:rFonts w:ascii="Arial" w:cs="Arial" w:eastAsia="Arial" w:hAnsi="Arial"/>
          <w:sz w:val="16"/>
          <w:szCs w:val="16"/>
          <w:color w:val="333333"/>
        </w:rPr>
        <w:t>, which better reflects the breadth of expense management and corporate payment solutions we offer. Additionally, in 2023, we simplified the presentation of our businesses, and now report in 3 primary segments: Vehicle Payments, Corporate Payments and Lodging Payments. We believe that our new branding and reporting segments will provide better brand recognition and make it easier to evaluate our extraordinary growth and profitability.</w:t>
      </w:r>
    </w:p>
    <w:p>
      <w:pPr>
        <w:spacing w:after="0" w:line="149" w:lineRule="exact"/>
        <w:rPr>
          <w:sz w:val="20"/>
          <w:szCs w:val="20"/>
          <w:color w:val="auto"/>
        </w:rPr>
      </w:pPr>
    </w:p>
    <w:p>
      <w:pPr>
        <w:ind w:left="660" w:right="280"/>
        <w:spacing w:after="0" w:line="271" w:lineRule="auto"/>
        <w:rPr>
          <w:sz w:val="20"/>
          <w:szCs w:val="20"/>
          <w:color w:val="auto"/>
        </w:rPr>
      </w:pPr>
      <w:r>
        <w:rPr>
          <w:rFonts w:ascii="Arial" w:cs="Arial" w:eastAsia="Arial" w:hAnsi="Arial"/>
          <w:sz w:val="16"/>
          <w:szCs w:val="16"/>
          <w:color w:val="333333"/>
        </w:rPr>
        <w:t xml:space="preserve">We also introduced a series of exciting new product offerings that align with our promise – </w:t>
      </w:r>
      <w:r>
        <w:rPr>
          <w:rFonts w:ascii="Arial" w:cs="Arial" w:eastAsia="Arial" w:hAnsi="Arial"/>
          <w:sz w:val="16"/>
          <w:szCs w:val="16"/>
          <w:b w:val="1"/>
          <w:bCs w:val="1"/>
          <w:color w:val="E13279"/>
        </w:rPr>
        <w:t>Payments Made</w:t>
      </w:r>
      <w:r>
        <w:rPr>
          <w:rFonts w:ascii="Arial" w:cs="Arial" w:eastAsia="Arial" w:hAnsi="Arial"/>
          <w:sz w:val="16"/>
          <w:szCs w:val="16"/>
          <w:color w:val="333333"/>
        </w:rPr>
        <w:t xml:space="preserve"> </w:t>
      </w:r>
      <w:r>
        <w:rPr>
          <w:rFonts w:ascii="Arial" w:cs="Arial" w:eastAsia="Arial" w:hAnsi="Arial"/>
          <w:sz w:val="16"/>
          <w:szCs w:val="16"/>
          <w:b w:val="1"/>
          <w:bCs w:val="1"/>
          <w:color w:val="E13279"/>
        </w:rPr>
        <w:t>Easy</w:t>
      </w:r>
      <w:r>
        <w:rPr>
          <w:rFonts w:ascii="Arial" w:cs="Arial" w:eastAsia="Arial" w:hAnsi="Arial"/>
          <w:sz w:val="16"/>
          <w:szCs w:val="16"/>
          <w:color w:val="333333"/>
        </w:rPr>
        <w:t>:</w:t>
      </w:r>
    </w:p>
    <w:p>
      <w:pPr>
        <w:spacing w:after="0" w:line="133" w:lineRule="exact"/>
        <w:rPr>
          <w:sz w:val="20"/>
          <w:szCs w:val="20"/>
          <w:color w:val="auto"/>
        </w:rPr>
      </w:pPr>
    </w:p>
    <w:p>
      <w:pPr>
        <w:ind w:left="880" w:hanging="228"/>
        <w:spacing w:after="0"/>
        <w:rPr>
          <w:sz w:val="20"/>
          <w:szCs w:val="20"/>
          <w:color w:val="auto"/>
        </w:rPr>
      </w:pPr>
      <w:r>
        <w:rPr>
          <w:sz w:val="1"/>
          <w:szCs w:val="1"/>
          <w:color w:val="auto"/>
        </w:rPr>
        <w:drawing>
          <wp:inline distT="0" distB="0" distL="0" distR="0">
            <wp:extent cx="76835" cy="9398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xml:space="preserve">  </w:t>
      </w:r>
      <w:r>
        <w:rPr>
          <w:rFonts w:ascii="Arial" w:cs="Arial" w:eastAsia="Arial" w:hAnsi="Arial"/>
          <w:sz w:val="16"/>
          <w:szCs w:val="16"/>
          <w:b w:val="1"/>
          <w:bCs w:val="1"/>
          <w:color w:val="E13279"/>
        </w:rPr>
        <w:t>Corpay One</w:t>
      </w:r>
      <w:r>
        <w:rPr>
          <w:rFonts w:ascii="Arial" w:cs="Arial" w:eastAsia="Arial" w:hAnsi="Arial"/>
          <w:sz w:val="16"/>
          <w:szCs w:val="16"/>
          <w:color w:val="333333"/>
        </w:rPr>
        <w:t>. Our small and midsize business Vehicle Payments solution is an all-in-one solution that provides business cards for the owner, fuel cards for the field drivers, and virtual cards for the payment of accounts payable.</w:t>
      </w:r>
    </w:p>
    <w:p>
      <w:pPr>
        <w:spacing w:after="0" w:line="150" w:lineRule="exact"/>
        <w:rPr>
          <w:sz w:val="20"/>
          <w:szCs w:val="20"/>
          <w:color w:val="auto"/>
        </w:rPr>
      </w:pPr>
    </w:p>
    <w:p>
      <w:pPr>
        <w:ind w:left="880" w:right="20" w:hanging="228"/>
        <w:spacing w:after="0"/>
        <w:rPr>
          <w:sz w:val="20"/>
          <w:szCs w:val="20"/>
          <w:color w:val="auto"/>
        </w:rPr>
      </w:pPr>
      <w:r>
        <w:rPr>
          <w:sz w:val="1"/>
          <w:szCs w:val="1"/>
          <w:color w:val="auto"/>
        </w:rPr>
        <w:drawing>
          <wp:inline distT="0" distB="0" distL="0" distR="0">
            <wp:extent cx="76835" cy="939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xml:space="preserve">  </w:t>
      </w:r>
      <w:r>
        <w:rPr>
          <w:rFonts w:ascii="Arial" w:cs="Arial" w:eastAsia="Arial" w:hAnsi="Arial"/>
          <w:sz w:val="16"/>
          <w:szCs w:val="16"/>
          <w:b w:val="1"/>
          <w:bCs w:val="1"/>
          <w:color w:val="E13279"/>
        </w:rPr>
        <w:t>Comdata Connect Card</w:t>
      </w:r>
      <w:r>
        <w:rPr>
          <w:rFonts w:ascii="Arial" w:cs="Arial" w:eastAsia="Arial" w:hAnsi="Arial"/>
          <w:sz w:val="16"/>
          <w:szCs w:val="16"/>
          <w:color w:val="333333"/>
        </w:rPr>
        <w:t>. Our Corporate Payments solution connects Comdata truck stop fuel discounts, reporting, and a location finder to the customer’s existing business credit card. Trucking customers benefit both from the credit and rewards from their business card, and the fuel discounts and reporting of a truck stop card.</w:t>
      </w:r>
    </w:p>
    <w:p>
      <w:pPr>
        <w:spacing w:after="0" w:line="177" w:lineRule="exact"/>
        <w:rPr>
          <w:sz w:val="20"/>
          <w:szCs w:val="20"/>
          <w:color w:val="auto"/>
        </w:rPr>
      </w:pPr>
    </w:p>
    <w:p>
      <w:pPr>
        <w:ind w:left="880" w:right="120" w:hanging="228"/>
        <w:spacing w:after="0"/>
        <w:rPr>
          <w:sz w:val="20"/>
          <w:szCs w:val="20"/>
          <w:color w:val="auto"/>
        </w:rPr>
      </w:pPr>
      <w:r>
        <w:rPr>
          <w:sz w:val="1"/>
          <w:szCs w:val="1"/>
          <w:color w:val="auto"/>
        </w:rPr>
        <w:drawing>
          <wp:inline distT="0" distB="0" distL="0" distR="0">
            <wp:extent cx="76835" cy="939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xml:space="preserve">  </w:t>
      </w:r>
      <w:r>
        <w:rPr>
          <w:rFonts w:ascii="Arial" w:cs="Arial" w:eastAsia="Arial" w:hAnsi="Arial"/>
          <w:sz w:val="16"/>
          <w:szCs w:val="16"/>
          <w:b w:val="1"/>
          <w:bCs w:val="1"/>
          <w:color w:val="E13279"/>
        </w:rPr>
        <w:t>Corpay Complete</w:t>
      </w:r>
      <w:r>
        <w:rPr>
          <w:rFonts w:ascii="Arial" w:cs="Arial" w:eastAsia="Arial" w:hAnsi="Arial"/>
          <w:sz w:val="16"/>
          <w:szCs w:val="16"/>
          <w:color w:val="333333"/>
        </w:rPr>
        <w:t>. Our middle market Corporate Payments solution combines everyday business cards and fuel cards, with an AP automation all-in-one platform.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81"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xml:space="preserve">  </w:t>
      </w:r>
      <w:r>
        <w:rPr>
          <w:rFonts w:ascii="Arial" w:cs="Arial" w:eastAsia="Arial" w:hAnsi="Arial"/>
          <w:sz w:val="16"/>
          <w:szCs w:val="16"/>
          <w:b w:val="1"/>
          <w:bCs w:val="1"/>
          <w:color w:val="E13279"/>
        </w:rPr>
        <w:t>CLC Choice</w:t>
      </w:r>
      <w:r>
        <w:rPr>
          <w:rFonts w:ascii="Arial" w:cs="Arial" w:eastAsia="Arial" w:hAnsi="Arial"/>
          <w:sz w:val="16"/>
          <w:szCs w:val="16"/>
          <w:color w:val="333333"/>
        </w:rPr>
        <w:t>. Our newest Lodging Payments solution</w:t>
      </w:r>
    </w:p>
    <w:p>
      <w:pPr>
        <w:spacing w:after="0" w:line="21" w:lineRule="exact"/>
        <w:rPr>
          <w:sz w:val="20"/>
          <w:szCs w:val="20"/>
          <w:color w:val="auto"/>
        </w:rPr>
      </w:pPr>
    </w:p>
    <w:p>
      <w:pPr>
        <w:ind w:left="240" w:right="800"/>
        <w:spacing w:after="0" w:line="252" w:lineRule="auto"/>
        <w:rPr>
          <w:sz w:val="20"/>
          <w:szCs w:val="20"/>
          <w:color w:val="auto"/>
        </w:rPr>
      </w:pPr>
      <w:r>
        <w:rPr>
          <w:rFonts w:ascii="Arial" w:cs="Arial" w:eastAsia="Arial" w:hAnsi="Arial"/>
          <w:sz w:val="16"/>
          <w:szCs w:val="16"/>
          <w:color w:val="333333"/>
        </w:rPr>
        <w:t>provides customers more employee-friendly travel options. Travelers can choose from virtually any hotel, any room type, and keep reward points from their favorite hotel brand.</w:t>
      </w:r>
    </w:p>
    <w:p>
      <w:pPr>
        <w:spacing w:after="0" w:line="156" w:lineRule="exact"/>
        <w:rPr>
          <w:sz w:val="20"/>
          <w:szCs w:val="20"/>
          <w:color w:val="auto"/>
        </w:rPr>
      </w:pPr>
    </w:p>
    <w:p>
      <w:pPr>
        <w:ind w:right="680"/>
        <w:spacing w:after="0" w:line="266" w:lineRule="auto"/>
        <w:rPr>
          <w:sz w:val="20"/>
          <w:szCs w:val="20"/>
          <w:color w:val="auto"/>
        </w:rPr>
      </w:pPr>
      <w:r>
        <w:rPr>
          <w:rFonts w:ascii="Arial" w:cs="Arial" w:eastAsia="Arial" w:hAnsi="Arial"/>
          <w:sz w:val="16"/>
          <w:szCs w:val="16"/>
          <w:color w:val="333333"/>
        </w:rPr>
        <w:t>These new products enhance our ability to deliver our mid-term objectives to annually grow revenue 10% and adjusted earnings per share 15-20%.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Governance &amp; Board Oversight</w:t>
      </w:r>
    </w:p>
    <w:p>
      <w:pPr>
        <w:spacing w:after="0" w:line="216" w:lineRule="exact"/>
        <w:rPr>
          <w:sz w:val="20"/>
          <w:szCs w:val="20"/>
          <w:color w:val="auto"/>
        </w:rPr>
      </w:pPr>
    </w:p>
    <w:p>
      <w:pPr>
        <w:ind w:right="740"/>
        <w:spacing w:after="0" w:line="251" w:lineRule="auto"/>
        <w:rPr>
          <w:sz w:val="20"/>
          <w:szCs w:val="20"/>
          <w:color w:val="auto"/>
        </w:rPr>
      </w:pPr>
      <w:r>
        <w:rPr>
          <w:rFonts w:ascii="Arial" w:cs="Arial" w:eastAsia="Arial" w:hAnsi="Arial"/>
          <w:sz w:val="16"/>
          <w:szCs w:val="16"/>
          <w:color w:val="333333"/>
        </w:rPr>
        <w:t>We’ve made meaningful progress in 2023, refreshing and diversifying our Board by welcoming Annabelle Bexiga, Rahul Gupta and Gerry Throop. The industry and subject-matter experience they bring will be quite additive to the Company as we continue to grow and improve our competitive position. Our Board of Directors have been deeply involved in our shareholder engagement efforts, and have helped drive responsive enhancements to our practices.</w:t>
      </w:r>
    </w:p>
    <w:p>
      <w:pPr>
        <w:spacing w:after="0" w:line="158" w:lineRule="exact"/>
        <w:rPr>
          <w:sz w:val="20"/>
          <w:szCs w:val="20"/>
          <w:color w:val="auto"/>
        </w:rPr>
      </w:pPr>
    </w:p>
    <w:p>
      <w:pPr>
        <w:ind w:right="700"/>
        <w:spacing w:after="0" w:line="256" w:lineRule="auto"/>
        <w:rPr>
          <w:sz w:val="20"/>
          <w:szCs w:val="20"/>
          <w:color w:val="auto"/>
        </w:rPr>
      </w:pPr>
      <w:r>
        <w:rPr>
          <w:rFonts w:ascii="Arial" w:cs="Arial" w:eastAsia="Arial" w:hAnsi="Arial"/>
          <w:sz w:val="16"/>
          <w:szCs w:val="16"/>
          <w:color w:val="333333"/>
        </w:rPr>
        <w:t>We have an experienced Board of Directors with a diverse set of skills and experience, including leading large, global public companies within our industry. Our directors provide valuable oversight regarding audit, compensation, governance and company strategy.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Your Support</w:t>
      </w:r>
    </w:p>
    <w:p>
      <w:pPr>
        <w:spacing w:after="0" w:line="216" w:lineRule="exact"/>
        <w:rPr>
          <w:sz w:val="20"/>
          <w:szCs w:val="20"/>
          <w:color w:val="auto"/>
        </w:rPr>
      </w:pPr>
    </w:p>
    <w:p>
      <w:pPr>
        <w:ind w:right="740"/>
        <w:spacing w:after="0" w:line="259" w:lineRule="auto"/>
        <w:rPr>
          <w:sz w:val="20"/>
          <w:szCs w:val="20"/>
          <w:color w:val="auto"/>
        </w:rPr>
      </w:pPr>
      <w:r>
        <w:rPr>
          <w:rFonts w:ascii="Arial" w:cs="Arial" w:eastAsia="Arial" w:hAnsi="Arial"/>
          <w:sz w:val="16"/>
          <w:szCs w:val="16"/>
          <w:color w:val="333333"/>
        </w:rPr>
        <w:t>On behalf of our Board of Directors, we sincerely ask that you vote with our recommendations. We appreciate our shareholders’ support and feedback, and we will continue to reach out on a regular basis to gain further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1260475"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6047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 </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333333"/>
        </w:rPr>
        <w:t>Ronald F. Clarke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Chairman &amp; Chief Executive Officer</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116840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880" w:space="260"/>
            <w:col w:w="4900"/>
          </w:cols>
          <w:pgMar w:left="920" w:top="114" w:right="9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55245</wp:posOffset>
            </wp:positionV>
            <wp:extent cx="5554980" cy="1791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5498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FFFFFF"/>
        </w:rPr>
        <w:t>Annual Meeting of Shareholders</w:t>
      </w:r>
    </w:p>
    <w:p>
      <w:pPr>
        <w:spacing w:after="0" w:line="375" w:lineRule="exact"/>
        <w:rPr>
          <w:sz w:val="20"/>
          <w:szCs w:val="20"/>
          <w:color w:val="auto"/>
        </w:rPr>
      </w:pPr>
    </w:p>
    <w:p>
      <w:pPr>
        <w:jc w:val="both"/>
        <w:ind w:left="1440" w:right="2799"/>
        <w:spacing w:after="0" w:line="241" w:lineRule="auto"/>
        <w:rPr>
          <w:sz w:val="20"/>
          <w:szCs w:val="20"/>
          <w:color w:val="auto"/>
        </w:rPr>
      </w:pPr>
      <w:r>
        <w:rPr>
          <w:rFonts w:ascii="Arial" w:cs="Arial" w:eastAsia="Arial" w:hAnsi="Arial"/>
          <w:sz w:val="20"/>
          <w:szCs w:val="20"/>
          <w:color w:val="FFFFFF"/>
        </w:rPr>
        <w:t>The Company’s Annual Meeting of Shareholders will be held at 3280 Peachtree Road, Suite 2400 Atlanta, Georgia 30305 on June 6, 2024 at 10:00 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2 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125095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CF1D4C"/>
        </w:rPr>
        <w:t>NOTICE OF 2024 ANNUAL MEETING OF SHAREHOLDERS</w:t>
      </w:r>
    </w:p>
    <w:p>
      <w:pPr>
        <w:spacing w:after="0" w:line="365" w:lineRule="exact"/>
        <w:rPr>
          <w:sz w:val="20"/>
          <w:szCs w:val="20"/>
          <w:color w:val="auto"/>
        </w:rPr>
      </w:pPr>
    </w:p>
    <w:tbl>
      <w:tblPr>
        <w:tblLayout w:type="fixed"/>
        <w:tblInd w:w="640" w:type="dxa"/>
        <w:tblCellMar>
          <w:top w:w="0" w:type="dxa"/>
          <w:left w:w="0" w:type="dxa"/>
          <w:bottom w:w="0" w:type="dxa"/>
          <w:right w:w="0" w:type="dxa"/>
        </w:tblCellMar>
      </w:tblPr>
      <w:tr>
        <w:trPr>
          <w:trHeight w:val="607"/>
        </w:trPr>
        <w:tc>
          <w:tcPr>
            <w:tcW w:w="2980" w:type="dxa"/>
            <w:vAlign w:val="bottom"/>
            <w:shd w:val="clear" w:color="auto" w:fill="CF1D4C"/>
          </w:tcPr>
          <w:p>
            <w:pPr>
              <w:ind w:left="360"/>
              <w:spacing w:after="0"/>
              <w:rPr>
                <w:sz w:val="20"/>
                <w:szCs w:val="20"/>
                <w:color w:val="auto"/>
              </w:rPr>
            </w:pPr>
            <w:r>
              <w:rPr>
                <w:rFonts w:ascii="Arial" w:cs="Arial" w:eastAsia="Arial" w:hAnsi="Arial"/>
                <w:sz w:val="18"/>
                <w:szCs w:val="18"/>
                <w:b w:val="1"/>
                <w:bCs w:val="1"/>
                <w:color w:val="FFFFFF"/>
              </w:rPr>
              <w:t>Meeting Date and Time:</w:t>
            </w:r>
          </w:p>
        </w:tc>
        <w:tc>
          <w:tcPr>
            <w:tcW w:w="2920" w:type="dxa"/>
            <w:vAlign w:val="bottom"/>
            <w:shd w:val="clear" w:color="auto" w:fill="CF1D4C"/>
          </w:tcPr>
          <w:p>
            <w:pPr>
              <w:ind w:left="240"/>
              <w:spacing w:after="0"/>
              <w:rPr>
                <w:sz w:val="20"/>
                <w:szCs w:val="20"/>
                <w:color w:val="auto"/>
              </w:rPr>
            </w:pPr>
            <w:r>
              <w:rPr>
                <w:rFonts w:ascii="Arial" w:cs="Arial" w:eastAsia="Arial" w:hAnsi="Arial"/>
                <w:sz w:val="18"/>
                <w:szCs w:val="18"/>
                <w:b w:val="1"/>
                <w:bCs w:val="1"/>
                <w:color w:val="FFFFFF"/>
              </w:rPr>
              <w:t>Meeting Place:</w:t>
            </w:r>
          </w:p>
        </w:tc>
        <w:tc>
          <w:tcPr>
            <w:tcW w:w="2860" w:type="dxa"/>
            <w:vAlign w:val="bottom"/>
            <w:shd w:val="clear" w:color="auto" w:fill="CF1D4C"/>
          </w:tcPr>
          <w:p>
            <w:pPr>
              <w:ind w:left="260"/>
              <w:spacing w:after="0"/>
              <w:rPr>
                <w:sz w:val="20"/>
                <w:szCs w:val="20"/>
                <w:color w:val="auto"/>
              </w:rPr>
            </w:pPr>
            <w:r>
              <w:rPr>
                <w:rFonts w:ascii="Arial" w:cs="Arial" w:eastAsia="Arial" w:hAnsi="Arial"/>
                <w:sz w:val="18"/>
                <w:szCs w:val="18"/>
                <w:b w:val="1"/>
                <w:bCs w:val="1"/>
                <w:color w:val="FFFFFF"/>
              </w:rPr>
              <w:t>Record Date:</w:t>
            </w:r>
          </w:p>
        </w:tc>
      </w:tr>
      <w:tr>
        <w:trPr>
          <w:trHeight w:val="189"/>
        </w:trPr>
        <w:tc>
          <w:tcPr>
            <w:tcW w:w="2980" w:type="dxa"/>
            <w:vAlign w:val="bottom"/>
            <w:shd w:val="clear" w:color="auto" w:fill="CF1D4C"/>
          </w:tcPr>
          <w:p>
            <w:pPr>
              <w:ind w:left="360"/>
              <w:spacing w:after="0"/>
              <w:rPr>
                <w:sz w:val="20"/>
                <w:szCs w:val="20"/>
                <w:color w:val="auto"/>
              </w:rPr>
            </w:pPr>
            <w:r>
              <w:rPr>
                <w:rFonts w:ascii="Arial" w:cs="Arial" w:eastAsia="Arial" w:hAnsi="Arial"/>
                <w:sz w:val="16"/>
                <w:szCs w:val="16"/>
                <w:color w:val="FFFFFF"/>
              </w:rPr>
              <w:t>June 6, 2024</w:t>
            </w:r>
          </w:p>
        </w:tc>
        <w:tc>
          <w:tcPr>
            <w:tcW w:w="2920" w:type="dxa"/>
            <w:vAlign w:val="bottom"/>
            <w:shd w:val="clear" w:color="auto" w:fill="CF1D4C"/>
          </w:tcPr>
          <w:p>
            <w:pPr>
              <w:ind w:left="240"/>
              <w:spacing w:after="0"/>
              <w:rPr>
                <w:sz w:val="20"/>
                <w:szCs w:val="20"/>
                <w:color w:val="auto"/>
              </w:rPr>
            </w:pPr>
            <w:r>
              <w:rPr>
                <w:rFonts w:ascii="Arial" w:cs="Arial" w:eastAsia="Arial" w:hAnsi="Arial"/>
                <w:sz w:val="16"/>
                <w:szCs w:val="16"/>
                <w:color w:val="FFFFFF"/>
              </w:rPr>
              <w:t>3280 Peachtree Road, Suite 2400</w:t>
            </w:r>
          </w:p>
        </w:tc>
        <w:tc>
          <w:tcPr>
            <w:tcW w:w="2860" w:type="dxa"/>
            <w:vAlign w:val="bottom"/>
            <w:shd w:val="clear" w:color="auto" w:fill="CF1D4C"/>
          </w:tcPr>
          <w:p>
            <w:pPr>
              <w:ind w:left="260"/>
              <w:spacing w:after="0"/>
              <w:rPr>
                <w:sz w:val="20"/>
                <w:szCs w:val="20"/>
                <w:color w:val="auto"/>
              </w:rPr>
            </w:pPr>
            <w:r>
              <w:rPr>
                <w:rFonts w:ascii="Arial" w:cs="Arial" w:eastAsia="Arial" w:hAnsi="Arial"/>
                <w:sz w:val="16"/>
                <w:szCs w:val="16"/>
                <w:color w:val="FFFFFF"/>
              </w:rPr>
              <w:t>April 11, 2024</w:t>
            </w:r>
          </w:p>
        </w:tc>
      </w:tr>
      <w:tr>
        <w:trPr>
          <w:trHeight w:val="215"/>
        </w:trPr>
        <w:tc>
          <w:tcPr>
            <w:tcW w:w="2980" w:type="dxa"/>
            <w:vAlign w:val="bottom"/>
            <w:shd w:val="clear" w:color="auto" w:fill="CF1D4C"/>
          </w:tcPr>
          <w:p>
            <w:pPr>
              <w:ind w:left="360"/>
              <w:spacing w:after="0"/>
              <w:rPr>
                <w:sz w:val="20"/>
                <w:szCs w:val="20"/>
                <w:color w:val="auto"/>
              </w:rPr>
            </w:pPr>
            <w:r>
              <w:rPr>
                <w:rFonts w:ascii="Arial" w:cs="Arial" w:eastAsia="Arial" w:hAnsi="Arial"/>
                <w:sz w:val="16"/>
                <w:szCs w:val="16"/>
                <w:color w:val="FFFFFF"/>
              </w:rPr>
              <w:t>10:00 a.m. Eastern Daylight Time</w:t>
            </w:r>
          </w:p>
        </w:tc>
        <w:tc>
          <w:tcPr>
            <w:tcW w:w="2920" w:type="dxa"/>
            <w:vAlign w:val="bottom"/>
            <w:shd w:val="clear" w:color="auto" w:fill="CF1D4C"/>
          </w:tcPr>
          <w:p>
            <w:pPr>
              <w:ind w:left="240"/>
              <w:spacing w:after="0"/>
              <w:rPr>
                <w:sz w:val="20"/>
                <w:szCs w:val="20"/>
                <w:color w:val="auto"/>
              </w:rPr>
            </w:pPr>
            <w:r>
              <w:rPr>
                <w:rFonts w:ascii="Arial" w:cs="Arial" w:eastAsia="Arial" w:hAnsi="Arial"/>
                <w:sz w:val="16"/>
                <w:szCs w:val="16"/>
                <w:color w:val="FFFFFF"/>
              </w:rPr>
              <w:t>Atlanta, Georgia 30305</w:t>
            </w:r>
          </w:p>
        </w:tc>
        <w:tc>
          <w:tcPr>
            <w:tcW w:w="2860" w:type="dxa"/>
            <w:vAlign w:val="bottom"/>
            <w:shd w:val="clear" w:color="auto" w:fill="CF1D4C"/>
          </w:tcPr>
          <w:p>
            <w:pPr>
              <w:spacing w:after="0"/>
              <w:rPr>
                <w:sz w:val="18"/>
                <w:szCs w:val="18"/>
                <w:color w:val="auto"/>
              </w:rPr>
            </w:pPr>
          </w:p>
        </w:tc>
      </w:tr>
      <w:tr>
        <w:trPr>
          <w:trHeight w:val="407"/>
        </w:trPr>
        <w:tc>
          <w:tcPr>
            <w:tcW w:w="2980" w:type="dxa"/>
            <w:vAlign w:val="bottom"/>
            <w:shd w:val="clear" w:color="auto" w:fill="CF1D4C"/>
          </w:tcPr>
          <w:p>
            <w:pPr>
              <w:spacing w:after="0"/>
              <w:rPr>
                <w:sz w:val="24"/>
                <w:szCs w:val="24"/>
                <w:color w:val="auto"/>
              </w:rPr>
            </w:pPr>
          </w:p>
        </w:tc>
        <w:tc>
          <w:tcPr>
            <w:tcW w:w="2920" w:type="dxa"/>
            <w:vAlign w:val="bottom"/>
            <w:shd w:val="clear" w:color="auto" w:fill="CF1D4C"/>
          </w:tcPr>
          <w:p>
            <w:pPr>
              <w:spacing w:after="0"/>
              <w:rPr>
                <w:sz w:val="24"/>
                <w:szCs w:val="24"/>
                <w:color w:val="auto"/>
              </w:rPr>
            </w:pPr>
          </w:p>
        </w:tc>
        <w:tc>
          <w:tcPr>
            <w:tcW w:w="2860" w:type="dxa"/>
            <w:vAlign w:val="bottom"/>
            <w:shd w:val="clear" w:color="auto" w:fill="CF1D4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-753745</wp:posOffset>
            </wp:positionV>
            <wp:extent cx="8890"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608330"/>
                    </a:xfrm>
                    <a:prstGeom prst="rect">
                      <a:avLst/>
                    </a:prstGeom>
                    <a:noFill/>
                  </pic:spPr>
                </pic:pic>
              </a:graphicData>
            </a:graphic>
          </wp:anchor>
        </w:drawing>
        <w:drawing>
          <wp:anchor simplePos="0" relativeHeight="251657728" behindDoc="1" locked="0" layoutInCell="0" allowOverlap="1">
            <wp:simplePos x="0" y="0"/>
            <wp:positionH relativeFrom="column">
              <wp:posOffset>2298700</wp:posOffset>
            </wp:positionH>
            <wp:positionV relativeFrom="paragraph">
              <wp:posOffset>-753745</wp:posOffset>
            </wp:positionV>
            <wp:extent cx="8890"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608330"/>
                    </a:xfrm>
                    <a:prstGeom prst="rect">
                      <a:avLst/>
                    </a:prstGeom>
                    <a:noFill/>
                  </pic:spPr>
                </pic:pic>
              </a:graphicData>
            </a:graphic>
          </wp:anchor>
        </w:drawing>
      </w:r>
    </w:p>
    <w:p>
      <w:pPr>
        <w:spacing w:after="0" w:line="330"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CF1D4C"/>
        </w:rPr>
        <w:t>Agenda</w:t>
      </w:r>
    </w:p>
    <w:p>
      <w:pPr>
        <w:sectPr>
          <w:pgSz w:w="11900" w:h="16838" w:orient="portrait"/>
          <w:cols w:equalWidth="0" w:num="1">
            <w:col w:w="10040"/>
          </w:cols>
          <w:pgMar w:left="920" w:top="114"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6"/>
          <w:szCs w:val="16"/>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-947420</wp:posOffset>
            </wp:positionV>
            <wp:extent cx="10287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635635</wp:posOffset>
            </wp:positionH>
            <wp:positionV relativeFrom="paragraph">
              <wp:posOffset>-638810</wp:posOffset>
            </wp:positionV>
            <wp:extent cx="10287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635635</wp:posOffset>
            </wp:positionH>
            <wp:positionV relativeFrom="paragraph">
              <wp:posOffset>-330200</wp:posOffset>
            </wp:positionV>
            <wp:extent cx="10287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635635</wp:posOffset>
            </wp:positionH>
            <wp:positionV relativeFrom="paragraph">
              <wp:posOffset>-21590</wp:posOffset>
            </wp:positionV>
            <wp:extent cx="10287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333333"/>
        </w:rPr>
        <w:t>To elect the eleven directors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333333"/>
        </w:rPr>
        <w:t>To ratify the reappointment of Ernst &amp; Young LLP as the Company’s independent public accounting firm</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333333"/>
        </w:rPr>
        <w:t>To approve, on an advisory basis, named executive officer compensation</w:t>
      </w:r>
    </w:p>
    <w:p>
      <w:pPr>
        <w:spacing w:after="0" w:line="302" w:lineRule="exact"/>
        <w:rPr>
          <w:sz w:val="20"/>
          <w:szCs w:val="20"/>
          <w:color w:val="auto"/>
        </w:rPr>
      </w:pPr>
    </w:p>
    <w:p>
      <w:pPr>
        <w:ind w:right="860"/>
        <w:spacing w:after="0" w:line="286" w:lineRule="auto"/>
        <w:rPr>
          <w:sz w:val="20"/>
          <w:szCs w:val="20"/>
          <w:color w:val="auto"/>
        </w:rPr>
      </w:pPr>
      <w:r>
        <w:rPr>
          <w:rFonts w:ascii="Arial" w:cs="Arial" w:eastAsia="Arial" w:hAnsi="Arial"/>
          <w:sz w:val="16"/>
          <w:szCs w:val="16"/>
          <w:color w:val="333333"/>
        </w:rPr>
        <w:t>To vote on a shareholder proposal regarding an independent Board chair requirement, if properly presented at the meeting</w:t>
      </w:r>
    </w:p>
    <w:p>
      <w:pPr>
        <w:spacing w:after="0" w:line="156" w:lineRule="exact"/>
        <w:rPr>
          <w:sz w:val="20"/>
          <w:szCs w:val="20"/>
          <w:color w:val="auto"/>
        </w:rPr>
      </w:pPr>
    </w:p>
    <w:p>
      <w:pPr>
        <w:sectPr>
          <w:pgSz w:w="11900" w:h="16838" w:orient="portrait"/>
          <w:cols w:equalWidth="0" w:num="2">
            <w:col w:w="1060" w:space="260"/>
            <w:col w:w="8720"/>
          </w:cols>
          <w:pgMar w:left="920" w:top="114" w:right="939" w:bottom="1440" w:gutter="0" w:footer="0" w:header="0"/>
          <w:type w:val="continuous"/>
        </w:sectPr>
      </w:pPr>
    </w:p>
    <w:p>
      <w:pPr>
        <w:ind w:left="900"/>
        <w:spacing w:after="0"/>
        <w:rPr>
          <w:sz w:val="20"/>
          <w:szCs w:val="20"/>
          <w:color w:val="auto"/>
        </w:rPr>
      </w:pPr>
      <w:r>
        <w:rPr>
          <w:rFonts w:ascii="Arial" w:cs="Arial" w:eastAsia="Arial" w:hAnsi="Arial"/>
          <w:sz w:val="16"/>
          <w:szCs w:val="16"/>
          <w:color w:val="333333"/>
        </w:rPr>
        <w:t>We may also transact other business that properly comes before the meeting.</w:t>
      </w: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CF1D4C"/>
        </w:rPr>
        <w:t>Mailing Date and Availability of Proxy Materials</w:t>
      </w:r>
    </w:p>
    <w:p>
      <w:pPr>
        <w:spacing w:after="0" w:line="216" w:lineRule="exact"/>
        <w:rPr>
          <w:sz w:val="20"/>
          <w:szCs w:val="20"/>
          <w:color w:val="auto"/>
        </w:rPr>
      </w:pPr>
    </w:p>
    <w:p>
      <w:pPr>
        <w:ind w:left="900" w:right="1120"/>
        <w:spacing w:after="0" w:line="266" w:lineRule="auto"/>
        <w:rPr>
          <w:sz w:val="20"/>
          <w:szCs w:val="20"/>
          <w:color w:val="auto"/>
        </w:rPr>
      </w:pPr>
      <w:r>
        <w:rPr>
          <w:rFonts w:ascii="Arial" w:cs="Arial" w:eastAsia="Arial" w:hAnsi="Arial"/>
          <w:sz w:val="16"/>
          <w:szCs w:val="16"/>
          <w:color w:val="333333"/>
        </w:rPr>
        <w:t>On or about April 26, 2024, we mailed a Notice of Internet Availability of Proxy Materials to shareholders. Shareholders of record at the close of business on April 11, 2024 are entitled to receive notice of, and to vote at, the meeting.</w:t>
      </w:r>
    </w:p>
    <w:p>
      <w:pPr>
        <w:spacing w:after="0" w:line="36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CF1D4C"/>
        </w:rPr>
        <w:t>YOUR VOTE IS IMPORTANT</w:t>
      </w:r>
    </w:p>
    <w:p>
      <w:pPr>
        <w:spacing w:after="0" w:line="216" w:lineRule="exact"/>
        <w:rPr>
          <w:sz w:val="20"/>
          <w:szCs w:val="20"/>
          <w:color w:val="auto"/>
        </w:rPr>
      </w:pPr>
    </w:p>
    <w:p>
      <w:pPr>
        <w:jc w:val="both"/>
        <w:ind w:left="900" w:right="720"/>
        <w:spacing w:after="0" w:line="266" w:lineRule="auto"/>
        <w:rPr>
          <w:sz w:val="20"/>
          <w:szCs w:val="20"/>
          <w:color w:val="auto"/>
        </w:rPr>
      </w:pPr>
      <w:r>
        <w:rPr>
          <w:rFonts w:ascii="Arial" w:cs="Arial" w:eastAsia="Arial" w:hAnsi="Arial"/>
          <w:sz w:val="16"/>
          <w:szCs w:val="16"/>
          <w:color w:val="333333"/>
        </w:rPr>
        <w:t>Please vote as soon as possible by one of the methods shown below, whether or not you expect to attend the annual meeting. Be sure to have your proxy card, voting instruction form or Notice of Internet Availability of Proxy Materials in hand and follow the instructions below. Vote by 11:59 P.M. ET the day before the meeting (June 5, 2024).</w:t>
      </w:r>
    </w:p>
    <w:p>
      <w:pPr>
        <w:spacing w:after="0" w:line="50"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60" w:type="dxa"/>
            <w:vAlign w:val="bottom"/>
            <w:shd w:val="clear" w:color="auto" w:fill="D9D9D9"/>
          </w:tcPr>
          <w:p>
            <w:pPr>
              <w:spacing w:after="0"/>
              <w:rPr>
                <w:sz w:val="14"/>
                <w:szCs w:val="14"/>
                <w:color w:val="auto"/>
              </w:rPr>
            </w:pPr>
          </w:p>
        </w:tc>
        <w:tc>
          <w:tcPr>
            <w:tcW w:w="2660" w:type="dxa"/>
            <w:vAlign w:val="bottom"/>
            <w:vMerge w:val="restart"/>
            <w:shd w:val="clear" w:color="auto" w:fill="D9D9D9"/>
          </w:tcPr>
          <w:p>
            <w:pPr>
              <w:ind w:left="300"/>
              <w:spacing w:after="0"/>
              <w:rPr>
                <w:sz w:val="20"/>
                <w:szCs w:val="20"/>
                <w:color w:val="auto"/>
              </w:rPr>
            </w:pPr>
            <w:r>
              <w:rPr>
                <w:rFonts w:ascii="Arial" w:cs="Arial" w:eastAsia="Arial" w:hAnsi="Arial"/>
                <w:sz w:val="18"/>
                <w:szCs w:val="18"/>
                <w:b w:val="1"/>
                <w:bCs w:val="1"/>
                <w:color w:val="CF1D4C"/>
              </w:rPr>
              <w:t>By Internet</w:t>
            </w:r>
          </w:p>
        </w:tc>
        <w:tc>
          <w:tcPr>
            <w:tcW w:w="20" w:type="dxa"/>
            <w:vAlign w:val="bottom"/>
            <w:shd w:val="clear" w:color="auto" w:fill="D9D9D9"/>
          </w:tcPr>
          <w:p>
            <w:pPr>
              <w:spacing w:after="0"/>
              <w:rPr>
                <w:sz w:val="14"/>
                <w:szCs w:val="14"/>
                <w:color w:val="auto"/>
              </w:rPr>
            </w:pPr>
          </w:p>
        </w:tc>
        <w:tc>
          <w:tcPr>
            <w:tcW w:w="2900" w:type="dxa"/>
            <w:vAlign w:val="bottom"/>
            <w:vMerge w:val="restart"/>
            <w:shd w:val="clear" w:color="auto" w:fill="D9D9D9"/>
          </w:tcPr>
          <w:p>
            <w:pPr>
              <w:ind w:left="400"/>
              <w:spacing w:after="0"/>
              <w:rPr>
                <w:sz w:val="20"/>
                <w:szCs w:val="20"/>
                <w:color w:val="auto"/>
              </w:rPr>
            </w:pPr>
            <w:r>
              <w:rPr>
                <w:rFonts w:ascii="Arial" w:cs="Arial" w:eastAsia="Arial" w:hAnsi="Arial"/>
                <w:sz w:val="18"/>
                <w:szCs w:val="18"/>
                <w:b w:val="1"/>
                <w:bCs w:val="1"/>
                <w:color w:val="CF1D4C"/>
              </w:rPr>
              <w:t>By Phone</w:t>
            </w:r>
          </w:p>
        </w:tc>
        <w:tc>
          <w:tcPr>
            <w:tcW w:w="20" w:type="dxa"/>
            <w:vAlign w:val="bottom"/>
            <w:shd w:val="clear" w:color="auto" w:fill="D9D9D9"/>
          </w:tcPr>
          <w:p>
            <w:pPr>
              <w:spacing w:after="0"/>
              <w:rPr>
                <w:sz w:val="14"/>
                <w:szCs w:val="14"/>
                <w:color w:val="auto"/>
              </w:rPr>
            </w:pPr>
          </w:p>
        </w:tc>
        <w:tc>
          <w:tcPr>
            <w:tcW w:w="2660" w:type="dxa"/>
            <w:vAlign w:val="bottom"/>
            <w:vMerge w:val="restart"/>
            <w:shd w:val="clear" w:color="auto" w:fill="D9D9D9"/>
          </w:tcPr>
          <w:p>
            <w:pPr>
              <w:ind w:left="380"/>
              <w:spacing w:after="0"/>
              <w:rPr>
                <w:sz w:val="20"/>
                <w:szCs w:val="20"/>
                <w:color w:val="auto"/>
              </w:rPr>
            </w:pPr>
            <w:r>
              <w:rPr>
                <w:rFonts w:ascii="Arial" w:cs="Arial" w:eastAsia="Arial" w:hAnsi="Arial"/>
                <w:sz w:val="18"/>
                <w:szCs w:val="18"/>
                <w:b w:val="1"/>
                <w:bCs w:val="1"/>
                <w:color w:val="CF1D4C"/>
              </w:rPr>
              <w:t>By Mail</w:t>
            </w:r>
          </w:p>
        </w:tc>
        <w:tc>
          <w:tcPr>
            <w:tcW w:w="2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260" w:type="dxa"/>
            <w:vAlign w:val="bottom"/>
            <w:shd w:val="clear" w:color="auto" w:fill="D9D9D9"/>
          </w:tcPr>
          <w:p>
            <w:pPr>
              <w:spacing w:after="0"/>
              <w:rPr>
                <w:sz w:val="24"/>
                <w:szCs w:val="24"/>
                <w:color w:val="auto"/>
              </w:rPr>
            </w:pPr>
          </w:p>
        </w:tc>
        <w:tc>
          <w:tcPr>
            <w:tcW w:w="2660" w:type="dxa"/>
            <w:vAlign w:val="bottom"/>
            <w:vMerge w:val="continue"/>
            <w:shd w:val="clear" w:color="auto" w:fill="D9D9D9"/>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900" w:type="dxa"/>
            <w:vAlign w:val="bottom"/>
            <w:vMerge w:val="continue"/>
            <w:shd w:val="clear" w:color="auto" w:fill="D9D9D9"/>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660" w:type="dxa"/>
            <w:vAlign w:val="bottom"/>
            <w:vMerge w:val="continue"/>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D9D9D9"/>
          </w:tcPr>
          <w:p>
            <w:pPr>
              <w:spacing w:after="0"/>
              <w:rPr>
                <w:sz w:val="16"/>
                <w:szCs w:val="16"/>
                <w:color w:val="auto"/>
              </w:rPr>
            </w:pPr>
          </w:p>
        </w:tc>
        <w:tc>
          <w:tcPr>
            <w:tcW w:w="2660" w:type="dxa"/>
            <w:vAlign w:val="bottom"/>
            <w:shd w:val="clear" w:color="auto" w:fill="D9D9D9"/>
          </w:tcPr>
          <w:p>
            <w:pPr>
              <w:ind w:left="140"/>
              <w:spacing w:after="0"/>
              <w:rPr>
                <w:sz w:val="20"/>
                <w:szCs w:val="20"/>
                <w:color w:val="auto"/>
              </w:rPr>
            </w:pPr>
            <w:r>
              <w:rPr>
                <w:rFonts w:ascii="Arial" w:cs="Arial" w:eastAsia="Arial" w:hAnsi="Arial"/>
                <w:sz w:val="16"/>
                <w:szCs w:val="16"/>
                <w:color w:val="auto"/>
              </w:rPr>
              <w:t>www.proxyvote.com</w:t>
            </w:r>
          </w:p>
        </w:tc>
        <w:tc>
          <w:tcPr>
            <w:tcW w:w="20" w:type="dxa"/>
            <w:vAlign w:val="bottom"/>
            <w:shd w:val="clear" w:color="auto" w:fill="000000"/>
          </w:tcPr>
          <w:p>
            <w:pPr>
              <w:spacing w:after="0"/>
              <w:rPr>
                <w:sz w:val="16"/>
                <w:szCs w:val="16"/>
                <w:color w:val="auto"/>
              </w:rPr>
            </w:pPr>
          </w:p>
        </w:tc>
        <w:tc>
          <w:tcPr>
            <w:tcW w:w="2900" w:type="dxa"/>
            <w:vAlign w:val="bottom"/>
            <w:shd w:val="clear" w:color="auto" w:fill="D9D9D9"/>
          </w:tcPr>
          <w:p>
            <w:pPr>
              <w:ind w:left="220"/>
              <w:spacing w:after="0"/>
              <w:rPr>
                <w:sz w:val="20"/>
                <w:szCs w:val="20"/>
                <w:color w:val="auto"/>
              </w:rPr>
            </w:pPr>
            <w:r>
              <w:rPr>
                <w:rFonts w:ascii="Arial" w:cs="Arial" w:eastAsia="Arial" w:hAnsi="Arial"/>
                <w:sz w:val="16"/>
                <w:szCs w:val="16"/>
                <w:color w:val="auto"/>
              </w:rPr>
              <w:t>1-800-690-6903</w:t>
            </w:r>
          </w:p>
        </w:tc>
        <w:tc>
          <w:tcPr>
            <w:tcW w:w="20" w:type="dxa"/>
            <w:vAlign w:val="bottom"/>
            <w:shd w:val="clear" w:color="auto" w:fill="000000"/>
          </w:tcPr>
          <w:p>
            <w:pPr>
              <w:spacing w:after="0"/>
              <w:rPr>
                <w:sz w:val="16"/>
                <w:szCs w:val="16"/>
                <w:color w:val="auto"/>
              </w:rPr>
            </w:pPr>
          </w:p>
        </w:tc>
        <w:tc>
          <w:tcPr>
            <w:tcW w:w="26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Mark, sign and date your proxy</w:t>
            </w:r>
          </w:p>
        </w:tc>
        <w:tc>
          <w:tcPr>
            <w:tcW w:w="24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D9D9D9"/>
          </w:tcPr>
          <w:p>
            <w:pPr>
              <w:spacing w:after="0"/>
              <w:rPr>
                <w:sz w:val="16"/>
                <w:szCs w:val="16"/>
                <w:color w:val="auto"/>
              </w:rPr>
            </w:pPr>
          </w:p>
        </w:tc>
        <w:tc>
          <w:tcPr>
            <w:tcW w:w="2660" w:type="dxa"/>
            <w:vAlign w:val="bottom"/>
            <w:shd w:val="clear" w:color="auto" w:fill="D9D9D9"/>
          </w:tcPr>
          <w:p>
            <w:pPr>
              <w:ind w:left="140"/>
              <w:spacing w:after="0"/>
              <w:rPr>
                <w:sz w:val="20"/>
                <w:szCs w:val="20"/>
                <w:color w:val="auto"/>
              </w:rPr>
            </w:pPr>
            <w:r>
              <w:rPr>
                <w:rFonts w:ascii="Arial" w:cs="Arial" w:eastAsia="Arial" w:hAnsi="Arial"/>
                <w:sz w:val="16"/>
                <w:szCs w:val="16"/>
                <w:color w:val="auto"/>
              </w:rPr>
              <w:t>Use the internet to transmit</w:t>
            </w:r>
          </w:p>
        </w:tc>
        <w:tc>
          <w:tcPr>
            <w:tcW w:w="20" w:type="dxa"/>
            <w:vAlign w:val="bottom"/>
            <w:shd w:val="clear" w:color="auto" w:fill="000000"/>
          </w:tcPr>
          <w:p>
            <w:pPr>
              <w:spacing w:after="0"/>
              <w:rPr>
                <w:sz w:val="16"/>
                <w:szCs w:val="16"/>
                <w:color w:val="auto"/>
              </w:rPr>
            </w:pPr>
          </w:p>
        </w:tc>
        <w:tc>
          <w:tcPr>
            <w:tcW w:w="2900" w:type="dxa"/>
            <w:vAlign w:val="bottom"/>
            <w:shd w:val="clear" w:color="auto" w:fill="D9D9D9"/>
          </w:tcPr>
          <w:p>
            <w:pPr>
              <w:ind w:left="220"/>
              <w:spacing w:after="0"/>
              <w:rPr>
                <w:sz w:val="20"/>
                <w:szCs w:val="20"/>
                <w:color w:val="auto"/>
              </w:rPr>
            </w:pPr>
            <w:r>
              <w:rPr>
                <w:rFonts w:ascii="Arial" w:cs="Arial" w:eastAsia="Arial" w:hAnsi="Arial"/>
                <w:sz w:val="16"/>
                <w:szCs w:val="16"/>
                <w:color w:val="auto"/>
              </w:rPr>
              <w:t>Use any touch tone telephone to</w:t>
            </w:r>
          </w:p>
        </w:tc>
        <w:tc>
          <w:tcPr>
            <w:tcW w:w="20" w:type="dxa"/>
            <w:vAlign w:val="bottom"/>
            <w:shd w:val="clear" w:color="auto" w:fill="000000"/>
          </w:tcPr>
          <w:p>
            <w:pPr>
              <w:spacing w:after="0"/>
              <w:rPr>
                <w:sz w:val="16"/>
                <w:szCs w:val="16"/>
                <w:color w:val="auto"/>
              </w:rPr>
            </w:pPr>
          </w:p>
        </w:tc>
        <w:tc>
          <w:tcPr>
            <w:tcW w:w="26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card and return it in the postage-</w:t>
            </w:r>
          </w:p>
        </w:tc>
        <w:tc>
          <w:tcPr>
            <w:tcW w:w="24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D9D9D9"/>
          </w:tcPr>
          <w:p>
            <w:pPr>
              <w:spacing w:after="0"/>
              <w:rPr>
                <w:sz w:val="16"/>
                <w:szCs w:val="16"/>
                <w:color w:val="auto"/>
              </w:rPr>
            </w:pPr>
          </w:p>
        </w:tc>
        <w:tc>
          <w:tcPr>
            <w:tcW w:w="2660" w:type="dxa"/>
            <w:vAlign w:val="bottom"/>
            <w:shd w:val="clear" w:color="auto" w:fill="D9D9D9"/>
          </w:tcPr>
          <w:p>
            <w:pPr>
              <w:ind w:left="140"/>
              <w:spacing w:after="0"/>
              <w:rPr>
                <w:sz w:val="20"/>
                <w:szCs w:val="20"/>
                <w:color w:val="auto"/>
              </w:rPr>
            </w:pPr>
            <w:r>
              <w:rPr>
                <w:rFonts w:ascii="Arial" w:cs="Arial" w:eastAsia="Arial" w:hAnsi="Arial"/>
                <w:sz w:val="16"/>
                <w:szCs w:val="16"/>
                <w:color w:val="auto"/>
              </w:rPr>
              <w:t>your voting instruction and for</w:t>
            </w:r>
          </w:p>
        </w:tc>
        <w:tc>
          <w:tcPr>
            <w:tcW w:w="20" w:type="dxa"/>
            <w:vAlign w:val="bottom"/>
            <w:shd w:val="clear" w:color="auto" w:fill="000000"/>
          </w:tcPr>
          <w:p>
            <w:pPr>
              <w:spacing w:after="0"/>
              <w:rPr>
                <w:sz w:val="16"/>
                <w:szCs w:val="16"/>
                <w:color w:val="auto"/>
              </w:rPr>
            </w:pPr>
          </w:p>
        </w:tc>
        <w:tc>
          <w:tcPr>
            <w:tcW w:w="2900" w:type="dxa"/>
            <w:vAlign w:val="bottom"/>
            <w:shd w:val="clear" w:color="auto" w:fill="D9D9D9"/>
          </w:tcPr>
          <w:p>
            <w:pPr>
              <w:ind w:left="220"/>
              <w:spacing w:after="0"/>
              <w:rPr>
                <w:sz w:val="20"/>
                <w:szCs w:val="20"/>
                <w:color w:val="auto"/>
              </w:rPr>
            </w:pPr>
            <w:r>
              <w:rPr>
                <w:rFonts w:ascii="Arial" w:cs="Arial" w:eastAsia="Arial" w:hAnsi="Arial"/>
                <w:sz w:val="16"/>
                <w:szCs w:val="16"/>
                <w:color w:val="auto"/>
              </w:rPr>
              <w:t>transmit your voting instructions</w:t>
            </w:r>
          </w:p>
        </w:tc>
        <w:tc>
          <w:tcPr>
            <w:tcW w:w="20" w:type="dxa"/>
            <w:vAlign w:val="bottom"/>
            <w:shd w:val="clear" w:color="auto" w:fill="000000"/>
          </w:tcPr>
          <w:p>
            <w:pPr>
              <w:spacing w:after="0"/>
              <w:rPr>
                <w:sz w:val="16"/>
                <w:szCs w:val="16"/>
                <w:color w:val="auto"/>
              </w:rPr>
            </w:pPr>
          </w:p>
        </w:tc>
        <w:tc>
          <w:tcPr>
            <w:tcW w:w="26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paid envelope provided with your</w:t>
            </w:r>
          </w:p>
        </w:tc>
        <w:tc>
          <w:tcPr>
            <w:tcW w:w="24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D9D9D9"/>
          </w:tcPr>
          <w:p>
            <w:pPr>
              <w:spacing w:after="0"/>
              <w:rPr>
                <w:sz w:val="16"/>
                <w:szCs w:val="16"/>
                <w:color w:val="auto"/>
              </w:rPr>
            </w:pPr>
          </w:p>
        </w:tc>
        <w:tc>
          <w:tcPr>
            <w:tcW w:w="2660" w:type="dxa"/>
            <w:vAlign w:val="bottom"/>
            <w:shd w:val="clear" w:color="auto" w:fill="D9D9D9"/>
          </w:tcPr>
          <w:p>
            <w:pPr>
              <w:ind w:left="140"/>
              <w:spacing w:after="0"/>
              <w:rPr>
                <w:sz w:val="20"/>
                <w:szCs w:val="20"/>
                <w:color w:val="auto"/>
              </w:rPr>
            </w:pPr>
            <w:r>
              <w:rPr>
                <w:rFonts w:ascii="Arial" w:cs="Arial" w:eastAsia="Arial" w:hAnsi="Arial"/>
                <w:sz w:val="16"/>
                <w:szCs w:val="16"/>
                <w:color w:val="auto"/>
              </w:rPr>
              <w:t>electronic delivery of</w:t>
            </w:r>
          </w:p>
        </w:tc>
        <w:tc>
          <w:tcPr>
            <w:tcW w:w="20" w:type="dxa"/>
            <w:vAlign w:val="bottom"/>
            <w:shd w:val="clear" w:color="auto" w:fill="000000"/>
          </w:tcPr>
          <w:p>
            <w:pPr>
              <w:spacing w:after="0"/>
              <w:rPr>
                <w:sz w:val="16"/>
                <w:szCs w:val="16"/>
                <w:color w:val="auto"/>
              </w:rPr>
            </w:pPr>
          </w:p>
        </w:tc>
        <w:tc>
          <w:tcPr>
            <w:tcW w:w="2900" w:type="dxa"/>
            <w:vAlign w:val="bottom"/>
            <w:shd w:val="clear" w:color="auto" w:fill="D9D9D9"/>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6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proxy materials or return it to</w:t>
            </w:r>
          </w:p>
        </w:tc>
        <w:tc>
          <w:tcPr>
            <w:tcW w:w="24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D9D9D9"/>
          </w:tcPr>
          <w:p>
            <w:pPr>
              <w:spacing w:after="0"/>
              <w:rPr>
                <w:sz w:val="16"/>
                <w:szCs w:val="16"/>
                <w:color w:val="auto"/>
              </w:rPr>
            </w:pPr>
          </w:p>
        </w:tc>
        <w:tc>
          <w:tcPr>
            <w:tcW w:w="2660" w:type="dxa"/>
            <w:vAlign w:val="bottom"/>
            <w:shd w:val="clear" w:color="auto" w:fill="D9D9D9"/>
          </w:tcPr>
          <w:p>
            <w:pPr>
              <w:ind w:left="140"/>
              <w:spacing w:after="0"/>
              <w:rPr>
                <w:sz w:val="20"/>
                <w:szCs w:val="20"/>
                <w:color w:val="auto"/>
              </w:rPr>
            </w:pPr>
            <w:r>
              <w:rPr>
                <w:rFonts w:ascii="Arial" w:cs="Arial" w:eastAsia="Arial" w:hAnsi="Arial"/>
                <w:sz w:val="16"/>
                <w:szCs w:val="16"/>
                <w:color w:val="auto"/>
              </w:rPr>
              <w:t>information</w:t>
            </w:r>
          </w:p>
        </w:tc>
        <w:tc>
          <w:tcPr>
            <w:tcW w:w="20" w:type="dxa"/>
            <w:vAlign w:val="bottom"/>
            <w:shd w:val="clear" w:color="auto" w:fill="000000"/>
          </w:tcPr>
          <w:p>
            <w:pPr>
              <w:spacing w:after="0"/>
              <w:rPr>
                <w:sz w:val="16"/>
                <w:szCs w:val="16"/>
                <w:color w:val="auto"/>
              </w:rPr>
            </w:pPr>
          </w:p>
        </w:tc>
        <w:tc>
          <w:tcPr>
            <w:tcW w:w="2900" w:type="dxa"/>
            <w:vAlign w:val="bottom"/>
            <w:shd w:val="clear" w:color="auto" w:fill="D9D9D9"/>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6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Vote Processing, c/o Broadridge,</w:t>
            </w:r>
          </w:p>
        </w:tc>
        <w:tc>
          <w:tcPr>
            <w:tcW w:w="24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D9D9D9"/>
          </w:tcPr>
          <w:p>
            <w:pPr>
              <w:spacing w:after="0"/>
              <w:rPr>
                <w:sz w:val="16"/>
                <w:szCs w:val="16"/>
                <w:color w:val="auto"/>
              </w:rPr>
            </w:pPr>
          </w:p>
        </w:tc>
        <w:tc>
          <w:tcPr>
            <w:tcW w:w="2660" w:type="dxa"/>
            <w:vAlign w:val="bottom"/>
            <w:shd w:val="clear" w:color="auto" w:fill="D9D9D9"/>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900" w:type="dxa"/>
            <w:vAlign w:val="bottom"/>
            <w:shd w:val="clear" w:color="auto" w:fill="D9D9D9"/>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6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51 Mercedes Way,</w:t>
            </w:r>
          </w:p>
        </w:tc>
        <w:tc>
          <w:tcPr>
            <w:tcW w:w="24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0" w:type="dxa"/>
            <w:vAlign w:val="bottom"/>
            <w:shd w:val="clear" w:color="auto" w:fill="D9D9D9"/>
          </w:tcPr>
          <w:p>
            <w:pPr>
              <w:spacing w:after="0"/>
              <w:rPr>
                <w:sz w:val="18"/>
                <w:szCs w:val="18"/>
                <w:color w:val="auto"/>
              </w:rPr>
            </w:pPr>
          </w:p>
        </w:tc>
        <w:tc>
          <w:tcPr>
            <w:tcW w:w="2660" w:type="dxa"/>
            <w:vAlign w:val="bottom"/>
            <w:shd w:val="clear" w:color="auto" w:fill="D9D9D9"/>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900" w:type="dxa"/>
            <w:vAlign w:val="bottom"/>
            <w:shd w:val="clear" w:color="auto" w:fill="D9D9D9"/>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Edgewood, NY 11717</w:t>
            </w:r>
          </w:p>
        </w:tc>
        <w:tc>
          <w:tcPr>
            <w:tcW w:w="24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D9D9D9"/>
          </w:tcPr>
          <w:p>
            <w:pPr>
              <w:spacing w:after="0"/>
              <w:rPr>
                <w:sz w:val="9"/>
                <w:szCs w:val="9"/>
                <w:color w:val="auto"/>
              </w:rPr>
            </w:pPr>
          </w:p>
        </w:tc>
        <w:tc>
          <w:tcPr>
            <w:tcW w:w="2660" w:type="dxa"/>
            <w:vAlign w:val="bottom"/>
            <w:shd w:val="clear" w:color="auto" w:fill="D9D9D9"/>
          </w:tcPr>
          <w:p>
            <w:pPr>
              <w:spacing w:after="0"/>
              <w:rPr>
                <w:sz w:val="9"/>
                <w:szCs w:val="9"/>
                <w:color w:val="auto"/>
              </w:rPr>
            </w:pPr>
          </w:p>
        </w:tc>
        <w:tc>
          <w:tcPr>
            <w:tcW w:w="20" w:type="dxa"/>
            <w:vAlign w:val="bottom"/>
            <w:shd w:val="clear" w:color="auto" w:fill="D9D9D9"/>
          </w:tcPr>
          <w:p>
            <w:pPr>
              <w:spacing w:after="0"/>
              <w:rPr>
                <w:sz w:val="9"/>
                <w:szCs w:val="9"/>
                <w:color w:val="auto"/>
              </w:rPr>
            </w:pPr>
          </w:p>
        </w:tc>
        <w:tc>
          <w:tcPr>
            <w:tcW w:w="2900" w:type="dxa"/>
            <w:vAlign w:val="bottom"/>
            <w:shd w:val="clear" w:color="auto" w:fill="D9D9D9"/>
          </w:tcPr>
          <w:p>
            <w:pPr>
              <w:spacing w:after="0"/>
              <w:rPr>
                <w:sz w:val="9"/>
                <w:szCs w:val="9"/>
                <w:color w:val="auto"/>
              </w:rPr>
            </w:pPr>
          </w:p>
        </w:tc>
        <w:tc>
          <w:tcPr>
            <w:tcW w:w="20" w:type="dxa"/>
            <w:vAlign w:val="bottom"/>
            <w:shd w:val="clear" w:color="auto" w:fill="D9D9D9"/>
          </w:tcPr>
          <w:p>
            <w:pPr>
              <w:spacing w:after="0"/>
              <w:rPr>
                <w:sz w:val="9"/>
                <w:szCs w:val="9"/>
                <w:color w:val="auto"/>
              </w:rPr>
            </w:pPr>
          </w:p>
        </w:tc>
        <w:tc>
          <w:tcPr>
            <w:tcW w:w="266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350"/>
        </w:trPr>
        <w:tc>
          <w:tcPr>
            <w:tcW w:w="2920" w:type="dxa"/>
            <w:vAlign w:val="bottom"/>
            <w:gridSpan w:val="2"/>
          </w:tcPr>
          <w:p>
            <w:pPr>
              <w:ind w:left="260"/>
              <w:spacing w:after="0"/>
              <w:rPr>
                <w:sz w:val="20"/>
                <w:szCs w:val="20"/>
                <w:color w:val="auto"/>
              </w:rPr>
            </w:pPr>
            <w:r>
              <w:rPr>
                <w:rFonts w:ascii="Arial" w:cs="Arial" w:eastAsia="Arial" w:hAnsi="Arial"/>
                <w:sz w:val="16"/>
                <w:szCs w:val="16"/>
                <w:color w:val="333333"/>
              </w:rPr>
              <w:t>Sincerely,</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ind w:left="260"/>
              <w:spacing w:after="0"/>
              <w:rPr>
                <w:sz w:val="20"/>
                <w:szCs w:val="20"/>
                <w:color w:val="auto"/>
              </w:rPr>
            </w:pPr>
            <w:r>
              <w:rPr>
                <w:rFonts w:ascii="Arial" w:cs="Arial" w:eastAsia="Arial" w:hAnsi="Arial"/>
                <w:sz w:val="16"/>
                <w:szCs w:val="16"/>
                <w:color w:val="333333"/>
              </w:rPr>
              <w:t>Corpay Board of Directors</w:t>
            </w:r>
          </w:p>
        </w:tc>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-1412240</wp:posOffset>
            </wp:positionV>
            <wp:extent cx="102870" cy="111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-1412240</wp:posOffset>
            </wp:positionV>
            <wp:extent cx="102870" cy="111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4270375</wp:posOffset>
            </wp:positionH>
            <wp:positionV relativeFrom="paragraph">
              <wp:posOffset>-1412240</wp:posOffset>
            </wp:positionV>
            <wp:extent cx="102870" cy="111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111125"/>
                    </a:xfrm>
                    <a:prstGeom prst="rect">
                      <a:avLst/>
                    </a:prstGeom>
                    <a:noFill/>
                  </pic:spPr>
                </pic:pic>
              </a:graphicData>
            </a:graphic>
          </wp:anchor>
        </w:drawing>
      </w:r>
    </w:p>
    <w:p>
      <w:pPr>
        <w:spacing w:after="0" w:line="130" w:lineRule="exact"/>
        <w:rPr>
          <w:sz w:val="20"/>
          <w:szCs w:val="20"/>
          <w:color w:val="auto"/>
        </w:rPr>
      </w:pPr>
    </w:p>
    <w:p>
      <w:pPr>
        <w:ind w:left="900" w:right="1080"/>
        <w:spacing w:after="0" w:line="286" w:lineRule="auto"/>
        <w:rPr>
          <w:sz w:val="20"/>
          <w:szCs w:val="20"/>
          <w:color w:val="auto"/>
        </w:rPr>
      </w:pPr>
      <w:r>
        <w:rPr>
          <w:rFonts w:ascii="Arial" w:cs="Arial" w:eastAsia="Arial" w:hAnsi="Arial"/>
          <w:sz w:val="16"/>
          <w:szCs w:val="16"/>
          <w:color w:val="333333"/>
        </w:rPr>
        <w:t>Important Notice Regarding the Availability of Proxy Materials for the Shareholder Meeting to Be Held on June 6, 2024: Our Proxy Statement and Annual Report to Shareholders are available at https://investor.corpay.com.</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125095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CF1D4C"/>
        </w:rPr>
        <w:t>TABLE OF CONTENTS</w:t>
      </w:r>
    </w:p>
    <w:p>
      <w:pPr>
        <w:spacing w:after="0" w:line="200" w:lineRule="exact"/>
        <w:rPr>
          <w:sz w:val="20"/>
          <w:szCs w:val="20"/>
          <w:color w:val="auto"/>
        </w:rPr>
      </w:pPr>
    </w:p>
    <w:p>
      <w:pPr>
        <w:spacing w:after="0" w:line="272"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4120" w:type="dxa"/>
            <w:vAlign w:val="bottom"/>
            <w:gridSpan w:val="36"/>
          </w:tcPr>
          <w:p>
            <w:pPr>
              <w:ind w:left="20"/>
              <w:spacing w:after="0"/>
              <w:rPr>
                <w:sz w:val="20"/>
                <w:szCs w:val="20"/>
                <w:color w:val="auto"/>
              </w:rPr>
            </w:pPr>
            <w:r>
              <w:rPr>
                <w:rFonts w:ascii="Arial" w:cs="Arial" w:eastAsia="Arial" w:hAnsi="Arial"/>
                <w:sz w:val="13"/>
                <w:szCs w:val="13"/>
                <w:b w:val="1"/>
                <w:bCs w:val="1"/>
                <w:color w:val="0000EE"/>
              </w:rPr>
              <w:t xml:space="preserve">01. </w:t>
            </w:r>
            <w:r>
              <w:rPr>
                <w:rFonts w:ascii="Arial" w:cs="Arial" w:eastAsia="Arial" w:hAnsi="Arial"/>
                <w:sz w:val="13"/>
                <w:szCs w:val="13"/>
                <w:color w:val="0000EE"/>
              </w:rPr>
              <w:t>SUMMARY</w:t>
            </w:r>
          </w:p>
        </w:tc>
        <w:tc>
          <w:tcPr>
            <w:tcW w:w="60" w:type="dxa"/>
            <w:vAlign w:val="bottom"/>
          </w:tcPr>
          <w:p>
            <w:pPr>
              <w:spacing w:after="0"/>
              <w:rPr>
                <w:sz w:val="20"/>
                <w:szCs w:val="20"/>
                <w:color w:val="auto"/>
              </w:rPr>
            </w:pPr>
            <w:r>
              <w:rPr>
                <w:rFonts w:ascii="Arial" w:cs="Arial" w:eastAsia="Arial" w:hAnsi="Arial"/>
                <w:sz w:val="10"/>
                <w:szCs w:val="10"/>
                <w:b w:val="1"/>
                <w:bCs w:val="1"/>
                <w:color w:val="0000EE"/>
                <w:w w:val="71"/>
              </w:rPr>
              <w:t>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2260" w:type="dxa"/>
            <w:vAlign w:val="bottom"/>
            <w:tcBorders>
              <w:bottom w:val="single" w:sz="8" w:color="0000EE"/>
            </w:tcBorders>
            <w:gridSpan w:val="27"/>
          </w:tcPr>
          <w:p>
            <w:pPr>
              <w:spacing w:after="0"/>
              <w:rPr>
                <w:sz w:val="20"/>
                <w:szCs w:val="20"/>
                <w:color w:val="auto"/>
              </w:rPr>
            </w:pPr>
            <w:r>
              <w:rPr>
                <w:rFonts w:ascii="Arial" w:cs="Arial" w:eastAsia="Arial" w:hAnsi="Arial"/>
                <w:sz w:val="13"/>
                <w:szCs w:val="13"/>
                <w:color w:val="0000EE"/>
                <w:w w:val="95"/>
              </w:rPr>
              <w:t>Proposals and Board Recommendations</w:t>
            </w:r>
          </w:p>
        </w:tc>
        <w:tc>
          <w:tcPr>
            <w:tcW w:w="1520" w:type="dxa"/>
            <w:vAlign w:val="bottom"/>
            <w:gridSpan w:val="8"/>
          </w:tcPr>
          <w:p>
            <w:pPr>
              <w:spacing w:after="0"/>
              <w:rPr>
                <w:sz w:val="15"/>
                <w:szCs w:val="15"/>
                <w:color w:val="auto"/>
              </w:rPr>
            </w:pPr>
          </w:p>
        </w:tc>
        <w:tc>
          <w:tcPr>
            <w:tcW w:w="60" w:type="dxa"/>
            <w:vAlign w:val="bottom"/>
            <w:tcBorders>
              <w:bottom w:val="single" w:sz="8" w:color="0000EE"/>
            </w:tcBorders>
          </w:tcPr>
          <w:p>
            <w:pPr>
              <w:spacing w:after="0"/>
              <w:rPr>
                <w:sz w:val="20"/>
                <w:szCs w:val="20"/>
                <w:color w:val="auto"/>
              </w:rPr>
            </w:pPr>
            <w:r>
              <w:rPr>
                <w:rFonts w:ascii="Arial" w:cs="Arial" w:eastAsia="Arial" w:hAnsi="Arial"/>
                <w:sz w:val="10"/>
                <w:szCs w:val="10"/>
                <w:color w:val="0000EE"/>
                <w:w w:val="71"/>
              </w:rPr>
              <w:t>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600" w:type="dxa"/>
            <w:vAlign w:val="bottom"/>
            <w:tcBorders>
              <w:bottom w:val="single" w:sz="8" w:color="0000EE"/>
            </w:tcBorders>
            <w:gridSpan w:val="16"/>
          </w:tcPr>
          <w:p>
            <w:pPr>
              <w:ind w:left="20"/>
              <w:spacing w:after="0"/>
              <w:rPr>
                <w:sz w:val="20"/>
                <w:szCs w:val="20"/>
                <w:color w:val="auto"/>
              </w:rPr>
            </w:pPr>
            <w:r>
              <w:rPr>
                <w:rFonts w:ascii="Arial" w:cs="Arial" w:eastAsia="Arial" w:hAnsi="Arial"/>
                <w:sz w:val="13"/>
                <w:szCs w:val="13"/>
                <w:b w:val="1"/>
                <w:bCs w:val="1"/>
                <w:color w:val="0000EE"/>
                <w:w w:val="93"/>
              </w:rPr>
              <w:t xml:space="preserve">02. </w:t>
            </w:r>
            <w:r>
              <w:rPr>
                <w:rFonts w:ascii="Arial" w:cs="Arial" w:eastAsia="Arial" w:hAnsi="Arial"/>
                <w:sz w:val="13"/>
                <w:szCs w:val="13"/>
                <w:color w:val="0000EE"/>
                <w:w w:val="93"/>
              </w:rPr>
              <w:t>CORPAY AT A GLANCE</w:t>
            </w:r>
          </w:p>
        </w:tc>
        <w:tc>
          <w:tcPr>
            <w:tcW w:w="2520" w:type="dxa"/>
            <w:vAlign w:val="bottom"/>
            <w:gridSpan w:val="20"/>
          </w:tcPr>
          <w:p>
            <w:pPr>
              <w:spacing w:after="0"/>
              <w:rPr>
                <w:sz w:val="24"/>
                <w:szCs w:val="24"/>
                <w:color w:val="auto"/>
              </w:rPr>
            </w:pPr>
          </w:p>
        </w:tc>
        <w:tc>
          <w:tcPr>
            <w:tcW w:w="60" w:type="dxa"/>
            <w:vAlign w:val="bottom"/>
            <w:tcBorders>
              <w:bottom w:val="single" w:sz="8" w:color="0000EE"/>
            </w:tcBorders>
          </w:tcPr>
          <w:p>
            <w:pPr>
              <w:spacing w:after="0"/>
              <w:rPr>
                <w:sz w:val="20"/>
                <w:szCs w:val="20"/>
                <w:color w:val="auto"/>
              </w:rPr>
            </w:pPr>
            <w:r>
              <w:rPr>
                <w:rFonts w:ascii="Arial" w:cs="Arial" w:eastAsia="Arial" w:hAnsi="Arial"/>
                <w:sz w:val="10"/>
                <w:szCs w:val="10"/>
                <w:b w:val="1"/>
                <w:bCs w:val="1"/>
                <w:color w:val="0000EE"/>
                <w:w w:val="71"/>
              </w:rPr>
              <w:t>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8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color w:val="0000EE"/>
                <w:w w:val="92"/>
              </w:rPr>
              <w:t>Our Vision</w:t>
            </w:r>
          </w:p>
        </w:tc>
        <w:tc>
          <w:tcPr>
            <w:tcW w:w="3200" w:type="dxa"/>
            <w:vAlign w:val="bottom"/>
            <w:gridSpan w:val="32"/>
          </w:tcPr>
          <w:p>
            <w:pPr>
              <w:spacing w:after="0"/>
              <w:rPr>
                <w:sz w:val="17"/>
                <w:szCs w:val="17"/>
                <w:color w:val="auto"/>
              </w:rPr>
            </w:pPr>
          </w:p>
        </w:tc>
        <w:tc>
          <w:tcPr>
            <w:tcW w:w="60" w:type="dxa"/>
            <w:vAlign w:val="bottom"/>
            <w:tcBorders>
              <w:bottom w:val="single" w:sz="8" w:color="0000EE"/>
            </w:tcBorders>
          </w:tcPr>
          <w:p>
            <w:pPr>
              <w:spacing w:after="0"/>
              <w:rPr>
                <w:sz w:val="20"/>
                <w:szCs w:val="20"/>
                <w:color w:val="auto"/>
              </w:rPr>
            </w:pPr>
            <w:r>
              <w:rPr>
                <w:rFonts w:ascii="Arial" w:cs="Arial" w:eastAsia="Arial" w:hAnsi="Arial"/>
                <w:sz w:val="10"/>
                <w:szCs w:val="10"/>
                <w:color w:val="0000EE"/>
                <w:w w:val="71"/>
              </w:rPr>
              <w:t>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780" w:type="dxa"/>
            <w:vAlign w:val="bottom"/>
            <w:gridSpan w:val="35"/>
          </w:tcPr>
          <w:p>
            <w:pPr>
              <w:spacing w:after="0"/>
              <w:rPr>
                <w:sz w:val="20"/>
                <w:szCs w:val="20"/>
                <w:color w:val="auto"/>
              </w:rPr>
            </w:pPr>
            <w:r>
              <w:rPr>
                <w:rFonts w:ascii="Arial" w:cs="Arial" w:eastAsia="Arial" w:hAnsi="Arial"/>
                <w:sz w:val="13"/>
                <w:szCs w:val="13"/>
                <w:color w:val="0000EE"/>
              </w:rPr>
              <w:t>Our Mission</w:t>
            </w:r>
          </w:p>
        </w:tc>
        <w:tc>
          <w:tcPr>
            <w:tcW w:w="60" w:type="dxa"/>
            <w:vAlign w:val="bottom"/>
          </w:tcPr>
          <w:p>
            <w:pPr>
              <w:spacing w:after="0"/>
              <w:rPr>
                <w:sz w:val="20"/>
                <w:szCs w:val="20"/>
                <w:color w:val="auto"/>
              </w:rPr>
            </w:pPr>
            <w:r>
              <w:rPr>
                <w:rFonts w:ascii="Arial" w:cs="Arial" w:eastAsia="Arial" w:hAnsi="Arial"/>
                <w:sz w:val="10"/>
                <w:szCs w:val="10"/>
                <w:color w:val="0000EE"/>
                <w:w w:val="71"/>
              </w:rPr>
              <w:t>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3780" w:type="dxa"/>
            <w:vAlign w:val="bottom"/>
            <w:gridSpan w:val="35"/>
          </w:tcPr>
          <w:p>
            <w:pPr>
              <w:spacing w:after="0"/>
              <w:rPr>
                <w:sz w:val="20"/>
                <w:szCs w:val="20"/>
                <w:color w:val="auto"/>
              </w:rPr>
            </w:pPr>
            <w:r>
              <w:rPr>
                <w:rFonts w:ascii="Arial" w:cs="Arial" w:eastAsia="Arial" w:hAnsi="Arial"/>
                <w:sz w:val="13"/>
                <w:szCs w:val="13"/>
                <w:color w:val="0000EE"/>
              </w:rPr>
              <w:t>Our Strategy</w:t>
            </w:r>
          </w:p>
        </w:tc>
        <w:tc>
          <w:tcPr>
            <w:tcW w:w="60" w:type="dxa"/>
            <w:vAlign w:val="bottom"/>
          </w:tcPr>
          <w:p>
            <w:pPr>
              <w:spacing w:after="0"/>
              <w:rPr>
                <w:sz w:val="20"/>
                <w:szCs w:val="20"/>
                <w:color w:val="auto"/>
              </w:rPr>
            </w:pPr>
            <w:r>
              <w:rPr>
                <w:rFonts w:ascii="Arial" w:cs="Arial" w:eastAsia="Arial" w:hAnsi="Arial"/>
                <w:sz w:val="10"/>
                <w:szCs w:val="10"/>
                <w:color w:val="0000EE"/>
                <w:w w:val="71"/>
              </w:rPr>
              <w:t>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960" w:type="dxa"/>
            <w:vAlign w:val="bottom"/>
            <w:tcBorders>
              <w:bottom w:val="single" w:sz="8" w:color="0000EE"/>
            </w:tcBorders>
            <w:gridSpan w:val="9"/>
          </w:tcPr>
          <w:p>
            <w:pPr>
              <w:spacing w:after="0"/>
              <w:rPr>
                <w:sz w:val="20"/>
                <w:szCs w:val="20"/>
                <w:color w:val="auto"/>
              </w:rPr>
            </w:pPr>
            <w:r>
              <w:rPr>
                <w:rFonts w:ascii="Arial" w:cs="Arial" w:eastAsia="Arial" w:hAnsi="Arial"/>
                <w:sz w:val="13"/>
                <w:szCs w:val="13"/>
                <w:color w:val="0000EE"/>
                <w:w w:val="94"/>
              </w:rPr>
              <w:t>Our Performance</w:t>
            </w:r>
          </w:p>
        </w:tc>
        <w:tc>
          <w:tcPr>
            <w:tcW w:w="2820" w:type="dxa"/>
            <w:vAlign w:val="bottom"/>
            <w:gridSpan w:val="26"/>
          </w:tcPr>
          <w:p>
            <w:pPr>
              <w:spacing w:after="0"/>
              <w:rPr>
                <w:sz w:val="15"/>
                <w:szCs w:val="15"/>
                <w:color w:val="auto"/>
              </w:rPr>
            </w:pPr>
          </w:p>
        </w:tc>
        <w:tc>
          <w:tcPr>
            <w:tcW w:w="60" w:type="dxa"/>
            <w:vAlign w:val="bottom"/>
            <w:tcBorders>
              <w:bottom w:val="single" w:sz="8" w:color="0000EE"/>
            </w:tcBorders>
          </w:tcPr>
          <w:p>
            <w:pPr>
              <w:spacing w:after="0"/>
              <w:rPr>
                <w:sz w:val="20"/>
                <w:szCs w:val="20"/>
                <w:color w:val="auto"/>
              </w:rPr>
            </w:pPr>
            <w:r>
              <w:rPr>
                <w:rFonts w:ascii="Arial" w:cs="Arial" w:eastAsia="Arial" w:hAnsi="Arial"/>
                <w:sz w:val="10"/>
                <w:szCs w:val="10"/>
                <w:color w:val="0000EE"/>
                <w:w w:val="71"/>
              </w:rPr>
              <w:t>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260" w:type="dxa"/>
            <w:vAlign w:val="bottom"/>
            <w:tcBorders>
              <w:bottom w:val="single" w:sz="8" w:color="0000EE"/>
            </w:tcBorders>
            <w:gridSpan w:val="15"/>
          </w:tcPr>
          <w:p>
            <w:pPr>
              <w:spacing w:after="0"/>
              <w:rPr>
                <w:sz w:val="20"/>
                <w:szCs w:val="20"/>
                <w:color w:val="auto"/>
              </w:rPr>
            </w:pPr>
            <w:r>
              <w:rPr>
                <w:rFonts w:ascii="Arial" w:cs="Arial" w:eastAsia="Arial" w:hAnsi="Arial"/>
                <w:sz w:val="13"/>
                <w:szCs w:val="13"/>
                <w:color w:val="0000EE"/>
                <w:w w:val="95"/>
              </w:rPr>
              <w:t>Our Board of Directors</w:t>
            </w:r>
          </w:p>
        </w:tc>
        <w:tc>
          <w:tcPr>
            <w:tcW w:w="2520" w:type="dxa"/>
            <w:vAlign w:val="bottom"/>
            <w:gridSpan w:val="20"/>
          </w:tcPr>
          <w:p>
            <w:pPr>
              <w:spacing w:after="0"/>
              <w:rPr>
                <w:sz w:val="15"/>
                <w:szCs w:val="15"/>
                <w:color w:val="auto"/>
              </w:rPr>
            </w:pPr>
          </w:p>
        </w:tc>
        <w:tc>
          <w:tcPr>
            <w:tcW w:w="60" w:type="dxa"/>
            <w:vAlign w:val="bottom"/>
            <w:tcBorders>
              <w:bottom w:val="single" w:sz="8" w:color="0000EE"/>
            </w:tcBorders>
          </w:tcPr>
          <w:p>
            <w:pPr>
              <w:spacing w:after="0"/>
              <w:rPr>
                <w:sz w:val="20"/>
                <w:szCs w:val="20"/>
                <w:color w:val="auto"/>
              </w:rPr>
            </w:pPr>
            <w:r>
              <w:rPr>
                <w:rFonts w:ascii="Arial" w:cs="Arial" w:eastAsia="Arial" w:hAnsi="Arial"/>
                <w:sz w:val="10"/>
                <w:szCs w:val="10"/>
                <w:color w:val="0000EE"/>
                <w:w w:val="71"/>
              </w:rPr>
              <w:t>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780" w:type="dxa"/>
            <w:vAlign w:val="bottom"/>
            <w:gridSpan w:val="35"/>
          </w:tcPr>
          <w:p>
            <w:pPr>
              <w:spacing w:after="0"/>
              <w:rPr>
                <w:sz w:val="20"/>
                <w:szCs w:val="20"/>
                <w:color w:val="auto"/>
              </w:rPr>
            </w:pPr>
            <w:r>
              <w:rPr>
                <w:rFonts w:ascii="Arial" w:cs="Arial" w:eastAsia="Arial" w:hAnsi="Arial"/>
                <w:sz w:val="13"/>
                <w:szCs w:val="13"/>
                <w:color w:val="0000EE"/>
              </w:rPr>
              <w:t>Forward-Leaning Corporate Governance</w:t>
            </w:r>
          </w:p>
        </w:tc>
        <w:tc>
          <w:tcPr>
            <w:tcW w:w="60" w:type="dxa"/>
            <w:vAlign w:val="bottom"/>
          </w:tcPr>
          <w:p>
            <w:pPr>
              <w:spacing w:after="0"/>
              <w:rPr>
                <w:sz w:val="20"/>
                <w:szCs w:val="20"/>
                <w:color w:val="auto"/>
              </w:rPr>
            </w:pPr>
            <w:r>
              <w:rPr>
                <w:rFonts w:ascii="Arial" w:cs="Arial" w:eastAsia="Arial" w:hAnsi="Arial"/>
                <w:sz w:val="10"/>
                <w:szCs w:val="10"/>
                <w:color w:val="0000EE"/>
                <w:w w:val="71"/>
              </w:rPr>
              <w:t>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3780" w:type="dxa"/>
            <w:vAlign w:val="bottom"/>
            <w:gridSpan w:val="35"/>
          </w:tcPr>
          <w:p>
            <w:pPr>
              <w:spacing w:after="0"/>
              <w:rPr>
                <w:sz w:val="20"/>
                <w:szCs w:val="20"/>
                <w:color w:val="auto"/>
              </w:rPr>
            </w:pPr>
            <w:r>
              <w:rPr>
                <w:rFonts w:ascii="Arial" w:cs="Arial" w:eastAsia="Arial" w:hAnsi="Arial"/>
                <w:sz w:val="13"/>
                <w:szCs w:val="13"/>
                <w:color w:val="0000EE"/>
              </w:rPr>
              <w:t>Forward-Leaning Compensation Practices</w:t>
            </w:r>
          </w:p>
        </w:tc>
        <w:tc>
          <w:tcPr>
            <w:tcW w:w="60" w:type="dxa"/>
            <w:vAlign w:val="bottom"/>
          </w:tcPr>
          <w:p>
            <w:pPr>
              <w:spacing w:after="0"/>
              <w:rPr>
                <w:sz w:val="20"/>
                <w:szCs w:val="20"/>
                <w:color w:val="auto"/>
              </w:rPr>
            </w:pPr>
            <w:r>
              <w:rPr>
                <w:rFonts w:ascii="Arial" w:cs="Arial" w:eastAsia="Arial" w:hAnsi="Arial"/>
                <w:sz w:val="10"/>
                <w:szCs w:val="10"/>
                <w:color w:val="0000EE"/>
                <w:w w:val="71"/>
              </w:rPr>
              <w:t>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2340" w:type="dxa"/>
            <w:vAlign w:val="bottom"/>
            <w:tcBorders>
              <w:top w:val="single" w:sz="8" w:color="0000EE"/>
            </w:tcBorders>
            <w:gridSpan w:val="28"/>
          </w:tcPr>
          <w:p>
            <w:pPr>
              <w:spacing w:after="0"/>
              <w:rPr>
                <w:sz w:val="20"/>
                <w:szCs w:val="20"/>
                <w:color w:val="auto"/>
              </w:rPr>
            </w:pPr>
            <w:r>
              <w:rPr>
                <w:rFonts w:ascii="Arial" w:cs="Arial" w:eastAsia="Arial" w:hAnsi="Arial"/>
                <w:sz w:val="13"/>
                <w:szCs w:val="13"/>
                <w:color w:val="0000EE"/>
              </w:rPr>
              <w:t>Shareholder Engagement Results</w:t>
            </w:r>
          </w:p>
        </w:tc>
        <w:tc>
          <w:tcPr>
            <w:tcW w:w="1440" w:type="dxa"/>
            <w:vAlign w:val="bottom"/>
            <w:gridSpan w:val="7"/>
          </w:tcPr>
          <w:p>
            <w:pPr>
              <w:spacing w:after="0"/>
              <w:rPr>
                <w:sz w:val="15"/>
                <w:szCs w:val="15"/>
                <w:color w:val="auto"/>
              </w:rPr>
            </w:pPr>
          </w:p>
        </w:tc>
        <w:tc>
          <w:tcPr>
            <w:tcW w:w="60" w:type="dxa"/>
            <w:vAlign w:val="bottom"/>
            <w:tcBorders>
              <w:top w:val="single" w:sz="8" w:color="0000EE"/>
            </w:tcBorders>
          </w:tcPr>
          <w:p>
            <w:pPr>
              <w:spacing w:after="0"/>
              <w:rPr>
                <w:sz w:val="20"/>
                <w:szCs w:val="20"/>
                <w:color w:val="auto"/>
              </w:rPr>
            </w:pPr>
            <w:r>
              <w:rPr>
                <w:rFonts w:ascii="Arial" w:cs="Arial" w:eastAsia="Arial" w:hAnsi="Arial"/>
                <w:sz w:val="10"/>
                <w:szCs w:val="10"/>
                <w:color w:val="0000EE"/>
                <w:w w:val="71"/>
              </w:rPr>
              <w:t>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 w:type="dxa"/>
            <w:vAlign w:val="bottom"/>
          </w:tcPr>
          <w:p>
            <w:pPr>
              <w:spacing w:after="0"/>
              <w:rPr>
                <w:sz w:val="14"/>
                <w:szCs w:val="14"/>
                <w:color w:val="auto"/>
              </w:rPr>
            </w:pPr>
          </w:p>
        </w:tc>
        <w:tc>
          <w:tcPr>
            <w:tcW w:w="3780" w:type="dxa"/>
            <w:vAlign w:val="bottom"/>
            <w:gridSpan w:val="35"/>
          </w:tcPr>
          <w:p>
            <w:pPr>
              <w:spacing w:after="0"/>
              <w:rPr>
                <w:sz w:val="20"/>
                <w:szCs w:val="20"/>
                <w:color w:val="auto"/>
              </w:rPr>
            </w:pPr>
            <w:r>
              <w:rPr>
                <w:rFonts w:ascii="Arial" w:cs="Arial" w:eastAsia="Arial" w:hAnsi="Arial"/>
                <w:sz w:val="13"/>
                <w:szCs w:val="13"/>
                <w:color w:val="0000EE"/>
              </w:rPr>
              <w:t>Our Commitment to Culture, Diversity, Equity, Inclusion,</w:t>
            </w:r>
          </w:p>
        </w:tc>
        <w:tc>
          <w:tcPr>
            <w:tcW w:w="140" w:type="dxa"/>
            <w:vAlign w:val="bottom"/>
            <w:gridSpan w:val="3"/>
            <w:vMerge w:val="restart"/>
          </w:tcPr>
          <w:p>
            <w:pPr>
              <w:spacing w:after="0"/>
              <w:rPr>
                <w:sz w:val="20"/>
                <w:szCs w:val="20"/>
                <w:color w:val="auto"/>
              </w:rPr>
            </w:pPr>
            <w:r>
              <w:rPr>
                <w:rFonts w:ascii="Arial" w:cs="Arial" w:eastAsia="Arial" w:hAnsi="Arial"/>
                <w:sz w:val="13"/>
                <w:szCs w:val="13"/>
                <w:color w:val="0000EE"/>
                <w:w w:val="82"/>
              </w:rPr>
              <w:t>11</w:t>
            </w:r>
          </w:p>
        </w:tc>
        <w:tc>
          <w:tcPr>
            <w:tcW w:w="0" w:type="dxa"/>
            <w:vAlign w:val="bottom"/>
          </w:tcPr>
          <w:p>
            <w:pPr>
              <w:spacing w:after="0"/>
              <w:rPr>
                <w:sz w:val="1"/>
                <w:szCs w:val="1"/>
                <w:color w:val="auto"/>
              </w:rPr>
            </w:pPr>
          </w:p>
        </w:tc>
      </w:tr>
      <w:tr>
        <w:trPr>
          <w:trHeight w:val="115"/>
        </w:trPr>
        <w:tc>
          <w:tcPr>
            <w:tcW w:w="340" w:type="dxa"/>
            <w:vAlign w:val="bottom"/>
          </w:tcPr>
          <w:p>
            <w:pPr>
              <w:spacing w:after="0"/>
              <w:rPr>
                <w:sz w:val="10"/>
                <w:szCs w:val="10"/>
                <w:color w:val="auto"/>
              </w:rPr>
            </w:pPr>
          </w:p>
        </w:tc>
        <w:tc>
          <w:tcPr>
            <w:tcW w:w="1580" w:type="dxa"/>
            <w:vAlign w:val="bottom"/>
            <w:tcBorders>
              <w:top w:val="single" w:sz="8" w:color="0000EE"/>
            </w:tcBorders>
            <w:gridSpan w:val="17"/>
          </w:tcPr>
          <w:p>
            <w:pPr>
              <w:spacing w:after="0" w:line="115" w:lineRule="exact"/>
              <w:rPr>
                <w:sz w:val="20"/>
                <w:szCs w:val="20"/>
                <w:color w:val="auto"/>
              </w:rPr>
            </w:pPr>
            <w:r>
              <w:rPr>
                <w:rFonts w:ascii="Arial" w:cs="Arial" w:eastAsia="Arial" w:hAnsi="Arial"/>
                <w:sz w:val="13"/>
                <w:szCs w:val="13"/>
                <w:color w:val="0000EE"/>
                <w:w w:val="95"/>
              </w:rPr>
              <w:t>Belonging and Sustainability</w:t>
            </w:r>
          </w:p>
        </w:tc>
        <w:tc>
          <w:tcPr>
            <w:tcW w:w="1500" w:type="dxa"/>
            <w:vAlign w:val="bottom"/>
            <w:tcBorders>
              <w:top w:val="single" w:sz="8" w:color="0000EE"/>
            </w:tcBorders>
            <w:gridSpan w:val="15"/>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Arial" w:cs="Arial" w:eastAsia="Arial" w:hAnsi="Arial"/>
                <w:sz w:val="13"/>
                <w:szCs w:val="13"/>
                <w:color w:val="0000EE"/>
                <w:w w:val="90"/>
              </w:rPr>
              <w:t>Culture</w:t>
            </w:r>
          </w:p>
        </w:tc>
        <w:tc>
          <w:tcPr>
            <w:tcW w:w="1180" w:type="dxa"/>
            <w:vAlign w:val="bottom"/>
            <w:gridSpan w:val="16"/>
          </w:tcPr>
          <w:p>
            <w:pPr>
              <w:spacing w:after="0"/>
              <w:rPr>
                <w:sz w:val="15"/>
                <w:szCs w:val="15"/>
                <w:color w:val="auto"/>
              </w:rPr>
            </w:pPr>
          </w:p>
        </w:tc>
        <w:tc>
          <w:tcPr>
            <w:tcW w:w="2200" w:type="dxa"/>
            <w:vAlign w:val="bottom"/>
            <w:gridSpan w:val="18"/>
          </w:tcPr>
          <w:p>
            <w:pPr>
              <w:spacing w:after="0"/>
              <w:rPr>
                <w:sz w:val="15"/>
                <w:szCs w:val="15"/>
                <w:color w:val="auto"/>
              </w:rPr>
            </w:pPr>
          </w:p>
        </w:tc>
        <w:tc>
          <w:tcPr>
            <w:tcW w:w="140" w:type="dxa"/>
            <w:vAlign w:val="bottom"/>
            <w:gridSpan w:val="3"/>
          </w:tcPr>
          <w:p>
            <w:pPr>
              <w:spacing w:after="0"/>
              <w:rPr>
                <w:sz w:val="20"/>
                <w:szCs w:val="20"/>
                <w:color w:val="auto"/>
              </w:rPr>
            </w:pPr>
            <w:r>
              <w:rPr>
                <w:rFonts w:ascii="Arial" w:cs="Arial" w:eastAsia="Arial" w:hAnsi="Arial"/>
                <w:sz w:val="13"/>
                <w:szCs w:val="13"/>
                <w:color w:val="0000EE"/>
                <w:w w:val="82"/>
              </w:rPr>
              <w:t>11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2180" w:type="dxa"/>
            <w:vAlign w:val="bottom"/>
            <w:gridSpan w:val="26"/>
          </w:tcPr>
          <w:p>
            <w:pPr>
              <w:spacing w:after="0"/>
              <w:rPr>
                <w:sz w:val="20"/>
                <w:szCs w:val="20"/>
                <w:color w:val="auto"/>
              </w:rPr>
            </w:pPr>
            <w:r>
              <w:rPr>
                <w:rFonts w:ascii="Arial" w:cs="Arial" w:eastAsia="Arial" w:hAnsi="Arial"/>
                <w:sz w:val="13"/>
                <w:szCs w:val="13"/>
                <w:color w:val="0000EE"/>
                <w:w w:val="94"/>
              </w:rPr>
              <w:t>Diversity, Equity, Inclusion &amp; Belonging</w:t>
            </w:r>
          </w:p>
        </w:tc>
        <w:tc>
          <w:tcPr>
            <w:tcW w:w="1600" w:type="dxa"/>
            <w:vAlign w:val="bottom"/>
            <w:gridSpan w:val="9"/>
          </w:tcPr>
          <w:p>
            <w:pPr>
              <w:spacing w:after="0"/>
              <w:rPr>
                <w:sz w:val="15"/>
                <w:szCs w:val="15"/>
                <w:color w:val="auto"/>
              </w:rPr>
            </w:pPr>
          </w:p>
        </w:tc>
        <w:tc>
          <w:tcPr>
            <w:tcW w:w="140" w:type="dxa"/>
            <w:vAlign w:val="bottom"/>
            <w:gridSpan w:val="3"/>
          </w:tcPr>
          <w:p>
            <w:pPr>
              <w:spacing w:after="0"/>
              <w:rPr>
                <w:sz w:val="20"/>
                <w:szCs w:val="20"/>
                <w:color w:val="auto"/>
              </w:rPr>
            </w:pPr>
            <w:r>
              <w:rPr>
                <w:rFonts w:ascii="Arial" w:cs="Arial" w:eastAsia="Arial" w:hAnsi="Arial"/>
                <w:sz w:val="13"/>
                <w:szCs w:val="13"/>
                <w:color w:val="0000EE"/>
                <w:w w:val="82"/>
              </w:rPr>
              <w:t>11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980" w:type="dxa"/>
            <w:vAlign w:val="bottom"/>
            <w:tcBorders>
              <w:bottom w:val="single" w:sz="8" w:color="0000EE"/>
            </w:tcBorders>
            <w:gridSpan w:val="10"/>
          </w:tcPr>
          <w:p>
            <w:pPr>
              <w:spacing w:after="0"/>
              <w:rPr>
                <w:sz w:val="20"/>
                <w:szCs w:val="20"/>
                <w:color w:val="auto"/>
              </w:rPr>
            </w:pPr>
            <w:r>
              <w:rPr>
                <w:rFonts w:ascii="Arial" w:cs="Arial" w:eastAsia="Arial" w:hAnsi="Arial"/>
                <w:sz w:val="13"/>
                <w:szCs w:val="13"/>
                <w:color w:val="0000EE"/>
                <w:w w:val="93"/>
              </w:rPr>
              <w:t>Talent Acquisition</w:t>
            </w:r>
          </w:p>
        </w:tc>
        <w:tc>
          <w:tcPr>
            <w:tcW w:w="1200" w:type="dxa"/>
            <w:vAlign w:val="bottom"/>
            <w:gridSpan w:val="16"/>
          </w:tcPr>
          <w:p>
            <w:pPr>
              <w:spacing w:after="0"/>
              <w:rPr>
                <w:sz w:val="15"/>
                <w:szCs w:val="15"/>
                <w:color w:val="auto"/>
              </w:rPr>
            </w:pPr>
          </w:p>
        </w:tc>
        <w:tc>
          <w:tcPr>
            <w:tcW w:w="1600" w:type="dxa"/>
            <w:vAlign w:val="bottom"/>
            <w:gridSpan w:val="9"/>
          </w:tcPr>
          <w:p>
            <w:pPr>
              <w:spacing w:after="0"/>
              <w:rPr>
                <w:sz w:val="15"/>
                <w:szCs w:val="15"/>
                <w:color w:val="auto"/>
              </w:rPr>
            </w:pPr>
          </w:p>
        </w:tc>
        <w:tc>
          <w:tcPr>
            <w:tcW w:w="14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color w:val="0000EE"/>
                <w:w w:val="82"/>
              </w:rPr>
              <w:t>12</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780" w:type="dxa"/>
            <w:vAlign w:val="bottom"/>
            <w:gridSpan w:val="35"/>
          </w:tcPr>
          <w:p>
            <w:pPr>
              <w:spacing w:after="0"/>
              <w:rPr>
                <w:sz w:val="20"/>
                <w:szCs w:val="20"/>
                <w:color w:val="auto"/>
              </w:rPr>
            </w:pPr>
            <w:r>
              <w:rPr>
                <w:rFonts w:ascii="Arial" w:cs="Arial" w:eastAsia="Arial" w:hAnsi="Arial"/>
                <w:sz w:val="13"/>
                <w:szCs w:val="13"/>
                <w:color w:val="0000EE"/>
              </w:rPr>
              <w:t>Talent Development</w:t>
            </w:r>
          </w:p>
        </w:tc>
        <w:tc>
          <w:tcPr>
            <w:tcW w:w="140" w:type="dxa"/>
            <w:vAlign w:val="bottom"/>
            <w:gridSpan w:val="3"/>
          </w:tcPr>
          <w:p>
            <w:pPr>
              <w:spacing w:after="0"/>
              <w:rPr>
                <w:sz w:val="20"/>
                <w:szCs w:val="20"/>
                <w:color w:val="auto"/>
              </w:rPr>
            </w:pPr>
            <w:r>
              <w:rPr>
                <w:rFonts w:ascii="Arial" w:cs="Arial" w:eastAsia="Arial" w:hAnsi="Arial"/>
                <w:sz w:val="13"/>
                <w:szCs w:val="13"/>
                <w:color w:val="0000EE"/>
                <w:w w:val="82"/>
              </w:rPr>
              <w:t>12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3780" w:type="dxa"/>
            <w:vAlign w:val="bottom"/>
            <w:gridSpan w:val="35"/>
          </w:tcPr>
          <w:p>
            <w:pPr>
              <w:spacing w:after="0"/>
              <w:rPr>
                <w:sz w:val="20"/>
                <w:szCs w:val="20"/>
                <w:color w:val="auto"/>
              </w:rPr>
            </w:pPr>
            <w:r>
              <w:rPr>
                <w:rFonts w:ascii="Arial" w:cs="Arial" w:eastAsia="Arial" w:hAnsi="Arial"/>
                <w:sz w:val="13"/>
                <w:szCs w:val="13"/>
                <w:color w:val="0000EE"/>
              </w:rPr>
              <w:t>Health and Wellness</w:t>
            </w:r>
          </w:p>
        </w:tc>
        <w:tc>
          <w:tcPr>
            <w:tcW w:w="140" w:type="dxa"/>
            <w:vAlign w:val="bottom"/>
            <w:gridSpan w:val="3"/>
          </w:tcPr>
          <w:p>
            <w:pPr>
              <w:spacing w:after="0"/>
              <w:rPr>
                <w:sz w:val="20"/>
                <w:szCs w:val="20"/>
                <w:color w:val="auto"/>
              </w:rPr>
            </w:pPr>
            <w:r>
              <w:rPr>
                <w:rFonts w:ascii="Arial" w:cs="Arial" w:eastAsia="Arial" w:hAnsi="Arial"/>
                <w:sz w:val="13"/>
                <w:szCs w:val="13"/>
                <w:color w:val="0000EE"/>
                <w:w w:val="82"/>
              </w:rPr>
              <w:t>13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3780" w:type="dxa"/>
            <w:vAlign w:val="bottom"/>
            <w:gridSpan w:val="35"/>
          </w:tcPr>
          <w:p>
            <w:pPr>
              <w:spacing w:after="0"/>
              <w:rPr>
                <w:sz w:val="20"/>
                <w:szCs w:val="20"/>
                <w:color w:val="auto"/>
              </w:rPr>
            </w:pPr>
            <w:r>
              <w:rPr>
                <w:rFonts w:ascii="Arial" w:cs="Arial" w:eastAsia="Arial" w:hAnsi="Arial"/>
                <w:sz w:val="13"/>
                <w:szCs w:val="13"/>
                <w:color w:val="0000EE"/>
              </w:rPr>
              <w:t>Voice of the Employee</w:t>
            </w:r>
          </w:p>
        </w:tc>
        <w:tc>
          <w:tcPr>
            <w:tcW w:w="140" w:type="dxa"/>
            <w:vAlign w:val="bottom"/>
            <w:gridSpan w:val="3"/>
          </w:tcPr>
          <w:p>
            <w:pPr>
              <w:spacing w:after="0"/>
              <w:rPr>
                <w:sz w:val="20"/>
                <w:szCs w:val="20"/>
                <w:color w:val="auto"/>
              </w:rPr>
            </w:pPr>
            <w:r>
              <w:rPr>
                <w:rFonts w:ascii="Arial" w:cs="Arial" w:eastAsia="Arial" w:hAnsi="Arial"/>
                <w:sz w:val="13"/>
                <w:szCs w:val="13"/>
                <w:color w:val="0000EE"/>
                <w:w w:val="82"/>
              </w:rPr>
              <w:t>13</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3"/>
                <w:szCs w:val="13"/>
                <w:color w:val="0000EE"/>
                <w:w w:val="93"/>
              </w:rPr>
              <w:t>Sustainability</w:t>
            </w:r>
          </w:p>
        </w:tc>
        <w:tc>
          <w:tcPr>
            <w:tcW w:w="500" w:type="dxa"/>
            <w:vAlign w:val="bottom"/>
            <w:tcBorders>
              <w:top w:val="single" w:sz="8" w:color="0000EE"/>
            </w:tcBorders>
            <w:gridSpan w:val="8"/>
          </w:tcPr>
          <w:p>
            <w:pPr>
              <w:spacing w:after="0"/>
              <w:rPr>
                <w:sz w:val="15"/>
                <w:szCs w:val="15"/>
                <w:color w:val="auto"/>
              </w:rPr>
            </w:pPr>
          </w:p>
        </w:tc>
        <w:tc>
          <w:tcPr>
            <w:tcW w:w="2540" w:type="dxa"/>
            <w:vAlign w:val="bottom"/>
            <w:gridSpan w:val="21"/>
          </w:tcPr>
          <w:p>
            <w:pPr>
              <w:spacing w:after="0"/>
              <w:rPr>
                <w:sz w:val="15"/>
                <w:szCs w:val="15"/>
                <w:color w:val="auto"/>
              </w:rPr>
            </w:pPr>
          </w:p>
        </w:tc>
        <w:tc>
          <w:tcPr>
            <w:tcW w:w="1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3"/>
                <w:szCs w:val="13"/>
                <w:color w:val="0000EE"/>
                <w:w w:val="82"/>
              </w:rPr>
              <w:t>13</w:t>
            </w:r>
          </w:p>
        </w:tc>
        <w:tc>
          <w:tcPr>
            <w:tcW w:w="0" w:type="dxa"/>
            <w:vAlign w:val="bottom"/>
          </w:tcPr>
          <w:p>
            <w:pPr>
              <w:spacing w:after="0"/>
              <w:rPr>
                <w:sz w:val="1"/>
                <w:szCs w:val="1"/>
                <w:color w:val="auto"/>
              </w:rPr>
            </w:pPr>
          </w:p>
        </w:tc>
      </w:tr>
      <w:tr>
        <w:trPr>
          <w:trHeight w:val="304"/>
        </w:trPr>
        <w:tc>
          <w:tcPr>
            <w:tcW w:w="4120" w:type="dxa"/>
            <w:vAlign w:val="bottom"/>
            <w:gridSpan w:val="36"/>
          </w:tcPr>
          <w:p>
            <w:pPr>
              <w:ind w:left="20"/>
              <w:spacing w:after="0"/>
              <w:rPr>
                <w:sz w:val="20"/>
                <w:szCs w:val="20"/>
                <w:color w:val="auto"/>
              </w:rPr>
            </w:pPr>
            <w:r>
              <w:rPr>
                <w:rFonts w:ascii="Arial" w:cs="Arial" w:eastAsia="Arial" w:hAnsi="Arial"/>
                <w:sz w:val="13"/>
                <w:szCs w:val="13"/>
                <w:b w:val="1"/>
                <w:bCs w:val="1"/>
                <w:color w:val="0000EE"/>
              </w:rPr>
              <w:t xml:space="preserve">03. </w:t>
            </w:r>
            <w:r>
              <w:rPr>
                <w:rFonts w:ascii="Arial" w:cs="Arial" w:eastAsia="Arial" w:hAnsi="Arial"/>
                <w:sz w:val="13"/>
                <w:szCs w:val="13"/>
                <w:color w:val="0000EE"/>
              </w:rPr>
              <w:t>CORPORATE GOVERNANCE</w:t>
            </w:r>
          </w:p>
        </w:tc>
        <w:tc>
          <w:tcPr>
            <w:tcW w:w="140" w:type="dxa"/>
            <w:vAlign w:val="bottom"/>
            <w:gridSpan w:val="3"/>
            <w:vMerge w:val="restart"/>
          </w:tcPr>
          <w:p>
            <w:pPr>
              <w:spacing w:after="0"/>
              <w:rPr>
                <w:sz w:val="20"/>
                <w:szCs w:val="20"/>
                <w:color w:val="auto"/>
              </w:rPr>
            </w:pPr>
            <w:r>
              <w:rPr>
                <w:rFonts w:ascii="Arial" w:cs="Arial" w:eastAsia="Arial" w:hAnsi="Arial"/>
                <w:sz w:val="13"/>
                <w:szCs w:val="13"/>
                <w:b w:val="1"/>
                <w:bCs w:val="1"/>
                <w:color w:val="0000EE"/>
                <w:w w:val="82"/>
              </w:rPr>
              <w:t>16</w:t>
            </w:r>
          </w:p>
        </w:tc>
        <w:tc>
          <w:tcPr>
            <w:tcW w:w="0" w:type="dxa"/>
            <w:vAlign w:val="bottom"/>
          </w:tcPr>
          <w:p>
            <w:pPr>
              <w:spacing w:after="0"/>
              <w:rPr>
                <w:sz w:val="1"/>
                <w:szCs w:val="1"/>
                <w:color w:val="auto"/>
              </w:rPr>
            </w:pPr>
          </w:p>
        </w:tc>
      </w:tr>
      <w:tr>
        <w:trPr>
          <w:trHeight w:val="115"/>
        </w:trPr>
        <w:tc>
          <w:tcPr>
            <w:tcW w:w="1440" w:type="dxa"/>
            <w:vAlign w:val="bottom"/>
            <w:tcBorders>
              <w:top w:val="single" w:sz="8" w:color="0000EE"/>
              <w:bottom w:val="single" w:sz="8" w:color="0000EE"/>
            </w:tcBorders>
            <w:gridSpan w:val="13"/>
          </w:tcPr>
          <w:p>
            <w:pPr>
              <w:ind w:left="20"/>
              <w:spacing w:after="0" w:line="115" w:lineRule="exact"/>
              <w:rPr>
                <w:sz w:val="20"/>
                <w:szCs w:val="20"/>
                <w:color w:val="auto"/>
              </w:rPr>
            </w:pPr>
            <w:r>
              <w:rPr>
                <w:rFonts w:ascii="Arial" w:cs="Arial" w:eastAsia="Arial" w:hAnsi="Arial"/>
                <w:sz w:val="13"/>
                <w:szCs w:val="13"/>
                <w:color w:val="0000EE"/>
                <w:w w:val="96"/>
              </w:rPr>
              <w:t>AND BOARD MATTERS</w:t>
            </w:r>
          </w:p>
        </w:tc>
        <w:tc>
          <w:tcPr>
            <w:tcW w:w="540" w:type="dxa"/>
            <w:vAlign w:val="bottom"/>
            <w:tcBorders>
              <w:top w:val="single" w:sz="8" w:color="0000EE"/>
            </w:tcBorders>
            <w:gridSpan w:val="8"/>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0000EE"/>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260" w:type="dxa"/>
            <w:vAlign w:val="bottom"/>
            <w:tcBorders>
              <w:bottom w:val="single" w:sz="8" w:color="0000EE"/>
            </w:tcBorders>
            <w:gridSpan w:val="15"/>
          </w:tcPr>
          <w:p>
            <w:pPr>
              <w:spacing w:after="0"/>
              <w:rPr>
                <w:sz w:val="20"/>
                <w:szCs w:val="20"/>
                <w:color w:val="auto"/>
              </w:rPr>
            </w:pPr>
            <w:r>
              <w:rPr>
                <w:rFonts w:ascii="Arial" w:cs="Arial" w:eastAsia="Arial" w:hAnsi="Arial"/>
                <w:sz w:val="13"/>
                <w:szCs w:val="13"/>
                <w:color w:val="0000EE"/>
                <w:w w:val="95"/>
              </w:rPr>
              <w:t>Our Board of Directors</w:t>
            </w:r>
          </w:p>
        </w:tc>
        <w:tc>
          <w:tcPr>
            <w:tcW w:w="2520" w:type="dxa"/>
            <w:vAlign w:val="bottom"/>
            <w:gridSpan w:val="20"/>
          </w:tcPr>
          <w:p>
            <w:pPr>
              <w:spacing w:after="0"/>
              <w:rPr>
                <w:sz w:val="17"/>
                <w:szCs w:val="17"/>
                <w:color w:val="auto"/>
              </w:rPr>
            </w:pPr>
          </w:p>
        </w:tc>
        <w:tc>
          <w:tcPr>
            <w:tcW w:w="14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color w:val="0000EE"/>
                <w:w w:val="82"/>
              </w:rPr>
              <w:t>16</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040" w:type="dxa"/>
            <w:vAlign w:val="bottom"/>
            <w:tcBorders>
              <w:bottom w:val="single" w:sz="8" w:color="0000EE"/>
            </w:tcBorders>
            <w:gridSpan w:val="11"/>
          </w:tcPr>
          <w:p>
            <w:pPr>
              <w:spacing w:after="0"/>
              <w:rPr>
                <w:sz w:val="20"/>
                <w:szCs w:val="20"/>
                <w:color w:val="auto"/>
              </w:rPr>
            </w:pPr>
            <w:r>
              <w:rPr>
                <w:rFonts w:ascii="Arial" w:cs="Arial" w:eastAsia="Arial" w:hAnsi="Arial"/>
                <w:sz w:val="13"/>
                <w:szCs w:val="13"/>
                <w:color w:val="0000EE"/>
                <w:w w:val="94"/>
              </w:rPr>
              <w:t>Director Nominees</w:t>
            </w:r>
          </w:p>
        </w:tc>
        <w:tc>
          <w:tcPr>
            <w:tcW w:w="2740" w:type="dxa"/>
            <w:vAlign w:val="bottom"/>
            <w:gridSpan w:val="24"/>
          </w:tcPr>
          <w:p>
            <w:pPr>
              <w:spacing w:after="0"/>
              <w:rPr>
                <w:sz w:val="15"/>
                <w:szCs w:val="15"/>
                <w:color w:val="auto"/>
              </w:rPr>
            </w:pPr>
          </w:p>
        </w:tc>
        <w:tc>
          <w:tcPr>
            <w:tcW w:w="14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color w:val="0000EE"/>
                <w:w w:val="82"/>
              </w:rPr>
              <w:t>17</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2180" w:type="dxa"/>
            <w:vAlign w:val="bottom"/>
            <w:tcBorders>
              <w:bottom w:val="single" w:sz="8" w:color="0000EE"/>
            </w:tcBorders>
            <w:gridSpan w:val="26"/>
          </w:tcPr>
          <w:p>
            <w:pPr>
              <w:spacing w:after="0"/>
              <w:rPr>
                <w:sz w:val="20"/>
                <w:szCs w:val="20"/>
                <w:color w:val="auto"/>
              </w:rPr>
            </w:pPr>
            <w:r>
              <w:rPr>
                <w:rFonts w:ascii="Arial" w:cs="Arial" w:eastAsia="Arial" w:hAnsi="Arial"/>
                <w:sz w:val="13"/>
                <w:szCs w:val="13"/>
                <w:color w:val="0000EE"/>
                <w:w w:val="96"/>
              </w:rPr>
              <w:t>Evaluation and Evolution of Our Board</w:t>
            </w:r>
          </w:p>
        </w:tc>
        <w:tc>
          <w:tcPr>
            <w:tcW w:w="1600" w:type="dxa"/>
            <w:vAlign w:val="bottom"/>
            <w:gridSpan w:val="9"/>
          </w:tcPr>
          <w:p>
            <w:pPr>
              <w:spacing w:after="0"/>
              <w:rPr>
                <w:sz w:val="15"/>
                <w:szCs w:val="15"/>
                <w:color w:val="auto"/>
              </w:rPr>
            </w:pPr>
          </w:p>
        </w:tc>
        <w:tc>
          <w:tcPr>
            <w:tcW w:w="14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color w:val="0000EE"/>
                <w:w w:val="82"/>
              </w:rPr>
              <w:t>21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780" w:type="dxa"/>
            <w:vAlign w:val="bottom"/>
            <w:gridSpan w:val="35"/>
          </w:tcPr>
          <w:p>
            <w:pPr>
              <w:spacing w:after="0"/>
              <w:rPr>
                <w:sz w:val="20"/>
                <w:szCs w:val="20"/>
                <w:color w:val="auto"/>
              </w:rPr>
            </w:pPr>
            <w:r>
              <w:rPr>
                <w:rFonts w:ascii="Arial" w:cs="Arial" w:eastAsia="Arial" w:hAnsi="Arial"/>
                <w:sz w:val="13"/>
                <w:szCs w:val="13"/>
                <w:color w:val="0000EE"/>
              </w:rPr>
              <w:t>Board Meetings and Committees</w:t>
            </w:r>
          </w:p>
        </w:tc>
        <w:tc>
          <w:tcPr>
            <w:tcW w:w="140" w:type="dxa"/>
            <w:vAlign w:val="bottom"/>
            <w:gridSpan w:val="3"/>
          </w:tcPr>
          <w:p>
            <w:pPr>
              <w:spacing w:after="0"/>
              <w:rPr>
                <w:sz w:val="20"/>
                <w:szCs w:val="20"/>
                <w:color w:val="auto"/>
              </w:rPr>
            </w:pPr>
            <w:r>
              <w:rPr>
                <w:rFonts w:ascii="Arial" w:cs="Arial" w:eastAsia="Arial" w:hAnsi="Arial"/>
                <w:sz w:val="13"/>
                <w:szCs w:val="13"/>
                <w:color w:val="0000EE"/>
                <w:w w:val="82"/>
              </w:rPr>
              <w:t>21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880" w:type="dxa"/>
            <w:vAlign w:val="bottom"/>
            <w:tcBorders>
              <w:top w:val="single" w:sz="8" w:color="0000EE"/>
            </w:tcBorders>
            <w:gridSpan w:val="23"/>
          </w:tcPr>
          <w:p>
            <w:pPr>
              <w:spacing w:after="0"/>
              <w:rPr>
                <w:sz w:val="20"/>
                <w:szCs w:val="20"/>
                <w:color w:val="auto"/>
              </w:rPr>
            </w:pPr>
            <w:r>
              <w:rPr>
                <w:rFonts w:ascii="Arial" w:cs="Arial" w:eastAsia="Arial" w:hAnsi="Arial"/>
                <w:sz w:val="13"/>
                <w:szCs w:val="13"/>
                <w:color w:val="0000EE"/>
              </w:rPr>
              <w:t>Board Committee Membership</w:t>
            </w:r>
          </w:p>
        </w:tc>
        <w:tc>
          <w:tcPr>
            <w:tcW w:w="1900" w:type="dxa"/>
            <w:vAlign w:val="bottom"/>
            <w:gridSpan w:val="12"/>
          </w:tcPr>
          <w:p>
            <w:pPr>
              <w:spacing w:after="0"/>
              <w:rPr>
                <w:sz w:val="15"/>
                <w:szCs w:val="15"/>
                <w:color w:val="auto"/>
              </w:rPr>
            </w:pPr>
          </w:p>
        </w:tc>
        <w:tc>
          <w:tcPr>
            <w:tcW w:w="140" w:type="dxa"/>
            <w:vAlign w:val="bottom"/>
            <w:tcBorders>
              <w:top w:val="single" w:sz="8" w:color="0000EE"/>
            </w:tcBorders>
            <w:gridSpan w:val="3"/>
          </w:tcPr>
          <w:p>
            <w:pPr>
              <w:spacing w:after="0"/>
              <w:rPr>
                <w:sz w:val="20"/>
                <w:szCs w:val="20"/>
                <w:color w:val="auto"/>
              </w:rPr>
            </w:pPr>
            <w:r>
              <w:rPr>
                <w:rFonts w:ascii="Arial" w:cs="Arial" w:eastAsia="Arial" w:hAnsi="Arial"/>
                <w:sz w:val="13"/>
                <w:szCs w:val="13"/>
                <w:color w:val="0000EE"/>
                <w:w w:val="82"/>
              </w:rPr>
              <w:t>22</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700" w:type="dxa"/>
            <w:vAlign w:val="bottom"/>
            <w:tcBorders>
              <w:top w:val="single" w:sz="8" w:color="0000EE"/>
            </w:tcBorders>
            <w:gridSpan w:val="21"/>
          </w:tcPr>
          <w:p>
            <w:pPr>
              <w:spacing w:after="0"/>
              <w:rPr>
                <w:sz w:val="20"/>
                <w:szCs w:val="20"/>
                <w:color w:val="auto"/>
              </w:rPr>
            </w:pPr>
            <w:r>
              <w:rPr>
                <w:rFonts w:ascii="Arial" w:cs="Arial" w:eastAsia="Arial" w:hAnsi="Arial"/>
                <w:sz w:val="13"/>
                <w:szCs w:val="13"/>
                <w:color w:val="0000EE"/>
              </w:rPr>
              <w:t>Audit Committee</w:t>
            </w:r>
          </w:p>
        </w:tc>
        <w:tc>
          <w:tcPr>
            <w:tcW w:w="2080" w:type="dxa"/>
            <w:vAlign w:val="bottom"/>
            <w:gridSpan w:val="14"/>
          </w:tcPr>
          <w:p>
            <w:pPr>
              <w:spacing w:after="0"/>
              <w:rPr>
                <w:sz w:val="15"/>
                <w:szCs w:val="15"/>
                <w:color w:val="auto"/>
              </w:rPr>
            </w:pPr>
          </w:p>
        </w:tc>
        <w:tc>
          <w:tcPr>
            <w:tcW w:w="140" w:type="dxa"/>
            <w:vAlign w:val="bottom"/>
            <w:tcBorders>
              <w:top w:val="single" w:sz="8" w:color="0000EE"/>
            </w:tcBorders>
            <w:gridSpan w:val="3"/>
          </w:tcPr>
          <w:p>
            <w:pPr>
              <w:spacing w:after="0"/>
              <w:rPr>
                <w:sz w:val="20"/>
                <w:szCs w:val="20"/>
                <w:color w:val="auto"/>
              </w:rPr>
            </w:pPr>
            <w:r>
              <w:rPr>
                <w:rFonts w:ascii="Arial" w:cs="Arial" w:eastAsia="Arial" w:hAnsi="Arial"/>
                <w:sz w:val="13"/>
                <w:szCs w:val="13"/>
                <w:color w:val="0000EE"/>
                <w:w w:val="82"/>
              </w:rPr>
              <w:t>22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3780" w:type="dxa"/>
            <w:vAlign w:val="bottom"/>
            <w:gridSpan w:val="35"/>
          </w:tcPr>
          <w:p>
            <w:pPr>
              <w:spacing w:after="0"/>
              <w:rPr>
                <w:sz w:val="20"/>
                <w:szCs w:val="20"/>
                <w:color w:val="auto"/>
              </w:rPr>
            </w:pPr>
            <w:r>
              <w:rPr>
                <w:rFonts w:ascii="Arial" w:cs="Arial" w:eastAsia="Arial" w:hAnsi="Arial"/>
                <w:sz w:val="13"/>
                <w:szCs w:val="13"/>
                <w:color w:val="0000EE"/>
              </w:rPr>
              <w:t>Compensation Committee</w:t>
            </w:r>
          </w:p>
        </w:tc>
        <w:tc>
          <w:tcPr>
            <w:tcW w:w="140" w:type="dxa"/>
            <w:vAlign w:val="bottom"/>
            <w:gridSpan w:val="3"/>
          </w:tcPr>
          <w:p>
            <w:pPr>
              <w:spacing w:after="0"/>
              <w:rPr>
                <w:sz w:val="20"/>
                <w:szCs w:val="20"/>
                <w:color w:val="auto"/>
              </w:rPr>
            </w:pPr>
            <w:r>
              <w:rPr>
                <w:rFonts w:ascii="Arial" w:cs="Arial" w:eastAsia="Arial" w:hAnsi="Arial"/>
                <w:sz w:val="13"/>
                <w:szCs w:val="13"/>
                <w:color w:val="0000EE"/>
                <w:w w:val="82"/>
              </w:rPr>
              <w:t>22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gridSpan w:val="7"/>
            <w:shd w:val="clear" w:color="auto" w:fill="0000EE"/>
          </w:tcPr>
          <w:p>
            <w:pPr>
              <w:spacing w:after="0" w:line="20" w:lineRule="exact"/>
              <w:rPr>
                <w:sz w:val="1"/>
                <w:szCs w:val="1"/>
                <w:color w:val="auto"/>
              </w:rPr>
            </w:pPr>
          </w:p>
        </w:tc>
        <w:tc>
          <w:tcPr>
            <w:tcW w:w="280" w:type="dxa"/>
            <w:vAlign w:val="bottom"/>
            <w:tcBorders>
              <w:right w:val="single" w:sz="8" w:color="0000EE"/>
            </w:tcBorders>
            <w:gridSpan w:val="5"/>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3780" w:type="dxa"/>
            <w:vAlign w:val="bottom"/>
            <w:gridSpan w:val="35"/>
          </w:tcPr>
          <w:p>
            <w:pPr>
              <w:spacing w:after="0"/>
              <w:rPr>
                <w:sz w:val="20"/>
                <w:szCs w:val="20"/>
                <w:color w:val="auto"/>
              </w:rPr>
            </w:pPr>
            <w:r>
              <w:rPr>
                <w:rFonts w:ascii="Arial" w:cs="Arial" w:eastAsia="Arial" w:hAnsi="Arial"/>
                <w:sz w:val="13"/>
                <w:szCs w:val="13"/>
                <w:color w:val="0000EE"/>
              </w:rPr>
              <w:t>Nomination and Governance Committee</w:t>
            </w:r>
          </w:p>
        </w:tc>
        <w:tc>
          <w:tcPr>
            <w:tcW w:w="140" w:type="dxa"/>
            <w:vAlign w:val="bottom"/>
            <w:gridSpan w:val="3"/>
          </w:tcPr>
          <w:p>
            <w:pPr>
              <w:spacing w:after="0"/>
              <w:rPr>
                <w:sz w:val="20"/>
                <w:szCs w:val="20"/>
                <w:color w:val="auto"/>
              </w:rPr>
            </w:pPr>
            <w:r>
              <w:rPr>
                <w:rFonts w:ascii="Arial" w:cs="Arial" w:eastAsia="Arial" w:hAnsi="Arial"/>
                <w:sz w:val="13"/>
                <w:szCs w:val="13"/>
                <w:color w:val="0000EE"/>
                <w:w w:val="82"/>
              </w:rPr>
              <w:t>23</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2140" w:type="dxa"/>
            <w:vAlign w:val="bottom"/>
            <w:tcBorders>
              <w:top w:val="single" w:sz="8" w:color="0000EE"/>
              <w:bottom w:val="single" w:sz="8" w:color="0000EE"/>
            </w:tcBorders>
            <w:gridSpan w:val="25"/>
          </w:tcPr>
          <w:p>
            <w:pPr>
              <w:spacing w:after="0"/>
              <w:rPr>
                <w:sz w:val="20"/>
                <w:szCs w:val="20"/>
                <w:color w:val="auto"/>
              </w:rPr>
            </w:pPr>
            <w:r>
              <w:rPr>
                <w:rFonts w:ascii="Arial" w:cs="Arial" w:eastAsia="Arial" w:hAnsi="Arial"/>
                <w:sz w:val="13"/>
                <w:szCs w:val="13"/>
                <w:color w:val="0000EE"/>
                <w:w w:val="95"/>
              </w:rPr>
              <w:t>Executive and Acquisitions Committee</w:t>
            </w:r>
          </w:p>
        </w:tc>
        <w:tc>
          <w:tcPr>
            <w:tcW w:w="120" w:type="dxa"/>
            <w:vAlign w:val="bottom"/>
            <w:tcBorders>
              <w:top w:val="single" w:sz="8" w:color="0000EE"/>
            </w:tcBorders>
            <w:gridSpan w:val="2"/>
          </w:tcPr>
          <w:p>
            <w:pPr>
              <w:spacing w:after="0"/>
              <w:rPr>
                <w:sz w:val="15"/>
                <w:szCs w:val="15"/>
                <w:color w:val="auto"/>
              </w:rPr>
            </w:pPr>
          </w:p>
        </w:tc>
        <w:tc>
          <w:tcPr>
            <w:tcW w:w="1520" w:type="dxa"/>
            <w:vAlign w:val="bottom"/>
            <w:gridSpan w:val="8"/>
          </w:tcPr>
          <w:p>
            <w:pPr>
              <w:spacing w:after="0"/>
              <w:rPr>
                <w:sz w:val="15"/>
                <w:szCs w:val="15"/>
                <w:color w:val="auto"/>
              </w:rPr>
            </w:pPr>
          </w:p>
        </w:tc>
        <w:tc>
          <w:tcPr>
            <w:tcW w:w="1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3"/>
                <w:szCs w:val="13"/>
                <w:color w:val="0000EE"/>
                <w:w w:val="82"/>
              </w:rPr>
              <w:t>23</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2680" w:type="dxa"/>
            <w:vAlign w:val="bottom"/>
            <w:tcBorders>
              <w:bottom w:val="single" w:sz="8" w:color="0000EE"/>
            </w:tcBorders>
            <w:gridSpan w:val="31"/>
          </w:tcPr>
          <w:p>
            <w:pPr>
              <w:spacing w:after="0"/>
              <w:rPr>
                <w:sz w:val="20"/>
                <w:szCs w:val="20"/>
                <w:color w:val="auto"/>
              </w:rPr>
            </w:pPr>
            <w:r>
              <w:rPr>
                <w:rFonts w:ascii="Arial" w:cs="Arial" w:eastAsia="Arial" w:hAnsi="Arial"/>
                <w:sz w:val="13"/>
                <w:szCs w:val="13"/>
                <w:color w:val="0000EE"/>
                <w:w w:val="95"/>
              </w:rPr>
              <w:t>Information Technology and Security Committee</w:t>
            </w:r>
          </w:p>
        </w:tc>
        <w:tc>
          <w:tcPr>
            <w:tcW w:w="1100" w:type="dxa"/>
            <w:vAlign w:val="bottom"/>
            <w:gridSpan w:val="4"/>
          </w:tcPr>
          <w:p>
            <w:pPr>
              <w:spacing w:after="0"/>
              <w:rPr>
                <w:sz w:val="15"/>
                <w:szCs w:val="15"/>
                <w:color w:val="auto"/>
              </w:rPr>
            </w:pPr>
          </w:p>
        </w:tc>
        <w:tc>
          <w:tcPr>
            <w:tcW w:w="14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color w:val="0000EE"/>
                <w:w w:val="82"/>
              </w:rPr>
              <w:t>23</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0000EE"/>
            </w:tcBorders>
            <w:gridSpan w:val="7"/>
          </w:tcPr>
          <w:p>
            <w:pPr>
              <w:spacing w:after="0"/>
              <w:rPr>
                <w:sz w:val="20"/>
                <w:szCs w:val="20"/>
                <w:color w:val="auto"/>
              </w:rPr>
            </w:pPr>
            <w:r>
              <w:rPr>
                <w:rFonts w:ascii="Arial" w:cs="Arial" w:eastAsia="Arial" w:hAnsi="Arial"/>
                <w:sz w:val="13"/>
                <w:szCs w:val="13"/>
                <w:color w:val="0000EE"/>
                <w:w w:val="94"/>
              </w:rPr>
              <w:t>Risk Oversight</w:t>
            </w:r>
          </w:p>
        </w:tc>
        <w:tc>
          <w:tcPr>
            <w:tcW w:w="2960" w:type="dxa"/>
            <w:vAlign w:val="bottom"/>
            <w:gridSpan w:val="28"/>
          </w:tcPr>
          <w:p>
            <w:pPr>
              <w:spacing w:after="0"/>
              <w:rPr>
                <w:sz w:val="15"/>
                <w:szCs w:val="15"/>
                <w:color w:val="auto"/>
              </w:rPr>
            </w:pPr>
          </w:p>
        </w:tc>
        <w:tc>
          <w:tcPr>
            <w:tcW w:w="14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color w:val="0000EE"/>
                <w:w w:val="82"/>
              </w:rPr>
              <w:t>23</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780" w:type="dxa"/>
            <w:vAlign w:val="bottom"/>
            <w:gridSpan w:val="35"/>
          </w:tcPr>
          <w:p>
            <w:pPr>
              <w:spacing w:after="0"/>
              <w:rPr>
                <w:sz w:val="20"/>
                <w:szCs w:val="20"/>
                <w:color w:val="auto"/>
              </w:rPr>
            </w:pPr>
            <w:r>
              <w:rPr>
                <w:rFonts w:ascii="Arial" w:cs="Arial" w:eastAsia="Arial" w:hAnsi="Arial"/>
                <w:sz w:val="13"/>
                <w:szCs w:val="13"/>
                <w:color w:val="0000EE"/>
              </w:rPr>
              <w:t>Director Independence</w:t>
            </w:r>
          </w:p>
        </w:tc>
        <w:tc>
          <w:tcPr>
            <w:tcW w:w="140" w:type="dxa"/>
            <w:vAlign w:val="bottom"/>
            <w:gridSpan w:val="3"/>
          </w:tcPr>
          <w:p>
            <w:pPr>
              <w:spacing w:after="0"/>
              <w:rPr>
                <w:sz w:val="20"/>
                <w:szCs w:val="20"/>
                <w:color w:val="auto"/>
              </w:rPr>
            </w:pPr>
            <w:r>
              <w:rPr>
                <w:rFonts w:ascii="Arial" w:cs="Arial" w:eastAsia="Arial" w:hAnsi="Arial"/>
                <w:sz w:val="13"/>
                <w:szCs w:val="13"/>
                <w:color w:val="0000EE"/>
                <w:w w:val="82"/>
              </w:rPr>
              <w:t>24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Borders>
              <w:right w:val="single" w:sz="8" w:color="0000EE"/>
            </w:tcBorders>
            <w:gridSpan w:val="1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1620" w:type="dxa"/>
            <w:vAlign w:val="bottom"/>
            <w:tcBorders>
              <w:bottom w:val="single" w:sz="8" w:color="0000EE"/>
            </w:tcBorders>
            <w:gridSpan w:val="19"/>
          </w:tcPr>
          <w:p>
            <w:pPr>
              <w:spacing w:after="0"/>
              <w:rPr>
                <w:sz w:val="20"/>
                <w:szCs w:val="20"/>
                <w:color w:val="auto"/>
              </w:rPr>
            </w:pPr>
            <w:r>
              <w:rPr>
                <w:rFonts w:ascii="Arial" w:cs="Arial" w:eastAsia="Arial" w:hAnsi="Arial"/>
                <w:sz w:val="13"/>
                <w:szCs w:val="13"/>
                <w:color w:val="0000EE"/>
                <w:w w:val="96"/>
              </w:rPr>
              <w:t>2023 Director Compensation</w:t>
            </w:r>
          </w:p>
        </w:tc>
        <w:tc>
          <w:tcPr>
            <w:tcW w:w="2160" w:type="dxa"/>
            <w:vAlign w:val="bottom"/>
            <w:gridSpan w:val="16"/>
          </w:tcPr>
          <w:p>
            <w:pPr>
              <w:spacing w:after="0"/>
              <w:rPr>
                <w:sz w:val="15"/>
                <w:szCs w:val="15"/>
                <w:color w:val="auto"/>
              </w:rPr>
            </w:pPr>
          </w:p>
        </w:tc>
        <w:tc>
          <w:tcPr>
            <w:tcW w:w="14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color w:val="0000EE"/>
                <w:w w:val="82"/>
              </w:rPr>
              <w:t>24</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780" w:type="dxa"/>
            <w:vAlign w:val="bottom"/>
            <w:gridSpan w:val="35"/>
          </w:tcPr>
          <w:p>
            <w:pPr>
              <w:spacing w:after="0"/>
              <w:rPr>
                <w:sz w:val="20"/>
                <w:szCs w:val="20"/>
                <w:color w:val="auto"/>
              </w:rPr>
            </w:pPr>
            <w:r>
              <w:rPr>
                <w:rFonts w:ascii="Arial" w:cs="Arial" w:eastAsia="Arial" w:hAnsi="Arial"/>
                <w:sz w:val="13"/>
                <w:szCs w:val="13"/>
                <w:color w:val="0000EE"/>
              </w:rPr>
              <w:t>Director Qualifications</w:t>
            </w:r>
          </w:p>
        </w:tc>
        <w:tc>
          <w:tcPr>
            <w:tcW w:w="140" w:type="dxa"/>
            <w:vAlign w:val="bottom"/>
            <w:gridSpan w:val="3"/>
          </w:tcPr>
          <w:p>
            <w:pPr>
              <w:spacing w:after="0"/>
              <w:rPr>
                <w:sz w:val="20"/>
                <w:szCs w:val="20"/>
                <w:color w:val="auto"/>
              </w:rPr>
            </w:pPr>
            <w:r>
              <w:rPr>
                <w:rFonts w:ascii="Arial" w:cs="Arial" w:eastAsia="Arial" w:hAnsi="Arial"/>
                <w:sz w:val="13"/>
                <w:szCs w:val="13"/>
                <w:color w:val="0000EE"/>
                <w:w w:val="82"/>
              </w:rPr>
              <w:t>25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Borders>
              <w:right w:val="single" w:sz="8" w:color="0000EE"/>
            </w:tcBorders>
            <w:gridSpan w:val="1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1600" w:type="dxa"/>
            <w:vAlign w:val="bottom"/>
            <w:tcBorders>
              <w:bottom w:val="single" w:sz="8" w:color="0000EE"/>
            </w:tcBorders>
            <w:gridSpan w:val="18"/>
          </w:tcPr>
          <w:p>
            <w:pPr>
              <w:spacing w:after="0"/>
              <w:rPr>
                <w:sz w:val="20"/>
                <w:szCs w:val="20"/>
                <w:color w:val="auto"/>
              </w:rPr>
            </w:pPr>
            <w:r>
              <w:rPr>
                <w:rFonts w:ascii="Arial" w:cs="Arial" w:eastAsia="Arial" w:hAnsi="Arial"/>
                <w:sz w:val="13"/>
                <w:szCs w:val="13"/>
                <w:color w:val="0000EE"/>
                <w:w w:val="95"/>
              </w:rPr>
              <w:t>Director Nomination Process</w:t>
            </w:r>
          </w:p>
        </w:tc>
        <w:tc>
          <w:tcPr>
            <w:tcW w:w="2180" w:type="dxa"/>
            <w:vAlign w:val="bottom"/>
            <w:gridSpan w:val="17"/>
          </w:tcPr>
          <w:p>
            <w:pPr>
              <w:spacing w:after="0"/>
              <w:rPr>
                <w:sz w:val="15"/>
                <w:szCs w:val="15"/>
                <w:color w:val="auto"/>
              </w:rPr>
            </w:pPr>
          </w:p>
        </w:tc>
        <w:tc>
          <w:tcPr>
            <w:tcW w:w="14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color w:val="0000EE"/>
                <w:w w:val="82"/>
              </w:rPr>
              <w:t>26</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780" w:type="dxa"/>
            <w:vAlign w:val="bottom"/>
            <w:gridSpan w:val="35"/>
          </w:tcPr>
          <w:p>
            <w:pPr>
              <w:spacing w:after="0"/>
              <w:rPr>
                <w:sz w:val="20"/>
                <w:szCs w:val="20"/>
                <w:color w:val="auto"/>
              </w:rPr>
            </w:pPr>
            <w:r>
              <w:rPr>
                <w:rFonts w:ascii="Arial" w:cs="Arial" w:eastAsia="Arial" w:hAnsi="Arial"/>
                <w:sz w:val="13"/>
                <w:szCs w:val="13"/>
                <w:color w:val="0000EE"/>
              </w:rPr>
              <w:t>Governance Policies</w:t>
            </w:r>
          </w:p>
        </w:tc>
        <w:tc>
          <w:tcPr>
            <w:tcW w:w="140" w:type="dxa"/>
            <w:vAlign w:val="bottom"/>
            <w:gridSpan w:val="3"/>
          </w:tcPr>
          <w:p>
            <w:pPr>
              <w:spacing w:after="0"/>
              <w:rPr>
                <w:sz w:val="20"/>
                <w:szCs w:val="20"/>
                <w:color w:val="auto"/>
              </w:rPr>
            </w:pPr>
            <w:r>
              <w:rPr>
                <w:rFonts w:ascii="Arial" w:cs="Arial" w:eastAsia="Arial" w:hAnsi="Arial"/>
                <w:sz w:val="13"/>
                <w:szCs w:val="13"/>
                <w:color w:val="0000EE"/>
                <w:w w:val="82"/>
              </w:rPr>
              <w:t>26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Borders>
              <w:right w:val="single" w:sz="8" w:color="0000EE"/>
            </w:tcBorders>
            <w:gridSpan w:val="12"/>
            <w:shd w:val="clear" w:color="auto" w:fill="0000EE"/>
          </w:tcPr>
          <w:p>
            <w:pPr>
              <w:spacing w:after="0" w:line="20" w:lineRule="exact"/>
              <w:rPr>
                <w:sz w:val="1"/>
                <w:szCs w:val="1"/>
                <w:color w:val="auto"/>
              </w:rPr>
            </w:pPr>
          </w:p>
        </w:tc>
        <w:tc>
          <w:tcPr>
            <w:tcW w:w="620" w:type="dxa"/>
            <w:vAlign w:val="bottom"/>
            <w:tcBorders>
              <w:left w:val="single" w:sz="8" w:color="0000EE"/>
            </w:tcBorders>
            <w:gridSpan w:val="1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120" w:type="dxa"/>
            <w:vAlign w:val="bottom"/>
            <w:gridSpan w:val="36"/>
          </w:tcPr>
          <w:p>
            <w:pPr>
              <w:ind w:left="20"/>
              <w:spacing w:after="0"/>
              <w:rPr>
                <w:sz w:val="20"/>
                <w:szCs w:val="20"/>
                <w:color w:val="auto"/>
              </w:rPr>
            </w:pPr>
            <w:r>
              <w:rPr>
                <w:rFonts w:ascii="Arial" w:cs="Arial" w:eastAsia="Arial" w:hAnsi="Arial"/>
                <w:sz w:val="13"/>
                <w:szCs w:val="13"/>
                <w:b w:val="1"/>
                <w:bCs w:val="1"/>
                <w:color w:val="0000EE"/>
              </w:rPr>
              <w:t xml:space="preserve">04. </w:t>
            </w:r>
            <w:r>
              <w:rPr>
                <w:rFonts w:ascii="Arial" w:cs="Arial" w:eastAsia="Arial" w:hAnsi="Arial"/>
                <w:sz w:val="13"/>
                <w:szCs w:val="13"/>
                <w:color w:val="0000EE"/>
              </w:rPr>
              <w:t>INFORMATION REGARDING BENEFICIAL OWNERSHIP OF</w:t>
            </w:r>
          </w:p>
        </w:tc>
        <w:tc>
          <w:tcPr>
            <w:tcW w:w="140" w:type="dxa"/>
            <w:vAlign w:val="bottom"/>
            <w:gridSpan w:val="3"/>
            <w:vMerge w:val="restart"/>
          </w:tcPr>
          <w:p>
            <w:pPr>
              <w:spacing w:after="0"/>
              <w:rPr>
                <w:sz w:val="20"/>
                <w:szCs w:val="20"/>
                <w:color w:val="auto"/>
              </w:rPr>
            </w:pPr>
            <w:r>
              <w:rPr>
                <w:rFonts w:ascii="Arial" w:cs="Arial" w:eastAsia="Arial" w:hAnsi="Arial"/>
                <w:sz w:val="13"/>
                <w:szCs w:val="13"/>
                <w:b w:val="1"/>
                <w:bCs w:val="1"/>
                <w:color w:val="0000EE"/>
                <w:w w:val="82"/>
              </w:rPr>
              <w:t>27</w:t>
            </w:r>
          </w:p>
        </w:tc>
        <w:tc>
          <w:tcPr>
            <w:tcW w:w="0" w:type="dxa"/>
            <w:vAlign w:val="bottom"/>
          </w:tcPr>
          <w:p>
            <w:pPr>
              <w:spacing w:after="0"/>
              <w:rPr>
                <w:sz w:val="1"/>
                <w:szCs w:val="1"/>
                <w:color w:val="auto"/>
              </w:rPr>
            </w:pPr>
          </w:p>
        </w:tc>
      </w:tr>
      <w:tr>
        <w:trPr>
          <w:trHeight w:val="115"/>
        </w:trPr>
        <w:tc>
          <w:tcPr>
            <w:tcW w:w="3680" w:type="dxa"/>
            <w:vAlign w:val="bottom"/>
            <w:tcBorders>
              <w:top w:val="single" w:sz="8" w:color="0000EE"/>
              <w:bottom w:val="single" w:sz="8" w:color="0000EE"/>
            </w:tcBorders>
            <w:gridSpan w:val="34"/>
          </w:tcPr>
          <w:p>
            <w:pPr>
              <w:ind w:left="20"/>
              <w:spacing w:after="0" w:line="115" w:lineRule="exact"/>
              <w:rPr>
                <w:sz w:val="20"/>
                <w:szCs w:val="20"/>
                <w:color w:val="auto"/>
              </w:rPr>
            </w:pPr>
            <w:r>
              <w:rPr>
                <w:rFonts w:ascii="Arial" w:cs="Arial" w:eastAsia="Arial" w:hAnsi="Arial"/>
                <w:sz w:val="13"/>
                <w:szCs w:val="13"/>
                <w:color w:val="0000EE"/>
                <w:w w:val="92"/>
              </w:rPr>
              <w:t>PRINCIPAL SHAREHOLDERS, DIRECTORS, AND MANAGEMENT</w:t>
            </w:r>
          </w:p>
        </w:tc>
        <w:tc>
          <w:tcPr>
            <w:tcW w:w="140" w:type="dxa"/>
            <w:vAlign w:val="bottom"/>
            <w:tcBorders>
              <w:bottom w:val="single" w:sz="8" w:color="0000EE"/>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0000EE"/>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3000" w:type="dxa"/>
            <w:vAlign w:val="bottom"/>
            <w:tcBorders>
              <w:bottom w:val="single" w:sz="8" w:color="0000EE"/>
            </w:tcBorders>
            <w:gridSpan w:val="31"/>
          </w:tcPr>
          <w:p>
            <w:pPr>
              <w:ind w:left="20"/>
              <w:spacing w:after="0"/>
              <w:rPr>
                <w:sz w:val="20"/>
                <w:szCs w:val="20"/>
                <w:color w:val="auto"/>
              </w:rPr>
            </w:pPr>
            <w:r>
              <w:rPr>
                <w:rFonts w:ascii="Arial" w:cs="Arial" w:eastAsia="Arial" w:hAnsi="Arial"/>
                <w:sz w:val="13"/>
                <w:szCs w:val="13"/>
                <w:b w:val="1"/>
                <w:bCs w:val="1"/>
                <w:color w:val="0000EE"/>
                <w:w w:val="95"/>
              </w:rPr>
              <w:t xml:space="preserve">05. </w:t>
            </w:r>
            <w:r>
              <w:rPr>
                <w:rFonts w:ascii="Arial" w:cs="Arial" w:eastAsia="Arial" w:hAnsi="Arial"/>
                <w:sz w:val="13"/>
                <w:szCs w:val="13"/>
                <w:color w:val="0000EE"/>
                <w:w w:val="95"/>
              </w:rPr>
              <w:t>COMPENSATION DISCUSSION AND ANALYSIS</w:t>
            </w:r>
          </w:p>
        </w:tc>
        <w:tc>
          <w:tcPr>
            <w:tcW w:w="1120" w:type="dxa"/>
            <w:vAlign w:val="bottom"/>
            <w:gridSpan w:val="5"/>
          </w:tcPr>
          <w:p>
            <w:pPr>
              <w:spacing w:after="0"/>
              <w:rPr>
                <w:sz w:val="24"/>
                <w:szCs w:val="24"/>
                <w:color w:val="auto"/>
              </w:rPr>
            </w:pPr>
          </w:p>
        </w:tc>
        <w:tc>
          <w:tcPr>
            <w:tcW w:w="14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b w:val="1"/>
                <w:bCs w:val="1"/>
                <w:color w:val="0000EE"/>
                <w:w w:val="82"/>
              </w:rPr>
              <w:t>29</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720" w:type="dxa"/>
            <w:vAlign w:val="bottom"/>
            <w:tcBorders>
              <w:bottom w:val="single" w:sz="8" w:color="0000EE"/>
            </w:tcBorders>
            <w:gridSpan w:val="22"/>
          </w:tcPr>
          <w:p>
            <w:pPr>
              <w:spacing w:after="0"/>
              <w:rPr>
                <w:sz w:val="20"/>
                <w:szCs w:val="20"/>
                <w:color w:val="auto"/>
              </w:rPr>
            </w:pPr>
            <w:r>
              <w:rPr>
                <w:rFonts w:ascii="Arial" w:cs="Arial" w:eastAsia="Arial" w:hAnsi="Arial"/>
                <w:sz w:val="13"/>
                <w:szCs w:val="13"/>
                <w:color w:val="0000EE"/>
                <w:w w:val="95"/>
              </w:rPr>
              <w:t>Leadership Transitions in 2023</w:t>
            </w:r>
          </w:p>
        </w:tc>
        <w:tc>
          <w:tcPr>
            <w:tcW w:w="2060" w:type="dxa"/>
            <w:vAlign w:val="bottom"/>
            <w:gridSpan w:val="13"/>
          </w:tcPr>
          <w:p>
            <w:pPr>
              <w:spacing w:after="0"/>
              <w:rPr>
                <w:sz w:val="17"/>
                <w:szCs w:val="17"/>
                <w:color w:val="auto"/>
              </w:rPr>
            </w:pPr>
          </w:p>
        </w:tc>
        <w:tc>
          <w:tcPr>
            <w:tcW w:w="14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color w:val="0000EE"/>
                <w:w w:val="82"/>
              </w:rPr>
              <w:t>29</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2040" w:type="dxa"/>
            <w:vAlign w:val="bottom"/>
            <w:tcBorders>
              <w:bottom w:val="single" w:sz="8" w:color="0000EE"/>
            </w:tcBorders>
            <w:gridSpan w:val="24"/>
          </w:tcPr>
          <w:p>
            <w:pPr>
              <w:spacing w:after="0"/>
              <w:rPr>
                <w:sz w:val="20"/>
                <w:szCs w:val="20"/>
                <w:color w:val="auto"/>
              </w:rPr>
            </w:pPr>
            <w:r>
              <w:rPr>
                <w:rFonts w:ascii="Arial" w:cs="Arial" w:eastAsia="Arial" w:hAnsi="Arial"/>
                <w:sz w:val="13"/>
                <w:szCs w:val="13"/>
                <w:color w:val="0000EE"/>
                <w:w w:val="95"/>
              </w:rPr>
              <w:t>Navigating the Opportunities of 2023</w:t>
            </w:r>
          </w:p>
        </w:tc>
        <w:tc>
          <w:tcPr>
            <w:tcW w:w="1740" w:type="dxa"/>
            <w:vAlign w:val="bottom"/>
            <w:gridSpan w:val="11"/>
          </w:tcPr>
          <w:p>
            <w:pPr>
              <w:spacing w:after="0"/>
              <w:rPr>
                <w:sz w:val="15"/>
                <w:szCs w:val="15"/>
                <w:color w:val="auto"/>
              </w:rPr>
            </w:pPr>
          </w:p>
        </w:tc>
        <w:tc>
          <w:tcPr>
            <w:tcW w:w="14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color w:val="0000EE"/>
                <w:w w:val="82"/>
              </w:rPr>
              <w:t>30</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780" w:type="dxa"/>
            <w:vAlign w:val="bottom"/>
            <w:gridSpan w:val="35"/>
          </w:tcPr>
          <w:p>
            <w:pPr>
              <w:spacing w:after="0"/>
              <w:rPr>
                <w:sz w:val="20"/>
                <w:szCs w:val="20"/>
                <w:color w:val="auto"/>
              </w:rPr>
            </w:pPr>
            <w:r>
              <w:rPr>
                <w:rFonts w:ascii="Arial" w:cs="Arial" w:eastAsia="Arial" w:hAnsi="Arial"/>
                <w:sz w:val="13"/>
                <w:szCs w:val="13"/>
                <w:color w:val="0000EE"/>
              </w:rPr>
              <w:t>Responsiveness to 2023 Say-On-Pay Vote</w:t>
            </w:r>
          </w:p>
        </w:tc>
        <w:tc>
          <w:tcPr>
            <w:tcW w:w="140" w:type="dxa"/>
            <w:vAlign w:val="bottom"/>
            <w:gridSpan w:val="3"/>
          </w:tcPr>
          <w:p>
            <w:pPr>
              <w:spacing w:after="0"/>
              <w:rPr>
                <w:sz w:val="20"/>
                <w:szCs w:val="20"/>
                <w:color w:val="auto"/>
              </w:rPr>
            </w:pPr>
            <w:r>
              <w:rPr>
                <w:rFonts w:ascii="Arial" w:cs="Arial" w:eastAsia="Arial" w:hAnsi="Arial"/>
                <w:sz w:val="13"/>
                <w:szCs w:val="13"/>
                <w:color w:val="0000EE"/>
                <w:w w:val="82"/>
              </w:rPr>
              <w:t>30</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2180" w:type="dxa"/>
            <w:vAlign w:val="bottom"/>
            <w:tcBorders>
              <w:top w:val="single" w:sz="8" w:color="0000EE"/>
              <w:bottom w:val="single" w:sz="8" w:color="0000EE"/>
            </w:tcBorders>
            <w:gridSpan w:val="26"/>
          </w:tcPr>
          <w:p>
            <w:pPr>
              <w:spacing w:after="0"/>
              <w:rPr>
                <w:sz w:val="20"/>
                <w:szCs w:val="20"/>
                <w:color w:val="auto"/>
              </w:rPr>
            </w:pPr>
            <w:r>
              <w:rPr>
                <w:rFonts w:ascii="Arial" w:cs="Arial" w:eastAsia="Arial" w:hAnsi="Arial"/>
                <w:sz w:val="13"/>
                <w:szCs w:val="13"/>
                <w:color w:val="0000EE"/>
                <w:w w:val="96"/>
              </w:rPr>
              <w:t>2019-2023 CEO Equity Compensation</w:t>
            </w:r>
          </w:p>
        </w:tc>
        <w:tc>
          <w:tcPr>
            <w:tcW w:w="200" w:type="dxa"/>
            <w:vAlign w:val="bottom"/>
            <w:tcBorders>
              <w:top w:val="single" w:sz="8" w:color="0000EE"/>
            </w:tcBorders>
            <w:gridSpan w:val="3"/>
          </w:tcPr>
          <w:p>
            <w:pPr>
              <w:spacing w:after="0"/>
              <w:rPr>
                <w:sz w:val="15"/>
                <w:szCs w:val="15"/>
                <w:color w:val="auto"/>
              </w:rPr>
            </w:pPr>
          </w:p>
        </w:tc>
        <w:tc>
          <w:tcPr>
            <w:tcW w:w="1400" w:type="dxa"/>
            <w:vAlign w:val="bottom"/>
            <w:gridSpan w:val="6"/>
          </w:tcPr>
          <w:p>
            <w:pPr>
              <w:spacing w:after="0"/>
              <w:rPr>
                <w:sz w:val="15"/>
                <w:szCs w:val="15"/>
                <w:color w:val="auto"/>
              </w:rPr>
            </w:pPr>
          </w:p>
        </w:tc>
        <w:tc>
          <w:tcPr>
            <w:tcW w:w="1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3"/>
                <w:szCs w:val="13"/>
                <w:color w:val="0000EE"/>
                <w:w w:val="82"/>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-5828665</wp:posOffset>
            </wp:positionV>
            <wp:extent cx="77470" cy="93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-5485765</wp:posOffset>
            </wp:positionV>
            <wp:extent cx="77470"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-5357495</wp:posOffset>
            </wp:positionV>
            <wp:extent cx="77470"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-5228590</wp:posOffset>
            </wp:positionV>
            <wp:extent cx="77470" cy="93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-5100320</wp:posOffset>
            </wp:positionV>
            <wp:extent cx="77470"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-4971415</wp:posOffset>
            </wp:positionV>
            <wp:extent cx="77470"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-4843145</wp:posOffset>
            </wp:positionV>
            <wp:extent cx="77470"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-4714240</wp:posOffset>
            </wp:positionV>
            <wp:extent cx="77470" cy="9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-4585970</wp:posOffset>
            </wp:positionV>
            <wp:extent cx="77470" cy="93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-4457065</wp:posOffset>
            </wp:positionV>
            <wp:extent cx="77470" cy="93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-4251325</wp:posOffset>
            </wp:positionV>
            <wp:extent cx="77470"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-4123055</wp:posOffset>
            </wp:positionV>
            <wp:extent cx="77470" cy="93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-3994150</wp:posOffset>
            </wp:positionV>
            <wp:extent cx="77470" cy="93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-3865880</wp:posOffset>
            </wp:positionV>
            <wp:extent cx="77470" cy="93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-3736975</wp:posOffset>
            </wp:positionV>
            <wp:extent cx="77470" cy="9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-3608705</wp:posOffset>
            </wp:positionV>
            <wp:extent cx="77470" cy="93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-3479800</wp:posOffset>
            </wp:positionV>
            <wp:extent cx="77470" cy="939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-3051175</wp:posOffset>
            </wp:positionV>
            <wp:extent cx="77470" cy="93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-2922905</wp:posOffset>
            </wp:positionV>
            <wp:extent cx="77470" cy="93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-2794000</wp:posOffset>
            </wp:positionV>
            <wp:extent cx="77470" cy="93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-2665730</wp:posOffset>
            </wp:positionV>
            <wp:extent cx="7747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-2536825</wp:posOffset>
            </wp:positionV>
            <wp:extent cx="7747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-2408555</wp:posOffset>
            </wp:positionV>
            <wp:extent cx="77470" cy="93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-2279650</wp:posOffset>
            </wp:positionV>
            <wp:extent cx="77470" cy="93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-2151380</wp:posOffset>
            </wp:positionV>
            <wp:extent cx="77470" cy="93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-2022475</wp:posOffset>
            </wp:positionV>
            <wp:extent cx="77470" cy="93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-1894205</wp:posOffset>
            </wp:positionV>
            <wp:extent cx="77470" cy="93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-1765300</wp:posOffset>
            </wp:positionV>
            <wp:extent cx="77470" cy="93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-1637030</wp:posOffset>
            </wp:positionV>
            <wp:extent cx="77470" cy="93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-1508125</wp:posOffset>
            </wp:positionV>
            <wp:extent cx="77470" cy="93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-1379855</wp:posOffset>
            </wp:positionV>
            <wp:extent cx="77470" cy="93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-1250950</wp:posOffset>
            </wp:positionV>
            <wp:extent cx="77470" cy="93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-1122680</wp:posOffset>
            </wp:positionV>
            <wp:extent cx="77470" cy="93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-479425</wp:posOffset>
            </wp:positionV>
            <wp:extent cx="77470" cy="93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-351155</wp:posOffset>
            </wp:positionV>
            <wp:extent cx="77470" cy="93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-222250</wp:posOffset>
            </wp:positionV>
            <wp:extent cx="77470" cy="93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-93980</wp:posOffset>
            </wp:positionV>
            <wp:extent cx="77470" cy="93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hanging="215"/>
        <w:spacing w:after="0"/>
        <w:tabs>
          <w:tab w:leader="none" w:pos="220" w:val="left"/>
        </w:tabs>
        <w:numPr>
          <w:ilvl w:val="0"/>
          <w:numId w:val="3"/>
        </w:numPr>
        <w:rPr>
          <w:rFonts w:ascii="Arial" w:cs="Arial" w:eastAsia="Arial" w:hAnsi="Arial"/>
          <w:sz w:val="13"/>
          <w:szCs w:val="13"/>
          <w:b w:val="1"/>
          <w:bCs w:val="1"/>
          <w:u w:val="single" w:color="auto"/>
          <w:color w:val="0000EE"/>
        </w:rPr>
      </w:pPr>
      <w:r>
        <w:rPr>
          <w:rFonts w:ascii="Arial" w:cs="Arial" w:eastAsia="Arial" w:hAnsi="Arial"/>
          <w:sz w:val="13"/>
          <w:szCs w:val="13"/>
          <w:u w:val="single" w:color="auto"/>
          <w:color w:val="0000EE"/>
        </w:rPr>
        <w:t>2023 NAMED EXECUTIVE OFFICER COMPENSATION</w:t>
      </w:r>
    </w:p>
    <w:p>
      <w:pPr>
        <w:spacing w:after="0" w:line="44" w:lineRule="exact"/>
        <w:rPr>
          <w:rFonts w:ascii="Arial" w:cs="Arial" w:eastAsia="Arial" w:hAnsi="Arial"/>
          <w:sz w:val="13"/>
          <w:szCs w:val="13"/>
          <w:b w:val="1"/>
          <w:bCs w:val="1"/>
          <w:u w:val="single" w:color="auto"/>
          <w:color w:val="0000EE"/>
        </w:rPr>
      </w:pPr>
    </w:p>
    <w:p>
      <w:pPr>
        <w:ind w:left="40"/>
        <w:spacing w:after="0"/>
        <w:rPr>
          <w:rFonts w:ascii="Arial" w:cs="Arial" w:eastAsia="Arial" w:hAnsi="Arial"/>
          <w:sz w:val="13"/>
          <w:szCs w:val="13"/>
          <w:b w:val="1"/>
          <w:bCs w:val="1"/>
          <w:u w:val="single" w:color="auto"/>
          <w:color w:val="0000EE"/>
        </w:rPr>
      </w:pPr>
      <w:r>
        <w:rPr>
          <w:rFonts w:ascii="Times New Roman" w:cs="Times New Roman" w:eastAsia="Times New Roman" w:hAnsi="Times New Roman"/>
          <w:sz w:val="4"/>
          <w:szCs w:val="4"/>
          <w:color w:val="auto"/>
        </w:rPr>
        <w:t xml:space="preserve">​  ​  </w:t>
      </w:r>
      <w:r>
        <w:rPr>
          <w:rFonts w:ascii="Arial" w:cs="Arial" w:eastAsia="Arial" w:hAnsi="Arial"/>
          <w:sz w:val="1"/>
          <w:szCs w:val="1"/>
          <w:b w:val="1"/>
          <w:bCs w:val="1"/>
          <w:u w:val="single" w:color="auto"/>
          <w:color w:val="0000EE"/>
        </w:rPr>
        <w:drawing>
          <wp:inline distT="0" distB="0" distL="0" distR="0">
            <wp:extent cx="76835" cy="9398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2023 Summary Compensation Table</w:t>
      </w:r>
    </w:p>
    <w:p>
      <w:pPr>
        <w:spacing w:after="0" w:line="28" w:lineRule="exact"/>
        <w:rPr>
          <w:rFonts w:ascii="Arial" w:cs="Arial" w:eastAsia="Arial" w:hAnsi="Arial"/>
          <w:sz w:val="13"/>
          <w:szCs w:val="13"/>
          <w:b w:val="1"/>
          <w:bCs w:val="1"/>
          <w:u w:val="single" w:color="auto"/>
          <w:color w:val="0000EE"/>
        </w:rPr>
      </w:pPr>
    </w:p>
    <w:p>
      <w:pPr>
        <w:ind w:left="40"/>
        <w:spacing w:after="0"/>
        <w:rPr>
          <w:rFonts w:ascii="Arial" w:cs="Arial" w:eastAsia="Arial" w:hAnsi="Arial"/>
          <w:sz w:val="13"/>
          <w:szCs w:val="13"/>
          <w:b w:val="1"/>
          <w:bCs w:val="1"/>
          <w:u w:val="single" w:color="auto"/>
          <w:color w:val="0000EE"/>
        </w:rPr>
      </w:pPr>
      <w:r>
        <w:rPr>
          <w:rFonts w:ascii="Times New Roman" w:cs="Times New Roman" w:eastAsia="Times New Roman" w:hAnsi="Times New Roman"/>
          <w:sz w:val="4"/>
          <w:szCs w:val="4"/>
          <w:color w:val="auto"/>
        </w:rPr>
        <w:t xml:space="preserve">​  ​  </w:t>
      </w:r>
      <w:r>
        <w:rPr>
          <w:rFonts w:ascii="Arial" w:cs="Arial" w:eastAsia="Arial" w:hAnsi="Arial"/>
          <w:sz w:val="1"/>
          <w:szCs w:val="1"/>
          <w:b w:val="1"/>
          <w:bCs w:val="1"/>
          <w:u w:val="single" w:color="auto"/>
          <w:color w:val="0000EE"/>
        </w:rPr>
        <w:drawing>
          <wp:inline distT="0" distB="0" distL="0" distR="0">
            <wp:extent cx="76835" cy="9398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All Other Compensation</w:t>
      </w:r>
    </w:p>
    <w:p>
      <w:pPr>
        <w:spacing w:after="0" w:line="28" w:lineRule="exact"/>
        <w:rPr>
          <w:rFonts w:ascii="Arial" w:cs="Arial" w:eastAsia="Arial" w:hAnsi="Arial"/>
          <w:sz w:val="13"/>
          <w:szCs w:val="13"/>
          <w:b w:val="1"/>
          <w:bCs w:val="1"/>
          <w:u w:val="single" w:color="auto"/>
          <w:color w:val="0000EE"/>
        </w:rPr>
      </w:pPr>
    </w:p>
    <w:p>
      <w:pPr>
        <w:ind w:left="40"/>
        <w:spacing w:after="0"/>
        <w:rPr>
          <w:rFonts w:ascii="Arial" w:cs="Arial" w:eastAsia="Arial" w:hAnsi="Arial"/>
          <w:sz w:val="13"/>
          <w:szCs w:val="13"/>
          <w:b w:val="1"/>
          <w:bCs w:val="1"/>
          <w:u w:val="single" w:color="auto"/>
          <w:color w:val="0000EE"/>
        </w:rPr>
      </w:pPr>
      <w:r>
        <w:rPr>
          <w:rFonts w:ascii="Times New Roman" w:cs="Times New Roman" w:eastAsia="Times New Roman" w:hAnsi="Times New Roman"/>
          <w:sz w:val="4"/>
          <w:szCs w:val="4"/>
          <w:color w:val="auto"/>
        </w:rPr>
        <w:t xml:space="preserve">​  ​  </w:t>
      </w:r>
      <w:r>
        <w:rPr>
          <w:rFonts w:ascii="Arial" w:cs="Arial" w:eastAsia="Arial" w:hAnsi="Arial"/>
          <w:sz w:val="1"/>
          <w:szCs w:val="1"/>
          <w:b w:val="1"/>
          <w:bCs w:val="1"/>
          <w:u w:val="single" w:color="auto"/>
          <w:color w:val="0000EE"/>
        </w:rPr>
        <w:drawing>
          <wp:inline distT="0" distB="0" distL="0" distR="0">
            <wp:extent cx="76835" cy="9398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2023 Grants of Plan-Based Awards</w:t>
      </w:r>
    </w:p>
    <w:p>
      <w:pPr>
        <w:spacing w:after="0" w:line="28" w:lineRule="exact"/>
        <w:rPr>
          <w:rFonts w:ascii="Arial" w:cs="Arial" w:eastAsia="Arial" w:hAnsi="Arial"/>
          <w:sz w:val="13"/>
          <w:szCs w:val="13"/>
          <w:b w:val="1"/>
          <w:bCs w:val="1"/>
          <w:u w:val="single" w:color="auto"/>
          <w:color w:val="0000EE"/>
        </w:rPr>
      </w:pPr>
    </w:p>
    <w:p>
      <w:pPr>
        <w:ind w:left="40"/>
        <w:spacing w:after="0"/>
        <w:rPr>
          <w:rFonts w:ascii="Arial" w:cs="Arial" w:eastAsia="Arial" w:hAnsi="Arial"/>
          <w:sz w:val="13"/>
          <w:szCs w:val="13"/>
          <w:b w:val="1"/>
          <w:bCs w:val="1"/>
          <w:u w:val="single" w:color="auto"/>
          <w:color w:val="0000EE"/>
        </w:rPr>
      </w:pPr>
      <w:r>
        <w:rPr>
          <w:rFonts w:ascii="Times New Roman" w:cs="Times New Roman" w:eastAsia="Times New Roman" w:hAnsi="Times New Roman"/>
          <w:sz w:val="4"/>
          <w:szCs w:val="4"/>
          <w:color w:val="auto"/>
        </w:rPr>
        <w:t xml:space="preserve">​  ​  </w:t>
      </w:r>
      <w:r>
        <w:rPr>
          <w:rFonts w:ascii="Arial" w:cs="Arial" w:eastAsia="Arial" w:hAnsi="Arial"/>
          <w:sz w:val="1"/>
          <w:szCs w:val="1"/>
          <w:b w:val="1"/>
          <w:bCs w:val="1"/>
          <w:u w:val="single" w:color="auto"/>
          <w:color w:val="0000EE"/>
        </w:rPr>
        <w:drawing>
          <wp:inline distT="0" distB="0" distL="0" distR="0">
            <wp:extent cx="76835" cy="9398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Outstanding Equity Awards at 2023 Fiscal Year-End</w:t>
      </w:r>
    </w:p>
    <w:p>
      <w:pPr>
        <w:spacing w:after="0" w:line="28" w:lineRule="exact"/>
        <w:rPr>
          <w:rFonts w:ascii="Arial" w:cs="Arial" w:eastAsia="Arial" w:hAnsi="Arial"/>
          <w:sz w:val="13"/>
          <w:szCs w:val="13"/>
          <w:b w:val="1"/>
          <w:bCs w:val="1"/>
          <w:u w:val="single" w:color="auto"/>
          <w:color w:val="0000EE"/>
        </w:rPr>
      </w:pPr>
    </w:p>
    <w:p>
      <w:pPr>
        <w:ind w:left="40"/>
        <w:spacing w:after="0"/>
        <w:rPr>
          <w:rFonts w:ascii="Arial" w:cs="Arial" w:eastAsia="Arial" w:hAnsi="Arial"/>
          <w:sz w:val="13"/>
          <w:szCs w:val="13"/>
          <w:b w:val="1"/>
          <w:bCs w:val="1"/>
          <w:u w:val="single" w:color="auto"/>
          <w:color w:val="0000EE"/>
        </w:rPr>
      </w:pPr>
      <w:r>
        <w:rPr>
          <w:rFonts w:ascii="Times New Roman" w:cs="Times New Roman" w:eastAsia="Times New Roman" w:hAnsi="Times New Roman"/>
          <w:sz w:val="4"/>
          <w:szCs w:val="4"/>
          <w:color w:val="auto"/>
        </w:rPr>
        <w:t xml:space="preserve">​  ​  </w:t>
      </w:r>
      <w:r>
        <w:rPr>
          <w:rFonts w:ascii="Arial" w:cs="Arial" w:eastAsia="Arial" w:hAnsi="Arial"/>
          <w:sz w:val="1"/>
          <w:szCs w:val="1"/>
          <w:b w:val="1"/>
          <w:bCs w:val="1"/>
          <w:u w:val="single" w:color="auto"/>
          <w:color w:val="0000EE"/>
        </w:rPr>
        <w:drawing>
          <wp:inline distT="0" distB="0" distL="0" distR="0">
            <wp:extent cx="76835" cy="9398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2023 Option Exercises and Stock Vested</w:t>
      </w:r>
    </w:p>
    <w:p>
      <w:pPr>
        <w:spacing w:after="0" w:line="28" w:lineRule="exact"/>
        <w:rPr>
          <w:rFonts w:ascii="Arial" w:cs="Arial" w:eastAsia="Arial" w:hAnsi="Arial"/>
          <w:sz w:val="13"/>
          <w:szCs w:val="13"/>
          <w:b w:val="1"/>
          <w:bCs w:val="1"/>
          <w:u w:val="single" w:color="auto"/>
          <w:color w:val="0000EE"/>
        </w:rPr>
      </w:pPr>
    </w:p>
    <w:p>
      <w:pPr>
        <w:ind w:left="40"/>
        <w:spacing w:after="0"/>
        <w:rPr>
          <w:rFonts w:ascii="Arial" w:cs="Arial" w:eastAsia="Arial" w:hAnsi="Arial"/>
          <w:sz w:val="13"/>
          <w:szCs w:val="13"/>
          <w:b w:val="1"/>
          <w:bCs w:val="1"/>
          <w:u w:val="single" w:color="auto"/>
          <w:color w:val="0000EE"/>
        </w:rPr>
      </w:pPr>
      <w:r>
        <w:rPr>
          <w:rFonts w:ascii="Times New Roman" w:cs="Times New Roman" w:eastAsia="Times New Roman" w:hAnsi="Times New Roman"/>
          <w:sz w:val="4"/>
          <w:szCs w:val="4"/>
          <w:color w:val="auto"/>
        </w:rPr>
        <w:t xml:space="preserve">​  ​  </w:t>
      </w:r>
      <w:r>
        <w:rPr>
          <w:rFonts w:ascii="Arial" w:cs="Arial" w:eastAsia="Arial" w:hAnsi="Arial"/>
          <w:sz w:val="1"/>
          <w:szCs w:val="1"/>
          <w:b w:val="1"/>
          <w:bCs w:val="1"/>
          <w:u w:val="single" w:color="auto"/>
          <w:color w:val="0000EE"/>
        </w:rPr>
        <w:drawing>
          <wp:inline distT="0" distB="0" distL="0" distR="0">
            <wp:extent cx="76835" cy="9398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Potential Payments Upon Termination or Change in Control</w:t>
      </w:r>
    </w:p>
    <w:p>
      <w:pPr>
        <w:ind w:left="320"/>
        <w:spacing w:after="0" w:line="231" w:lineRule="auto"/>
        <w:rPr>
          <w:sz w:val="20"/>
          <w:szCs w:val="20"/>
          <w:color w:val="auto"/>
        </w:rPr>
      </w:pPr>
      <w:r>
        <w:rPr>
          <w:rFonts w:ascii="Arial" w:cs="Arial" w:eastAsia="Arial" w:hAnsi="Arial"/>
          <w:sz w:val="13"/>
          <w:szCs w:val="13"/>
          <w:u w:val="single" w:color="auto"/>
          <w:color w:val="0000EE"/>
        </w:rPr>
        <w:t>Employment Agreements, Severance and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-64770</wp:posOffset>
            </wp:positionV>
            <wp:extent cx="76835" cy="939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93980"/>
                    </a:xfrm>
                    <a:prstGeom prst="rect">
                      <a:avLst/>
                    </a:prstGeom>
                    <a:noFill/>
                  </pic:spPr>
                </pic:pic>
              </a:graphicData>
            </a:graphic>
          </wp:anchor>
        </w:drawing>
      </w:r>
    </w:p>
    <w:p>
      <w:pPr>
        <w:ind w:left="40"/>
        <w:spacing w:after="0"/>
        <w:tabs>
          <w:tab w:leader="none" w:pos="220" w:val="left"/>
          <w:tab w:leader="none" w:pos="260" w:val="left"/>
          <w:tab w:leader="none" w:pos="300" w:val="left"/>
        </w:tabs>
        <w:rPr>
          <w:sz w:val="20"/>
          <w:szCs w:val="20"/>
          <w:color w:val="auto"/>
        </w:rPr>
      </w:pPr>
      <w:r>
        <w:rPr>
          <w:rFonts w:ascii="Times New Roman" w:cs="Times New Roman" w:eastAsia="Times New Roman" w:hAnsi="Times New Roman"/>
          <w:sz w:val="6"/>
          <w:szCs w:val="6"/>
          <w:color w:val="000000"/>
          <w:vertAlign w:val="superscript"/>
        </w:rPr>
        <w:t>​  ​</w:t>
      </w:r>
      <w:r>
        <w:rPr>
          <w:sz w:val="20"/>
          <w:szCs w:val="20"/>
          <w:color w:val="auto"/>
        </w:rPr>
        <w:tab/>
      </w: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7"/>
          <w:szCs w:val="7"/>
          <w:color w:val="auto"/>
        </w:rPr>
        <w:tab/>
      </w:r>
      <w:r>
        <w:rPr>
          <w:rFonts w:ascii="Times New Roman" w:cs="Times New Roman" w:eastAsia="Times New Roman" w:hAnsi="Times New Roman"/>
          <w:sz w:val="7"/>
          <w:szCs w:val="7"/>
          <w:color w:val="auto"/>
          <w:vertAlign w:val="superscript"/>
        </w:rPr>
        <w:t>​</w:t>
      </w:r>
      <w:r>
        <w:rPr>
          <w:sz w:val="20"/>
          <w:szCs w:val="20"/>
          <w:color w:val="auto"/>
        </w:rPr>
        <w:tab/>
      </w:r>
      <w:r>
        <w:rPr>
          <w:rFonts w:ascii="Arial" w:cs="Arial" w:eastAsia="Arial" w:hAnsi="Arial"/>
          <w:sz w:val="12"/>
          <w:szCs w:val="12"/>
          <w:u w:val="single" w:color="auto"/>
          <w:color w:val="0000EE"/>
        </w:rPr>
        <w:t>Benefits</w:t>
      </w:r>
    </w:p>
    <w:p>
      <w:pPr>
        <w:spacing w:after="0" w:line="70" w:lineRule="exact"/>
        <w:rPr>
          <w:sz w:val="20"/>
          <w:szCs w:val="20"/>
          <w:color w:val="auto"/>
        </w:rPr>
      </w:pPr>
    </w:p>
    <w:p>
      <w:pPr>
        <w:ind w:left="80" w:hanging="35"/>
        <w:spacing w:after="0"/>
        <w:tabs>
          <w:tab w:leader="none" w:pos="80" w:val="left"/>
        </w:tabs>
        <w:numPr>
          <w:ilvl w:val="0"/>
          <w:numId w:val="4"/>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1"/>
          <w:szCs w:val="1"/>
          <w:color w:val="auto"/>
        </w:rPr>
        <w:drawing>
          <wp:inline distT="0" distB="0" distL="0" distR="0">
            <wp:extent cx="76835" cy="9398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Other NEOs</w:t>
      </w:r>
    </w:p>
    <w:p>
      <w:pPr>
        <w:spacing w:after="0" w:line="28" w:lineRule="exact"/>
        <w:rPr>
          <w:rFonts w:ascii="Times New Roman" w:cs="Times New Roman" w:eastAsia="Times New Roman" w:hAnsi="Times New Roman"/>
          <w:sz w:val="4"/>
          <w:szCs w:val="4"/>
          <w:color w:val="auto"/>
        </w:rPr>
      </w:pPr>
    </w:p>
    <w:p>
      <w:pPr>
        <w:ind w:left="80" w:hanging="35"/>
        <w:spacing w:after="0"/>
        <w:tabs>
          <w:tab w:leader="none" w:pos="80" w:val="left"/>
        </w:tabs>
        <w:numPr>
          <w:ilvl w:val="0"/>
          <w:numId w:val="4"/>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1"/>
          <w:szCs w:val="1"/>
          <w:color w:val="auto"/>
        </w:rPr>
        <w:drawing>
          <wp:inline distT="0" distB="0" distL="0" distR="0">
            <wp:extent cx="76835" cy="9398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Equity Awards</w:t>
      </w:r>
    </w:p>
    <w:p>
      <w:pPr>
        <w:spacing w:after="0" w:line="28" w:lineRule="exact"/>
        <w:rPr>
          <w:rFonts w:ascii="Times New Roman" w:cs="Times New Roman" w:eastAsia="Times New Roman" w:hAnsi="Times New Roman"/>
          <w:sz w:val="4"/>
          <w:szCs w:val="4"/>
          <w:color w:val="auto"/>
        </w:rPr>
      </w:pPr>
    </w:p>
    <w:p>
      <w:pPr>
        <w:ind w:left="80" w:hanging="35"/>
        <w:spacing w:after="0"/>
        <w:tabs>
          <w:tab w:leader="none" w:pos="80" w:val="left"/>
        </w:tabs>
        <w:numPr>
          <w:ilvl w:val="0"/>
          <w:numId w:val="4"/>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1"/>
          <w:szCs w:val="1"/>
          <w:color w:val="auto"/>
        </w:rPr>
        <w:drawing>
          <wp:inline distT="0" distB="0" distL="0" distR="0">
            <wp:extent cx="76835" cy="9398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Quantification of Potential Payments</w:t>
      </w:r>
    </w:p>
    <w:p>
      <w:pPr>
        <w:spacing w:after="0" w:line="158" w:lineRule="exact"/>
        <w:rPr>
          <w:sz w:val="20"/>
          <w:szCs w:val="20"/>
          <w:color w:val="auto"/>
        </w:rPr>
      </w:pPr>
    </w:p>
    <w:p>
      <w:pPr>
        <w:ind w:left="220" w:hanging="215"/>
        <w:spacing w:after="0"/>
        <w:tabs>
          <w:tab w:leader="none" w:pos="220" w:val="left"/>
        </w:tabs>
        <w:numPr>
          <w:ilvl w:val="0"/>
          <w:numId w:val="5"/>
        </w:numPr>
        <w:rPr>
          <w:rFonts w:ascii="Arial" w:cs="Arial" w:eastAsia="Arial" w:hAnsi="Arial"/>
          <w:sz w:val="13"/>
          <w:szCs w:val="13"/>
          <w:b w:val="1"/>
          <w:bCs w:val="1"/>
          <w:u w:val="single" w:color="auto"/>
          <w:color w:val="0000EE"/>
        </w:rPr>
      </w:pPr>
      <w:r>
        <w:rPr>
          <w:rFonts w:ascii="Arial" w:cs="Arial" w:eastAsia="Arial" w:hAnsi="Arial"/>
          <w:sz w:val="13"/>
          <w:szCs w:val="13"/>
          <w:u w:val="single" w:color="auto"/>
          <w:color w:val="0000EE"/>
        </w:rPr>
        <w:t>EQUITY COMPENSATION PLAN INFORMATION</w:t>
      </w:r>
    </w:p>
    <w:p>
      <w:pPr>
        <w:spacing w:after="0" w:line="188" w:lineRule="exact"/>
        <w:rPr>
          <w:sz w:val="20"/>
          <w:szCs w:val="20"/>
          <w:color w:val="auto"/>
        </w:rPr>
      </w:pPr>
    </w:p>
    <w:p>
      <w:pPr>
        <w:ind w:left="220" w:hanging="215"/>
        <w:spacing w:after="0"/>
        <w:tabs>
          <w:tab w:leader="none" w:pos="220" w:val="left"/>
        </w:tabs>
        <w:numPr>
          <w:ilvl w:val="0"/>
          <w:numId w:val="6"/>
        </w:numPr>
        <w:rPr>
          <w:rFonts w:ascii="Arial" w:cs="Arial" w:eastAsia="Arial" w:hAnsi="Arial"/>
          <w:sz w:val="13"/>
          <w:szCs w:val="13"/>
          <w:b w:val="1"/>
          <w:bCs w:val="1"/>
          <w:u w:val="single" w:color="auto"/>
          <w:color w:val="0000EE"/>
        </w:rPr>
      </w:pPr>
      <w:r>
        <w:rPr>
          <w:rFonts w:ascii="Arial" w:cs="Arial" w:eastAsia="Arial" w:hAnsi="Arial"/>
          <w:sz w:val="13"/>
          <w:szCs w:val="13"/>
          <w:u w:val="single" w:color="auto"/>
          <w:color w:val="0000EE"/>
        </w:rPr>
        <w:t>COMPENSATION COMMITTEE REPORT</w:t>
      </w:r>
    </w:p>
    <w:p>
      <w:pPr>
        <w:spacing w:after="0" w:line="188" w:lineRule="exact"/>
        <w:rPr>
          <w:sz w:val="20"/>
          <w:szCs w:val="20"/>
          <w:color w:val="auto"/>
        </w:rPr>
      </w:pPr>
    </w:p>
    <w:p>
      <w:pPr>
        <w:ind w:right="1040" w:firstLine="5"/>
        <w:spacing w:after="0" w:line="243" w:lineRule="auto"/>
        <w:tabs>
          <w:tab w:leader="none" w:pos="210" w:val="left"/>
        </w:tabs>
        <w:numPr>
          <w:ilvl w:val="0"/>
          <w:numId w:val="7"/>
        </w:numPr>
        <w:rPr>
          <w:rFonts w:ascii="Arial" w:cs="Arial" w:eastAsia="Arial" w:hAnsi="Arial"/>
          <w:sz w:val="13"/>
          <w:szCs w:val="13"/>
          <w:b w:val="1"/>
          <w:bCs w:val="1"/>
          <w:u w:val="single" w:color="auto"/>
          <w:color w:val="0000EE"/>
        </w:rPr>
      </w:pPr>
      <w:r>
        <w:rPr>
          <w:rFonts w:ascii="Arial" w:cs="Arial" w:eastAsia="Arial" w:hAnsi="Arial"/>
          <w:sz w:val="13"/>
          <w:szCs w:val="13"/>
          <w:u w:val="single" w:color="auto"/>
          <w:color w:val="0000EE"/>
        </w:rPr>
        <w:t>COMPENSATION COMMITTEE INTERLOCKS AND INSIDER PARTICIPATION</w:t>
      </w:r>
    </w:p>
    <w:p>
      <w:pPr>
        <w:spacing w:after="0" w:line="169" w:lineRule="exact"/>
        <w:rPr>
          <w:rFonts w:ascii="Arial" w:cs="Arial" w:eastAsia="Arial" w:hAnsi="Arial"/>
          <w:sz w:val="13"/>
          <w:szCs w:val="13"/>
          <w:b w:val="1"/>
          <w:bCs w:val="1"/>
          <w:u w:val="single" w:color="auto"/>
          <w:color w:val="0000EE"/>
        </w:rPr>
      </w:pPr>
    </w:p>
    <w:p>
      <w:pPr>
        <w:ind w:left="220" w:hanging="215"/>
        <w:spacing w:after="0"/>
        <w:tabs>
          <w:tab w:leader="none" w:pos="220" w:val="left"/>
        </w:tabs>
        <w:numPr>
          <w:ilvl w:val="0"/>
          <w:numId w:val="7"/>
        </w:numPr>
        <w:rPr>
          <w:rFonts w:ascii="Arial" w:cs="Arial" w:eastAsia="Arial" w:hAnsi="Arial"/>
          <w:sz w:val="13"/>
          <w:szCs w:val="13"/>
          <w:b w:val="1"/>
          <w:bCs w:val="1"/>
          <w:u w:val="single" w:color="auto"/>
          <w:color w:val="0000EE"/>
        </w:rPr>
      </w:pPr>
      <w:r>
        <w:rPr>
          <w:rFonts w:ascii="Arial" w:cs="Arial" w:eastAsia="Arial" w:hAnsi="Arial"/>
          <w:sz w:val="13"/>
          <w:szCs w:val="13"/>
          <w:u w:val="single" w:color="auto"/>
          <w:color w:val="0000EE"/>
        </w:rPr>
        <w:t>CEO PAY RATIO</w:t>
      </w:r>
    </w:p>
    <w:p>
      <w:pPr>
        <w:spacing w:after="0" w:line="188" w:lineRule="exact"/>
        <w:rPr>
          <w:rFonts w:ascii="Arial" w:cs="Arial" w:eastAsia="Arial" w:hAnsi="Arial"/>
          <w:sz w:val="13"/>
          <w:szCs w:val="13"/>
          <w:b w:val="1"/>
          <w:bCs w:val="1"/>
          <w:u w:val="single" w:color="auto"/>
          <w:color w:val="0000EE"/>
        </w:rPr>
      </w:pPr>
    </w:p>
    <w:p>
      <w:pPr>
        <w:ind w:left="200" w:hanging="195"/>
        <w:spacing w:after="0"/>
        <w:tabs>
          <w:tab w:leader="none" w:pos="200" w:val="left"/>
        </w:tabs>
        <w:numPr>
          <w:ilvl w:val="0"/>
          <w:numId w:val="7"/>
        </w:numPr>
        <w:rPr>
          <w:rFonts w:ascii="Arial" w:cs="Arial" w:eastAsia="Arial" w:hAnsi="Arial"/>
          <w:sz w:val="13"/>
          <w:szCs w:val="13"/>
          <w:b w:val="1"/>
          <w:bCs w:val="1"/>
          <w:u w:val="single" w:color="auto"/>
          <w:color w:val="0000EE"/>
        </w:rPr>
      </w:pPr>
      <w:r>
        <w:rPr>
          <w:rFonts w:ascii="Arial" w:cs="Arial" w:eastAsia="Arial" w:hAnsi="Arial"/>
          <w:sz w:val="13"/>
          <w:szCs w:val="13"/>
          <w:u w:val="single" w:color="auto"/>
          <w:color w:val="0000EE"/>
        </w:rPr>
        <w:t>PAY VERSUS PERFORMANCE DISCLOSURE</w:t>
      </w:r>
    </w:p>
    <w:p>
      <w:pPr>
        <w:spacing w:after="0" w:line="58" w:lineRule="exact"/>
        <w:rPr>
          <w:rFonts w:ascii="Arial" w:cs="Arial" w:eastAsia="Arial" w:hAnsi="Arial"/>
          <w:sz w:val="13"/>
          <w:szCs w:val="13"/>
          <w:b w:val="1"/>
          <w:bCs w:val="1"/>
          <w:u w:val="single" w:color="auto"/>
          <w:color w:val="0000EE"/>
        </w:rPr>
      </w:pPr>
    </w:p>
    <w:p>
      <w:pPr>
        <w:ind w:left="40"/>
        <w:spacing w:after="0"/>
        <w:rPr>
          <w:rFonts w:ascii="Arial" w:cs="Arial" w:eastAsia="Arial" w:hAnsi="Arial"/>
          <w:sz w:val="13"/>
          <w:szCs w:val="13"/>
          <w:b w:val="1"/>
          <w:bCs w:val="1"/>
          <w:u w:val="single" w:color="auto"/>
          <w:color w:val="0000EE"/>
        </w:rPr>
      </w:pPr>
      <w:r>
        <w:rPr>
          <w:rFonts w:ascii="Times New Roman" w:cs="Times New Roman" w:eastAsia="Times New Roman" w:hAnsi="Times New Roman"/>
          <w:sz w:val="4"/>
          <w:szCs w:val="4"/>
          <w:color w:val="auto"/>
        </w:rPr>
        <w:t xml:space="preserve">​  ​  </w:t>
      </w:r>
      <w:r>
        <w:rPr>
          <w:rFonts w:ascii="Arial" w:cs="Arial" w:eastAsia="Arial" w:hAnsi="Arial"/>
          <w:sz w:val="1"/>
          <w:szCs w:val="1"/>
          <w:b w:val="1"/>
          <w:bCs w:val="1"/>
          <w:u w:val="single" w:color="auto"/>
          <w:color w:val="0000EE"/>
        </w:rPr>
        <w:drawing>
          <wp:inline distT="0" distB="0" distL="0" distR="0">
            <wp:extent cx="76835" cy="9398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Pay Versus Performance Table</w:t>
      </w:r>
    </w:p>
    <w:p>
      <w:pPr>
        <w:spacing w:after="0" w:line="28" w:lineRule="exact"/>
        <w:rPr>
          <w:rFonts w:ascii="Arial" w:cs="Arial" w:eastAsia="Arial" w:hAnsi="Arial"/>
          <w:sz w:val="13"/>
          <w:szCs w:val="13"/>
          <w:b w:val="1"/>
          <w:bCs w:val="1"/>
          <w:u w:val="single" w:color="auto"/>
          <w:color w:val="0000EE"/>
        </w:rPr>
      </w:pPr>
    </w:p>
    <w:p>
      <w:pPr>
        <w:ind w:left="40"/>
        <w:spacing w:after="0"/>
        <w:rPr>
          <w:rFonts w:ascii="Arial" w:cs="Arial" w:eastAsia="Arial" w:hAnsi="Arial"/>
          <w:sz w:val="13"/>
          <w:szCs w:val="13"/>
          <w:b w:val="1"/>
          <w:bCs w:val="1"/>
          <w:u w:val="single" w:color="auto"/>
          <w:color w:val="0000EE"/>
        </w:rPr>
      </w:pPr>
      <w:r>
        <w:rPr>
          <w:rFonts w:ascii="Times New Roman" w:cs="Times New Roman" w:eastAsia="Times New Roman" w:hAnsi="Times New Roman"/>
          <w:sz w:val="4"/>
          <w:szCs w:val="4"/>
          <w:color w:val="auto"/>
        </w:rPr>
        <w:t xml:space="preserve">​  ​  </w:t>
      </w:r>
      <w:r>
        <w:rPr>
          <w:rFonts w:ascii="Arial" w:cs="Arial" w:eastAsia="Arial" w:hAnsi="Arial"/>
          <w:sz w:val="1"/>
          <w:szCs w:val="1"/>
          <w:b w:val="1"/>
          <w:bCs w:val="1"/>
          <w:u w:val="single" w:color="auto"/>
          <w:color w:val="0000EE"/>
        </w:rPr>
        <w:drawing>
          <wp:inline distT="0" distB="0" distL="0" distR="0">
            <wp:extent cx="76835" cy="9398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TSR and Peer TSR vs. Compensation Actually Paid</w:t>
      </w:r>
    </w:p>
    <w:p>
      <w:pPr>
        <w:spacing w:after="0" w:line="28" w:lineRule="exact"/>
        <w:rPr>
          <w:rFonts w:ascii="Arial" w:cs="Arial" w:eastAsia="Arial" w:hAnsi="Arial"/>
          <w:sz w:val="13"/>
          <w:szCs w:val="13"/>
          <w:b w:val="1"/>
          <w:bCs w:val="1"/>
          <w:u w:val="single" w:color="auto"/>
          <w:color w:val="0000EE"/>
        </w:rPr>
      </w:pPr>
    </w:p>
    <w:p>
      <w:pPr>
        <w:ind w:left="40"/>
        <w:spacing w:after="0"/>
        <w:rPr>
          <w:rFonts w:ascii="Arial" w:cs="Arial" w:eastAsia="Arial" w:hAnsi="Arial"/>
          <w:sz w:val="13"/>
          <w:szCs w:val="13"/>
          <w:b w:val="1"/>
          <w:bCs w:val="1"/>
          <w:u w:val="single" w:color="auto"/>
          <w:color w:val="0000EE"/>
        </w:rPr>
      </w:pPr>
      <w:r>
        <w:rPr>
          <w:rFonts w:ascii="Times New Roman" w:cs="Times New Roman" w:eastAsia="Times New Roman" w:hAnsi="Times New Roman"/>
          <w:sz w:val="4"/>
          <w:szCs w:val="4"/>
          <w:color w:val="auto"/>
        </w:rPr>
        <w:t xml:space="preserve">​  ​  </w:t>
      </w:r>
      <w:r>
        <w:rPr>
          <w:rFonts w:ascii="Arial" w:cs="Arial" w:eastAsia="Arial" w:hAnsi="Arial"/>
          <w:sz w:val="1"/>
          <w:szCs w:val="1"/>
          <w:b w:val="1"/>
          <w:bCs w:val="1"/>
          <w:u w:val="single" w:color="auto"/>
          <w:color w:val="0000EE"/>
        </w:rPr>
        <w:drawing>
          <wp:inline distT="0" distB="0" distL="0" distR="0">
            <wp:extent cx="76835" cy="9398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Net Income vs. Compensation Actually Paid</w:t>
      </w:r>
    </w:p>
    <w:p>
      <w:pPr>
        <w:spacing w:after="0" w:line="28" w:lineRule="exact"/>
        <w:rPr>
          <w:rFonts w:ascii="Arial" w:cs="Arial" w:eastAsia="Arial" w:hAnsi="Arial"/>
          <w:sz w:val="13"/>
          <w:szCs w:val="13"/>
          <w:b w:val="1"/>
          <w:bCs w:val="1"/>
          <w:u w:val="single" w:color="auto"/>
          <w:color w:val="0000EE"/>
        </w:rPr>
      </w:pPr>
    </w:p>
    <w:p>
      <w:pPr>
        <w:ind w:left="40"/>
        <w:spacing w:after="0"/>
        <w:rPr>
          <w:rFonts w:ascii="Arial" w:cs="Arial" w:eastAsia="Arial" w:hAnsi="Arial"/>
          <w:sz w:val="13"/>
          <w:szCs w:val="13"/>
          <w:b w:val="1"/>
          <w:bCs w:val="1"/>
          <w:u w:val="single" w:color="auto"/>
          <w:color w:val="0000EE"/>
        </w:rPr>
      </w:pPr>
      <w:r>
        <w:rPr>
          <w:rFonts w:ascii="Times New Roman" w:cs="Times New Roman" w:eastAsia="Times New Roman" w:hAnsi="Times New Roman"/>
          <w:sz w:val="4"/>
          <w:szCs w:val="4"/>
          <w:color w:val="auto"/>
        </w:rPr>
        <w:t xml:space="preserve">​  ​  </w:t>
      </w:r>
      <w:r>
        <w:rPr>
          <w:rFonts w:ascii="Arial" w:cs="Arial" w:eastAsia="Arial" w:hAnsi="Arial"/>
          <w:sz w:val="1"/>
          <w:szCs w:val="1"/>
          <w:b w:val="1"/>
          <w:bCs w:val="1"/>
          <w:u w:val="single" w:color="auto"/>
          <w:color w:val="0000EE"/>
        </w:rPr>
        <w:drawing>
          <wp:inline distT="0" distB="0" distL="0" distR="0">
            <wp:extent cx="76835" cy="9398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Adjusted EPS-COMP vs. Compensation Actually Paid</w:t>
      </w:r>
    </w:p>
    <w:p>
      <w:pPr>
        <w:spacing w:after="0" w:line="155" w:lineRule="exact"/>
        <w:rPr>
          <w:rFonts w:ascii="Arial" w:cs="Arial" w:eastAsia="Arial" w:hAnsi="Arial"/>
          <w:sz w:val="13"/>
          <w:szCs w:val="13"/>
          <w:b w:val="1"/>
          <w:bCs w:val="1"/>
          <w:u w:val="single" w:color="auto"/>
          <w:color w:val="0000EE"/>
        </w:rPr>
      </w:pPr>
    </w:p>
    <w:p>
      <w:pPr>
        <w:ind w:left="220" w:hanging="215"/>
        <w:spacing w:after="0"/>
        <w:tabs>
          <w:tab w:leader="none" w:pos="220" w:val="left"/>
        </w:tabs>
        <w:numPr>
          <w:ilvl w:val="0"/>
          <w:numId w:val="7"/>
        </w:numPr>
        <w:rPr>
          <w:rFonts w:ascii="Arial" w:cs="Arial" w:eastAsia="Arial" w:hAnsi="Arial"/>
          <w:sz w:val="13"/>
          <w:szCs w:val="13"/>
          <w:b w:val="1"/>
          <w:bCs w:val="1"/>
          <w:u w:val="single" w:color="auto"/>
          <w:color w:val="0000EE"/>
        </w:rPr>
      </w:pPr>
      <w:r>
        <w:rPr>
          <w:rFonts w:ascii="Arial" w:cs="Arial" w:eastAsia="Arial" w:hAnsi="Arial"/>
          <w:sz w:val="13"/>
          <w:szCs w:val="13"/>
          <w:u w:val="single" w:color="auto"/>
          <w:color w:val="0000EE"/>
        </w:rPr>
        <w:t>CERTAIN RELATIONSHIPS AND</w:t>
      </w:r>
    </w:p>
    <w:p>
      <w:pPr>
        <w:spacing w:after="0"/>
        <w:rPr>
          <w:sz w:val="20"/>
          <w:szCs w:val="20"/>
          <w:color w:val="auto"/>
        </w:rPr>
      </w:pPr>
      <w:r>
        <w:rPr>
          <w:rFonts w:ascii="Arial" w:cs="Arial" w:eastAsia="Arial" w:hAnsi="Arial"/>
          <w:sz w:val="13"/>
          <w:szCs w:val="13"/>
          <w:u w:val="single" w:color="auto"/>
          <w:color w:val="0000EE"/>
        </w:rPr>
        <w:t>RELATED-PARTY TRANSACTIONS</w:t>
      </w:r>
    </w:p>
    <w:p>
      <w:pPr>
        <w:spacing w:after="0" w:line="176" w:lineRule="exact"/>
        <w:rPr>
          <w:sz w:val="20"/>
          <w:szCs w:val="20"/>
          <w:color w:val="auto"/>
        </w:rPr>
      </w:pPr>
    </w:p>
    <w:p>
      <w:pPr>
        <w:ind w:left="220" w:hanging="215"/>
        <w:spacing w:after="0"/>
        <w:tabs>
          <w:tab w:leader="none" w:pos="220" w:val="left"/>
        </w:tabs>
        <w:numPr>
          <w:ilvl w:val="0"/>
          <w:numId w:val="8"/>
        </w:numPr>
        <w:rPr>
          <w:rFonts w:ascii="Arial" w:cs="Arial" w:eastAsia="Arial" w:hAnsi="Arial"/>
          <w:sz w:val="13"/>
          <w:szCs w:val="13"/>
          <w:b w:val="1"/>
          <w:bCs w:val="1"/>
          <w:u w:val="single" w:color="auto"/>
          <w:color w:val="0000EE"/>
        </w:rPr>
      </w:pPr>
      <w:r>
        <w:rPr>
          <w:rFonts w:ascii="Arial" w:cs="Arial" w:eastAsia="Arial" w:hAnsi="Arial"/>
          <w:sz w:val="13"/>
          <w:szCs w:val="13"/>
          <w:u w:val="single" w:color="auto"/>
          <w:color w:val="0000EE"/>
        </w:rPr>
        <w:t>DELINQUENT SECTION 16(A) REPORTS</w:t>
      </w:r>
    </w:p>
    <w:p>
      <w:pPr>
        <w:spacing w:after="0" w:line="188" w:lineRule="exact"/>
        <w:rPr>
          <w:rFonts w:ascii="Arial" w:cs="Arial" w:eastAsia="Arial" w:hAnsi="Arial"/>
          <w:sz w:val="13"/>
          <w:szCs w:val="13"/>
          <w:b w:val="1"/>
          <w:bCs w:val="1"/>
          <w:u w:val="single" w:color="auto"/>
          <w:color w:val="0000EE"/>
        </w:rPr>
      </w:pPr>
    </w:p>
    <w:p>
      <w:pPr>
        <w:ind w:left="220" w:hanging="215"/>
        <w:spacing w:after="0"/>
        <w:tabs>
          <w:tab w:leader="none" w:pos="220" w:val="left"/>
        </w:tabs>
        <w:numPr>
          <w:ilvl w:val="0"/>
          <w:numId w:val="8"/>
        </w:numPr>
        <w:rPr>
          <w:rFonts w:ascii="Arial" w:cs="Arial" w:eastAsia="Arial" w:hAnsi="Arial"/>
          <w:sz w:val="13"/>
          <w:szCs w:val="13"/>
          <w:b w:val="1"/>
          <w:bCs w:val="1"/>
          <w:u w:val="single" w:color="auto"/>
          <w:color w:val="0000EE"/>
        </w:rPr>
      </w:pPr>
      <w:r>
        <w:rPr>
          <w:rFonts w:ascii="Arial" w:cs="Arial" w:eastAsia="Arial" w:hAnsi="Arial"/>
          <w:sz w:val="13"/>
          <w:szCs w:val="13"/>
          <w:u w:val="single" w:color="auto"/>
          <w:color w:val="0000EE"/>
        </w:rPr>
        <w:t>FIVE YEAR STOCK PERFORMANCE GRAPH</w:t>
      </w:r>
    </w:p>
    <w:p>
      <w:pPr>
        <w:spacing w:after="0" w:line="188" w:lineRule="exact"/>
        <w:rPr>
          <w:rFonts w:ascii="Arial" w:cs="Arial" w:eastAsia="Arial" w:hAnsi="Arial"/>
          <w:sz w:val="13"/>
          <w:szCs w:val="13"/>
          <w:b w:val="1"/>
          <w:bCs w:val="1"/>
          <w:u w:val="single" w:color="auto"/>
          <w:color w:val="0000EE"/>
        </w:rPr>
      </w:pPr>
    </w:p>
    <w:p>
      <w:pPr>
        <w:ind w:left="220" w:hanging="215"/>
        <w:spacing w:after="0"/>
        <w:tabs>
          <w:tab w:leader="none" w:pos="220" w:val="left"/>
        </w:tabs>
        <w:numPr>
          <w:ilvl w:val="0"/>
          <w:numId w:val="8"/>
        </w:numPr>
        <w:rPr>
          <w:rFonts w:ascii="Arial" w:cs="Arial" w:eastAsia="Arial" w:hAnsi="Arial"/>
          <w:sz w:val="13"/>
          <w:szCs w:val="13"/>
          <w:b w:val="1"/>
          <w:bCs w:val="1"/>
          <w:u w:val="single" w:color="auto"/>
          <w:color w:val="0000EE"/>
        </w:rPr>
      </w:pPr>
      <w:r>
        <w:rPr>
          <w:rFonts w:ascii="Arial" w:cs="Arial" w:eastAsia="Arial" w:hAnsi="Arial"/>
          <w:sz w:val="13"/>
          <w:szCs w:val="13"/>
          <w:u w:val="single" w:color="auto"/>
          <w:color w:val="0000EE"/>
        </w:rPr>
        <w:t>AUDIT COMMITTEE REPORT</w:t>
      </w:r>
    </w:p>
    <w:p>
      <w:pPr>
        <w:spacing w:after="0" w:line="188" w:lineRule="exact"/>
        <w:rPr>
          <w:rFonts w:ascii="Arial" w:cs="Arial" w:eastAsia="Arial" w:hAnsi="Arial"/>
          <w:sz w:val="13"/>
          <w:szCs w:val="13"/>
          <w:b w:val="1"/>
          <w:bCs w:val="1"/>
          <w:u w:val="single" w:color="auto"/>
          <w:color w:val="0000EE"/>
        </w:rPr>
      </w:pPr>
    </w:p>
    <w:p>
      <w:pPr>
        <w:ind w:left="220" w:hanging="215"/>
        <w:spacing w:after="0"/>
        <w:tabs>
          <w:tab w:leader="none" w:pos="220" w:val="left"/>
        </w:tabs>
        <w:numPr>
          <w:ilvl w:val="0"/>
          <w:numId w:val="8"/>
        </w:numPr>
        <w:rPr>
          <w:rFonts w:ascii="Arial" w:cs="Arial" w:eastAsia="Arial" w:hAnsi="Arial"/>
          <w:sz w:val="13"/>
          <w:szCs w:val="13"/>
          <w:b w:val="1"/>
          <w:bCs w:val="1"/>
          <w:u w:val="single" w:color="auto"/>
          <w:color w:val="0000EE"/>
        </w:rPr>
      </w:pPr>
      <w:r>
        <w:rPr>
          <w:rFonts w:ascii="Arial" w:cs="Arial" w:eastAsia="Arial" w:hAnsi="Arial"/>
          <w:sz w:val="13"/>
          <w:szCs w:val="13"/>
          <w:u w:val="single" w:color="auto"/>
          <w:color w:val="0000EE"/>
        </w:rPr>
        <w:t>AUDIT MATTERS</w:t>
      </w:r>
    </w:p>
    <w:p>
      <w:pPr>
        <w:spacing w:after="0" w:line="58" w:lineRule="exact"/>
        <w:rPr>
          <w:sz w:val="20"/>
          <w:szCs w:val="20"/>
          <w:color w:val="auto"/>
        </w:rPr>
      </w:pPr>
    </w:p>
    <w:p>
      <w:pPr>
        <w:ind w:left="80" w:hanging="35"/>
        <w:spacing w:after="0"/>
        <w:tabs>
          <w:tab w:leader="none" w:pos="80" w:val="left"/>
        </w:tabs>
        <w:numPr>
          <w:ilvl w:val="0"/>
          <w:numId w:val="9"/>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1"/>
          <w:szCs w:val="1"/>
          <w:color w:val="auto"/>
        </w:rPr>
        <w:drawing>
          <wp:inline distT="0" distB="0" distL="0" distR="0">
            <wp:extent cx="76835" cy="9398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Fees Billed by Ernst &amp; Young LLP</w:t>
      </w:r>
    </w:p>
    <w:p>
      <w:pPr>
        <w:spacing w:after="0" w:line="28" w:lineRule="exact"/>
        <w:rPr>
          <w:rFonts w:ascii="Times New Roman" w:cs="Times New Roman" w:eastAsia="Times New Roman" w:hAnsi="Times New Roman"/>
          <w:sz w:val="4"/>
          <w:szCs w:val="4"/>
          <w:color w:val="auto"/>
        </w:rPr>
      </w:pPr>
    </w:p>
    <w:p>
      <w:pPr>
        <w:ind w:left="80" w:hanging="35"/>
        <w:spacing w:after="0"/>
        <w:tabs>
          <w:tab w:leader="none" w:pos="80" w:val="left"/>
        </w:tabs>
        <w:numPr>
          <w:ilvl w:val="0"/>
          <w:numId w:val="9"/>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1"/>
          <w:szCs w:val="1"/>
          <w:color w:val="auto"/>
        </w:rPr>
        <w:drawing>
          <wp:inline distT="0" distB="0" distL="0" distR="0">
            <wp:extent cx="76835" cy="9398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Audit Fees</w:t>
      </w:r>
    </w:p>
    <w:p>
      <w:pPr>
        <w:spacing w:after="0" w:line="28" w:lineRule="exact"/>
        <w:rPr>
          <w:rFonts w:ascii="Times New Roman" w:cs="Times New Roman" w:eastAsia="Times New Roman" w:hAnsi="Times New Roman"/>
          <w:sz w:val="4"/>
          <w:szCs w:val="4"/>
          <w:color w:val="auto"/>
        </w:rPr>
      </w:pPr>
    </w:p>
    <w:p>
      <w:pPr>
        <w:ind w:left="80" w:hanging="35"/>
        <w:spacing w:after="0"/>
        <w:tabs>
          <w:tab w:leader="none" w:pos="80" w:val="left"/>
        </w:tabs>
        <w:numPr>
          <w:ilvl w:val="0"/>
          <w:numId w:val="9"/>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1"/>
          <w:szCs w:val="1"/>
          <w:color w:val="auto"/>
        </w:rPr>
        <w:drawing>
          <wp:inline distT="0" distB="0" distL="0" distR="0">
            <wp:extent cx="76835" cy="9398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Audit Related Fees</w:t>
      </w:r>
    </w:p>
    <w:p>
      <w:pPr>
        <w:spacing w:after="0" w:line="28" w:lineRule="exact"/>
        <w:rPr>
          <w:rFonts w:ascii="Times New Roman" w:cs="Times New Roman" w:eastAsia="Times New Roman" w:hAnsi="Times New Roman"/>
          <w:sz w:val="4"/>
          <w:szCs w:val="4"/>
          <w:color w:val="auto"/>
        </w:rPr>
      </w:pPr>
    </w:p>
    <w:p>
      <w:pPr>
        <w:ind w:left="80" w:hanging="35"/>
        <w:spacing w:after="0"/>
        <w:tabs>
          <w:tab w:leader="none" w:pos="80" w:val="left"/>
        </w:tabs>
        <w:numPr>
          <w:ilvl w:val="0"/>
          <w:numId w:val="9"/>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1"/>
          <w:szCs w:val="1"/>
          <w:color w:val="auto"/>
        </w:rPr>
        <w:drawing>
          <wp:inline distT="0" distB="0" distL="0" distR="0">
            <wp:extent cx="76835" cy="9398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Tax Fees and All Other Fees</w:t>
      </w:r>
    </w:p>
    <w:p>
      <w:pPr>
        <w:ind w:left="320"/>
        <w:spacing w:after="0" w:line="231" w:lineRule="auto"/>
        <w:rPr>
          <w:sz w:val="20"/>
          <w:szCs w:val="20"/>
          <w:color w:val="auto"/>
        </w:rPr>
      </w:pPr>
      <w:r>
        <w:rPr>
          <w:rFonts w:ascii="Arial" w:cs="Arial" w:eastAsia="Arial" w:hAnsi="Arial"/>
          <w:sz w:val="13"/>
          <w:szCs w:val="13"/>
          <w:u w:val="single" w:color="auto"/>
          <w:color w:val="0000EE"/>
        </w:rPr>
        <w:t>Policy on Audit Committee Pre-Approval of Audit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-64770</wp:posOffset>
            </wp:positionV>
            <wp:extent cx="76835" cy="939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93980"/>
                    </a:xfrm>
                    <a:prstGeom prst="rect">
                      <a:avLst/>
                    </a:prstGeom>
                    <a:noFill/>
                  </pic:spPr>
                </pic:pic>
              </a:graphicData>
            </a:graphic>
          </wp:anchor>
        </w:drawing>
      </w:r>
    </w:p>
    <w:p>
      <w:pPr>
        <w:ind w:left="80" w:hanging="35"/>
        <w:spacing w:after="0"/>
        <w:tabs>
          <w:tab w:leader="none" w:pos="80" w:val="left"/>
        </w:tabs>
        <w:numPr>
          <w:ilvl w:val="0"/>
          <w:numId w:val="10"/>
        </w:numPr>
        <w:rPr>
          <w:rFonts w:ascii="Times New Roman" w:cs="Times New Roman" w:eastAsia="Times New Roman" w:hAnsi="Times New Roman"/>
          <w:sz w:val="7"/>
          <w:szCs w:val="7"/>
          <w:color w:val="auto"/>
          <w:vertAlign w:val="superscript"/>
        </w:rPr>
      </w:pPr>
      <w:r>
        <w:rPr>
          <w:rFonts w:ascii="Times New Roman" w:cs="Times New Roman" w:eastAsia="Times New Roman" w:hAnsi="Times New Roman"/>
          <w:sz w:val="7"/>
          <w:szCs w:val="7"/>
          <w:color w:val="000000"/>
          <w:vertAlign w:val="superscript"/>
        </w:rPr>
        <w:t>​         ​  ​</w:t>
      </w:r>
      <w:r>
        <w:rPr>
          <w:rFonts w:ascii="Arial" w:cs="Arial" w:eastAsia="Arial" w:hAnsi="Arial"/>
          <w:sz w:val="13"/>
          <w:szCs w:val="13"/>
          <w:color w:val="0000EE"/>
        </w:rPr>
        <w:t xml:space="preserve">  </w:t>
      </w:r>
      <w:r>
        <w:rPr>
          <w:rFonts w:ascii="Arial" w:cs="Arial" w:eastAsia="Arial" w:hAnsi="Arial"/>
          <w:sz w:val="13"/>
          <w:szCs w:val="13"/>
          <w:u w:val="single" w:color="auto"/>
          <w:color w:val="0000EE"/>
        </w:rPr>
        <w:t>Permissible Non-Audit Services of Independent Auditor</w:t>
      </w:r>
    </w:p>
    <w:p>
      <w:pPr>
        <w:spacing w:after="0" w:line="189" w:lineRule="exact"/>
        <w:rPr>
          <w:sz w:val="20"/>
          <w:szCs w:val="20"/>
          <w:color w:val="auto"/>
        </w:rPr>
      </w:pPr>
    </w:p>
    <w:p>
      <w:pPr>
        <w:ind w:left="220" w:hanging="215"/>
        <w:spacing w:after="0"/>
        <w:tabs>
          <w:tab w:leader="none" w:pos="220" w:val="left"/>
        </w:tabs>
        <w:numPr>
          <w:ilvl w:val="0"/>
          <w:numId w:val="11"/>
        </w:numPr>
        <w:rPr>
          <w:rFonts w:ascii="Arial" w:cs="Arial" w:eastAsia="Arial" w:hAnsi="Arial"/>
          <w:sz w:val="13"/>
          <w:szCs w:val="13"/>
          <w:b w:val="1"/>
          <w:bCs w:val="1"/>
          <w:u w:val="single" w:color="auto"/>
          <w:color w:val="0000EE"/>
        </w:rPr>
      </w:pPr>
      <w:r>
        <w:rPr>
          <w:rFonts w:ascii="Arial" w:cs="Arial" w:eastAsia="Arial" w:hAnsi="Arial"/>
          <w:sz w:val="13"/>
          <w:szCs w:val="13"/>
          <w:u w:val="single" w:color="auto"/>
          <w:color w:val="0000EE"/>
        </w:rPr>
        <w:t>PROPOSAL 1: ELECTION OF DIRECTORS</w:t>
      </w:r>
    </w:p>
    <w:p>
      <w:pPr>
        <w:spacing w:after="0" w:line="185" w:lineRule="exact"/>
        <w:rPr>
          <w:rFonts w:ascii="Arial" w:cs="Arial" w:eastAsia="Arial" w:hAnsi="Arial"/>
          <w:sz w:val="13"/>
          <w:szCs w:val="13"/>
          <w:b w:val="1"/>
          <w:bCs w:val="1"/>
          <w:u w:val="single" w:color="auto"/>
          <w:color w:val="0000EE"/>
        </w:rPr>
      </w:pPr>
    </w:p>
    <w:p>
      <w:pPr>
        <w:ind w:left="220" w:hanging="215"/>
        <w:spacing w:after="0"/>
        <w:tabs>
          <w:tab w:leader="none" w:pos="220" w:val="left"/>
        </w:tabs>
        <w:numPr>
          <w:ilvl w:val="0"/>
          <w:numId w:val="11"/>
        </w:numPr>
        <w:rPr>
          <w:rFonts w:ascii="Arial" w:cs="Arial" w:eastAsia="Arial" w:hAnsi="Arial"/>
          <w:sz w:val="13"/>
          <w:szCs w:val="13"/>
          <w:b w:val="1"/>
          <w:bCs w:val="1"/>
          <w:u w:val="single" w:color="auto"/>
          <w:color w:val="0000EE"/>
        </w:rPr>
      </w:pPr>
      <w:r>
        <w:rPr>
          <w:rFonts w:ascii="Arial" w:cs="Arial" w:eastAsia="Arial" w:hAnsi="Arial"/>
          <w:sz w:val="13"/>
          <w:szCs w:val="13"/>
          <w:u w:val="single" w:color="auto"/>
          <w:color w:val="0000EE"/>
        </w:rPr>
        <w:t>PROPOSAL 2: RATIFICATION OF ERNST &amp; YOUNG</w:t>
      </w:r>
    </w:p>
    <w:p>
      <w:pPr>
        <w:spacing w:after="0" w:line="231" w:lineRule="auto"/>
        <w:rPr>
          <w:sz w:val="20"/>
          <w:szCs w:val="20"/>
          <w:color w:val="auto"/>
        </w:rPr>
      </w:pPr>
      <w:r>
        <w:rPr>
          <w:rFonts w:ascii="Arial" w:cs="Arial" w:eastAsia="Arial" w:hAnsi="Arial"/>
          <w:sz w:val="13"/>
          <w:szCs w:val="13"/>
          <w:u w:val="single" w:color="auto"/>
          <w:color w:val="0000EE"/>
        </w:rPr>
        <w:t>LLP AS OUR INDEPENDENT REGISTERED PUBLIC ACCOUNTING FIRM FOR FISCAL YEAR 2024</w:t>
      </w:r>
    </w:p>
    <w:p>
      <w:pPr>
        <w:spacing w:after="0" w:line="173" w:lineRule="exact"/>
        <w:rPr>
          <w:sz w:val="20"/>
          <w:szCs w:val="20"/>
          <w:color w:val="auto"/>
        </w:rPr>
      </w:pPr>
    </w:p>
    <w:p>
      <w:pPr>
        <w:ind w:right="440" w:firstLine="5"/>
        <w:spacing w:after="0" w:line="243" w:lineRule="auto"/>
        <w:tabs>
          <w:tab w:leader="none" w:pos="210" w:val="left"/>
        </w:tabs>
        <w:numPr>
          <w:ilvl w:val="0"/>
          <w:numId w:val="12"/>
        </w:numPr>
        <w:rPr>
          <w:rFonts w:ascii="Arial" w:cs="Arial" w:eastAsia="Arial" w:hAnsi="Arial"/>
          <w:sz w:val="13"/>
          <w:szCs w:val="13"/>
          <w:b w:val="1"/>
          <w:bCs w:val="1"/>
          <w:u w:val="single" w:color="auto"/>
          <w:color w:val="0000EE"/>
        </w:rPr>
      </w:pPr>
      <w:r>
        <w:rPr>
          <w:rFonts w:ascii="Arial" w:cs="Arial" w:eastAsia="Arial" w:hAnsi="Arial"/>
          <w:sz w:val="13"/>
          <w:szCs w:val="13"/>
          <w:u w:val="single" w:color="auto"/>
          <w:color w:val="0000EE"/>
        </w:rPr>
        <w:t>PROPOSAL 3: ADVISORY VOTE TO APPROVE NAMED EXECUTIVE OFFICER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hanging="32"/>
        <w:spacing w:after="0"/>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b w:val="1"/>
          <w:bCs w:val="1"/>
          <w:u w:val="single" w:color="auto"/>
          <w:color w:val="0000EE"/>
          <w:vertAlign w:val="subscript"/>
        </w:rPr>
        <w:t>50</w:t>
      </w:r>
    </w:p>
    <w:p>
      <w:pPr>
        <w:spacing w:after="0" w:line="89" w:lineRule="exact"/>
        <w:rPr>
          <w:rFonts w:ascii="Times New Roman" w:cs="Times New Roman" w:eastAsia="Times New Roman" w:hAnsi="Times New Roman"/>
          <w:sz w:val="3"/>
          <w:szCs w:val="3"/>
          <w:color w:val="auto"/>
        </w:rPr>
      </w:pPr>
    </w:p>
    <w:p>
      <w:pPr>
        <w:ind w:left="40" w:hanging="32"/>
        <w:spacing w:after="0" w:line="185" w:lineRule="auto"/>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u w:val="single" w:color="auto"/>
          <w:color w:val="0000EE"/>
          <w:vertAlign w:val="subscript"/>
        </w:rPr>
        <w:t>50</w:t>
      </w:r>
    </w:p>
    <w:p>
      <w:pPr>
        <w:ind w:left="40" w:hanging="32"/>
        <w:spacing w:after="0" w:line="191" w:lineRule="auto"/>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u w:val="single" w:color="auto"/>
          <w:color w:val="0000EE"/>
          <w:vertAlign w:val="subscript"/>
        </w:rPr>
        <w:t>51</w:t>
      </w:r>
    </w:p>
    <w:p>
      <w:pPr>
        <w:spacing w:after="0" w:line="36" w:lineRule="exact"/>
        <w:rPr>
          <w:rFonts w:ascii="Times New Roman" w:cs="Times New Roman" w:eastAsia="Times New Roman" w:hAnsi="Times New Roman"/>
          <w:sz w:val="3"/>
          <w:szCs w:val="3"/>
          <w:color w:val="auto"/>
        </w:rPr>
      </w:pPr>
    </w:p>
    <w:p>
      <w:pPr>
        <w:ind w:left="40" w:hanging="32"/>
        <w:spacing w:after="0"/>
        <w:tabs>
          <w:tab w:leader="none" w:pos="40" w:val="left"/>
        </w:tabs>
        <w:numPr>
          <w:ilvl w:val="0"/>
          <w:numId w:val="13"/>
        </w:numPr>
        <w:rPr>
          <w:rFonts w:ascii="Times New Roman" w:cs="Times New Roman" w:eastAsia="Times New Roman" w:hAnsi="Times New Roman"/>
          <w:sz w:val="6"/>
          <w:szCs w:val="6"/>
          <w:color w:val="auto"/>
          <w:vertAlign w:val="superscript"/>
        </w:rPr>
      </w:pPr>
      <w:r>
        <w:rPr>
          <w:rFonts w:ascii="Times New Roman" w:cs="Times New Roman" w:eastAsia="Times New Roman" w:hAnsi="Times New Roman"/>
          <w:sz w:val="6"/>
          <w:szCs w:val="6"/>
          <w:color w:val="000000"/>
          <w:vertAlign w:val="superscript"/>
        </w:rPr>
        <w:t>​</w:t>
      </w:r>
      <w:r>
        <w:rPr>
          <w:rFonts w:ascii="Arial" w:cs="Arial" w:eastAsia="Arial" w:hAnsi="Arial"/>
          <w:sz w:val="10"/>
          <w:szCs w:val="10"/>
          <w:color w:val="0000EE"/>
        </w:rPr>
        <w:t xml:space="preserve">  </w:t>
      </w:r>
      <w:r>
        <w:rPr>
          <w:rFonts w:ascii="Arial" w:cs="Arial" w:eastAsia="Arial" w:hAnsi="Arial"/>
          <w:sz w:val="10"/>
          <w:szCs w:val="10"/>
          <w:u w:val="single" w:color="auto"/>
          <w:color w:val="0000EE"/>
        </w:rPr>
        <w:t>52</w:t>
      </w:r>
    </w:p>
    <w:p>
      <w:pPr>
        <w:spacing w:after="0" w:line="87" w:lineRule="exact"/>
        <w:rPr>
          <w:rFonts w:ascii="Times New Roman" w:cs="Times New Roman" w:eastAsia="Times New Roman" w:hAnsi="Times New Roman"/>
          <w:sz w:val="6"/>
          <w:szCs w:val="6"/>
          <w:color w:val="auto"/>
          <w:vertAlign w:val="superscript"/>
        </w:rPr>
      </w:pPr>
    </w:p>
    <w:p>
      <w:pPr>
        <w:ind w:left="40" w:hanging="32"/>
        <w:spacing w:after="0"/>
        <w:tabs>
          <w:tab w:leader="none" w:pos="40" w:val="left"/>
        </w:tabs>
        <w:numPr>
          <w:ilvl w:val="0"/>
          <w:numId w:val="13"/>
        </w:numPr>
        <w:rPr>
          <w:rFonts w:ascii="Times New Roman" w:cs="Times New Roman" w:eastAsia="Times New Roman" w:hAnsi="Times New Roman"/>
          <w:sz w:val="6"/>
          <w:szCs w:val="6"/>
          <w:color w:val="auto"/>
          <w:vertAlign w:val="superscript"/>
        </w:rPr>
      </w:pPr>
      <w:r>
        <w:rPr>
          <w:rFonts w:ascii="Times New Roman" w:cs="Times New Roman" w:eastAsia="Times New Roman" w:hAnsi="Times New Roman"/>
          <w:sz w:val="6"/>
          <w:szCs w:val="6"/>
          <w:color w:val="000000"/>
          <w:vertAlign w:val="superscript"/>
        </w:rPr>
        <w:t>​</w:t>
      </w:r>
      <w:r>
        <w:rPr>
          <w:rFonts w:ascii="Arial" w:cs="Arial" w:eastAsia="Arial" w:hAnsi="Arial"/>
          <w:sz w:val="10"/>
          <w:szCs w:val="10"/>
          <w:color w:val="0000EE"/>
        </w:rPr>
        <w:t xml:space="preserve">  </w:t>
      </w:r>
      <w:r>
        <w:rPr>
          <w:rFonts w:ascii="Arial" w:cs="Arial" w:eastAsia="Arial" w:hAnsi="Arial"/>
          <w:sz w:val="10"/>
          <w:szCs w:val="10"/>
          <w:u w:val="single" w:color="auto"/>
          <w:color w:val="0000EE"/>
        </w:rPr>
        <w:t>53</w:t>
      </w:r>
    </w:p>
    <w:p>
      <w:pPr>
        <w:spacing w:after="0" w:line="87" w:lineRule="exact"/>
        <w:rPr>
          <w:rFonts w:ascii="Times New Roman" w:cs="Times New Roman" w:eastAsia="Times New Roman" w:hAnsi="Times New Roman"/>
          <w:sz w:val="6"/>
          <w:szCs w:val="6"/>
          <w:color w:val="auto"/>
          <w:vertAlign w:val="superscript"/>
        </w:rPr>
      </w:pPr>
    </w:p>
    <w:p>
      <w:pPr>
        <w:ind w:left="40" w:hanging="32"/>
        <w:spacing w:after="0"/>
        <w:tabs>
          <w:tab w:leader="none" w:pos="40" w:val="left"/>
        </w:tabs>
        <w:numPr>
          <w:ilvl w:val="0"/>
          <w:numId w:val="13"/>
        </w:numPr>
        <w:rPr>
          <w:rFonts w:ascii="Times New Roman" w:cs="Times New Roman" w:eastAsia="Times New Roman" w:hAnsi="Times New Roman"/>
          <w:sz w:val="6"/>
          <w:szCs w:val="6"/>
          <w:color w:val="auto"/>
          <w:vertAlign w:val="superscript"/>
        </w:rPr>
      </w:pPr>
      <w:r>
        <w:rPr>
          <w:rFonts w:ascii="Times New Roman" w:cs="Times New Roman" w:eastAsia="Times New Roman" w:hAnsi="Times New Roman"/>
          <w:sz w:val="6"/>
          <w:szCs w:val="6"/>
          <w:color w:val="000000"/>
          <w:vertAlign w:val="superscript"/>
        </w:rPr>
        <w:t>​</w:t>
      </w:r>
      <w:r>
        <w:rPr>
          <w:rFonts w:ascii="Arial" w:cs="Arial" w:eastAsia="Arial" w:hAnsi="Arial"/>
          <w:sz w:val="10"/>
          <w:szCs w:val="10"/>
          <w:color w:val="0000EE"/>
        </w:rPr>
        <w:t xml:space="preserve">  </w:t>
      </w:r>
      <w:r>
        <w:rPr>
          <w:rFonts w:ascii="Arial" w:cs="Arial" w:eastAsia="Arial" w:hAnsi="Arial"/>
          <w:sz w:val="10"/>
          <w:szCs w:val="10"/>
          <w:u w:val="single" w:color="auto"/>
          <w:color w:val="0000EE"/>
        </w:rPr>
        <w:t>55</w:t>
      </w:r>
    </w:p>
    <w:p>
      <w:pPr>
        <w:spacing w:after="0" w:line="87" w:lineRule="exact"/>
        <w:rPr>
          <w:rFonts w:ascii="Times New Roman" w:cs="Times New Roman" w:eastAsia="Times New Roman" w:hAnsi="Times New Roman"/>
          <w:sz w:val="6"/>
          <w:szCs w:val="6"/>
          <w:color w:val="auto"/>
          <w:vertAlign w:val="superscript"/>
        </w:rPr>
      </w:pPr>
    </w:p>
    <w:p>
      <w:pPr>
        <w:ind w:left="40" w:hanging="32"/>
        <w:spacing w:after="0"/>
        <w:tabs>
          <w:tab w:leader="none" w:pos="40" w:val="left"/>
        </w:tabs>
        <w:numPr>
          <w:ilvl w:val="0"/>
          <w:numId w:val="13"/>
        </w:numPr>
        <w:rPr>
          <w:rFonts w:ascii="Times New Roman" w:cs="Times New Roman" w:eastAsia="Times New Roman" w:hAnsi="Times New Roman"/>
          <w:sz w:val="6"/>
          <w:szCs w:val="6"/>
          <w:color w:val="auto"/>
          <w:vertAlign w:val="superscript"/>
        </w:rPr>
      </w:pPr>
      <w:r>
        <w:rPr>
          <w:rFonts w:ascii="Times New Roman" w:cs="Times New Roman" w:eastAsia="Times New Roman" w:hAnsi="Times New Roman"/>
          <w:sz w:val="6"/>
          <w:szCs w:val="6"/>
          <w:color w:val="000000"/>
          <w:vertAlign w:val="superscript"/>
        </w:rPr>
        <w:t>​</w:t>
      </w:r>
      <w:r>
        <w:rPr>
          <w:rFonts w:ascii="Arial" w:cs="Arial" w:eastAsia="Arial" w:hAnsi="Arial"/>
          <w:sz w:val="10"/>
          <w:szCs w:val="10"/>
          <w:color w:val="0000EE"/>
        </w:rPr>
        <w:t xml:space="preserve">  </w:t>
      </w:r>
      <w:r>
        <w:rPr>
          <w:rFonts w:ascii="Arial" w:cs="Arial" w:eastAsia="Arial" w:hAnsi="Arial"/>
          <w:sz w:val="10"/>
          <w:szCs w:val="10"/>
          <w:u w:val="single" w:color="auto"/>
          <w:color w:val="0000EE"/>
        </w:rPr>
        <w:t>56</w:t>
      </w:r>
    </w:p>
    <w:p>
      <w:pPr>
        <w:spacing w:after="0" w:line="50" w:lineRule="exact"/>
        <w:rPr>
          <w:rFonts w:ascii="Times New Roman" w:cs="Times New Roman" w:eastAsia="Times New Roman" w:hAnsi="Times New Roman"/>
          <w:sz w:val="6"/>
          <w:szCs w:val="6"/>
          <w:color w:val="auto"/>
          <w:vertAlign w:val="superscript"/>
        </w:rPr>
      </w:pPr>
    </w:p>
    <w:p>
      <w:pPr>
        <w:ind w:left="40" w:hanging="32"/>
        <w:spacing w:after="0"/>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u w:val="single" w:color="auto"/>
          <w:color w:val="0000EE"/>
          <w:vertAlign w:val="subscript"/>
        </w:rPr>
        <w:t>56</w:t>
      </w:r>
    </w:p>
    <w:p>
      <w:pPr>
        <w:spacing w:after="0" w:line="106" w:lineRule="exact"/>
        <w:rPr>
          <w:rFonts w:ascii="Times New Roman" w:cs="Times New Roman" w:eastAsia="Times New Roman" w:hAnsi="Times New Roman"/>
          <w:sz w:val="3"/>
          <w:szCs w:val="3"/>
          <w:color w:val="auto"/>
        </w:rPr>
      </w:pPr>
    </w:p>
    <w:p>
      <w:pPr>
        <w:ind w:left="40" w:hanging="32"/>
        <w:spacing w:after="0"/>
        <w:tabs>
          <w:tab w:leader="none" w:pos="40" w:val="left"/>
        </w:tabs>
        <w:numPr>
          <w:ilvl w:val="0"/>
          <w:numId w:val="13"/>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Arial" w:cs="Arial" w:eastAsia="Arial" w:hAnsi="Arial"/>
          <w:sz w:val="12"/>
          <w:szCs w:val="12"/>
          <w:u w:val="single" w:color="auto"/>
          <w:color w:val="0000EE"/>
        </w:rPr>
        <w:t>57</w:t>
      </w:r>
    </w:p>
    <w:p>
      <w:pPr>
        <w:spacing w:after="0" w:line="63" w:lineRule="exact"/>
        <w:rPr>
          <w:rFonts w:ascii="Times New Roman" w:cs="Times New Roman" w:eastAsia="Times New Roman" w:hAnsi="Times New Roman"/>
          <w:sz w:val="4"/>
          <w:szCs w:val="4"/>
          <w:color w:val="auto"/>
        </w:rPr>
      </w:pPr>
    </w:p>
    <w:p>
      <w:pPr>
        <w:ind w:left="40" w:hanging="32"/>
        <w:spacing w:after="0"/>
        <w:tabs>
          <w:tab w:leader="none" w:pos="40" w:val="left"/>
        </w:tabs>
        <w:numPr>
          <w:ilvl w:val="0"/>
          <w:numId w:val="13"/>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Arial" w:cs="Arial" w:eastAsia="Arial" w:hAnsi="Arial"/>
          <w:sz w:val="12"/>
          <w:szCs w:val="12"/>
          <w:u w:val="single" w:color="auto"/>
          <w:color w:val="0000EE"/>
        </w:rPr>
        <w:t>57</w:t>
      </w:r>
    </w:p>
    <w:p>
      <w:pPr>
        <w:spacing w:after="0" w:line="63" w:lineRule="exact"/>
        <w:rPr>
          <w:rFonts w:ascii="Times New Roman" w:cs="Times New Roman" w:eastAsia="Times New Roman" w:hAnsi="Times New Roman"/>
          <w:sz w:val="4"/>
          <w:szCs w:val="4"/>
          <w:color w:val="auto"/>
        </w:rPr>
      </w:pPr>
    </w:p>
    <w:p>
      <w:pPr>
        <w:ind w:left="40" w:hanging="32"/>
        <w:spacing w:after="0"/>
        <w:tabs>
          <w:tab w:leader="none" w:pos="40" w:val="left"/>
        </w:tabs>
        <w:numPr>
          <w:ilvl w:val="0"/>
          <w:numId w:val="13"/>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Arial" w:cs="Arial" w:eastAsia="Arial" w:hAnsi="Arial"/>
          <w:sz w:val="12"/>
          <w:szCs w:val="12"/>
          <w:u w:val="single" w:color="auto"/>
          <w:color w:val="0000EE"/>
        </w:rPr>
        <w:t>58</w:t>
      </w:r>
    </w:p>
    <w:p>
      <w:pPr>
        <w:spacing w:after="0" w:line="27" w:lineRule="exact"/>
        <w:rPr>
          <w:rFonts w:ascii="Times New Roman" w:cs="Times New Roman" w:eastAsia="Times New Roman" w:hAnsi="Times New Roman"/>
          <w:sz w:val="4"/>
          <w:szCs w:val="4"/>
          <w:color w:val="auto"/>
        </w:rPr>
      </w:pPr>
    </w:p>
    <w:p>
      <w:pPr>
        <w:ind w:left="40" w:hanging="32"/>
        <w:spacing w:after="0"/>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b w:val="1"/>
          <w:bCs w:val="1"/>
          <w:u w:val="single" w:color="auto"/>
          <w:color w:val="0000EE"/>
          <w:vertAlign w:val="subscript"/>
        </w:rPr>
        <w:t>59</w:t>
      </w:r>
    </w:p>
    <w:p>
      <w:pPr>
        <w:spacing w:after="0" w:line="76" w:lineRule="exact"/>
        <w:rPr>
          <w:rFonts w:ascii="Times New Roman" w:cs="Times New Roman" w:eastAsia="Times New Roman" w:hAnsi="Times New Roman"/>
          <w:sz w:val="3"/>
          <w:szCs w:val="3"/>
          <w:color w:val="auto"/>
        </w:rPr>
      </w:pPr>
    </w:p>
    <w:p>
      <w:pPr>
        <w:ind w:left="40" w:hanging="32"/>
        <w:spacing w:after="0"/>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b w:val="1"/>
          <w:bCs w:val="1"/>
          <w:u w:val="single" w:color="auto"/>
          <w:color w:val="0000EE"/>
          <w:vertAlign w:val="subscript"/>
        </w:rPr>
        <w:t>59</w:t>
      </w:r>
    </w:p>
    <w:p>
      <w:pPr>
        <w:spacing w:after="0" w:line="312" w:lineRule="exact"/>
        <w:rPr>
          <w:rFonts w:ascii="Times New Roman" w:cs="Times New Roman" w:eastAsia="Times New Roman" w:hAnsi="Times New Roman"/>
          <w:sz w:val="3"/>
          <w:szCs w:val="3"/>
          <w:color w:val="auto"/>
        </w:rPr>
      </w:pPr>
    </w:p>
    <w:p>
      <w:pPr>
        <w:ind w:left="40" w:hanging="32"/>
        <w:spacing w:after="0"/>
        <w:tabs>
          <w:tab w:leader="none" w:pos="40" w:val="left"/>
        </w:tabs>
        <w:numPr>
          <w:ilvl w:val="0"/>
          <w:numId w:val="13"/>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w:t>
      </w:r>
    </w:p>
    <w:p>
      <w:pPr>
        <w:spacing w:after="0" w:line="26" w:lineRule="exact"/>
        <w:rPr>
          <w:rFonts w:ascii="Times New Roman" w:cs="Times New Roman" w:eastAsia="Times New Roman" w:hAnsi="Times New Roman"/>
          <w:sz w:val="4"/>
          <w:szCs w:val="4"/>
          <w:color w:val="auto"/>
        </w:rPr>
      </w:pPr>
    </w:p>
    <w:p>
      <w:pPr>
        <w:ind w:left="80"/>
        <w:spacing w:after="0"/>
        <w:rPr>
          <w:rFonts w:ascii="Times New Roman" w:cs="Times New Roman" w:eastAsia="Times New Roman" w:hAnsi="Times New Roman"/>
          <w:sz w:val="4"/>
          <w:szCs w:val="4"/>
          <w:color w:val="auto"/>
        </w:rPr>
      </w:pPr>
      <w:r>
        <w:rPr>
          <w:rFonts w:ascii="Arial" w:cs="Arial" w:eastAsia="Arial" w:hAnsi="Arial"/>
          <w:sz w:val="12"/>
          <w:szCs w:val="12"/>
          <w:b w:val="1"/>
          <w:bCs w:val="1"/>
          <w:u w:val="single" w:color="auto"/>
          <w:color w:val="0000EE"/>
        </w:rPr>
        <w:t>59</w:t>
      </w:r>
    </w:p>
    <w:p>
      <w:pPr>
        <w:spacing w:after="0" w:line="33" w:lineRule="exact"/>
        <w:rPr>
          <w:rFonts w:ascii="Times New Roman" w:cs="Times New Roman" w:eastAsia="Times New Roman" w:hAnsi="Times New Roman"/>
          <w:sz w:val="4"/>
          <w:szCs w:val="4"/>
          <w:color w:val="auto"/>
        </w:rPr>
      </w:pPr>
    </w:p>
    <w:p>
      <w:pPr>
        <w:ind w:left="40" w:hanging="32"/>
        <w:spacing w:after="0"/>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b w:val="1"/>
          <w:bCs w:val="1"/>
          <w:u w:val="single" w:color="auto"/>
          <w:color w:val="0000EE"/>
          <w:vertAlign w:val="subscript"/>
        </w:rPr>
        <w:t>60</w:t>
      </w:r>
    </w:p>
    <w:p>
      <w:pPr>
        <w:spacing w:after="0" w:line="83" w:lineRule="exact"/>
        <w:rPr>
          <w:rFonts w:ascii="Times New Roman" w:cs="Times New Roman" w:eastAsia="Times New Roman" w:hAnsi="Times New Roman"/>
          <w:sz w:val="3"/>
          <w:szCs w:val="3"/>
          <w:color w:val="auto"/>
        </w:rPr>
      </w:pPr>
    </w:p>
    <w:p>
      <w:pPr>
        <w:ind w:left="40" w:hanging="32"/>
        <w:spacing w:after="0"/>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b w:val="1"/>
          <w:bCs w:val="1"/>
          <w:u w:val="single" w:color="auto"/>
          <w:color w:val="0000EE"/>
          <w:vertAlign w:val="subscript"/>
        </w:rPr>
        <w:t>60</w:t>
      </w:r>
    </w:p>
    <w:p>
      <w:pPr>
        <w:spacing w:after="0" w:line="83" w:lineRule="exact"/>
        <w:rPr>
          <w:rFonts w:ascii="Times New Roman" w:cs="Times New Roman" w:eastAsia="Times New Roman" w:hAnsi="Times New Roman"/>
          <w:sz w:val="3"/>
          <w:szCs w:val="3"/>
          <w:color w:val="auto"/>
        </w:rPr>
      </w:pPr>
    </w:p>
    <w:p>
      <w:pPr>
        <w:ind w:left="40" w:hanging="32"/>
        <w:spacing w:after="0" w:line="198" w:lineRule="auto"/>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u w:val="single" w:color="auto"/>
          <w:color w:val="0000EE"/>
          <w:vertAlign w:val="subscript"/>
        </w:rPr>
        <w:t>61</w:t>
      </w:r>
    </w:p>
    <w:p>
      <w:pPr>
        <w:ind w:left="40" w:hanging="32"/>
        <w:spacing w:after="0" w:line="191" w:lineRule="auto"/>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u w:val="single" w:color="auto"/>
          <w:color w:val="0000EE"/>
          <w:vertAlign w:val="subscript"/>
        </w:rPr>
        <w:t>63</w:t>
      </w:r>
    </w:p>
    <w:p>
      <w:pPr>
        <w:ind w:left="40" w:hanging="32"/>
        <w:spacing w:after="0" w:line="191" w:lineRule="auto"/>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u w:val="single" w:color="auto"/>
          <w:color w:val="0000EE"/>
          <w:vertAlign w:val="subscript"/>
        </w:rPr>
        <w:t>63</w:t>
      </w:r>
    </w:p>
    <w:p>
      <w:pPr>
        <w:ind w:left="40" w:hanging="32"/>
        <w:spacing w:after="0" w:line="191" w:lineRule="auto"/>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u w:val="single" w:color="auto"/>
          <w:color w:val="0000EE"/>
          <w:vertAlign w:val="subscript"/>
        </w:rPr>
        <w:t>63</w:t>
      </w:r>
    </w:p>
    <w:p>
      <w:pPr>
        <w:spacing w:after="0" w:line="221" w:lineRule="exact"/>
        <w:rPr>
          <w:rFonts w:ascii="Times New Roman" w:cs="Times New Roman" w:eastAsia="Times New Roman" w:hAnsi="Times New Roman"/>
          <w:sz w:val="3"/>
          <w:szCs w:val="3"/>
          <w:color w:val="auto"/>
        </w:rPr>
      </w:pPr>
    </w:p>
    <w:p>
      <w:pPr>
        <w:ind w:left="40" w:hanging="32"/>
        <w:spacing w:after="0"/>
        <w:tabs>
          <w:tab w:leader="none" w:pos="40" w:val="left"/>
        </w:tabs>
        <w:numPr>
          <w:ilvl w:val="0"/>
          <w:numId w:val="13"/>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w:t>
      </w:r>
    </w:p>
    <w:p>
      <w:pPr>
        <w:spacing w:after="0" w:line="26" w:lineRule="exact"/>
        <w:rPr>
          <w:rFonts w:ascii="Times New Roman" w:cs="Times New Roman" w:eastAsia="Times New Roman" w:hAnsi="Times New Roman"/>
          <w:sz w:val="4"/>
          <w:szCs w:val="4"/>
          <w:color w:val="auto"/>
        </w:rPr>
      </w:pPr>
    </w:p>
    <w:p>
      <w:pPr>
        <w:ind w:left="80"/>
        <w:spacing w:after="0"/>
        <w:rPr>
          <w:rFonts w:ascii="Times New Roman" w:cs="Times New Roman" w:eastAsia="Times New Roman" w:hAnsi="Times New Roman"/>
          <w:sz w:val="4"/>
          <w:szCs w:val="4"/>
          <w:color w:val="auto"/>
        </w:rPr>
      </w:pPr>
      <w:r>
        <w:rPr>
          <w:rFonts w:ascii="Arial" w:cs="Arial" w:eastAsia="Arial" w:hAnsi="Arial"/>
          <w:sz w:val="12"/>
          <w:szCs w:val="12"/>
          <w:b w:val="1"/>
          <w:bCs w:val="1"/>
          <w:u w:val="single" w:color="auto"/>
          <w:color w:val="0000EE"/>
        </w:rPr>
        <w:t>64</w:t>
      </w:r>
    </w:p>
    <w:p>
      <w:pPr>
        <w:spacing w:after="0" w:line="33" w:lineRule="exact"/>
        <w:rPr>
          <w:rFonts w:ascii="Times New Roman" w:cs="Times New Roman" w:eastAsia="Times New Roman" w:hAnsi="Times New Roman"/>
          <w:sz w:val="4"/>
          <w:szCs w:val="4"/>
          <w:color w:val="auto"/>
        </w:rPr>
      </w:pPr>
    </w:p>
    <w:p>
      <w:pPr>
        <w:ind w:left="40" w:hanging="32"/>
        <w:spacing w:after="0"/>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b w:val="1"/>
          <w:bCs w:val="1"/>
          <w:u w:val="single" w:color="auto"/>
          <w:color w:val="0000EE"/>
          <w:vertAlign w:val="subscript"/>
        </w:rPr>
        <w:t>64</w:t>
      </w:r>
    </w:p>
    <w:p>
      <w:pPr>
        <w:spacing w:after="0" w:line="83" w:lineRule="exact"/>
        <w:rPr>
          <w:rFonts w:ascii="Times New Roman" w:cs="Times New Roman" w:eastAsia="Times New Roman" w:hAnsi="Times New Roman"/>
          <w:sz w:val="3"/>
          <w:szCs w:val="3"/>
          <w:color w:val="auto"/>
        </w:rPr>
      </w:pPr>
    </w:p>
    <w:p>
      <w:pPr>
        <w:ind w:left="40" w:hanging="32"/>
        <w:spacing w:after="0"/>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b w:val="1"/>
          <w:bCs w:val="1"/>
          <w:u w:val="single" w:color="auto"/>
          <w:color w:val="0000EE"/>
          <w:vertAlign w:val="subscript"/>
        </w:rPr>
        <w:t>64</w:t>
      </w:r>
    </w:p>
    <w:p>
      <w:pPr>
        <w:spacing w:after="0" w:line="83" w:lineRule="exact"/>
        <w:rPr>
          <w:rFonts w:ascii="Times New Roman" w:cs="Times New Roman" w:eastAsia="Times New Roman" w:hAnsi="Times New Roman"/>
          <w:sz w:val="3"/>
          <w:szCs w:val="3"/>
          <w:color w:val="auto"/>
        </w:rPr>
      </w:pPr>
    </w:p>
    <w:p>
      <w:pPr>
        <w:ind w:left="40" w:hanging="32"/>
        <w:spacing w:after="0"/>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b w:val="1"/>
          <w:bCs w:val="1"/>
          <w:u w:val="single" w:color="auto"/>
          <w:color w:val="0000EE"/>
          <w:vertAlign w:val="subscript"/>
        </w:rPr>
        <w:t>65</w:t>
      </w:r>
    </w:p>
    <w:p>
      <w:pPr>
        <w:spacing w:after="0" w:line="83" w:lineRule="exact"/>
        <w:rPr>
          <w:rFonts w:ascii="Times New Roman" w:cs="Times New Roman" w:eastAsia="Times New Roman" w:hAnsi="Times New Roman"/>
          <w:sz w:val="3"/>
          <w:szCs w:val="3"/>
          <w:color w:val="auto"/>
        </w:rPr>
      </w:pPr>
    </w:p>
    <w:p>
      <w:pPr>
        <w:ind w:left="40" w:hanging="32"/>
        <w:spacing w:after="0"/>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b w:val="1"/>
          <w:bCs w:val="1"/>
          <w:u w:val="single" w:color="auto"/>
          <w:color w:val="0000EE"/>
          <w:vertAlign w:val="subscript"/>
        </w:rPr>
        <w:t>67</w:t>
      </w:r>
    </w:p>
    <w:p>
      <w:pPr>
        <w:spacing w:after="0" w:line="127" w:lineRule="exact"/>
        <w:rPr>
          <w:rFonts w:ascii="Times New Roman" w:cs="Times New Roman" w:eastAsia="Times New Roman" w:hAnsi="Times New Roman"/>
          <w:sz w:val="3"/>
          <w:szCs w:val="3"/>
          <w:color w:val="auto"/>
        </w:rPr>
      </w:pPr>
    </w:p>
    <w:p>
      <w:pPr>
        <w:ind w:left="40" w:hanging="32"/>
        <w:spacing w:after="0"/>
        <w:tabs>
          <w:tab w:leader="none" w:pos="40" w:val="left"/>
        </w:tabs>
        <w:numPr>
          <w:ilvl w:val="0"/>
          <w:numId w:val="13"/>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Arial" w:cs="Arial" w:eastAsia="Arial" w:hAnsi="Arial"/>
          <w:sz w:val="12"/>
          <w:szCs w:val="12"/>
          <w:u w:val="single" w:color="auto"/>
          <w:color w:val="0000EE"/>
        </w:rPr>
        <w:t>67</w:t>
      </w:r>
    </w:p>
    <w:p>
      <w:pPr>
        <w:spacing w:after="0" w:line="63" w:lineRule="exact"/>
        <w:rPr>
          <w:rFonts w:ascii="Times New Roman" w:cs="Times New Roman" w:eastAsia="Times New Roman" w:hAnsi="Times New Roman"/>
          <w:sz w:val="4"/>
          <w:szCs w:val="4"/>
          <w:color w:val="auto"/>
        </w:rPr>
      </w:pPr>
    </w:p>
    <w:p>
      <w:pPr>
        <w:ind w:left="40" w:hanging="32"/>
        <w:spacing w:after="0"/>
        <w:tabs>
          <w:tab w:leader="none" w:pos="40" w:val="left"/>
        </w:tabs>
        <w:numPr>
          <w:ilvl w:val="0"/>
          <w:numId w:val="13"/>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Arial" w:cs="Arial" w:eastAsia="Arial" w:hAnsi="Arial"/>
          <w:sz w:val="12"/>
          <w:szCs w:val="12"/>
          <w:u w:val="single" w:color="auto"/>
          <w:color w:val="0000EE"/>
        </w:rPr>
        <w:t>67</w:t>
      </w:r>
    </w:p>
    <w:p>
      <w:pPr>
        <w:spacing w:after="0" w:line="63" w:lineRule="exact"/>
        <w:rPr>
          <w:rFonts w:ascii="Times New Roman" w:cs="Times New Roman" w:eastAsia="Times New Roman" w:hAnsi="Times New Roman"/>
          <w:sz w:val="4"/>
          <w:szCs w:val="4"/>
          <w:color w:val="auto"/>
        </w:rPr>
      </w:pPr>
    </w:p>
    <w:p>
      <w:pPr>
        <w:ind w:left="40" w:hanging="32"/>
        <w:spacing w:after="0"/>
        <w:tabs>
          <w:tab w:leader="none" w:pos="40" w:val="left"/>
        </w:tabs>
        <w:numPr>
          <w:ilvl w:val="0"/>
          <w:numId w:val="13"/>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Arial" w:cs="Arial" w:eastAsia="Arial" w:hAnsi="Arial"/>
          <w:sz w:val="12"/>
          <w:szCs w:val="12"/>
          <w:u w:val="single" w:color="auto"/>
          <w:color w:val="0000EE"/>
        </w:rPr>
        <w:t>67</w:t>
      </w:r>
    </w:p>
    <w:p>
      <w:pPr>
        <w:spacing w:after="0" w:line="63" w:lineRule="exact"/>
        <w:rPr>
          <w:rFonts w:ascii="Times New Roman" w:cs="Times New Roman" w:eastAsia="Times New Roman" w:hAnsi="Times New Roman"/>
          <w:sz w:val="4"/>
          <w:szCs w:val="4"/>
          <w:color w:val="auto"/>
        </w:rPr>
      </w:pPr>
    </w:p>
    <w:p>
      <w:pPr>
        <w:ind w:left="40" w:hanging="32"/>
        <w:spacing w:after="0"/>
        <w:tabs>
          <w:tab w:leader="none" w:pos="40" w:val="left"/>
        </w:tabs>
        <w:numPr>
          <w:ilvl w:val="0"/>
          <w:numId w:val="13"/>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Arial" w:cs="Arial" w:eastAsia="Arial" w:hAnsi="Arial"/>
          <w:sz w:val="12"/>
          <w:szCs w:val="12"/>
          <w:u w:val="single" w:color="auto"/>
          <w:color w:val="0000EE"/>
        </w:rPr>
        <w:t>67</w:t>
      </w:r>
    </w:p>
    <w:p>
      <w:pPr>
        <w:spacing w:after="0" w:line="167" w:lineRule="exact"/>
        <w:rPr>
          <w:rFonts w:ascii="Times New Roman" w:cs="Times New Roman" w:eastAsia="Times New Roman" w:hAnsi="Times New Roman"/>
          <w:sz w:val="4"/>
          <w:szCs w:val="4"/>
          <w:color w:val="auto"/>
        </w:rPr>
      </w:pPr>
    </w:p>
    <w:p>
      <w:pPr>
        <w:ind w:left="40" w:hanging="32"/>
        <w:spacing w:after="0"/>
        <w:tabs>
          <w:tab w:leader="none" w:pos="40" w:val="left"/>
        </w:tabs>
        <w:numPr>
          <w:ilvl w:val="0"/>
          <w:numId w:val="13"/>
        </w:numPr>
        <w:rPr>
          <w:rFonts w:ascii="Times New Roman" w:cs="Times New Roman" w:eastAsia="Times New Roman" w:hAnsi="Times New Roman"/>
          <w:sz w:val="6"/>
          <w:szCs w:val="6"/>
          <w:color w:val="auto"/>
          <w:vertAlign w:val="superscript"/>
        </w:rPr>
      </w:pPr>
      <w:r>
        <w:rPr>
          <w:rFonts w:ascii="Times New Roman" w:cs="Times New Roman" w:eastAsia="Times New Roman" w:hAnsi="Times New Roman"/>
          <w:sz w:val="6"/>
          <w:szCs w:val="6"/>
          <w:color w:val="000000"/>
          <w:vertAlign w:val="superscript"/>
        </w:rPr>
        <w:t>​</w:t>
      </w:r>
      <w:r>
        <w:rPr>
          <w:rFonts w:ascii="Arial" w:cs="Arial" w:eastAsia="Arial" w:hAnsi="Arial"/>
          <w:sz w:val="10"/>
          <w:szCs w:val="10"/>
          <w:color w:val="0000EE"/>
        </w:rPr>
        <w:t xml:space="preserve">  </w:t>
      </w:r>
      <w:r>
        <w:rPr>
          <w:rFonts w:ascii="Arial" w:cs="Arial" w:eastAsia="Arial" w:hAnsi="Arial"/>
          <w:sz w:val="10"/>
          <w:szCs w:val="10"/>
          <w:u w:val="single" w:color="auto"/>
          <w:color w:val="0000EE"/>
        </w:rPr>
        <w:t>67</w:t>
      </w:r>
    </w:p>
    <w:p>
      <w:pPr>
        <w:spacing w:after="0" w:line="69" w:lineRule="exact"/>
        <w:rPr>
          <w:rFonts w:ascii="Times New Roman" w:cs="Times New Roman" w:eastAsia="Times New Roman" w:hAnsi="Times New Roman"/>
          <w:sz w:val="6"/>
          <w:szCs w:val="6"/>
          <w:color w:val="auto"/>
          <w:vertAlign w:val="superscript"/>
        </w:rPr>
      </w:pPr>
    </w:p>
    <w:p>
      <w:pPr>
        <w:ind w:left="40" w:hanging="32"/>
        <w:spacing w:after="0"/>
        <w:tabs>
          <w:tab w:leader="none" w:pos="40" w:val="left"/>
        </w:tabs>
        <w:numPr>
          <w:ilvl w:val="0"/>
          <w:numId w:val="1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 xml:space="preserve">​  </w:t>
      </w:r>
      <w:r>
        <w:rPr>
          <w:rFonts w:ascii="Arial" w:cs="Arial" w:eastAsia="Arial" w:hAnsi="Arial"/>
          <w:sz w:val="22"/>
          <w:szCs w:val="22"/>
          <w:b w:val="1"/>
          <w:bCs w:val="1"/>
          <w:u w:val="single" w:color="auto"/>
          <w:color w:val="0000EE"/>
          <w:vertAlign w:val="subscript"/>
        </w:rPr>
        <w:t>68</w:t>
      </w:r>
    </w:p>
    <w:p>
      <w:pPr>
        <w:spacing w:after="0" w:line="372"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94" w:lineRule="exact"/>
        <w:rPr>
          <w:sz w:val="20"/>
          <w:szCs w:val="20"/>
          <w:color w:val="auto"/>
        </w:rPr>
      </w:pPr>
    </w:p>
    <w:p>
      <w:pPr>
        <w:jc w:val="right"/>
        <w:ind w:right="19"/>
        <w:spacing w:after="0"/>
        <w:rPr>
          <w:sz w:val="20"/>
          <w:szCs w:val="20"/>
          <w:color w:val="auto"/>
        </w:rPr>
      </w:pPr>
      <w:r>
        <w:rPr>
          <w:rFonts w:ascii="Arial" w:cs="Arial" w:eastAsia="Arial" w:hAnsi="Arial"/>
          <w:sz w:val="13"/>
          <w:szCs w:val="13"/>
          <w:b w:val="1"/>
          <w:bCs w:val="1"/>
          <w:u w:val="single" w:color="auto"/>
          <w:color w:val="0000EE"/>
        </w:rPr>
        <w:t>68</w:t>
      </w:r>
    </w:p>
    <w:p>
      <w:pPr>
        <w:spacing w:after="0" w:line="25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26" w:lineRule="exact"/>
        <w:rPr>
          <w:sz w:val="20"/>
          <w:szCs w:val="20"/>
          <w:color w:val="auto"/>
        </w:rPr>
      </w:pPr>
    </w:p>
    <w:p>
      <w:pPr>
        <w:jc w:val="right"/>
        <w:ind w:right="19"/>
        <w:spacing w:after="0"/>
        <w:rPr>
          <w:sz w:val="20"/>
          <w:szCs w:val="20"/>
          <w:color w:val="auto"/>
        </w:rPr>
      </w:pPr>
      <w:r>
        <w:rPr>
          <w:rFonts w:ascii="Arial" w:cs="Arial" w:eastAsia="Arial" w:hAnsi="Arial"/>
          <w:sz w:val="13"/>
          <w:szCs w:val="13"/>
          <w:b w:val="1"/>
          <w:bCs w:val="1"/>
          <w:u w:val="single" w:color="auto"/>
          <w:color w:val="0000EE"/>
        </w:rPr>
        <w:t>69</w:t>
      </w:r>
    </w:p>
    <w:p>
      <w:pPr>
        <w:spacing w:after="0" w:line="137" w:lineRule="exact"/>
        <w:rPr>
          <w:sz w:val="20"/>
          <w:szCs w:val="20"/>
          <w:color w:val="auto"/>
        </w:rPr>
      </w:pPr>
    </w:p>
    <w:p>
      <w:pPr>
        <w:sectPr>
          <w:pgSz w:w="11900" w:h="16838" w:orient="portrait"/>
          <w:cols w:equalWidth="0" w:num="3">
            <w:col w:w="4900" w:space="380"/>
            <w:col w:w="3900" w:space="120"/>
            <w:col w:w="239"/>
          </w:cols>
          <w:pgMar w:left="920" w:top="114" w:right="1440" w:bottom="710" w:gutter="0" w:footer="0" w:header="0"/>
        </w:sectPr>
      </w:pPr>
    </w:p>
    <w:tbl>
      <w:tblPr>
        <w:tblLayout w:type="fixed"/>
        <w:tblInd w:w="980" w:type="dxa"/>
        <w:tblCellMar>
          <w:top w:w="0" w:type="dxa"/>
          <w:left w:w="0" w:type="dxa"/>
          <w:bottom w:w="0" w:type="dxa"/>
          <w:right w:w="0" w:type="dxa"/>
        </w:tblCellMar>
      </w:tblPr>
      <w:tr>
        <w:trPr>
          <w:trHeight w:val="149"/>
        </w:trPr>
        <w:tc>
          <w:tcPr>
            <w:tcW w:w="3780" w:type="dxa"/>
            <w:vAlign w:val="bottom"/>
            <w:gridSpan w:val="20"/>
          </w:tcPr>
          <w:p>
            <w:pPr>
              <w:spacing w:after="0"/>
              <w:rPr>
                <w:sz w:val="20"/>
                <w:szCs w:val="20"/>
                <w:color w:val="auto"/>
              </w:rPr>
            </w:pPr>
            <w:r>
              <w:rPr>
                <w:rFonts w:ascii="Arial" w:cs="Arial" w:eastAsia="Arial" w:hAnsi="Arial"/>
                <w:sz w:val="13"/>
                <w:szCs w:val="13"/>
                <w:color w:val="0000EE"/>
              </w:rPr>
              <w:t>CEO Long-Term Equity Compensation Awards</w:t>
            </w:r>
          </w:p>
        </w:tc>
        <w:tc>
          <w:tcPr>
            <w:tcW w:w="140" w:type="dxa"/>
            <w:vAlign w:val="bottom"/>
          </w:tcPr>
          <w:p>
            <w:pPr>
              <w:jc w:val="right"/>
              <w:spacing w:after="0"/>
              <w:rPr>
                <w:sz w:val="20"/>
                <w:szCs w:val="20"/>
                <w:color w:val="auto"/>
              </w:rPr>
            </w:pPr>
            <w:r>
              <w:rPr>
                <w:rFonts w:ascii="Arial" w:cs="Arial" w:eastAsia="Arial" w:hAnsi="Arial"/>
                <w:sz w:val="13"/>
                <w:szCs w:val="13"/>
                <w:color w:val="0000EE"/>
                <w:w w:val="82"/>
              </w:rPr>
              <w:t>32</w:t>
            </w:r>
          </w:p>
        </w:tc>
        <w:tc>
          <w:tcPr>
            <w:tcW w:w="0" w:type="dxa"/>
            <w:vAlign w:val="bottom"/>
          </w:tcPr>
          <w:p>
            <w:pPr>
              <w:spacing w:after="0"/>
              <w:rPr>
                <w:sz w:val="1"/>
                <w:szCs w:val="1"/>
                <w:color w:val="auto"/>
              </w:rPr>
            </w:pPr>
          </w:p>
        </w:tc>
      </w:tr>
      <w:tr>
        <w:trPr>
          <w:trHeight w:val="183"/>
        </w:trPr>
        <w:tc>
          <w:tcPr>
            <w:tcW w:w="2580" w:type="dxa"/>
            <w:vAlign w:val="bottom"/>
            <w:tcBorders>
              <w:top w:val="single" w:sz="8" w:color="0000EE"/>
            </w:tcBorders>
            <w:gridSpan w:val="13"/>
          </w:tcPr>
          <w:p>
            <w:pPr>
              <w:spacing w:after="0"/>
              <w:rPr>
                <w:sz w:val="20"/>
                <w:szCs w:val="20"/>
                <w:color w:val="auto"/>
              </w:rPr>
            </w:pPr>
            <w:r>
              <w:rPr>
                <w:rFonts w:ascii="Arial" w:cs="Arial" w:eastAsia="Arial" w:hAnsi="Arial"/>
                <w:sz w:val="13"/>
                <w:szCs w:val="13"/>
                <w:color w:val="0000EE"/>
              </w:rPr>
              <w:t>Shareholder Outreach Generally</w:t>
            </w:r>
          </w:p>
        </w:tc>
        <w:tc>
          <w:tcPr>
            <w:tcW w:w="1200" w:type="dxa"/>
            <w:vAlign w:val="bottom"/>
            <w:gridSpan w:val="7"/>
          </w:tcPr>
          <w:p>
            <w:pPr>
              <w:spacing w:after="0"/>
              <w:rPr>
                <w:sz w:val="15"/>
                <w:szCs w:val="15"/>
                <w:color w:val="auto"/>
              </w:rPr>
            </w:pPr>
          </w:p>
        </w:tc>
        <w:tc>
          <w:tcPr>
            <w:tcW w:w="140" w:type="dxa"/>
            <w:vAlign w:val="bottom"/>
            <w:tcBorders>
              <w:top w:val="single" w:sz="8" w:color="0000EE"/>
            </w:tcBorders>
          </w:tcPr>
          <w:p>
            <w:pPr>
              <w:jc w:val="right"/>
              <w:spacing w:after="0"/>
              <w:rPr>
                <w:sz w:val="20"/>
                <w:szCs w:val="20"/>
                <w:color w:val="auto"/>
              </w:rPr>
            </w:pPr>
            <w:r>
              <w:rPr>
                <w:rFonts w:ascii="Arial" w:cs="Arial" w:eastAsia="Arial" w:hAnsi="Arial"/>
                <w:sz w:val="13"/>
                <w:szCs w:val="13"/>
                <w:color w:val="0000EE"/>
                <w:w w:val="82"/>
              </w:rPr>
              <w:t>33</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60" w:type="dxa"/>
            <w:vAlign w:val="bottom"/>
            <w:tcBorders>
              <w:bottom w:val="single" w:sz="8" w:color="0000EE"/>
            </w:tcBorders>
            <w:gridSpan w:val="12"/>
          </w:tcPr>
          <w:p>
            <w:pPr>
              <w:spacing w:after="0"/>
              <w:rPr>
                <w:sz w:val="20"/>
                <w:szCs w:val="20"/>
                <w:color w:val="auto"/>
              </w:rPr>
            </w:pPr>
            <w:r>
              <w:rPr>
                <w:rFonts w:ascii="Arial" w:cs="Arial" w:eastAsia="Arial" w:hAnsi="Arial"/>
                <w:sz w:val="13"/>
                <w:szCs w:val="13"/>
                <w:color w:val="0000EE"/>
                <w:w w:val="96"/>
              </w:rPr>
              <w:t>Forward-Leaning Compensation Practices</w:t>
            </w:r>
          </w:p>
        </w:tc>
        <w:tc>
          <w:tcPr>
            <w:tcW w:w="1420" w:type="dxa"/>
            <w:vAlign w:val="bottom"/>
            <w:gridSpan w:val="8"/>
          </w:tcPr>
          <w:p>
            <w:pPr>
              <w:spacing w:after="0"/>
              <w:rPr>
                <w:sz w:val="15"/>
                <w:szCs w:val="15"/>
                <w:color w:val="auto"/>
              </w:rPr>
            </w:pPr>
          </w:p>
        </w:tc>
        <w:tc>
          <w:tcPr>
            <w:tcW w:w="140" w:type="dxa"/>
            <w:vAlign w:val="bottom"/>
            <w:tcBorders>
              <w:bottom w:val="single" w:sz="8" w:color="0000EE"/>
            </w:tcBorders>
          </w:tcPr>
          <w:p>
            <w:pPr>
              <w:jc w:val="right"/>
              <w:spacing w:after="0"/>
              <w:rPr>
                <w:sz w:val="20"/>
                <w:szCs w:val="20"/>
                <w:color w:val="auto"/>
              </w:rPr>
            </w:pPr>
            <w:r>
              <w:rPr>
                <w:rFonts w:ascii="Arial" w:cs="Arial" w:eastAsia="Arial" w:hAnsi="Arial"/>
                <w:sz w:val="13"/>
                <w:szCs w:val="13"/>
                <w:color w:val="0000EE"/>
                <w:w w:val="82"/>
              </w:rPr>
              <w:t>33</w:t>
            </w:r>
          </w:p>
        </w:tc>
        <w:tc>
          <w:tcPr>
            <w:tcW w:w="0" w:type="dxa"/>
            <w:vAlign w:val="bottom"/>
          </w:tcPr>
          <w:p>
            <w:pPr>
              <w:spacing w:after="0"/>
              <w:rPr>
                <w:sz w:val="1"/>
                <w:szCs w:val="1"/>
                <w:color w:val="auto"/>
              </w:rPr>
            </w:pPr>
          </w:p>
        </w:tc>
      </w:tr>
      <w:tr>
        <w:trPr>
          <w:trHeight w:val="169"/>
        </w:trPr>
        <w:tc>
          <w:tcPr>
            <w:tcW w:w="3780" w:type="dxa"/>
            <w:vAlign w:val="bottom"/>
            <w:gridSpan w:val="20"/>
          </w:tcPr>
          <w:p>
            <w:pPr>
              <w:spacing w:after="0"/>
              <w:rPr>
                <w:sz w:val="20"/>
                <w:szCs w:val="20"/>
                <w:color w:val="auto"/>
              </w:rPr>
            </w:pPr>
            <w:r>
              <w:rPr>
                <w:rFonts w:ascii="Arial" w:cs="Arial" w:eastAsia="Arial" w:hAnsi="Arial"/>
                <w:sz w:val="13"/>
                <w:szCs w:val="13"/>
                <w:color w:val="0000EE"/>
              </w:rPr>
              <w:t>Components of Compensation and Target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0000EE"/>
                <w:w w:val="82"/>
              </w:rPr>
              <w:t>35</w:t>
            </w:r>
          </w:p>
        </w:tc>
        <w:tc>
          <w:tcPr>
            <w:tcW w:w="0" w:type="dxa"/>
            <w:vAlign w:val="bottom"/>
          </w:tcPr>
          <w:p>
            <w:pPr>
              <w:spacing w:after="0"/>
              <w:rPr>
                <w:sz w:val="1"/>
                <w:szCs w:val="1"/>
                <w:color w:val="auto"/>
              </w:rPr>
            </w:pPr>
          </w:p>
        </w:tc>
      </w:tr>
      <w:tr>
        <w:trPr>
          <w:trHeight w:val="115"/>
        </w:trPr>
        <w:tc>
          <w:tcPr>
            <w:tcW w:w="2360" w:type="dxa"/>
            <w:vAlign w:val="bottom"/>
            <w:tcBorders>
              <w:top w:val="single" w:sz="8" w:color="0000EE"/>
            </w:tcBorders>
            <w:gridSpan w:val="12"/>
          </w:tcPr>
          <w:p>
            <w:pPr>
              <w:spacing w:after="0" w:line="115" w:lineRule="exact"/>
              <w:rPr>
                <w:sz w:val="20"/>
                <w:szCs w:val="20"/>
                <w:color w:val="auto"/>
              </w:rPr>
            </w:pPr>
            <w:r>
              <w:rPr>
                <w:rFonts w:ascii="Arial" w:cs="Arial" w:eastAsia="Arial" w:hAnsi="Arial"/>
                <w:sz w:val="13"/>
                <w:szCs w:val="13"/>
                <w:color w:val="0000EE"/>
              </w:rPr>
              <w:t>Direct Compensation Mix</w:t>
            </w:r>
          </w:p>
        </w:tc>
        <w:tc>
          <w:tcPr>
            <w:tcW w:w="3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gridSpan w:val="20"/>
          </w:tcPr>
          <w:p>
            <w:pPr>
              <w:spacing w:after="0"/>
              <w:rPr>
                <w:sz w:val="20"/>
                <w:szCs w:val="20"/>
                <w:color w:val="auto"/>
              </w:rPr>
            </w:pPr>
            <w:r>
              <w:rPr>
                <w:rFonts w:ascii="Arial" w:cs="Arial" w:eastAsia="Arial" w:hAnsi="Arial"/>
                <w:sz w:val="13"/>
                <w:szCs w:val="13"/>
                <w:color w:val="0000EE"/>
              </w:rPr>
              <w:t>Target Mix of Compensation</w:t>
            </w:r>
          </w:p>
        </w:tc>
        <w:tc>
          <w:tcPr>
            <w:tcW w:w="140" w:type="dxa"/>
            <w:vAlign w:val="bottom"/>
          </w:tcPr>
          <w:p>
            <w:pPr>
              <w:jc w:val="right"/>
              <w:spacing w:after="0"/>
              <w:rPr>
                <w:sz w:val="20"/>
                <w:szCs w:val="20"/>
                <w:color w:val="auto"/>
              </w:rPr>
            </w:pPr>
            <w:r>
              <w:rPr>
                <w:rFonts w:ascii="Arial" w:cs="Arial" w:eastAsia="Arial" w:hAnsi="Arial"/>
                <w:sz w:val="13"/>
                <w:szCs w:val="13"/>
                <w:color w:val="0000EE"/>
                <w:w w:val="82"/>
              </w:rPr>
              <w:t>36</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gridSpan w:val="20"/>
          </w:tcPr>
          <w:p>
            <w:pPr>
              <w:spacing w:after="0"/>
              <w:rPr>
                <w:sz w:val="20"/>
                <w:szCs w:val="20"/>
                <w:color w:val="auto"/>
              </w:rPr>
            </w:pPr>
            <w:r>
              <w:rPr>
                <w:rFonts w:ascii="Arial" w:cs="Arial" w:eastAsia="Arial" w:hAnsi="Arial"/>
                <w:sz w:val="13"/>
                <w:szCs w:val="13"/>
                <w:color w:val="0000EE"/>
              </w:rPr>
              <w:t>Equity Compensation in Prior Fiscal Years</w:t>
            </w:r>
          </w:p>
        </w:tc>
        <w:tc>
          <w:tcPr>
            <w:tcW w:w="140" w:type="dxa"/>
            <w:vAlign w:val="bottom"/>
          </w:tcPr>
          <w:p>
            <w:pPr>
              <w:jc w:val="right"/>
              <w:spacing w:after="0"/>
              <w:rPr>
                <w:sz w:val="20"/>
                <w:szCs w:val="20"/>
                <w:color w:val="auto"/>
              </w:rPr>
            </w:pPr>
            <w:r>
              <w:rPr>
                <w:rFonts w:ascii="Arial" w:cs="Arial" w:eastAsia="Arial" w:hAnsi="Arial"/>
                <w:sz w:val="13"/>
                <w:szCs w:val="13"/>
                <w:color w:val="0000EE"/>
                <w:w w:val="82"/>
              </w:rPr>
              <w:t>37</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00" w:type="dxa"/>
            <w:vAlign w:val="bottom"/>
            <w:tcBorders>
              <w:bottom w:val="single" w:sz="8" w:color="0000EE"/>
            </w:tcBorders>
            <w:gridSpan w:val="18"/>
          </w:tcPr>
          <w:p>
            <w:pPr>
              <w:spacing w:after="0"/>
              <w:rPr>
                <w:sz w:val="20"/>
                <w:szCs w:val="20"/>
                <w:color w:val="auto"/>
              </w:rPr>
            </w:pPr>
            <w:r>
              <w:rPr>
                <w:rFonts w:ascii="Arial" w:cs="Arial" w:eastAsia="Arial" w:hAnsi="Arial"/>
                <w:sz w:val="13"/>
                <w:szCs w:val="13"/>
                <w:color w:val="0000EE"/>
                <w:w w:val="96"/>
              </w:rPr>
              <w:t>Key Elements of 2023 Named Executive Officer Compensation</w:t>
            </w:r>
          </w:p>
        </w:tc>
        <w:tc>
          <w:tcPr>
            <w:tcW w:w="280" w:type="dxa"/>
            <w:vAlign w:val="bottom"/>
            <w:gridSpan w:val="2"/>
          </w:tcPr>
          <w:p>
            <w:pPr>
              <w:spacing w:after="0"/>
              <w:rPr>
                <w:sz w:val="15"/>
                <w:szCs w:val="15"/>
                <w:color w:val="auto"/>
              </w:rPr>
            </w:pPr>
          </w:p>
        </w:tc>
        <w:tc>
          <w:tcPr>
            <w:tcW w:w="140" w:type="dxa"/>
            <w:vAlign w:val="bottom"/>
            <w:tcBorders>
              <w:bottom w:val="single" w:sz="8" w:color="0000EE"/>
            </w:tcBorders>
          </w:tcPr>
          <w:p>
            <w:pPr>
              <w:jc w:val="right"/>
              <w:spacing w:after="0"/>
              <w:rPr>
                <w:sz w:val="20"/>
                <w:szCs w:val="20"/>
                <w:color w:val="auto"/>
              </w:rPr>
            </w:pPr>
            <w:r>
              <w:rPr>
                <w:rFonts w:ascii="Arial" w:cs="Arial" w:eastAsia="Arial" w:hAnsi="Arial"/>
                <w:sz w:val="13"/>
                <w:szCs w:val="13"/>
                <w:color w:val="0000EE"/>
                <w:w w:val="82"/>
              </w:rPr>
              <w:t>38</w:t>
            </w:r>
          </w:p>
        </w:tc>
        <w:tc>
          <w:tcPr>
            <w:tcW w:w="0" w:type="dxa"/>
            <w:vAlign w:val="bottom"/>
          </w:tcPr>
          <w:p>
            <w:pPr>
              <w:spacing w:after="0"/>
              <w:rPr>
                <w:sz w:val="1"/>
                <w:szCs w:val="1"/>
                <w:color w:val="auto"/>
              </w:rPr>
            </w:pPr>
          </w:p>
        </w:tc>
      </w:tr>
      <w:tr>
        <w:trPr>
          <w:trHeight w:val="183"/>
        </w:trPr>
        <w:tc>
          <w:tcPr>
            <w:tcW w:w="680" w:type="dxa"/>
            <w:vAlign w:val="bottom"/>
            <w:tcBorders>
              <w:bottom w:val="single" w:sz="8" w:color="0000EE"/>
            </w:tcBorders>
          </w:tcPr>
          <w:p>
            <w:pPr>
              <w:spacing w:after="0"/>
              <w:rPr>
                <w:sz w:val="20"/>
                <w:szCs w:val="20"/>
                <w:color w:val="auto"/>
              </w:rPr>
            </w:pPr>
            <w:r>
              <w:rPr>
                <w:rFonts w:ascii="Arial" w:cs="Arial" w:eastAsia="Arial" w:hAnsi="Arial"/>
                <w:sz w:val="13"/>
                <w:szCs w:val="13"/>
                <w:color w:val="0000EE"/>
                <w:w w:val="94"/>
              </w:rPr>
              <w:t>Base Salary</w:t>
            </w:r>
          </w:p>
        </w:tc>
        <w:tc>
          <w:tcPr>
            <w:tcW w:w="3100" w:type="dxa"/>
            <w:vAlign w:val="bottom"/>
            <w:gridSpan w:val="19"/>
          </w:tcPr>
          <w:p>
            <w:pPr>
              <w:spacing w:after="0"/>
              <w:rPr>
                <w:sz w:val="15"/>
                <w:szCs w:val="15"/>
                <w:color w:val="auto"/>
              </w:rPr>
            </w:pPr>
          </w:p>
        </w:tc>
        <w:tc>
          <w:tcPr>
            <w:tcW w:w="140" w:type="dxa"/>
            <w:vAlign w:val="bottom"/>
            <w:tcBorders>
              <w:bottom w:val="single" w:sz="8" w:color="0000EE"/>
            </w:tcBorders>
          </w:tcPr>
          <w:p>
            <w:pPr>
              <w:jc w:val="right"/>
              <w:spacing w:after="0"/>
              <w:rPr>
                <w:sz w:val="20"/>
                <w:szCs w:val="20"/>
                <w:color w:val="auto"/>
              </w:rPr>
            </w:pPr>
            <w:r>
              <w:rPr>
                <w:rFonts w:ascii="Arial" w:cs="Arial" w:eastAsia="Arial" w:hAnsi="Arial"/>
                <w:sz w:val="13"/>
                <w:szCs w:val="13"/>
                <w:color w:val="0000EE"/>
                <w:w w:val="82"/>
              </w:rPr>
              <w:t>38</w:t>
            </w:r>
          </w:p>
        </w:tc>
        <w:tc>
          <w:tcPr>
            <w:tcW w:w="0" w:type="dxa"/>
            <w:vAlign w:val="bottom"/>
          </w:tcPr>
          <w:p>
            <w:pPr>
              <w:spacing w:after="0"/>
              <w:rPr>
                <w:sz w:val="1"/>
                <w:szCs w:val="1"/>
                <w:color w:val="auto"/>
              </w:rPr>
            </w:pPr>
          </w:p>
        </w:tc>
      </w:tr>
      <w:tr>
        <w:trPr>
          <w:trHeight w:val="183"/>
        </w:trPr>
        <w:tc>
          <w:tcPr>
            <w:tcW w:w="3780" w:type="dxa"/>
            <w:vAlign w:val="bottom"/>
            <w:gridSpan w:val="20"/>
          </w:tcPr>
          <w:p>
            <w:pPr>
              <w:spacing w:after="0"/>
              <w:rPr>
                <w:sz w:val="20"/>
                <w:szCs w:val="20"/>
                <w:color w:val="auto"/>
              </w:rPr>
            </w:pPr>
            <w:r>
              <w:rPr>
                <w:rFonts w:ascii="Arial" w:cs="Arial" w:eastAsia="Arial" w:hAnsi="Arial"/>
                <w:sz w:val="13"/>
                <w:szCs w:val="13"/>
                <w:color w:val="0000EE"/>
              </w:rPr>
              <w:t>Annual Incentive</w:t>
            </w:r>
          </w:p>
        </w:tc>
        <w:tc>
          <w:tcPr>
            <w:tcW w:w="140" w:type="dxa"/>
            <w:vAlign w:val="bottom"/>
          </w:tcPr>
          <w:p>
            <w:pPr>
              <w:jc w:val="right"/>
              <w:spacing w:after="0"/>
              <w:rPr>
                <w:sz w:val="20"/>
                <w:szCs w:val="20"/>
                <w:color w:val="auto"/>
              </w:rPr>
            </w:pPr>
            <w:r>
              <w:rPr>
                <w:rFonts w:ascii="Arial" w:cs="Arial" w:eastAsia="Arial" w:hAnsi="Arial"/>
                <w:sz w:val="13"/>
                <w:szCs w:val="13"/>
                <w:color w:val="0000EE"/>
                <w:w w:val="82"/>
              </w:rPr>
              <w:t>38</w:t>
            </w:r>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gridSpan w:val="20"/>
          </w:tcPr>
          <w:p>
            <w:pPr>
              <w:spacing w:after="0"/>
              <w:rPr>
                <w:sz w:val="20"/>
                <w:szCs w:val="20"/>
                <w:color w:val="auto"/>
              </w:rPr>
            </w:pPr>
            <w:r>
              <w:rPr>
                <w:rFonts w:ascii="Arial" w:cs="Arial" w:eastAsia="Arial" w:hAnsi="Arial"/>
                <w:sz w:val="13"/>
                <w:szCs w:val="13"/>
                <w:color w:val="0000EE"/>
              </w:rPr>
              <w:t>2023 Performance Goals and Results for Cash Portion of Annual</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0000EE"/>
                <w:w w:val="82"/>
              </w:rPr>
              <w:t>39</w:t>
            </w:r>
          </w:p>
        </w:tc>
        <w:tc>
          <w:tcPr>
            <w:tcW w:w="0" w:type="dxa"/>
            <w:vAlign w:val="bottom"/>
          </w:tcPr>
          <w:p>
            <w:pPr>
              <w:spacing w:after="0"/>
              <w:rPr>
                <w:sz w:val="1"/>
                <w:szCs w:val="1"/>
                <w:color w:val="auto"/>
              </w:rPr>
            </w:pPr>
          </w:p>
        </w:tc>
      </w:tr>
      <w:tr>
        <w:trPr>
          <w:trHeight w:val="115"/>
        </w:trPr>
        <w:tc>
          <w:tcPr>
            <w:tcW w:w="3600" w:type="dxa"/>
            <w:vAlign w:val="bottom"/>
            <w:tcBorders>
              <w:top w:val="single" w:sz="8" w:color="0000EE"/>
            </w:tcBorders>
            <w:gridSpan w:val="19"/>
          </w:tcPr>
          <w:p>
            <w:pPr>
              <w:spacing w:after="0" w:line="115" w:lineRule="exact"/>
              <w:rPr>
                <w:sz w:val="20"/>
                <w:szCs w:val="20"/>
                <w:color w:val="auto"/>
              </w:rPr>
            </w:pPr>
            <w:r>
              <w:rPr>
                <w:rFonts w:ascii="Arial" w:cs="Arial" w:eastAsia="Arial" w:hAnsi="Arial"/>
                <w:sz w:val="13"/>
                <w:szCs w:val="13"/>
                <w:color w:val="0000EE"/>
              </w:rPr>
              <w:t>Incentive Award</w:t>
            </w:r>
          </w:p>
        </w:tc>
        <w:tc>
          <w:tcPr>
            <w:tcW w:w="1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3"/>
                <w:szCs w:val="13"/>
                <w:color w:val="0000EE"/>
                <w:w w:val="93"/>
              </w:rPr>
              <w:t>Equity Awards</w:t>
            </w:r>
          </w:p>
        </w:tc>
        <w:tc>
          <w:tcPr>
            <w:tcW w:w="120" w:type="dxa"/>
            <w:vAlign w:val="bottom"/>
            <w:tcBorders>
              <w:top w:val="single" w:sz="8" w:color="0000EE"/>
            </w:tcBorders>
          </w:tcPr>
          <w:p>
            <w:pPr>
              <w:spacing w:after="0"/>
              <w:rPr>
                <w:sz w:val="15"/>
                <w:szCs w:val="15"/>
                <w:color w:val="auto"/>
              </w:rPr>
            </w:pPr>
          </w:p>
        </w:tc>
        <w:tc>
          <w:tcPr>
            <w:tcW w:w="2860" w:type="dxa"/>
            <w:vAlign w:val="bottom"/>
            <w:gridSpan w:val="17"/>
          </w:tcPr>
          <w:p>
            <w:pPr>
              <w:spacing w:after="0"/>
              <w:rPr>
                <w:sz w:val="15"/>
                <w:szCs w:val="15"/>
                <w:color w:val="auto"/>
              </w:rPr>
            </w:pPr>
          </w:p>
        </w:tc>
        <w:tc>
          <w:tcPr>
            <w:tcW w:w="14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3"/>
                <w:szCs w:val="13"/>
                <w:color w:val="0000EE"/>
                <w:w w:val="82"/>
              </w:rPr>
              <w:t>44</w:t>
            </w:r>
          </w:p>
        </w:tc>
        <w:tc>
          <w:tcPr>
            <w:tcW w:w="0" w:type="dxa"/>
            <w:vAlign w:val="bottom"/>
          </w:tcPr>
          <w:p>
            <w:pPr>
              <w:spacing w:after="0"/>
              <w:rPr>
                <w:sz w:val="1"/>
                <w:szCs w:val="1"/>
                <w:color w:val="auto"/>
              </w:rPr>
            </w:pPr>
          </w:p>
        </w:tc>
      </w:tr>
      <w:tr>
        <w:trPr>
          <w:trHeight w:val="183"/>
        </w:trPr>
        <w:tc>
          <w:tcPr>
            <w:tcW w:w="3780" w:type="dxa"/>
            <w:vAlign w:val="bottom"/>
            <w:gridSpan w:val="20"/>
          </w:tcPr>
          <w:p>
            <w:pPr>
              <w:spacing w:after="0"/>
              <w:rPr>
                <w:sz w:val="20"/>
                <w:szCs w:val="20"/>
                <w:color w:val="auto"/>
              </w:rPr>
            </w:pPr>
            <w:r>
              <w:rPr>
                <w:rFonts w:ascii="Arial" w:cs="Arial" w:eastAsia="Arial" w:hAnsi="Arial"/>
                <w:sz w:val="13"/>
                <w:szCs w:val="13"/>
                <w:color w:val="0000EE"/>
              </w:rPr>
              <w:t>2021 Performance Stock Option Award for CEO</w:t>
            </w:r>
          </w:p>
        </w:tc>
        <w:tc>
          <w:tcPr>
            <w:tcW w:w="140" w:type="dxa"/>
            <w:vAlign w:val="bottom"/>
          </w:tcPr>
          <w:p>
            <w:pPr>
              <w:jc w:val="right"/>
              <w:spacing w:after="0"/>
              <w:rPr>
                <w:sz w:val="20"/>
                <w:szCs w:val="20"/>
                <w:color w:val="auto"/>
              </w:rPr>
            </w:pPr>
            <w:r>
              <w:rPr>
                <w:rFonts w:ascii="Arial" w:cs="Arial" w:eastAsia="Arial" w:hAnsi="Arial"/>
                <w:sz w:val="13"/>
                <w:szCs w:val="13"/>
                <w:color w:val="0000EE"/>
                <w:w w:val="82"/>
              </w:rPr>
              <w:t>44</w:t>
            </w:r>
          </w:p>
        </w:tc>
        <w:tc>
          <w:tcPr>
            <w:tcW w:w="0" w:type="dxa"/>
            <w:vAlign w:val="bottom"/>
          </w:tcPr>
          <w:p>
            <w:pPr>
              <w:spacing w:after="0"/>
              <w:rPr>
                <w:sz w:val="1"/>
                <w:szCs w:val="1"/>
                <w:color w:val="auto"/>
              </w:rPr>
            </w:pPr>
          </w:p>
        </w:tc>
      </w:tr>
      <w:tr>
        <w:trPr>
          <w:trHeight w:val="183"/>
        </w:trPr>
        <w:tc>
          <w:tcPr>
            <w:tcW w:w="2660" w:type="dxa"/>
            <w:vAlign w:val="bottom"/>
            <w:tcBorders>
              <w:top w:val="single" w:sz="8" w:color="0000EE"/>
            </w:tcBorders>
            <w:gridSpan w:val="14"/>
          </w:tcPr>
          <w:p>
            <w:pPr>
              <w:spacing w:after="0"/>
              <w:rPr>
                <w:sz w:val="20"/>
                <w:szCs w:val="20"/>
                <w:color w:val="auto"/>
              </w:rPr>
            </w:pPr>
            <w:r>
              <w:rPr>
                <w:rFonts w:ascii="Arial" w:cs="Arial" w:eastAsia="Arial" w:hAnsi="Arial"/>
                <w:sz w:val="13"/>
                <w:szCs w:val="13"/>
                <w:color w:val="0000EE"/>
              </w:rPr>
              <w:t>Other NEOs’ 2023 Equity Awards</w:t>
            </w:r>
          </w:p>
        </w:tc>
        <w:tc>
          <w:tcPr>
            <w:tcW w:w="1120" w:type="dxa"/>
            <w:vAlign w:val="bottom"/>
            <w:gridSpan w:val="6"/>
          </w:tcPr>
          <w:p>
            <w:pPr>
              <w:spacing w:after="0"/>
              <w:rPr>
                <w:sz w:val="15"/>
                <w:szCs w:val="15"/>
                <w:color w:val="auto"/>
              </w:rPr>
            </w:pPr>
          </w:p>
        </w:tc>
        <w:tc>
          <w:tcPr>
            <w:tcW w:w="140" w:type="dxa"/>
            <w:vAlign w:val="bottom"/>
            <w:tcBorders>
              <w:top w:val="single" w:sz="8" w:color="0000EE"/>
            </w:tcBorders>
          </w:tcPr>
          <w:p>
            <w:pPr>
              <w:jc w:val="right"/>
              <w:spacing w:after="0"/>
              <w:rPr>
                <w:sz w:val="20"/>
                <w:szCs w:val="20"/>
                <w:color w:val="auto"/>
              </w:rPr>
            </w:pPr>
            <w:r>
              <w:rPr>
                <w:rFonts w:ascii="Arial" w:cs="Arial" w:eastAsia="Arial" w:hAnsi="Arial"/>
                <w:sz w:val="13"/>
                <w:szCs w:val="13"/>
                <w:color w:val="0000EE"/>
                <w:w w:val="82"/>
              </w:rPr>
              <w:t>44</w:t>
            </w:r>
          </w:p>
        </w:tc>
        <w:tc>
          <w:tcPr>
            <w:tcW w:w="0" w:type="dxa"/>
            <w:vAlign w:val="bottom"/>
          </w:tcPr>
          <w:p>
            <w:pPr>
              <w:spacing w:after="0"/>
              <w:rPr>
                <w:sz w:val="1"/>
                <w:szCs w:val="1"/>
                <w:color w:val="auto"/>
              </w:rPr>
            </w:pPr>
          </w:p>
        </w:tc>
      </w:tr>
      <w:tr>
        <w:trPr>
          <w:trHeight w:val="20"/>
        </w:trPr>
        <w:tc>
          <w:tcPr>
            <w:tcW w:w="11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20" w:type="dxa"/>
            <w:vAlign w:val="bottom"/>
            <w:tcBorders>
              <w:bottom w:val="single" w:sz="8" w:color="0000EE"/>
            </w:tcBorders>
            <w:gridSpan w:val="15"/>
          </w:tcPr>
          <w:p>
            <w:pPr>
              <w:spacing w:after="0"/>
              <w:rPr>
                <w:sz w:val="20"/>
                <w:szCs w:val="20"/>
                <w:color w:val="auto"/>
              </w:rPr>
            </w:pPr>
            <w:r>
              <w:rPr>
                <w:rFonts w:ascii="Arial" w:cs="Arial" w:eastAsia="Arial" w:hAnsi="Arial"/>
                <w:sz w:val="13"/>
                <w:szCs w:val="13"/>
                <w:color w:val="0000EE"/>
                <w:w w:val="96"/>
              </w:rPr>
              <w:t>Performance Period for Non-CEO Equity Awards</w:t>
            </w:r>
          </w:p>
        </w:tc>
        <w:tc>
          <w:tcPr>
            <w:tcW w:w="1060" w:type="dxa"/>
            <w:vAlign w:val="bottom"/>
            <w:gridSpan w:val="5"/>
          </w:tcPr>
          <w:p>
            <w:pPr>
              <w:spacing w:after="0"/>
              <w:rPr>
                <w:sz w:val="15"/>
                <w:szCs w:val="15"/>
                <w:color w:val="auto"/>
              </w:rPr>
            </w:pPr>
          </w:p>
        </w:tc>
        <w:tc>
          <w:tcPr>
            <w:tcW w:w="140" w:type="dxa"/>
            <w:vAlign w:val="bottom"/>
            <w:tcBorders>
              <w:bottom w:val="single" w:sz="8" w:color="0000EE"/>
            </w:tcBorders>
          </w:tcPr>
          <w:p>
            <w:pPr>
              <w:jc w:val="right"/>
              <w:spacing w:after="0"/>
              <w:rPr>
                <w:sz w:val="20"/>
                <w:szCs w:val="20"/>
                <w:color w:val="auto"/>
              </w:rPr>
            </w:pPr>
            <w:r>
              <w:rPr>
                <w:rFonts w:ascii="Arial" w:cs="Arial" w:eastAsia="Arial" w:hAnsi="Arial"/>
                <w:sz w:val="13"/>
                <w:szCs w:val="13"/>
                <w:color w:val="0000EE"/>
                <w:w w:val="82"/>
              </w:rPr>
              <w:t>44</w:t>
            </w:r>
          </w:p>
        </w:tc>
        <w:tc>
          <w:tcPr>
            <w:tcW w:w="0" w:type="dxa"/>
            <w:vAlign w:val="bottom"/>
          </w:tcPr>
          <w:p>
            <w:pPr>
              <w:spacing w:after="0"/>
              <w:rPr>
                <w:sz w:val="1"/>
                <w:szCs w:val="1"/>
                <w:color w:val="auto"/>
              </w:rPr>
            </w:pPr>
          </w:p>
        </w:tc>
      </w:tr>
      <w:tr>
        <w:trPr>
          <w:trHeight w:val="183"/>
        </w:trPr>
        <w:tc>
          <w:tcPr>
            <w:tcW w:w="1560" w:type="dxa"/>
            <w:vAlign w:val="bottom"/>
            <w:tcBorders>
              <w:bottom w:val="single" w:sz="8" w:color="0000EE"/>
            </w:tcBorders>
            <w:gridSpan w:val="7"/>
          </w:tcPr>
          <w:p>
            <w:pPr>
              <w:spacing w:after="0"/>
              <w:rPr>
                <w:sz w:val="20"/>
                <w:szCs w:val="20"/>
                <w:color w:val="auto"/>
              </w:rPr>
            </w:pPr>
            <w:r>
              <w:rPr>
                <w:rFonts w:ascii="Arial" w:cs="Arial" w:eastAsia="Arial" w:hAnsi="Arial"/>
                <w:sz w:val="13"/>
                <w:szCs w:val="13"/>
                <w:color w:val="0000EE"/>
                <w:w w:val="97"/>
              </w:rPr>
              <w:t>Performance Share Grants</w:t>
            </w:r>
          </w:p>
        </w:tc>
        <w:tc>
          <w:tcPr>
            <w:tcW w:w="2220" w:type="dxa"/>
            <w:vAlign w:val="bottom"/>
            <w:gridSpan w:val="13"/>
          </w:tcPr>
          <w:p>
            <w:pPr>
              <w:spacing w:after="0"/>
              <w:rPr>
                <w:sz w:val="15"/>
                <w:szCs w:val="15"/>
                <w:color w:val="auto"/>
              </w:rPr>
            </w:pPr>
          </w:p>
        </w:tc>
        <w:tc>
          <w:tcPr>
            <w:tcW w:w="140" w:type="dxa"/>
            <w:vAlign w:val="bottom"/>
            <w:tcBorders>
              <w:bottom w:val="single" w:sz="8" w:color="0000EE"/>
            </w:tcBorders>
          </w:tcPr>
          <w:p>
            <w:pPr>
              <w:jc w:val="right"/>
              <w:spacing w:after="0"/>
              <w:rPr>
                <w:sz w:val="20"/>
                <w:szCs w:val="20"/>
                <w:color w:val="auto"/>
              </w:rPr>
            </w:pPr>
            <w:r>
              <w:rPr>
                <w:rFonts w:ascii="Arial" w:cs="Arial" w:eastAsia="Arial" w:hAnsi="Arial"/>
                <w:sz w:val="13"/>
                <w:szCs w:val="13"/>
                <w:color w:val="0000EE"/>
                <w:w w:val="82"/>
              </w:rPr>
              <w:t>44</w:t>
            </w:r>
          </w:p>
        </w:tc>
        <w:tc>
          <w:tcPr>
            <w:tcW w:w="0" w:type="dxa"/>
            <w:vAlign w:val="bottom"/>
          </w:tcPr>
          <w:p>
            <w:pPr>
              <w:spacing w:after="0"/>
              <w:rPr>
                <w:sz w:val="1"/>
                <w:szCs w:val="1"/>
                <w:color w:val="auto"/>
              </w:rPr>
            </w:pPr>
          </w:p>
        </w:tc>
      </w:tr>
      <w:tr>
        <w:trPr>
          <w:trHeight w:val="183"/>
        </w:trPr>
        <w:tc>
          <w:tcPr>
            <w:tcW w:w="1860" w:type="dxa"/>
            <w:vAlign w:val="bottom"/>
            <w:tcBorders>
              <w:bottom w:val="single" w:sz="8" w:color="0000EE"/>
            </w:tcBorders>
            <w:gridSpan w:val="9"/>
          </w:tcPr>
          <w:p>
            <w:pPr>
              <w:spacing w:after="0"/>
              <w:rPr>
                <w:sz w:val="20"/>
                <w:szCs w:val="20"/>
                <w:color w:val="auto"/>
              </w:rPr>
            </w:pPr>
            <w:r>
              <w:rPr>
                <w:rFonts w:ascii="Arial" w:cs="Arial" w:eastAsia="Arial" w:hAnsi="Arial"/>
                <w:sz w:val="13"/>
                <w:szCs w:val="13"/>
                <w:color w:val="0000EE"/>
                <w:w w:val="96"/>
              </w:rPr>
              <w:t>Special Restricted Stock Awards</w:t>
            </w:r>
          </w:p>
        </w:tc>
        <w:tc>
          <w:tcPr>
            <w:tcW w:w="1920" w:type="dxa"/>
            <w:vAlign w:val="bottom"/>
            <w:gridSpan w:val="11"/>
          </w:tcPr>
          <w:p>
            <w:pPr>
              <w:spacing w:after="0"/>
              <w:rPr>
                <w:sz w:val="15"/>
                <w:szCs w:val="15"/>
                <w:color w:val="auto"/>
              </w:rPr>
            </w:pPr>
          </w:p>
        </w:tc>
        <w:tc>
          <w:tcPr>
            <w:tcW w:w="140" w:type="dxa"/>
            <w:vAlign w:val="bottom"/>
            <w:tcBorders>
              <w:bottom w:val="single" w:sz="8" w:color="0000EE"/>
            </w:tcBorders>
          </w:tcPr>
          <w:p>
            <w:pPr>
              <w:jc w:val="right"/>
              <w:spacing w:after="0"/>
              <w:rPr>
                <w:sz w:val="20"/>
                <w:szCs w:val="20"/>
                <w:color w:val="auto"/>
              </w:rPr>
            </w:pPr>
            <w:r>
              <w:rPr>
                <w:rFonts w:ascii="Arial" w:cs="Arial" w:eastAsia="Arial" w:hAnsi="Arial"/>
                <w:sz w:val="13"/>
                <w:szCs w:val="13"/>
                <w:color w:val="0000EE"/>
                <w:w w:val="82"/>
              </w:rPr>
              <w:t>45</w:t>
            </w:r>
          </w:p>
        </w:tc>
        <w:tc>
          <w:tcPr>
            <w:tcW w:w="0" w:type="dxa"/>
            <w:vAlign w:val="bottom"/>
          </w:tcPr>
          <w:p>
            <w:pPr>
              <w:spacing w:after="0"/>
              <w:rPr>
                <w:sz w:val="1"/>
                <w:szCs w:val="1"/>
                <w:color w:val="auto"/>
              </w:rPr>
            </w:pPr>
          </w:p>
        </w:tc>
      </w:tr>
      <w:tr>
        <w:trPr>
          <w:trHeight w:val="183"/>
        </w:trPr>
        <w:tc>
          <w:tcPr>
            <w:tcW w:w="3780" w:type="dxa"/>
            <w:vAlign w:val="bottom"/>
            <w:gridSpan w:val="20"/>
          </w:tcPr>
          <w:p>
            <w:pPr>
              <w:spacing w:after="0"/>
              <w:rPr>
                <w:sz w:val="20"/>
                <w:szCs w:val="20"/>
                <w:color w:val="auto"/>
              </w:rPr>
            </w:pPr>
            <w:r>
              <w:rPr>
                <w:rFonts w:ascii="Arial" w:cs="Arial" w:eastAsia="Arial" w:hAnsi="Arial"/>
                <w:sz w:val="13"/>
                <w:szCs w:val="13"/>
                <w:color w:val="0000EE"/>
              </w:rPr>
              <w:t>Performance-Based Restricted Stock Unit (RSU) Grants</w:t>
            </w:r>
          </w:p>
        </w:tc>
        <w:tc>
          <w:tcPr>
            <w:tcW w:w="140" w:type="dxa"/>
            <w:vAlign w:val="bottom"/>
          </w:tcPr>
          <w:p>
            <w:pPr>
              <w:jc w:val="right"/>
              <w:spacing w:after="0"/>
              <w:rPr>
                <w:sz w:val="20"/>
                <w:szCs w:val="20"/>
                <w:color w:val="auto"/>
              </w:rPr>
            </w:pPr>
            <w:r>
              <w:rPr>
                <w:rFonts w:ascii="Arial" w:cs="Arial" w:eastAsia="Arial" w:hAnsi="Arial"/>
                <w:sz w:val="13"/>
                <w:szCs w:val="13"/>
                <w:color w:val="0000EE"/>
                <w:w w:val="82"/>
              </w:rPr>
              <w:t>45</w:t>
            </w:r>
          </w:p>
        </w:tc>
        <w:tc>
          <w:tcPr>
            <w:tcW w:w="0" w:type="dxa"/>
            <w:vAlign w:val="bottom"/>
          </w:tcPr>
          <w:p>
            <w:pPr>
              <w:spacing w:after="0"/>
              <w:rPr>
                <w:sz w:val="1"/>
                <w:szCs w:val="1"/>
                <w:color w:val="auto"/>
              </w:rPr>
            </w:pPr>
          </w:p>
        </w:tc>
      </w:tr>
      <w:tr>
        <w:trPr>
          <w:trHeight w:val="183"/>
        </w:trPr>
        <w:tc>
          <w:tcPr>
            <w:tcW w:w="3120" w:type="dxa"/>
            <w:vAlign w:val="bottom"/>
            <w:tcBorders>
              <w:top w:val="single" w:sz="8" w:color="0000EE"/>
            </w:tcBorders>
            <w:gridSpan w:val="17"/>
          </w:tcPr>
          <w:p>
            <w:pPr>
              <w:spacing w:after="0"/>
              <w:rPr>
                <w:sz w:val="20"/>
                <w:szCs w:val="20"/>
                <w:color w:val="auto"/>
              </w:rPr>
            </w:pPr>
            <w:r>
              <w:rPr>
                <w:rFonts w:ascii="Arial" w:cs="Arial" w:eastAsia="Arial" w:hAnsi="Arial"/>
                <w:sz w:val="13"/>
                <w:szCs w:val="13"/>
                <w:color w:val="0000EE"/>
              </w:rPr>
              <w:t>Stock Option Grants</w:t>
            </w:r>
          </w:p>
        </w:tc>
        <w:tc>
          <w:tcPr>
            <w:tcW w:w="660" w:type="dxa"/>
            <w:vAlign w:val="bottom"/>
            <w:gridSpan w:val="3"/>
          </w:tcPr>
          <w:p>
            <w:pPr>
              <w:spacing w:after="0"/>
              <w:rPr>
                <w:sz w:val="15"/>
                <w:szCs w:val="15"/>
                <w:color w:val="auto"/>
              </w:rPr>
            </w:pPr>
          </w:p>
        </w:tc>
        <w:tc>
          <w:tcPr>
            <w:tcW w:w="140" w:type="dxa"/>
            <w:vAlign w:val="bottom"/>
            <w:tcBorders>
              <w:top w:val="single" w:sz="8" w:color="0000EE"/>
            </w:tcBorders>
          </w:tcPr>
          <w:p>
            <w:pPr>
              <w:jc w:val="right"/>
              <w:spacing w:after="0"/>
              <w:rPr>
                <w:sz w:val="20"/>
                <w:szCs w:val="20"/>
                <w:color w:val="auto"/>
              </w:rPr>
            </w:pPr>
            <w:r>
              <w:rPr>
                <w:rFonts w:ascii="Arial" w:cs="Arial" w:eastAsia="Arial" w:hAnsi="Arial"/>
                <w:sz w:val="13"/>
                <w:szCs w:val="13"/>
                <w:color w:val="0000EE"/>
                <w:w w:val="82"/>
              </w:rPr>
              <w:t>46</w:t>
            </w:r>
          </w:p>
        </w:tc>
        <w:tc>
          <w:tcPr>
            <w:tcW w:w="0" w:type="dxa"/>
            <w:vAlign w:val="bottom"/>
          </w:tcPr>
          <w:p>
            <w:pPr>
              <w:spacing w:after="0"/>
              <w:rPr>
                <w:sz w:val="1"/>
                <w:szCs w:val="1"/>
                <w:color w:val="auto"/>
              </w:rPr>
            </w:pPr>
          </w:p>
        </w:tc>
      </w:tr>
      <w:tr>
        <w:trPr>
          <w:trHeight w:val="20"/>
        </w:trPr>
        <w:tc>
          <w:tcPr>
            <w:tcW w:w="1120" w:type="dxa"/>
            <w:vAlign w:val="bottom"/>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900" w:type="dxa"/>
            <w:vAlign w:val="bottom"/>
            <w:tcBorders>
              <w:bottom w:val="single" w:sz="8" w:color="0000EE"/>
            </w:tcBorders>
            <w:gridSpan w:val="10"/>
          </w:tcPr>
          <w:p>
            <w:pPr>
              <w:spacing w:after="0"/>
              <w:rPr>
                <w:sz w:val="20"/>
                <w:szCs w:val="20"/>
                <w:color w:val="auto"/>
              </w:rPr>
            </w:pPr>
            <w:r>
              <w:rPr>
                <w:rFonts w:ascii="Arial" w:cs="Arial" w:eastAsia="Arial" w:hAnsi="Arial"/>
                <w:sz w:val="13"/>
                <w:szCs w:val="13"/>
                <w:color w:val="0000EE"/>
                <w:w w:val="95"/>
              </w:rPr>
              <w:t>Other Compensation and Benefits</w:t>
            </w:r>
          </w:p>
        </w:tc>
        <w:tc>
          <w:tcPr>
            <w:tcW w:w="1880" w:type="dxa"/>
            <w:vAlign w:val="bottom"/>
            <w:gridSpan w:val="10"/>
          </w:tcPr>
          <w:p>
            <w:pPr>
              <w:spacing w:after="0"/>
              <w:rPr>
                <w:sz w:val="15"/>
                <w:szCs w:val="15"/>
                <w:color w:val="auto"/>
              </w:rPr>
            </w:pPr>
          </w:p>
        </w:tc>
        <w:tc>
          <w:tcPr>
            <w:tcW w:w="140" w:type="dxa"/>
            <w:vAlign w:val="bottom"/>
            <w:tcBorders>
              <w:bottom w:val="single" w:sz="8" w:color="0000EE"/>
            </w:tcBorders>
          </w:tcPr>
          <w:p>
            <w:pPr>
              <w:jc w:val="right"/>
              <w:spacing w:after="0"/>
              <w:rPr>
                <w:sz w:val="20"/>
                <w:szCs w:val="20"/>
                <w:color w:val="auto"/>
              </w:rPr>
            </w:pPr>
            <w:r>
              <w:rPr>
                <w:rFonts w:ascii="Arial" w:cs="Arial" w:eastAsia="Arial" w:hAnsi="Arial"/>
                <w:sz w:val="13"/>
                <w:szCs w:val="13"/>
                <w:color w:val="0000EE"/>
                <w:w w:val="82"/>
              </w:rPr>
              <w:t>46</w:t>
            </w:r>
          </w:p>
        </w:tc>
        <w:tc>
          <w:tcPr>
            <w:tcW w:w="0" w:type="dxa"/>
            <w:vAlign w:val="bottom"/>
          </w:tcPr>
          <w:p>
            <w:pPr>
              <w:spacing w:after="0"/>
              <w:rPr>
                <w:sz w:val="1"/>
                <w:szCs w:val="1"/>
                <w:color w:val="auto"/>
              </w:rPr>
            </w:pPr>
          </w:p>
        </w:tc>
      </w:tr>
      <w:tr>
        <w:trPr>
          <w:trHeight w:val="183"/>
        </w:trPr>
        <w:tc>
          <w:tcPr>
            <w:tcW w:w="2860" w:type="dxa"/>
            <w:vAlign w:val="bottom"/>
            <w:tcBorders>
              <w:bottom w:val="single" w:sz="8" w:color="0000EE"/>
            </w:tcBorders>
            <w:gridSpan w:val="16"/>
          </w:tcPr>
          <w:p>
            <w:pPr>
              <w:spacing w:after="0"/>
              <w:rPr>
                <w:sz w:val="20"/>
                <w:szCs w:val="20"/>
                <w:color w:val="auto"/>
              </w:rPr>
            </w:pPr>
            <w:r>
              <w:rPr>
                <w:rFonts w:ascii="Arial" w:cs="Arial" w:eastAsia="Arial" w:hAnsi="Arial"/>
                <w:sz w:val="13"/>
                <w:szCs w:val="13"/>
                <w:color w:val="0000EE"/>
                <w:w w:val="95"/>
              </w:rPr>
              <w:t>Process to Review, Revise, and Set Compensation</w:t>
            </w:r>
          </w:p>
        </w:tc>
        <w:tc>
          <w:tcPr>
            <w:tcW w:w="920" w:type="dxa"/>
            <w:vAlign w:val="bottom"/>
            <w:gridSpan w:val="4"/>
          </w:tcPr>
          <w:p>
            <w:pPr>
              <w:spacing w:after="0"/>
              <w:rPr>
                <w:sz w:val="15"/>
                <w:szCs w:val="15"/>
                <w:color w:val="auto"/>
              </w:rPr>
            </w:pPr>
          </w:p>
        </w:tc>
        <w:tc>
          <w:tcPr>
            <w:tcW w:w="140" w:type="dxa"/>
            <w:vAlign w:val="bottom"/>
            <w:tcBorders>
              <w:bottom w:val="single" w:sz="8" w:color="0000EE"/>
            </w:tcBorders>
          </w:tcPr>
          <w:p>
            <w:pPr>
              <w:jc w:val="right"/>
              <w:spacing w:after="0"/>
              <w:rPr>
                <w:sz w:val="20"/>
                <w:szCs w:val="20"/>
                <w:color w:val="auto"/>
              </w:rPr>
            </w:pPr>
            <w:r>
              <w:rPr>
                <w:rFonts w:ascii="Arial" w:cs="Arial" w:eastAsia="Arial" w:hAnsi="Arial"/>
                <w:sz w:val="13"/>
                <w:szCs w:val="13"/>
                <w:color w:val="0000EE"/>
                <w:w w:val="82"/>
              </w:rPr>
              <w:t>47</w:t>
            </w:r>
          </w:p>
        </w:tc>
        <w:tc>
          <w:tcPr>
            <w:tcW w:w="0" w:type="dxa"/>
            <w:vAlign w:val="bottom"/>
          </w:tcPr>
          <w:p>
            <w:pPr>
              <w:spacing w:after="0"/>
              <w:rPr>
                <w:sz w:val="1"/>
                <w:szCs w:val="1"/>
                <w:color w:val="auto"/>
              </w:rPr>
            </w:pPr>
          </w:p>
        </w:tc>
      </w:tr>
      <w:tr>
        <w:trPr>
          <w:trHeight w:val="183"/>
        </w:trPr>
        <w:tc>
          <w:tcPr>
            <w:tcW w:w="1500" w:type="dxa"/>
            <w:vAlign w:val="bottom"/>
            <w:tcBorders>
              <w:bottom w:val="single" w:sz="8" w:color="0000EE"/>
            </w:tcBorders>
            <w:gridSpan w:val="6"/>
          </w:tcPr>
          <w:p>
            <w:pPr>
              <w:spacing w:after="0"/>
              <w:rPr>
                <w:sz w:val="20"/>
                <w:szCs w:val="20"/>
                <w:color w:val="auto"/>
              </w:rPr>
            </w:pPr>
            <w:r>
              <w:rPr>
                <w:rFonts w:ascii="Arial" w:cs="Arial" w:eastAsia="Arial" w:hAnsi="Arial"/>
                <w:sz w:val="13"/>
                <w:szCs w:val="13"/>
                <w:color w:val="0000EE"/>
                <w:w w:val="95"/>
              </w:rPr>
              <w:t>Compensation Peer Group</w:t>
            </w:r>
          </w:p>
        </w:tc>
        <w:tc>
          <w:tcPr>
            <w:tcW w:w="2280" w:type="dxa"/>
            <w:vAlign w:val="bottom"/>
            <w:gridSpan w:val="14"/>
          </w:tcPr>
          <w:p>
            <w:pPr>
              <w:spacing w:after="0"/>
              <w:rPr>
                <w:sz w:val="15"/>
                <w:szCs w:val="15"/>
                <w:color w:val="auto"/>
              </w:rPr>
            </w:pPr>
          </w:p>
        </w:tc>
        <w:tc>
          <w:tcPr>
            <w:tcW w:w="140" w:type="dxa"/>
            <w:vAlign w:val="bottom"/>
            <w:tcBorders>
              <w:bottom w:val="single" w:sz="8" w:color="0000EE"/>
            </w:tcBorders>
          </w:tcPr>
          <w:p>
            <w:pPr>
              <w:jc w:val="right"/>
              <w:spacing w:after="0"/>
              <w:rPr>
                <w:sz w:val="20"/>
                <w:szCs w:val="20"/>
                <w:color w:val="auto"/>
              </w:rPr>
            </w:pPr>
            <w:r>
              <w:rPr>
                <w:rFonts w:ascii="Arial" w:cs="Arial" w:eastAsia="Arial" w:hAnsi="Arial"/>
                <w:sz w:val="13"/>
                <w:szCs w:val="13"/>
                <w:color w:val="0000EE"/>
                <w:w w:val="82"/>
              </w:rPr>
              <w:t>47</w:t>
            </w:r>
          </w:p>
        </w:tc>
        <w:tc>
          <w:tcPr>
            <w:tcW w:w="0" w:type="dxa"/>
            <w:vAlign w:val="bottom"/>
          </w:tcPr>
          <w:p>
            <w:pPr>
              <w:spacing w:after="0"/>
              <w:rPr>
                <w:sz w:val="1"/>
                <w:szCs w:val="1"/>
                <w:color w:val="auto"/>
              </w:rPr>
            </w:pPr>
          </w:p>
        </w:tc>
      </w:tr>
      <w:tr>
        <w:trPr>
          <w:trHeight w:val="183"/>
        </w:trPr>
        <w:tc>
          <w:tcPr>
            <w:tcW w:w="3780" w:type="dxa"/>
            <w:vAlign w:val="bottom"/>
            <w:gridSpan w:val="20"/>
          </w:tcPr>
          <w:p>
            <w:pPr>
              <w:spacing w:after="0"/>
              <w:rPr>
                <w:sz w:val="20"/>
                <w:szCs w:val="20"/>
                <w:color w:val="auto"/>
              </w:rPr>
            </w:pPr>
            <w:r>
              <w:rPr>
                <w:rFonts w:ascii="Arial" w:cs="Arial" w:eastAsia="Arial" w:hAnsi="Arial"/>
                <w:sz w:val="13"/>
                <w:szCs w:val="13"/>
                <w:color w:val="0000EE"/>
              </w:rPr>
              <w:t>Information on Other Compensation-Related Topics</w:t>
            </w:r>
          </w:p>
        </w:tc>
        <w:tc>
          <w:tcPr>
            <w:tcW w:w="140" w:type="dxa"/>
            <w:vAlign w:val="bottom"/>
          </w:tcPr>
          <w:p>
            <w:pPr>
              <w:jc w:val="right"/>
              <w:spacing w:after="0"/>
              <w:rPr>
                <w:sz w:val="20"/>
                <w:szCs w:val="20"/>
                <w:color w:val="auto"/>
              </w:rPr>
            </w:pPr>
            <w:r>
              <w:rPr>
                <w:rFonts w:ascii="Arial" w:cs="Arial" w:eastAsia="Arial" w:hAnsi="Arial"/>
                <w:sz w:val="13"/>
                <w:szCs w:val="13"/>
                <w:color w:val="0000EE"/>
                <w:w w:val="82"/>
              </w:rPr>
              <w:t>48</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-2948305</wp:posOffset>
            </wp:positionV>
            <wp:extent cx="77470" cy="939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-2820035</wp:posOffset>
            </wp:positionV>
            <wp:extent cx="77470" cy="93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-2691130</wp:posOffset>
            </wp:positionV>
            <wp:extent cx="77470" cy="939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-2562860</wp:posOffset>
            </wp:positionV>
            <wp:extent cx="77470" cy="939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-2357120</wp:posOffset>
            </wp:positionV>
            <wp:extent cx="77470" cy="939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-2228215</wp:posOffset>
            </wp:positionV>
            <wp:extent cx="7747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-2099945</wp:posOffset>
            </wp:positionV>
            <wp:extent cx="7747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-1971040</wp:posOffset>
            </wp:positionV>
            <wp:extent cx="7747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-1842770</wp:posOffset>
            </wp:positionV>
            <wp:extent cx="7747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-1713865</wp:posOffset>
            </wp:positionV>
            <wp:extent cx="7747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-1508125</wp:posOffset>
            </wp:positionV>
            <wp:extent cx="77470" cy="94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-1379855</wp:posOffset>
            </wp:positionV>
            <wp:extent cx="7747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-1250950</wp:posOffset>
            </wp:positionV>
            <wp:extent cx="7747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-1122680</wp:posOffset>
            </wp:positionV>
            <wp:extent cx="77470" cy="94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-993775</wp:posOffset>
            </wp:positionV>
            <wp:extent cx="77470"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-865505</wp:posOffset>
            </wp:positionV>
            <wp:extent cx="77470" cy="94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-736600</wp:posOffset>
            </wp:positionV>
            <wp:extent cx="7747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-608330</wp:posOffset>
            </wp:positionV>
            <wp:extent cx="77470" cy="939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-479425</wp:posOffset>
            </wp:positionV>
            <wp:extent cx="77470" cy="939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-351155</wp:posOffset>
            </wp:positionV>
            <wp:extent cx="77470" cy="93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-222250</wp:posOffset>
            </wp:positionV>
            <wp:extent cx="77470" cy="939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-93980</wp:posOffset>
            </wp:positionV>
            <wp:extent cx="77470" cy="939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220" w:hanging="215"/>
        <w:spacing w:after="0"/>
        <w:tabs>
          <w:tab w:leader="none" w:pos="220" w:val="left"/>
        </w:tabs>
        <w:numPr>
          <w:ilvl w:val="0"/>
          <w:numId w:val="14"/>
        </w:numPr>
        <w:rPr>
          <w:rFonts w:ascii="Arial" w:cs="Arial" w:eastAsia="Arial" w:hAnsi="Arial"/>
          <w:sz w:val="13"/>
          <w:szCs w:val="13"/>
          <w:b w:val="1"/>
          <w:bCs w:val="1"/>
          <w:color w:val="0000EE"/>
        </w:rPr>
      </w:pPr>
      <w:r>
        <w:rPr>
          <w:rFonts w:ascii="Arial" w:cs="Arial" w:eastAsia="Arial" w:hAnsi="Arial"/>
          <w:sz w:val="13"/>
          <w:szCs w:val="13"/>
          <w:color w:val="0000EE"/>
        </w:rPr>
        <w:t xml:space="preserve">PROPOSAL 4: SHAREHOLDER PROPOSAL FOR INDEPENDENT </w:t>
      </w:r>
      <w:r>
        <w:rPr>
          <w:rFonts w:ascii="Times New Roman" w:cs="Times New Roman" w:eastAsia="Times New Roman" w:hAnsi="Times New Roman"/>
          <w:sz w:val="3"/>
          <w:szCs w:val="3"/>
          <w:color w:val="000000"/>
        </w:rPr>
        <w:t>​  ​</w:t>
      </w:r>
    </w:p>
    <w:tbl>
      <w:tblPr>
        <w:tblLayout w:type="fixed"/>
        <w:tblInd w:w="0" w:type="dxa"/>
        <w:tblCellMar>
          <w:top w:w="0" w:type="dxa"/>
          <w:left w:w="0" w:type="dxa"/>
          <w:bottom w:w="0" w:type="dxa"/>
          <w:right w:w="0" w:type="dxa"/>
        </w:tblCellMar>
      </w:tblPr>
      <w:tr>
        <w:trPr>
          <w:trHeight w:val="128"/>
        </w:trPr>
        <w:tc>
          <w:tcPr>
            <w:tcW w:w="1160" w:type="dxa"/>
            <w:vAlign w:val="bottom"/>
            <w:tcBorders>
              <w:top w:val="single" w:sz="8" w:color="0000EE"/>
              <w:bottom w:val="single" w:sz="8" w:color="0000EE"/>
            </w:tcBorders>
            <w:gridSpan w:val="3"/>
          </w:tcPr>
          <w:p>
            <w:pPr>
              <w:spacing w:after="0" w:line="129" w:lineRule="exact"/>
              <w:rPr>
                <w:sz w:val="20"/>
                <w:szCs w:val="20"/>
                <w:color w:val="auto"/>
              </w:rPr>
            </w:pPr>
            <w:r>
              <w:rPr>
                <w:rFonts w:ascii="Arial" w:cs="Arial" w:eastAsia="Arial" w:hAnsi="Arial"/>
                <w:sz w:val="13"/>
                <w:szCs w:val="13"/>
                <w:color w:val="0000EE"/>
                <w:w w:val="95"/>
              </w:rPr>
              <w:t>BOARD CHAIRMAN</w:t>
            </w:r>
          </w:p>
        </w:tc>
        <w:tc>
          <w:tcPr>
            <w:tcW w:w="2840" w:type="dxa"/>
            <w:vAlign w:val="bottom"/>
            <w:tcBorders>
              <w:top w:val="single" w:sz="8" w:color="0000EE"/>
            </w:tcBorders>
            <w:gridSpan w:val="9"/>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0000EE"/>
            </w:tcBorders>
          </w:tcPr>
          <w:p>
            <w:pPr>
              <w:jc w:val="right"/>
              <w:spacing w:after="0" w:line="129" w:lineRule="exact"/>
              <w:rPr>
                <w:sz w:val="20"/>
                <w:szCs w:val="20"/>
                <w:color w:val="auto"/>
              </w:rPr>
            </w:pPr>
            <w:r>
              <w:rPr>
                <w:rFonts w:ascii="Arial" w:cs="Arial" w:eastAsia="Arial" w:hAnsi="Arial"/>
                <w:sz w:val="13"/>
                <w:szCs w:val="13"/>
                <w:b w:val="1"/>
                <w:bCs w:val="1"/>
                <w:color w:val="0000EE"/>
                <w:w w:val="82"/>
              </w:rPr>
              <w:t>69</w:t>
            </w:r>
          </w:p>
        </w:tc>
      </w:tr>
      <w:tr>
        <w:trPr>
          <w:trHeight w:val="318"/>
        </w:trPr>
        <w:tc>
          <w:tcPr>
            <w:tcW w:w="4000" w:type="dxa"/>
            <w:vAlign w:val="bottom"/>
            <w:gridSpan w:val="12"/>
          </w:tcPr>
          <w:p>
            <w:pPr>
              <w:spacing w:after="0"/>
              <w:rPr>
                <w:sz w:val="20"/>
                <w:szCs w:val="20"/>
                <w:color w:val="auto"/>
              </w:rPr>
            </w:pPr>
            <w:r>
              <w:rPr>
                <w:rFonts w:ascii="Arial" w:cs="Arial" w:eastAsia="Arial" w:hAnsi="Arial"/>
                <w:sz w:val="13"/>
                <w:szCs w:val="13"/>
                <w:b w:val="1"/>
                <w:bCs w:val="1"/>
                <w:color w:val="0000EE"/>
              </w:rPr>
              <w:t xml:space="preserve">21. </w:t>
            </w:r>
            <w:r>
              <w:rPr>
                <w:rFonts w:ascii="Arial" w:cs="Arial" w:eastAsia="Arial" w:hAnsi="Arial"/>
                <w:sz w:val="13"/>
                <w:szCs w:val="13"/>
                <w:color w:val="0000EE"/>
              </w:rPr>
              <w:t>OTHER BUSINESS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w w:val="97"/>
              </w:rPr>
              <w:t xml:space="preserve">​  ​  </w:t>
            </w:r>
            <w:r>
              <w:rPr>
                <w:rFonts w:ascii="Arial" w:cs="Arial" w:eastAsia="Arial" w:hAnsi="Arial"/>
                <w:sz w:val="25"/>
                <w:szCs w:val="25"/>
                <w:b w:val="1"/>
                <w:bCs w:val="1"/>
                <w:color w:val="0000EE"/>
                <w:w w:val="97"/>
                <w:vertAlign w:val="subscript"/>
              </w:rPr>
              <w:t>71</w:t>
            </w:r>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r>
      <w:tr>
        <w:trPr>
          <w:trHeight w:val="318"/>
        </w:trPr>
        <w:tc>
          <w:tcPr>
            <w:tcW w:w="1500" w:type="dxa"/>
            <w:vAlign w:val="bottom"/>
            <w:gridSpan w:val="6"/>
          </w:tcPr>
          <w:p>
            <w:pPr>
              <w:spacing w:after="0"/>
              <w:rPr>
                <w:sz w:val="20"/>
                <w:szCs w:val="20"/>
                <w:color w:val="auto"/>
              </w:rPr>
            </w:pPr>
            <w:r>
              <w:rPr>
                <w:rFonts w:ascii="Arial" w:cs="Arial" w:eastAsia="Arial" w:hAnsi="Arial"/>
                <w:sz w:val="13"/>
                <w:szCs w:val="13"/>
                <w:b w:val="1"/>
                <w:bCs w:val="1"/>
                <w:color w:val="0000EE"/>
                <w:w w:val="96"/>
              </w:rPr>
              <w:t xml:space="preserve">22. </w:t>
            </w:r>
            <w:r>
              <w:rPr>
                <w:rFonts w:ascii="Arial" w:cs="Arial" w:eastAsia="Arial" w:hAnsi="Arial"/>
                <w:sz w:val="13"/>
                <w:szCs w:val="13"/>
                <w:color w:val="0000EE"/>
                <w:w w:val="96"/>
              </w:rPr>
              <w:t>BOARD LEADERSHIP</w:t>
            </w:r>
          </w:p>
        </w:tc>
        <w:tc>
          <w:tcPr>
            <w:tcW w:w="2500" w:type="dxa"/>
            <w:vAlign w:val="bottom"/>
            <w:gridSpan w:val="6"/>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w w:val="97"/>
              </w:rPr>
              <w:t xml:space="preserve">​  ​  </w:t>
            </w:r>
            <w:r>
              <w:rPr>
                <w:rFonts w:ascii="Arial" w:cs="Arial" w:eastAsia="Arial" w:hAnsi="Arial"/>
                <w:sz w:val="25"/>
                <w:szCs w:val="25"/>
                <w:b w:val="1"/>
                <w:bCs w:val="1"/>
                <w:color w:val="0000EE"/>
                <w:w w:val="97"/>
                <w:vertAlign w:val="subscript"/>
              </w:rPr>
              <w:t>71</w:t>
            </w:r>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r>
      <w:tr>
        <w:trPr>
          <w:trHeight w:val="317"/>
        </w:trPr>
        <w:tc>
          <w:tcPr>
            <w:tcW w:w="1880" w:type="dxa"/>
            <w:vAlign w:val="bottom"/>
            <w:gridSpan w:val="8"/>
          </w:tcPr>
          <w:p>
            <w:pPr>
              <w:spacing w:after="0"/>
              <w:rPr>
                <w:sz w:val="20"/>
                <w:szCs w:val="20"/>
                <w:color w:val="auto"/>
              </w:rPr>
            </w:pPr>
            <w:r>
              <w:rPr>
                <w:rFonts w:ascii="Arial" w:cs="Arial" w:eastAsia="Arial" w:hAnsi="Arial"/>
                <w:sz w:val="13"/>
                <w:szCs w:val="13"/>
                <w:b w:val="1"/>
                <w:bCs w:val="1"/>
                <w:color w:val="0000EE"/>
                <w:w w:val="95"/>
              </w:rPr>
              <w:t xml:space="preserve">23. </w:t>
            </w:r>
            <w:r>
              <w:rPr>
                <w:rFonts w:ascii="Arial" w:cs="Arial" w:eastAsia="Arial" w:hAnsi="Arial"/>
                <w:sz w:val="13"/>
                <w:szCs w:val="13"/>
                <w:color w:val="0000EE"/>
                <w:w w:val="95"/>
              </w:rPr>
              <w:t>ADDITIONAL INFORMATION</w:t>
            </w:r>
          </w:p>
        </w:tc>
        <w:tc>
          <w:tcPr>
            <w:tcW w:w="2120" w:type="dxa"/>
            <w:vAlign w:val="bottom"/>
            <w:gridSpan w:val="4"/>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w w:val="97"/>
              </w:rPr>
              <w:t xml:space="preserve">​  ​  </w:t>
            </w:r>
            <w:r>
              <w:rPr>
                <w:rFonts w:ascii="Arial" w:cs="Arial" w:eastAsia="Arial" w:hAnsi="Arial"/>
                <w:sz w:val="25"/>
                <w:szCs w:val="25"/>
                <w:b w:val="1"/>
                <w:bCs w:val="1"/>
                <w:color w:val="0000EE"/>
                <w:w w:val="97"/>
                <w:vertAlign w:val="subscript"/>
              </w:rPr>
              <w:t>72</w:t>
            </w:r>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r>
      <w:tr>
        <w:trPr>
          <w:trHeight w:val="196"/>
        </w:trPr>
        <w:tc>
          <w:tcPr>
            <w:tcW w:w="1880" w:type="dxa"/>
            <w:vAlign w:val="bottom"/>
            <w:gridSpan w:val="8"/>
          </w:tcPr>
          <w:p>
            <w:pPr>
              <w:ind w:left="40"/>
              <w:spacing w:after="0"/>
              <w:rPr>
                <w:sz w:val="20"/>
                <w:szCs w:val="20"/>
                <w:color w:val="auto"/>
              </w:rPr>
            </w:pPr>
            <w:r>
              <w:rPr>
                <w:rFonts w:ascii="Times New Roman" w:cs="Times New Roman" w:eastAsia="Times New Roman" w:hAnsi="Times New Roman"/>
                <w:sz w:val="4"/>
                <w:szCs w:val="4"/>
                <w:color w:val="auto"/>
              </w:rPr>
              <w:t xml:space="preserve">​  ​​  ​  </w:t>
            </w:r>
            <w:r>
              <w:rPr>
                <w:rFonts w:ascii="Arial" w:cs="Arial" w:eastAsia="Arial" w:hAnsi="Arial"/>
                <w:sz w:val="12"/>
                <w:szCs w:val="12"/>
                <w:color w:val="0000EE"/>
              </w:rPr>
              <w:t>Shareholder Proposals</w:t>
            </w:r>
          </w:p>
        </w:tc>
        <w:tc>
          <w:tcPr>
            <w:tcW w:w="2120" w:type="dxa"/>
            <w:vAlign w:val="bottom"/>
            <w:gridSpan w:val="4"/>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2"/>
                <w:szCs w:val="12"/>
                <w:color w:val="0000EE"/>
              </w:rPr>
              <w:t>72</w:t>
            </w:r>
          </w:p>
        </w:tc>
      </w:tr>
      <w:tr>
        <w:trPr>
          <w:trHeight w:val="20"/>
        </w:trPr>
        <w:tc>
          <w:tcPr>
            <w:tcW w:w="3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r>
      <w:tr>
        <w:trPr>
          <w:trHeight w:val="183"/>
        </w:trPr>
        <w:tc>
          <w:tcPr>
            <w:tcW w:w="4000" w:type="dxa"/>
            <w:vAlign w:val="bottom"/>
            <w:gridSpan w:val="12"/>
          </w:tcPr>
          <w:p>
            <w:pPr>
              <w:ind w:left="40"/>
              <w:spacing w:after="0"/>
              <w:rPr>
                <w:sz w:val="20"/>
                <w:szCs w:val="20"/>
                <w:color w:val="auto"/>
              </w:rPr>
            </w:pPr>
            <w:r>
              <w:rPr>
                <w:rFonts w:ascii="Times New Roman" w:cs="Times New Roman" w:eastAsia="Times New Roman" w:hAnsi="Times New Roman"/>
                <w:sz w:val="4"/>
                <w:szCs w:val="4"/>
                <w:color w:val="auto"/>
              </w:rPr>
              <w:t xml:space="preserve">​  ​​  ​  </w:t>
            </w:r>
            <w:r>
              <w:rPr>
                <w:rFonts w:ascii="Arial" w:cs="Arial" w:eastAsia="Arial" w:hAnsi="Arial"/>
                <w:sz w:val="12"/>
                <w:szCs w:val="12"/>
                <w:color w:val="0000EE"/>
              </w:rPr>
              <w:t>Universal Proxy Rules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2"/>
                <w:szCs w:val="12"/>
                <w:color w:val="0000EE"/>
              </w:rPr>
              <w:t>72</w:t>
            </w:r>
          </w:p>
        </w:tc>
      </w:tr>
      <w:tr>
        <w:trPr>
          <w:trHeight w:val="20"/>
        </w:trPr>
        <w:tc>
          <w:tcPr>
            <w:tcW w:w="3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r>
      <w:tr>
        <w:trPr>
          <w:trHeight w:val="183"/>
        </w:trPr>
        <w:tc>
          <w:tcPr>
            <w:tcW w:w="4000" w:type="dxa"/>
            <w:vAlign w:val="bottom"/>
            <w:gridSpan w:val="12"/>
          </w:tcPr>
          <w:p>
            <w:pPr>
              <w:ind w:left="40"/>
              <w:spacing w:after="0"/>
              <w:rPr>
                <w:sz w:val="20"/>
                <w:szCs w:val="20"/>
                <w:color w:val="auto"/>
              </w:rPr>
            </w:pPr>
            <w:r>
              <w:rPr>
                <w:rFonts w:ascii="Times New Roman" w:cs="Times New Roman" w:eastAsia="Times New Roman" w:hAnsi="Times New Roman"/>
                <w:sz w:val="4"/>
                <w:szCs w:val="4"/>
                <w:color w:val="auto"/>
              </w:rPr>
              <w:t xml:space="preserve">​  ​​  ​  </w:t>
            </w:r>
            <w:r>
              <w:rPr>
                <w:rFonts w:ascii="Arial" w:cs="Arial" w:eastAsia="Arial" w:hAnsi="Arial"/>
                <w:sz w:val="12"/>
                <w:szCs w:val="12"/>
                <w:color w:val="0000EE"/>
              </w:rPr>
              <w:t>Solicitation of Proxies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2"/>
                <w:szCs w:val="12"/>
                <w:color w:val="0000EE"/>
              </w:rPr>
              <w:t>73</w:t>
            </w:r>
          </w:p>
        </w:tc>
      </w:tr>
      <w:tr>
        <w:trPr>
          <w:trHeight w:val="20"/>
        </w:trPr>
        <w:tc>
          <w:tcPr>
            <w:tcW w:w="3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r>
      <w:tr>
        <w:trPr>
          <w:trHeight w:val="183"/>
        </w:trPr>
        <w:tc>
          <w:tcPr>
            <w:tcW w:w="4000" w:type="dxa"/>
            <w:vAlign w:val="bottom"/>
            <w:gridSpan w:val="12"/>
          </w:tcPr>
          <w:p>
            <w:pPr>
              <w:ind w:left="40"/>
              <w:spacing w:after="0"/>
              <w:rPr>
                <w:sz w:val="20"/>
                <w:szCs w:val="20"/>
                <w:color w:val="auto"/>
              </w:rPr>
            </w:pPr>
            <w:r>
              <w:rPr>
                <w:rFonts w:ascii="Times New Roman" w:cs="Times New Roman" w:eastAsia="Times New Roman" w:hAnsi="Times New Roman"/>
                <w:sz w:val="4"/>
                <w:szCs w:val="4"/>
                <w:color w:val="auto"/>
              </w:rPr>
              <w:t xml:space="preserve">​  ​​  ​  </w:t>
            </w:r>
            <w:r>
              <w:rPr>
                <w:rFonts w:ascii="Arial" w:cs="Arial" w:eastAsia="Arial" w:hAnsi="Arial"/>
                <w:sz w:val="12"/>
                <w:szCs w:val="12"/>
                <w:color w:val="0000EE"/>
              </w:rPr>
              <w:t>Voting Procedures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2"/>
                <w:szCs w:val="12"/>
                <w:color w:val="0000EE"/>
              </w:rPr>
              <w:t>73</w:t>
            </w:r>
          </w:p>
        </w:tc>
      </w:tr>
      <w:tr>
        <w:trPr>
          <w:trHeight w:val="20"/>
        </w:trPr>
        <w:tc>
          <w:tcPr>
            <w:tcW w:w="3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r>
      <w:tr>
        <w:trPr>
          <w:trHeight w:val="183"/>
        </w:trPr>
        <w:tc>
          <w:tcPr>
            <w:tcW w:w="4000" w:type="dxa"/>
            <w:vAlign w:val="bottom"/>
            <w:gridSpan w:val="12"/>
          </w:tcPr>
          <w:p>
            <w:pPr>
              <w:ind w:left="40"/>
              <w:spacing w:after="0"/>
              <w:rPr>
                <w:sz w:val="20"/>
                <w:szCs w:val="20"/>
                <w:color w:val="auto"/>
              </w:rPr>
            </w:pPr>
            <w:r>
              <w:rPr>
                <w:rFonts w:ascii="Times New Roman" w:cs="Times New Roman" w:eastAsia="Times New Roman" w:hAnsi="Times New Roman"/>
                <w:sz w:val="4"/>
                <w:szCs w:val="4"/>
                <w:color w:val="auto"/>
              </w:rPr>
              <w:t xml:space="preserve">​  ​​  ​  </w:t>
            </w:r>
            <w:r>
              <w:rPr>
                <w:rFonts w:ascii="Arial" w:cs="Arial" w:eastAsia="Arial" w:hAnsi="Arial"/>
                <w:sz w:val="12"/>
                <w:szCs w:val="12"/>
                <w:color w:val="0000EE"/>
              </w:rPr>
              <w:t>Where to Find More Proxy Voting Information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2"/>
                <w:szCs w:val="12"/>
                <w:color w:val="0000EE"/>
              </w:rPr>
              <w:t>74</w:t>
            </w:r>
          </w:p>
        </w:tc>
      </w:tr>
      <w:tr>
        <w:trPr>
          <w:trHeight w:val="20"/>
        </w:trPr>
        <w:tc>
          <w:tcPr>
            <w:tcW w:w="3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r>
      <w:tr>
        <w:trPr>
          <w:trHeight w:val="183"/>
        </w:trPr>
        <w:tc>
          <w:tcPr>
            <w:tcW w:w="4000" w:type="dxa"/>
            <w:vAlign w:val="bottom"/>
            <w:gridSpan w:val="12"/>
          </w:tcPr>
          <w:p>
            <w:pPr>
              <w:ind w:left="40"/>
              <w:spacing w:after="0"/>
              <w:rPr>
                <w:sz w:val="20"/>
                <w:szCs w:val="20"/>
                <w:color w:val="auto"/>
              </w:rPr>
            </w:pPr>
            <w:r>
              <w:rPr>
                <w:rFonts w:ascii="Times New Roman" w:cs="Times New Roman" w:eastAsia="Times New Roman" w:hAnsi="Times New Roman"/>
                <w:sz w:val="4"/>
                <w:szCs w:val="4"/>
                <w:color w:val="auto"/>
              </w:rPr>
              <w:t xml:space="preserve">​  ​​  ​  </w:t>
            </w:r>
            <w:r>
              <w:rPr>
                <w:rFonts w:ascii="Arial" w:cs="Arial" w:eastAsia="Arial" w:hAnsi="Arial"/>
                <w:sz w:val="12"/>
                <w:szCs w:val="12"/>
                <w:color w:val="0000EE"/>
              </w:rPr>
              <w:t>Householding of Proxy Materials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2"/>
                <w:szCs w:val="12"/>
                <w:color w:val="0000EE"/>
              </w:rPr>
              <w:t>74</w:t>
            </w:r>
          </w:p>
        </w:tc>
      </w:tr>
      <w:tr>
        <w:trPr>
          <w:trHeight w:val="20"/>
        </w:trPr>
        <w:tc>
          <w:tcPr>
            <w:tcW w:w="3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r>
      <w:tr>
        <w:trPr>
          <w:trHeight w:val="304"/>
        </w:trPr>
        <w:tc>
          <w:tcPr>
            <w:tcW w:w="4000" w:type="dxa"/>
            <w:vAlign w:val="bottom"/>
            <w:gridSpan w:val="12"/>
          </w:tcPr>
          <w:p>
            <w:pPr>
              <w:spacing w:after="0"/>
              <w:rPr>
                <w:sz w:val="20"/>
                <w:szCs w:val="20"/>
                <w:color w:val="auto"/>
              </w:rPr>
            </w:pPr>
            <w:r>
              <w:rPr>
                <w:rFonts w:ascii="Arial" w:cs="Arial" w:eastAsia="Arial" w:hAnsi="Arial"/>
                <w:sz w:val="13"/>
                <w:szCs w:val="13"/>
                <w:b w:val="1"/>
                <w:bCs w:val="1"/>
                <w:color w:val="0000EE"/>
              </w:rPr>
              <w:t xml:space="preserve">24. </w:t>
            </w:r>
            <w:r>
              <w:rPr>
                <w:rFonts w:ascii="Arial" w:cs="Arial" w:eastAsia="Arial" w:hAnsi="Arial"/>
                <w:sz w:val="13"/>
                <w:szCs w:val="13"/>
                <w:color w:val="0000EE"/>
              </w:rPr>
              <w:t>APPENDIX A:</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000000"/>
                <w:w w:val="91"/>
                <w:vertAlign w:val="superscript"/>
              </w:rPr>
              <w:t>​  ​</w:t>
            </w:r>
            <w:r>
              <w:rPr>
                <w:rFonts w:ascii="Arial" w:cs="Arial" w:eastAsia="Arial" w:hAnsi="Arial"/>
                <w:sz w:val="13"/>
                <w:szCs w:val="13"/>
                <w:b w:val="1"/>
                <w:bCs w:val="1"/>
                <w:color w:val="0000EE"/>
                <w:w w:val="91"/>
              </w:rPr>
              <w:t xml:space="preserve">  75</w:t>
            </w: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r>
      <w:tr>
        <w:trPr>
          <w:trHeight w:val="196"/>
        </w:trPr>
        <w:tc>
          <w:tcPr>
            <w:tcW w:w="4000" w:type="dxa"/>
            <w:vAlign w:val="bottom"/>
            <w:gridSpan w:val="12"/>
          </w:tcPr>
          <w:p>
            <w:pPr>
              <w:ind w:left="40"/>
              <w:spacing w:after="0"/>
              <w:rPr>
                <w:sz w:val="20"/>
                <w:szCs w:val="20"/>
                <w:color w:val="auto"/>
              </w:rPr>
            </w:pPr>
            <w:r>
              <w:rPr>
                <w:rFonts w:ascii="Times New Roman" w:cs="Times New Roman" w:eastAsia="Times New Roman" w:hAnsi="Times New Roman"/>
                <w:sz w:val="4"/>
                <w:szCs w:val="4"/>
                <w:color w:val="auto"/>
              </w:rPr>
              <w:t xml:space="preserve">​  ​​  ​  </w:t>
            </w:r>
            <w:r>
              <w:rPr>
                <w:rFonts w:ascii="Arial" w:cs="Arial" w:eastAsia="Arial" w:hAnsi="Arial"/>
                <w:sz w:val="12"/>
                <w:szCs w:val="12"/>
                <w:color w:val="0000EE"/>
              </w:rPr>
              <w:t>Management’s Use of Non-GAAP Financial Measures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000000"/>
                <w:w w:val="91"/>
                <w:vertAlign w:val="superscript"/>
              </w:rPr>
              <w:t>​  ​</w:t>
            </w:r>
            <w:r>
              <w:rPr>
                <w:rFonts w:ascii="Arial" w:cs="Arial" w:eastAsia="Arial" w:hAnsi="Arial"/>
                <w:sz w:val="13"/>
                <w:szCs w:val="13"/>
                <w:color w:val="0000EE"/>
                <w:w w:val="91"/>
              </w:rPr>
              <w:t xml:space="preserve">  75</w:t>
            </w:r>
          </w:p>
        </w:tc>
      </w:tr>
      <w:tr>
        <w:trPr>
          <w:trHeight w:val="20"/>
        </w:trPr>
        <w:tc>
          <w:tcPr>
            <w:tcW w:w="3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-1079500</wp:posOffset>
            </wp:positionV>
            <wp:extent cx="76835" cy="94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-951230</wp:posOffset>
            </wp:positionV>
            <wp:extent cx="76835"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-822325</wp:posOffset>
            </wp:positionV>
            <wp:extent cx="76835" cy="94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-694055</wp:posOffset>
            </wp:positionV>
            <wp:extent cx="76835" cy="94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-565150</wp:posOffset>
            </wp:positionV>
            <wp:extent cx="76835" cy="94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-436880</wp:posOffset>
            </wp:positionV>
            <wp:extent cx="76835" cy="94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-93980</wp:posOffset>
            </wp:positionV>
            <wp:extent cx="76835" cy="939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93980"/>
                    </a:xfrm>
                    <a:prstGeom prst="rect">
                      <a:avLst/>
                    </a:prstGeom>
                    <a:noFill/>
                  </pic:spPr>
                </pic:pic>
              </a:graphicData>
            </a:graphic>
          </wp:anchor>
        </w:drawing>
      </w:r>
    </w:p>
    <w:p>
      <w:pPr>
        <w:spacing w:after="0" w:line="21" w:lineRule="exact"/>
        <w:rPr>
          <w:sz w:val="20"/>
          <w:szCs w:val="20"/>
          <w:color w:val="auto"/>
        </w:rPr>
      </w:pPr>
    </w:p>
    <w:p>
      <w:pPr>
        <w:ind w:left="80" w:hanging="35"/>
        <w:spacing w:after="0"/>
        <w:tabs>
          <w:tab w:leader="none" w:pos="80" w:val="left"/>
        </w:tabs>
        <w:numPr>
          <w:ilvl w:val="0"/>
          <w:numId w:val="15"/>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1"/>
          <w:szCs w:val="1"/>
          <w:color w:val="auto"/>
        </w:rPr>
        <w:drawing>
          <wp:inline distT="0" distB="0" distL="0" distR="0">
            <wp:extent cx="76835" cy="9398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Adjusted Net Income and Adjusted Net Income Per Diluted Share</w:t>
      </w:r>
      <w:r>
        <w:rPr>
          <w:rFonts w:ascii="Times New Roman" w:cs="Times New Roman" w:eastAsia="Times New Roman" w:hAnsi="Times New Roman"/>
          <w:sz w:val="4"/>
          <w:szCs w:val="4"/>
          <w:color w:val="auto"/>
        </w:rPr>
        <w:t xml:space="preserve"> ​  ​  </w:t>
      </w:r>
      <w:r>
        <w:rPr>
          <w:rFonts w:ascii="Arial" w:cs="Arial" w:eastAsia="Arial" w:hAnsi="Arial"/>
          <w:sz w:val="12"/>
          <w:szCs w:val="12"/>
          <w:u w:val="single" w:color="auto"/>
          <w:color w:val="0000EE"/>
        </w:rPr>
        <w:t>75</w:t>
      </w:r>
    </w:p>
    <w:p>
      <w:pPr>
        <w:spacing w:after="0" w:line="28" w:lineRule="exact"/>
        <w:rPr>
          <w:sz w:val="20"/>
          <w:szCs w:val="20"/>
          <w:color w:val="auto"/>
        </w:rPr>
      </w:pPr>
    </w:p>
    <w:p>
      <w:pPr>
        <w:ind w:left="40"/>
        <w:spacing w:after="0"/>
        <w:tabs>
          <w:tab w:leader="none" w:pos="60" w:val="left"/>
          <w:tab w:leader="none" w:pos="260" w:val="left"/>
          <w:tab w:leader="none" w:pos="300" w:val="left"/>
          <w:tab w:leader="none" w:pos="4000" w:val="left"/>
          <w:tab w:leader="none" w:pos="4040" w:val="left"/>
          <w:tab w:leader="none" w:pos="4080" w:val="left"/>
        </w:tabs>
        <w:rPr>
          <w:sz w:val="20"/>
          <w:szCs w:val="20"/>
          <w:color w:val="auto"/>
        </w:rPr>
      </w:pPr>
      <w:r>
        <w:rPr>
          <w:rFonts w:ascii="Times New Roman" w:cs="Times New Roman" w:eastAsia="Times New Roman" w:hAnsi="Times New Roman"/>
          <w:sz w:val="4"/>
          <w:szCs w:val="4"/>
          <w:color w:val="auto"/>
        </w:rPr>
        <w:t>​</w:t>
        <w:tab/>
        <w:t xml:space="preserve">​  </w:t>
      </w:r>
      <w:r>
        <w:rPr>
          <w:sz w:val="1"/>
          <w:szCs w:val="1"/>
          <w:color w:val="auto"/>
        </w:rPr>
        <w:drawing>
          <wp:inline distT="0" distB="0" distL="0" distR="0">
            <wp:extent cx="76835" cy="9398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w:t>
        <w:tab/>
        <w:t>​</w:t>
      </w:r>
      <w:r>
        <w:rPr>
          <w:sz w:val="20"/>
          <w:szCs w:val="20"/>
          <w:color w:val="auto"/>
        </w:rPr>
        <w:tab/>
      </w:r>
      <w:r>
        <w:rPr>
          <w:rFonts w:ascii="Arial" w:cs="Arial" w:eastAsia="Arial" w:hAnsi="Arial"/>
          <w:sz w:val="13"/>
          <w:szCs w:val="13"/>
          <w:u w:val="single" w:color="auto"/>
          <w:color w:val="0000EE"/>
        </w:rPr>
        <w:t>Reconciliation of Net Income to Pro Forma Adjusted Net Income</w:t>
      </w:r>
      <w:r>
        <w:rPr>
          <w:sz w:val="20"/>
          <w:szCs w:val="20"/>
          <w:color w:val="auto"/>
        </w:rPr>
        <w:tab/>
      </w:r>
      <w:r>
        <w:rPr>
          <w:rFonts w:ascii="Times New Roman" w:cs="Times New Roman" w:eastAsia="Times New Roman" w:hAnsi="Times New Roman"/>
          <w:sz w:val="4"/>
          <w:szCs w:val="4"/>
          <w:color w:val="auto"/>
        </w:rPr>
        <w:t>​</w:t>
        <w:tab/>
        <w:t>​</w:t>
      </w:r>
      <w:r>
        <w:rPr>
          <w:sz w:val="20"/>
          <w:szCs w:val="20"/>
          <w:color w:val="auto"/>
        </w:rPr>
        <w:tab/>
      </w:r>
      <w:r>
        <w:rPr>
          <w:rFonts w:ascii="Arial" w:cs="Arial" w:eastAsia="Arial" w:hAnsi="Arial"/>
          <w:sz w:val="12"/>
          <w:szCs w:val="12"/>
          <w:u w:val="single" w:color="auto"/>
          <w:color w:val="0000EE"/>
        </w:rPr>
        <w:t>76</w:t>
      </w:r>
    </w:p>
    <w:p>
      <w:pPr>
        <w:spacing w:after="0" w:line="1323" w:lineRule="exact"/>
        <w:rPr>
          <w:sz w:val="20"/>
          <w:szCs w:val="20"/>
          <w:color w:val="auto"/>
        </w:rPr>
      </w:pPr>
    </w:p>
    <w:p>
      <w:pPr>
        <w:sectPr>
          <w:pgSz w:w="11900" w:h="16838" w:orient="portrait"/>
          <w:cols w:equalWidth="0" w:num="2">
            <w:col w:w="4900" w:space="380"/>
            <w:col w:w="4259"/>
          </w:cols>
          <w:pgMar w:left="920" w:top="114" w:right="1440" w:bottom="71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0"/>
          <w:szCs w:val="10"/>
          <w:b w:val="1"/>
          <w:bCs w:val="1"/>
          <w:color w:val="333333"/>
        </w:rPr>
        <w:t xml:space="preserve">4 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71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CF1D4C"/>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231775</wp:posOffset>
            </wp:positionV>
            <wp:extent cx="5554980" cy="2254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54980"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20"/>
        <w:spacing w:after="0"/>
        <w:rPr>
          <w:sz w:val="20"/>
          <w:szCs w:val="20"/>
          <w:color w:val="auto"/>
        </w:rPr>
      </w:pPr>
      <w:r>
        <w:rPr>
          <w:rFonts w:ascii="Arial" w:cs="Arial" w:eastAsia="Arial" w:hAnsi="Arial"/>
          <w:sz w:val="22"/>
          <w:szCs w:val="22"/>
          <w:b w:val="1"/>
          <w:bCs w:val="1"/>
          <w:color w:val="FFFFFF"/>
        </w:rPr>
        <w:t>Information About Our 2024 Annual Meeting</w:t>
      </w:r>
    </w:p>
    <w:p>
      <w:pPr>
        <w:spacing w:after="0" w:line="297"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FFFFFF"/>
        </w:rPr>
        <w:t xml:space="preserve">Date and Time: </w:t>
      </w:r>
      <w:r>
        <w:rPr>
          <w:rFonts w:ascii="Arial" w:cs="Arial" w:eastAsia="Arial" w:hAnsi="Arial"/>
          <w:sz w:val="16"/>
          <w:szCs w:val="16"/>
          <w:b w:val="1"/>
          <w:bCs w:val="1"/>
          <w:color w:val="FFFFFF"/>
        </w:rPr>
        <w:t>Thursday, June 6, 2024, at 10:00 a.m. Eastern Daylight Time</w:t>
      </w:r>
    </w:p>
    <w:p>
      <w:pPr>
        <w:spacing w:after="0" w:line="29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FFFFFF"/>
        </w:rPr>
        <w:t xml:space="preserve">Place: </w:t>
      </w:r>
      <w:r>
        <w:rPr>
          <w:rFonts w:ascii="Arial" w:cs="Arial" w:eastAsia="Arial" w:hAnsi="Arial"/>
          <w:sz w:val="16"/>
          <w:szCs w:val="16"/>
          <w:b w:val="1"/>
          <w:bCs w:val="1"/>
          <w:color w:val="FFFFFF"/>
        </w:rPr>
        <w:t>Our offices at 3280 Peachtree Road, Suite 2400, Atlanta, Georgia 30305</w:t>
      </w:r>
    </w:p>
    <w:p>
      <w:pPr>
        <w:spacing w:after="0" w:line="293" w:lineRule="exact"/>
        <w:rPr>
          <w:sz w:val="20"/>
          <w:szCs w:val="20"/>
          <w:color w:val="auto"/>
        </w:rPr>
      </w:pPr>
    </w:p>
    <w:p>
      <w:pPr>
        <w:ind w:left="1320" w:right="1260"/>
        <w:spacing w:after="0" w:line="258" w:lineRule="auto"/>
        <w:rPr>
          <w:sz w:val="20"/>
          <w:szCs w:val="20"/>
          <w:color w:val="auto"/>
        </w:rPr>
      </w:pPr>
      <w:r>
        <w:rPr>
          <w:rFonts w:ascii="Arial" w:cs="Arial" w:eastAsia="Arial" w:hAnsi="Arial"/>
          <w:sz w:val="18"/>
          <w:szCs w:val="18"/>
          <w:b w:val="1"/>
          <w:bCs w:val="1"/>
          <w:color w:val="FFFFFF"/>
        </w:rPr>
        <w:t xml:space="preserve">Record Date: </w:t>
      </w:r>
      <w:r>
        <w:rPr>
          <w:rFonts w:ascii="Arial" w:cs="Arial" w:eastAsia="Arial" w:hAnsi="Arial"/>
          <w:sz w:val="16"/>
          <w:szCs w:val="16"/>
          <w:b w:val="1"/>
          <w:bCs w:val="1"/>
          <w:color w:val="FFFFFF"/>
        </w:rPr>
        <w:t>April 11, 2024 (71,199,308 common shares and 291,079 unvested restricted shares</w:t>
      </w:r>
      <w:r>
        <w:rPr>
          <w:rFonts w:ascii="Arial" w:cs="Arial" w:eastAsia="Arial" w:hAnsi="Arial"/>
          <w:sz w:val="18"/>
          <w:szCs w:val="18"/>
          <w:b w:val="1"/>
          <w:bCs w:val="1"/>
          <w:color w:val="FFFFFF"/>
        </w:rPr>
        <w:t xml:space="preserve"> </w:t>
      </w:r>
      <w:r>
        <w:rPr>
          <w:rFonts w:ascii="Arial" w:cs="Arial" w:eastAsia="Arial" w:hAnsi="Arial"/>
          <w:sz w:val="16"/>
          <w:szCs w:val="16"/>
          <w:b w:val="1"/>
          <w:bCs w:val="1"/>
          <w:color w:val="FFFFFF"/>
        </w:rPr>
        <w:t>entitled to vote as of the record date).</w:t>
      </w:r>
    </w:p>
    <w:p>
      <w:pPr>
        <w:spacing w:after="0" w:line="243" w:lineRule="exact"/>
        <w:rPr>
          <w:sz w:val="20"/>
          <w:szCs w:val="20"/>
          <w:color w:val="auto"/>
        </w:rPr>
      </w:pPr>
    </w:p>
    <w:p>
      <w:pPr>
        <w:ind w:left="1320" w:right="1320"/>
        <w:spacing w:after="0" w:line="252" w:lineRule="auto"/>
        <w:rPr>
          <w:sz w:val="20"/>
          <w:szCs w:val="20"/>
          <w:color w:val="auto"/>
        </w:rPr>
      </w:pPr>
      <w:r>
        <w:rPr>
          <w:rFonts w:ascii="Arial" w:cs="Arial" w:eastAsia="Arial" w:hAnsi="Arial"/>
          <w:sz w:val="18"/>
          <w:szCs w:val="18"/>
          <w:b w:val="1"/>
          <w:bCs w:val="1"/>
          <w:color w:val="FFFFFF"/>
        </w:rPr>
        <w:t xml:space="preserve">Voting: </w:t>
      </w:r>
      <w:r>
        <w:rPr>
          <w:rFonts w:ascii="Arial" w:cs="Arial" w:eastAsia="Arial" w:hAnsi="Arial"/>
          <w:sz w:val="16"/>
          <w:szCs w:val="16"/>
          <w:b w:val="1"/>
          <w:bCs w:val="1"/>
          <w:color w:val="FFFFFF"/>
        </w:rPr>
        <w:t>Holders of common shares as of the close of business on April 11, 2024 may vote at the</w:t>
      </w:r>
      <w:r>
        <w:rPr>
          <w:rFonts w:ascii="Arial" w:cs="Arial" w:eastAsia="Arial" w:hAnsi="Arial"/>
          <w:sz w:val="18"/>
          <w:szCs w:val="18"/>
          <w:b w:val="1"/>
          <w:bCs w:val="1"/>
          <w:color w:val="FFFFFF"/>
        </w:rPr>
        <w:t xml:space="preserve"> </w:t>
      </w:r>
      <w:r>
        <w:rPr>
          <w:rFonts w:ascii="Arial" w:cs="Arial" w:eastAsia="Arial" w:hAnsi="Arial"/>
          <w:sz w:val="16"/>
          <w:szCs w:val="16"/>
          <w:b w:val="1"/>
          <w:bCs w:val="1"/>
          <w:color w:val="FFFFFF"/>
        </w:rPr>
        <w:t>Annual Meeting. One vote per share for each director nominee and each of the other proposals described below.</w:t>
      </w:r>
    </w:p>
    <w:p>
      <w:pPr>
        <w:sectPr>
          <w:pgSz w:w="11900" w:h="16838" w:orient="portrait"/>
          <w:cols w:equalWidth="0" w:num="1">
            <w:col w:w="10040"/>
          </w:cols>
          <w:pgMar w:left="920" w:top="114"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Proposals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55245</wp:posOffset>
            </wp:positionV>
            <wp:extent cx="5554980" cy="4629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54980" cy="462915"/>
                    </a:xfrm>
                    <a:prstGeom prst="rect">
                      <a:avLst/>
                    </a:prstGeom>
                    <a:noFill/>
                  </pic:spPr>
                </pic:pic>
              </a:graphicData>
            </a:graphic>
          </wp:anchor>
        </w:drawing>
      </w:r>
    </w:p>
    <w:p>
      <w:pPr>
        <w:spacing w:after="0" w:line="336"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FFFFFF"/>
        </w:rPr>
        <w:t>Proposal</w:t>
      </w:r>
    </w:p>
    <w:p>
      <w:pPr>
        <w:spacing w:after="0" w:line="200" w:lineRule="exact"/>
        <w:rPr>
          <w:sz w:val="20"/>
          <w:szCs w:val="20"/>
          <w:color w:val="auto"/>
        </w:rPr>
      </w:pPr>
    </w:p>
    <w:p>
      <w:pPr>
        <w:spacing w:after="0" w:line="345" w:lineRule="exact"/>
        <w:rPr>
          <w:sz w:val="20"/>
          <w:szCs w:val="20"/>
          <w:color w:val="auto"/>
        </w:rPr>
      </w:pPr>
    </w:p>
    <w:p>
      <w:pPr>
        <w:ind w:left="1160"/>
        <w:spacing w:after="0"/>
        <w:rPr>
          <w:sz w:val="20"/>
          <w:szCs w:val="20"/>
          <w:color w:val="auto"/>
        </w:rPr>
      </w:pPr>
      <w:r>
        <w:rPr>
          <w:rFonts w:ascii="Arial" w:cs="Arial" w:eastAsia="Arial" w:hAnsi="Arial"/>
          <w:sz w:val="16"/>
          <w:szCs w:val="16"/>
          <w:color w:val="333333"/>
        </w:rPr>
        <w:t>To elect the eleven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-115570</wp:posOffset>
            </wp:positionV>
            <wp:extent cx="13716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200660</wp:posOffset>
            </wp:positionV>
            <wp:extent cx="5554980" cy="6000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54980" cy="60007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160"/>
        <w:spacing w:after="0" w:line="286" w:lineRule="auto"/>
        <w:rPr>
          <w:sz w:val="20"/>
          <w:szCs w:val="20"/>
          <w:color w:val="auto"/>
        </w:rPr>
      </w:pPr>
      <w:r>
        <w:rPr>
          <w:rFonts w:ascii="Arial" w:cs="Arial" w:eastAsia="Arial" w:hAnsi="Arial"/>
          <w:sz w:val="16"/>
          <w:szCs w:val="16"/>
          <w:color w:val="333333"/>
        </w:rPr>
        <w:t>To ratify the reappointment of Ernst &amp; Young LLP as our independent public accounting firm for 2024</w:t>
      </w:r>
    </w:p>
    <w:p>
      <w:pPr>
        <w:spacing w:after="0" w:line="200" w:lineRule="exact"/>
        <w:rPr>
          <w:sz w:val="20"/>
          <w:szCs w:val="20"/>
          <w:color w:val="auto"/>
        </w:rPr>
      </w:pPr>
    </w:p>
    <w:p>
      <w:pPr>
        <w:spacing w:after="0" w:line="307" w:lineRule="exact"/>
        <w:rPr>
          <w:sz w:val="20"/>
          <w:szCs w:val="20"/>
          <w:color w:val="auto"/>
        </w:rPr>
      </w:pPr>
    </w:p>
    <w:p>
      <w:pPr>
        <w:ind w:left="1160" w:right="40"/>
        <w:spacing w:after="0" w:line="286" w:lineRule="auto"/>
        <w:rPr>
          <w:sz w:val="20"/>
          <w:szCs w:val="20"/>
          <w:color w:val="auto"/>
        </w:rPr>
      </w:pPr>
      <w:r>
        <w:rPr>
          <w:rFonts w:ascii="Arial" w:cs="Arial" w:eastAsia="Arial" w:hAnsi="Arial"/>
          <w:sz w:val="16"/>
          <w:szCs w:val="16"/>
          <w:color w:val="333333"/>
        </w:rPr>
        <w:t>To approve, on an advisory basis,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-217170</wp:posOffset>
            </wp:positionV>
            <wp:extent cx="13716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150495</wp:posOffset>
            </wp:positionV>
            <wp:extent cx="5554980" cy="7200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54980" cy="7200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both"/>
        <w:ind w:left="1160" w:right="240"/>
        <w:spacing w:after="0" w:line="266" w:lineRule="auto"/>
        <w:rPr>
          <w:sz w:val="20"/>
          <w:szCs w:val="20"/>
          <w:color w:val="auto"/>
        </w:rPr>
      </w:pPr>
      <w:r>
        <w:rPr>
          <w:rFonts w:ascii="Arial" w:cs="Arial" w:eastAsia="Arial" w:hAnsi="Arial"/>
          <w:sz w:val="16"/>
          <w:szCs w:val="16"/>
          <w:color w:val="333333"/>
        </w:rPr>
        <w:t>To vote on a shareholder proposal regarding an independent Board chair requirement, if properly presented at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20"/>
                <w:szCs w:val="20"/>
                <w:color w:val="auto"/>
              </w:rPr>
            </w:pPr>
            <w:r>
              <w:rPr>
                <w:rFonts w:ascii="Arial" w:cs="Arial" w:eastAsia="Arial" w:hAnsi="Arial"/>
                <w:sz w:val="16"/>
                <w:szCs w:val="16"/>
                <w:b w:val="1"/>
                <w:bCs w:val="1"/>
                <w:color w:val="FFFFFF"/>
              </w:rPr>
              <w:t>Board</w:t>
            </w:r>
          </w:p>
        </w:tc>
        <w:tc>
          <w:tcPr>
            <w:tcW w:w="1140" w:type="dxa"/>
            <w:vAlign w:val="bottom"/>
            <w:gridSpan w:val="3"/>
          </w:tcPr>
          <w:p>
            <w:pPr>
              <w:ind w:left="240"/>
              <w:spacing w:after="0"/>
              <w:rPr>
                <w:sz w:val="20"/>
                <w:szCs w:val="20"/>
                <w:color w:val="auto"/>
              </w:rPr>
            </w:pPr>
            <w:r>
              <w:rPr>
                <w:rFonts w:ascii="Arial" w:cs="Arial" w:eastAsia="Arial" w:hAnsi="Arial"/>
                <w:sz w:val="16"/>
                <w:szCs w:val="16"/>
                <w:b w:val="1"/>
                <w:bCs w:val="1"/>
                <w:color w:val="FFFFFF"/>
              </w:rPr>
              <w:t>For More</w:t>
            </w:r>
          </w:p>
        </w:tc>
        <w:tc>
          <w:tcPr>
            <w:tcW w:w="0" w:type="dxa"/>
            <w:vAlign w:val="bottom"/>
          </w:tcPr>
          <w:p>
            <w:pPr>
              <w:spacing w:after="0"/>
              <w:rPr>
                <w:sz w:val="1"/>
                <w:szCs w:val="1"/>
                <w:color w:val="auto"/>
              </w:rPr>
            </w:pPr>
          </w:p>
        </w:tc>
      </w:tr>
      <w:tr>
        <w:trPr>
          <w:trHeight w:val="223"/>
        </w:trPr>
        <w:tc>
          <w:tcPr>
            <w:tcW w:w="1880" w:type="dxa"/>
            <w:vAlign w:val="bottom"/>
          </w:tcPr>
          <w:p>
            <w:pPr>
              <w:spacing w:after="0"/>
              <w:rPr>
                <w:sz w:val="20"/>
                <w:szCs w:val="20"/>
                <w:color w:val="auto"/>
              </w:rPr>
            </w:pPr>
            <w:r>
              <w:rPr>
                <w:rFonts w:ascii="Arial" w:cs="Arial" w:eastAsia="Arial" w:hAnsi="Arial"/>
                <w:sz w:val="16"/>
                <w:szCs w:val="16"/>
                <w:b w:val="1"/>
                <w:bCs w:val="1"/>
                <w:color w:val="FFFFFF"/>
              </w:rPr>
              <w:t>Recommendation</w:t>
            </w:r>
          </w:p>
        </w:tc>
        <w:tc>
          <w:tcPr>
            <w:tcW w:w="1140" w:type="dxa"/>
            <w:vAlign w:val="bottom"/>
            <w:gridSpan w:val="3"/>
          </w:tcPr>
          <w:p>
            <w:pPr>
              <w:ind w:left="240"/>
              <w:spacing w:after="0"/>
              <w:rPr>
                <w:sz w:val="20"/>
                <w:szCs w:val="20"/>
                <w:color w:val="auto"/>
              </w:rPr>
            </w:pPr>
            <w:r>
              <w:rPr>
                <w:rFonts w:ascii="Arial" w:cs="Arial" w:eastAsia="Arial" w:hAnsi="Arial"/>
                <w:sz w:val="16"/>
                <w:szCs w:val="16"/>
                <w:b w:val="1"/>
                <w:bCs w:val="1"/>
                <w:color w:val="FFFFFF"/>
                <w:w w:val="99"/>
              </w:rPr>
              <w:t>Information</w:t>
            </w:r>
          </w:p>
        </w:tc>
        <w:tc>
          <w:tcPr>
            <w:tcW w:w="0" w:type="dxa"/>
            <w:vAlign w:val="bottom"/>
          </w:tcPr>
          <w:p>
            <w:pPr>
              <w:spacing w:after="0"/>
              <w:rPr>
                <w:sz w:val="1"/>
                <w:szCs w:val="1"/>
                <w:color w:val="auto"/>
              </w:rPr>
            </w:pPr>
          </w:p>
        </w:tc>
      </w:tr>
      <w:tr>
        <w:trPr>
          <w:trHeight w:val="588"/>
        </w:trPr>
        <w:tc>
          <w:tcPr>
            <w:tcW w:w="1880" w:type="dxa"/>
            <w:vAlign w:val="bottom"/>
          </w:tcPr>
          <w:p>
            <w:pPr>
              <w:spacing w:after="0"/>
              <w:rPr>
                <w:sz w:val="20"/>
                <w:szCs w:val="20"/>
                <w:color w:val="auto"/>
              </w:rPr>
            </w:pPr>
            <w:r>
              <w:rPr>
                <w:rFonts w:ascii="Arial" w:cs="Arial" w:eastAsia="Arial" w:hAnsi="Arial"/>
                <w:sz w:val="18"/>
                <w:szCs w:val="18"/>
                <w:b w:val="1"/>
                <w:bCs w:val="1"/>
                <w:color w:val="39B54A"/>
              </w:rPr>
              <w:t>FOR each nominee</w:t>
            </w:r>
          </w:p>
        </w:tc>
        <w:tc>
          <w:tcPr>
            <w:tcW w:w="1140" w:type="dxa"/>
            <w:vAlign w:val="bottom"/>
            <w:gridSpan w:val="3"/>
          </w:tcPr>
          <w:p>
            <w:pPr>
              <w:ind w:left="240"/>
              <w:spacing w:after="0"/>
              <w:rPr>
                <w:sz w:val="20"/>
                <w:szCs w:val="20"/>
                <w:color w:val="auto"/>
              </w:rPr>
            </w:pPr>
            <w:r>
              <w:rPr>
                <w:rFonts w:ascii="Arial" w:cs="Arial" w:eastAsia="Arial" w:hAnsi="Arial"/>
                <w:sz w:val="16"/>
                <w:szCs w:val="16"/>
                <w:color w:val="333333"/>
              </w:rPr>
              <w:t xml:space="preserve">Page </w:t>
            </w:r>
            <w:r>
              <w:rPr>
                <w:rFonts w:ascii="Arial" w:cs="Arial" w:eastAsia="Arial" w:hAnsi="Arial"/>
                <w:sz w:val="16"/>
                <w:szCs w:val="16"/>
                <w:color w:val="0000EE"/>
              </w:rPr>
              <w:t>68</w:t>
            </w: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rPr>
                <w:sz w:val="20"/>
                <w:szCs w:val="20"/>
                <w:color w:val="auto"/>
              </w:rPr>
            </w:pPr>
            <w:r>
              <w:rPr>
                <w:rFonts w:ascii="Arial" w:cs="Arial" w:eastAsia="Arial" w:hAnsi="Arial"/>
                <w:sz w:val="18"/>
                <w:szCs w:val="18"/>
                <w:b w:val="1"/>
                <w:bCs w:val="1"/>
                <w:color w:val="39B54A"/>
              </w:rPr>
              <w:t>FOR</w:t>
            </w: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880" w:type="dxa"/>
            <w:vAlign w:val="bottom"/>
            <w:vMerge w:val="continue"/>
          </w:tcPr>
          <w:p>
            <w:pPr>
              <w:spacing w:after="0"/>
              <w:rPr>
                <w:sz w:val="24"/>
                <w:szCs w:val="24"/>
                <w:color w:val="auto"/>
              </w:rPr>
            </w:pPr>
          </w:p>
        </w:tc>
        <w:tc>
          <w:tcPr>
            <w:tcW w:w="1140" w:type="dxa"/>
            <w:vAlign w:val="bottom"/>
            <w:gridSpan w:val="3"/>
          </w:tcPr>
          <w:p>
            <w:pPr>
              <w:ind w:left="240"/>
              <w:spacing w:after="0"/>
              <w:rPr>
                <w:sz w:val="20"/>
                <w:szCs w:val="20"/>
                <w:color w:val="auto"/>
              </w:rPr>
            </w:pPr>
            <w:r>
              <w:rPr>
                <w:rFonts w:ascii="Arial" w:cs="Arial" w:eastAsia="Arial" w:hAnsi="Arial"/>
                <w:sz w:val="16"/>
                <w:szCs w:val="16"/>
                <w:color w:val="333333"/>
              </w:rPr>
              <w:t xml:space="preserve">Page </w:t>
            </w:r>
            <w:r>
              <w:rPr>
                <w:rFonts w:ascii="Arial" w:cs="Arial" w:eastAsia="Arial" w:hAnsi="Arial"/>
                <w:sz w:val="16"/>
                <w:szCs w:val="16"/>
                <w:color w:val="0000EE"/>
              </w:rPr>
              <w:t>68</w:t>
            </w: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rPr>
                <w:sz w:val="20"/>
                <w:szCs w:val="20"/>
                <w:color w:val="auto"/>
              </w:rPr>
            </w:pPr>
            <w:r>
              <w:rPr>
                <w:rFonts w:ascii="Arial" w:cs="Arial" w:eastAsia="Arial" w:hAnsi="Arial"/>
                <w:sz w:val="18"/>
                <w:szCs w:val="18"/>
                <w:b w:val="1"/>
                <w:bCs w:val="1"/>
                <w:color w:val="39B54A"/>
              </w:rPr>
              <w:t>FOR</w:t>
            </w: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5"/>
        </w:trPr>
        <w:tc>
          <w:tcPr>
            <w:tcW w:w="1880" w:type="dxa"/>
            <w:vAlign w:val="bottom"/>
            <w:vMerge w:val="continue"/>
          </w:tcPr>
          <w:p>
            <w:pPr>
              <w:spacing w:after="0"/>
              <w:rPr>
                <w:sz w:val="24"/>
                <w:szCs w:val="24"/>
                <w:color w:val="auto"/>
              </w:rPr>
            </w:pPr>
          </w:p>
        </w:tc>
        <w:tc>
          <w:tcPr>
            <w:tcW w:w="1140" w:type="dxa"/>
            <w:vAlign w:val="bottom"/>
            <w:gridSpan w:val="3"/>
          </w:tcPr>
          <w:p>
            <w:pPr>
              <w:ind w:left="240"/>
              <w:spacing w:after="0"/>
              <w:rPr>
                <w:sz w:val="20"/>
                <w:szCs w:val="20"/>
                <w:color w:val="auto"/>
              </w:rPr>
            </w:pPr>
            <w:r>
              <w:rPr>
                <w:rFonts w:ascii="Arial" w:cs="Arial" w:eastAsia="Arial" w:hAnsi="Arial"/>
                <w:sz w:val="16"/>
                <w:szCs w:val="16"/>
                <w:color w:val="333333"/>
              </w:rPr>
              <w:t xml:space="preserve">Page </w:t>
            </w:r>
            <w:r>
              <w:rPr>
                <w:rFonts w:ascii="Arial" w:cs="Arial" w:eastAsia="Arial" w:hAnsi="Arial"/>
                <w:sz w:val="16"/>
                <w:szCs w:val="16"/>
                <w:color w:val="0000EE"/>
              </w:rPr>
              <w:t>69</w:t>
            </w: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rPr>
                <w:sz w:val="20"/>
                <w:szCs w:val="20"/>
                <w:color w:val="auto"/>
              </w:rPr>
            </w:pPr>
            <w:r>
              <w:rPr>
                <w:rFonts w:ascii="Arial" w:cs="Arial" w:eastAsia="Arial" w:hAnsi="Arial"/>
                <w:sz w:val="18"/>
                <w:szCs w:val="18"/>
                <w:b w:val="1"/>
                <w:bCs w:val="1"/>
                <w:color w:val="CF1D4C"/>
              </w:rPr>
              <w:t>AGAINST</w:t>
            </w: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9"/>
        </w:trPr>
        <w:tc>
          <w:tcPr>
            <w:tcW w:w="1880" w:type="dxa"/>
            <w:vAlign w:val="bottom"/>
            <w:vMerge w:val="continue"/>
          </w:tcPr>
          <w:p>
            <w:pPr>
              <w:spacing w:after="0"/>
              <w:rPr>
                <w:sz w:val="24"/>
                <w:szCs w:val="24"/>
                <w:color w:val="auto"/>
              </w:rPr>
            </w:pPr>
          </w:p>
        </w:tc>
        <w:tc>
          <w:tcPr>
            <w:tcW w:w="1140" w:type="dxa"/>
            <w:vAlign w:val="bottom"/>
            <w:gridSpan w:val="3"/>
          </w:tcPr>
          <w:p>
            <w:pPr>
              <w:ind w:left="240"/>
              <w:spacing w:after="0"/>
              <w:rPr>
                <w:sz w:val="20"/>
                <w:szCs w:val="20"/>
                <w:color w:val="auto"/>
              </w:rPr>
            </w:pPr>
            <w:r>
              <w:rPr>
                <w:rFonts w:ascii="Arial" w:cs="Arial" w:eastAsia="Arial" w:hAnsi="Arial"/>
                <w:sz w:val="16"/>
                <w:szCs w:val="16"/>
                <w:color w:val="333333"/>
              </w:rPr>
              <w:t xml:space="preserve">Page </w:t>
            </w:r>
            <w:r>
              <w:rPr>
                <w:rFonts w:ascii="Arial" w:cs="Arial" w:eastAsia="Arial" w:hAnsi="Arial"/>
                <w:sz w:val="16"/>
                <w:szCs w:val="16"/>
                <w:color w:val="0000EE"/>
              </w:rPr>
              <w:t>69</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3" w:lineRule="exact"/>
        <w:rPr>
          <w:sz w:val="20"/>
          <w:szCs w:val="20"/>
          <w:color w:val="auto"/>
        </w:rPr>
      </w:pPr>
    </w:p>
    <w:p>
      <w:pPr>
        <w:sectPr>
          <w:pgSz w:w="11900" w:h="16838" w:orient="portrait"/>
          <w:cols w:equalWidth="0" w:num="2">
            <w:col w:w="4880" w:space="680"/>
            <w:col w:w="4480"/>
          </w:cols>
          <w:pgMar w:left="920" w:top="114" w:right="9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1160" w:right="1240"/>
        <w:spacing w:after="0" w:line="266" w:lineRule="auto"/>
        <w:rPr>
          <w:sz w:val="20"/>
          <w:szCs w:val="20"/>
          <w:color w:val="auto"/>
        </w:rPr>
      </w:pPr>
      <w:r>
        <w:rPr>
          <w:rFonts w:ascii="Arial" w:cs="Arial" w:eastAsia="Arial" w:hAnsi="Arial"/>
          <w:sz w:val="16"/>
          <w:szCs w:val="16"/>
          <w:color w:val="333333"/>
        </w:rPr>
        <w:t>For complete information regarding our 2024 annual meeting of shareholders, the proposals to be voted on and our performance, please review the entire proxy statement and our 2023 annual report, available at https://investor.corpay.com and proxyvote.com.</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CF1D4C"/>
        </w:rPr>
        <w:t>CORPAY AT A GLANCE</w:t>
      </w:r>
    </w:p>
    <w:p>
      <w:pPr>
        <w:spacing w:after="0" w:line="200" w:lineRule="exact"/>
        <w:rPr>
          <w:sz w:val="20"/>
          <w:szCs w:val="20"/>
          <w:color w:val="auto"/>
        </w:rPr>
      </w:pP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Corpay, Inc. (“Corpay”) is a leading global provider of corporate payment solutions that</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enables businesses to control purchases and make payments in a smarter, simpler and</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better way. We serve businesses, partners, merchants, and consumers in North America,</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Latin America, Europe, and Asia Pacific.</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 </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Businesses spend an estimated $135 trillion of non-payroll spend each year with other</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businesses. In many instances, they lack the proper tools to monitor what is being</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purchased, and employ manual, paper-based, disparate processes to both approve,</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20"/>
                <w:szCs w:val="20"/>
                <w:color w:val="auto"/>
              </w:rPr>
            </w:pPr>
            <w:r>
              <w:rPr>
                <w:rFonts w:ascii="Arial" w:cs="Arial" w:eastAsia="Arial" w:hAnsi="Arial"/>
                <w:sz w:val="16"/>
                <w:szCs w:val="16"/>
                <w:color w:val="333333"/>
              </w:rPr>
              <w:t> </w:t>
            </w:r>
          </w:p>
        </w:tc>
        <w:tc>
          <w:tcPr>
            <w:tcW w:w="7600" w:type="dxa"/>
            <w:vAlign w:val="bottom"/>
          </w:tcPr>
          <w:p>
            <w:pPr>
              <w:ind w:left="1080"/>
              <w:spacing w:after="0"/>
              <w:rPr>
                <w:sz w:val="20"/>
                <w:szCs w:val="20"/>
                <w:color w:val="auto"/>
              </w:rPr>
            </w:pPr>
            <w:r>
              <w:rPr>
                <w:rFonts w:ascii="Arial" w:cs="Arial" w:eastAsia="Arial" w:hAnsi="Arial"/>
                <w:sz w:val="16"/>
                <w:szCs w:val="16"/>
                <w:color w:val="333333"/>
              </w:rPr>
              <w:t>schedule and make payments for their purchases. This often results in wasted time and</w:t>
            </w:r>
          </w:p>
        </w:tc>
        <w:tc>
          <w:tcPr>
            <w:tcW w:w="0" w:type="dxa"/>
            <w:vAlign w:val="bottom"/>
          </w:tcPr>
          <w:p>
            <w:pPr>
              <w:spacing w:after="0"/>
              <w:rPr>
                <w:sz w:val="1"/>
                <w:szCs w:val="1"/>
                <w:color w:val="auto"/>
              </w:rPr>
            </w:pPr>
          </w:p>
        </w:tc>
      </w:tr>
      <w:tr>
        <w:trPr>
          <w:trHeight w:val="202"/>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money due to unauthorized spending, fraud, receipt collection, data input and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consolidation, report generation, reimbursement processing, account reconciliations,</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employee disciplinary actions, and more.</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 </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Our wide range of modern, payment solutions generally provides control, reporting, and</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automation benefits superior to many of the payment methods businesses use, such as</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cash, paper checks, general purpose credit cards, as well as employee pay and reclaim</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processes. In addition to delivering meaningful value to our customers, our solutions also</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share several attractive business model characteristics such as:</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080"/>
              <w:spacing w:after="0"/>
              <w:rPr>
                <w:sz w:val="20"/>
                <w:szCs w:val="20"/>
                <w:color w:val="auto"/>
              </w:rPr>
            </w:pPr>
            <w:r>
              <w:rPr>
                <w:rFonts w:ascii="Arial" w:cs="Arial" w:eastAsia="Arial" w:hAnsi="Arial"/>
                <w:sz w:val="16"/>
                <w:szCs w:val="16"/>
                <w:color w:val="333333"/>
              </w:rPr>
              <w:t> </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200"/>
              <w:spacing w:after="0"/>
              <w:rPr>
                <w:sz w:val="20"/>
                <w:szCs w:val="20"/>
                <w:color w:val="auto"/>
              </w:rPr>
            </w:pPr>
            <w:r>
              <w:rPr>
                <w:rFonts w:ascii="Arial" w:cs="Arial" w:eastAsia="Arial" w:hAnsi="Arial"/>
                <w:sz w:val="16"/>
                <w:szCs w:val="16"/>
                <w:color w:val="333333"/>
              </w:rPr>
              <w:t>   Customers are primarily businesses, which are very diverse across size, need and</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340"/>
              <w:spacing w:after="0"/>
              <w:rPr>
                <w:sz w:val="20"/>
                <w:szCs w:val="20"/>
                <w:color w:val="auto"/>
              </w:rPr>
            </w:pPr>
            <w:r>
              <w:rPr>
                <w:rFonts w:ascii="Arial" w:cs="Arial" w:eastAsia="Arial" w:hAnsi="Arial"/>
                <w:sz w:val="16"/>
                <w:szCs w:val="16"/>
                <w:color w:val="333333"/>
              </w:rPr>
              <w:t>geography;</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200"/>
              <w:spacing w:after="0"/>
              <w:rPr>
                <w:sz w:val="20"/>
                <w:szCs w:val="20"/>
                <w:color w:val="auto"/>
              </w:rPr>
            </w:pPr>
            <w:r>
              <w:rPr>
                <w:rFonts w:ascii="Arial" w:cs="Arial" w:eastAsia="Arial" w:hAnsi="Arial"/>
                <w:sz w:val="16"/>
                <w:szCs w:val="16"/>
                <w:color w:val="333333"/>
              </w:rPr>
              <w:t>   Recurring revenue models driven by high retention, resulting in very predictable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600" w:type="dxa"/>
            <w:vAlign w:val="bottom"/>
          </w:tcPr>
          <w:p>
            <w:pPr>
              <w:ind w:left="1340"/>
              <w:spacing w:after="0"/>
              <w:rPr>
                <w:sz w:val="20"/>
                <w:szCs w:val="20"/>
                <w:color w:val="auto"/>
              </w:rPr>
            </w:pPr>
            <w:r>
              <w:rPr>
                <w:rFonts w:ascii="Arial" w:cs="Arial" w:eastAsia="Arial" w:hAnsi="Arial"/>
                <w:sz w:val="16"/>
                <w:szCs w:val="16"/>
                <w:color w:val="333333"/>
              </w:rPr>
              <w:t>revenue;</w:t>
            </w:r>
          </w:p>
        </w:tc>
        <w:tc>
          <w:tcPr>
            <w:tcW w:w="0" w:type="dxa"/>
            <w:vAlign w:val="bottom"/>
          </w:tcPr>
          <w:p>
            <w:pPr>
              <w:spacing w:after="0"/>
              <w:rPr>
                <w:sz w:val="1"/>
                <w:szCs w:val="1"/>
                <w:color w:val="auto"/>
              </w:rPr>
            </w:pPr>
          </w:p>
        </w:tc>
      </w:tr>
      <w:tr>
        <w:trPr>
          <w:trHeight w:val="203"/>
        </w:trPr>
        <w:tc>
          <w:tcPr>
            <w:tcW w:w="1100" w:type="dxa"/>
            <w:vAlign w:val="bottom"/>
            <w:vMerge w:val="restart"/>
          </w:tcPr>
          <w:p>
            <w:pPr>
              <w:spacing w:after="0"/>
              <w:rPr>
                <w:sz w:val="20"/>
                <w:szCs w:val="20"/>
                <w:color w:val="auto"/>
              </w:rPr>
            </w:pPr>
            <w:r>
              <w:rPr>
                <w:rFonts w:ascii="Arial" w:cs="Arial" w:eastAsia="Arial" w:hAnsi="Arial"/>
                <w:sz w:val="16"/>
                <w:szCs w:val="16"/>
                <w:color w:val="333333"/>
              </w:rPr>
              <w:t> </w:t>
            </w:r>
          </w:p>
        </w:tc>
        <w:tc>
          <w:tcPr>
            <w:tcW w:w="7600" w:type="dxa"/>
            <w:vAlign w:val="bottom"/>
          </w:tcPr>
          <w:p>
            <w:pPr>
              <w:ind w:left="1200"/>
              <w:spacing w:after="0"/>
              <w:rPr>
                <w:sz w:val="20"/>
                <w:szCs w:val="20"/>
                <w:color w:val="auto"/>
              </w:rPr>
            </w:pPr>
            <w:r>
              <w:rPr>
                <w:rFonts w:ascii="Arial" w:cs="Arial" w:eastAsia="Arial" w:hAnsi="Arial"/>
                <w:sz w:val="16"/>
                <w:szCs w:val="16"/>
                <w:color w:val="333333"/>
              </w:rPr>
              <w:t>   Similar selling systems with common sales approaches (e.g. digital sales),</w:t>
            </w:r>
          </w:p>
        </w:tc>
        <w:tc>
          <w:tcPr>
            <w:tcW w:w="0" w:type="dxa"/>
            <w:vAlign w:val="bottom"/>
          </w:tcPr>
          <w:p>
            <w:pPr>
              <w:spacing w:after="0"/>
              <w:rPr>
                <w:sz w:val="1"/>
                <w:szCs w:val="1"/>
                <w:color w:val="auto"/>
              </w:rPr>
            </w:pPr>
          </w:p>
        </w:tc>
      </w:tr>
      <w:tr>
        <w:trPr>
          <w:trHeight w:val="93"/>
        </w:trPr>
        <w:tc>
          <w:tcPr>
            <w:tcW w:w="1100" w:type="dxa"/>
            <w:vAlign w:val="bottom"/>
            <w:vMerge w:val="continue"/>
          </w:tcPr>
          <w:p>
            <w:pPr>
              <w:spacing w:after="0"/>
              <w:rPr>
                <w:sz w:val="8"/>
                <w:szCs w:val="8"/>
                <w:color w:val="auto"/>
              </w:rPr>
            </w:pPr>
          </w:p>
        </w:tc>
        <w:tc>
          <w:tcPr>
            <w:tcW w:w="7600" w:type="dxa"/>
            <w:vAlign w:val="bottom"/>
            <w:vMerge w:val="restart"/>
          </w:tcPr>
          <w:p>
            <w:pPr>
              <w:ind w:left="1340"/>
              <w:spacing w:after="0"/>
              <w:rPr>
                <w:sz w:val="20"/>
                <w:szCs w:val="20"/>
                <w:color w:val="auto"/>
              </w:rPr>
            </w:pPr>
            <w:r>
              <w:rPr>
                <w:rFonts w:ascii="Arial" w:cs="Arial" w:eastAsia="Arial" w:hAnsi="Arial"/>
                <w:sz w:val="16"/>
                <w:szCs w:val="16"/>
                <w:color w:val="333333"/>
              </w:rPr>
              <w:t>management and reporting;</w:t>
            </w: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7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200"/>
              <w:spacing w:after="0"/>
              <w:rPr>
                <w:sz w:val="20"/>
                <w:szCs w:val="20"/>
                <w:color w:val="auto"/>
              </w:rPr>
            </w:pPr>
            <w:r>
              <w:rPr>
                <w:rFonts w:ascii="Arial" w:cs="Arial" w:eastAsia="Arial" w:hAnsi="Arial"/>
                <w:sz w:val="16"/>
                <w:szCs w:val="16"/>
                <w:color w:val="333333"/>
                <w:w w:val="99"/>
              </w:rPr>
              <w:t>   Specialized technology platforms and proprietary payment acceptance networks, which</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0" w:type="dxa"/>
            <w:vAlign w:val="bottom"/>
          </w:tcPr>
          <w:p>
            <w:pPr>
              <w:ind w:left="1340"/>
              <w:spacing w:after="0"/>
              <w:rPr>
                <w:sz w:val="20"/>
                <w:szCs w:val="20"/>
                <w:color w:val="auto"/>
              </w:rPr>
            </w:pPr>
            <w:r>
              <w:rPr>
                <w:rFonts w:ascii="Arial" w:cs="Arial" w:eastAsia="Arial" w:hAnsi="Arial"/>
                <w:sz w:val="16"/>
                <w:szCs w:val="16"/>
                <w:color w:val="333333"/>
              </w:rPr>
              <w:t>create competitive advantages and barriers to entry; and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600" w:type="dxa"/>
            <w:vAlign w:val="bottom"/>
          </w:tcPr>
          <w:p>
            <w:pPr>
              <w:ind w:left="1200"/>
              <w:spacing w:after="0"/>
              <w:rPr>
                <w:sz w:val="20"/>
                <w:szCs w:val="20"/>
                <w:color w:val="auto"/>
              </w:rPr>
            </w:pPr>
            <w:r>
              <w:rPr>
                <w:rFonts w:ascii="Arial" w:cs="Arial" w:eastAsia="Arial" w:hAnsi="Arial"/>
                <w:sz w:val="16"/>
                <w:szCs w:val="16"/>
                <w:color w:val="333333"/>
              </w:rPr>
              <w:t>   High EBITDA margins and cash flow translation and limited capital investment.</w:t>
            </w:r>
          </w:p>
        </w:tc>
        <w:tc>
          <w:tcPr>
            <w:tcW w:w="0" w:type="dxa"/>
            <w:vAlign w:val="bottom"/>
          </w:tcPr>
          <w:p>
            <w:pPr>
              <w:spacing w:after="0"/>
              <w:rPr>
                <w:sz w:val="1"/>
                <w:szCs w:val="1"/>
                <w:color w:val="auto"/>
              </w:rPr>
            </w:pPr>
          </w:p>
        </w:tc>
      </w:tr>
      <w:tr>
        <w:trPr>
          <w:trHeight w:val="215"/>
        </w:trPr>
        <w:tc>
          <w:tcPr>
            <w:tcW w:w="1100" w:type="dxa"/>
            <w:vAlign w:val="bottom"/>
          </w:tcPr>
          <w:p>
            <w:pPr>
              <w:spacing w:after="0"/>
              <w:rPr>
                <w:sz w:val="18"/>
                <w:szCs w:val="18"/>
                <w:color w:val="auto"/>
              </w:rPr>
            </w:pPr>
          </w:p>
        </w:tc>
        <w:tc>
          <w:tcPr>
            <w:tcW w:w="7600" w:type="dxa"/>
            <w:vAlign w:val="bottom"/>
          </w:tcPr>
          <w:p>
            <w:pPr>
              <w:ind w:left="1340"/>
              <w:spacing w:after="0"/>
              <w:rPr>
                <w:sz w:val="20"/>
                <w:szCs w:val="20"/>
                <w:color w:val="auto"/>
              </w:rPr>
            </w:pPr>
            <w:r>
              <w:rPr>
                <w:rFonts w:ascii="Arial" w:cs="Arial" w:eastAsia="Arial" w:hAnsi="Arial"/>
                <w:sz w:val="16"/>
                <w:szCs w:val="16"/>
                <w:color w:val="333333"/>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-3701415</wp:posOffset>
            </wp:positionV>
            <wp:extent cx="796925" cy="1054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96925" cy="105410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-2064385</wp:posOffset>
            </wp:positionV>
            <wp:extent cx="1303020" cy="32404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03020" cy="3240405"/>
                    </a:xfrm>
                    <a:prstGeom prst="rect">
                      <a:avLst/>
                    </a:prstGeom>
                    <a:noFill/>
                  </pic:spPr>
                </pic:pic>
              </a:graphicData>
            </a:graphic>
          </wp:anchor>
        </w:drawing>
      </w:r>
    </w:p>
    <w:p>
      <w:pPr>
        <w:spacing w:after="0" w:line="193"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CF1D4C"/>
        </w:rPr>
        <w:t>Our Vision</w:t>
      </w:r>
    </w:p>
    <w:p>
      <w:pPr>
        <w:sectPr>
          <w:pgSz w:w="11900" w:h="16838" w:orient="portrait"/>
          <w:cols w:equalWidth="0" w:num="1">
            <w:col w:w="9539"/>
          </w:cols>
          <w:pgMar w:left="9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Corpay’s vision is that every payment is digital, every purchase is controlled, and every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333333"/>
        </w:rPr>
        <w:t>related decision is informed. Digital payments are faster and more secure than paper-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333333"/>
        </w:rPr>
        <w:t>based methods such as checks, and provide timely and detailed data which can be utilized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333333"/>
        </w:rPr>
        <w:t>to effectively reduce unauthorized purchases and fraud, automate data entry and reporting,</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333333"/>
        </w:rPr>
        <w:t>and eliminate reimbursement processes. Combining this payment data with analytical tools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333333"/>
        </w:rPr>
        <w:t>delivers powerful insights, which managers can use to better run their businesses.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18" w:lineRule="exact"/>
        <w:rPr>
          <w:sz w:val="20"/>
          <w:szCs w:val="20"/>
          <w:color w:val="auto"/>
        </w:rPr>
      </w:pPr>
    </w:p>
    <w:p>
      <w:pPr>
        <w:sectPr>
          <w:pgSz w:w="11900" w:h="16838" w:orient="portrait"/>
          <w:cols w:equalWidth="0" w:num="2">
            <w:col w:w="2120" w:space="720"/>
            <w:col w:w="6699"/>
          </w:cols>
          <w:pgMar w:left="920" w:top="114" w:right="1440" w:bottom="1440" w:gutter="0" w:footer="0" w:header="0"/>
          <w:type w:val="continuous"/>
        </w:sectPr>
      </w:pPr>
    </w:p>
    <w:p>
      <w:pPr>
        <w:ind w:left="2840"/>
        <w:spacing w:after="0"/>
        <w:rPr>
          <w:sz w:val="20"/>
          <w:szCs w:val="20"/>
          <w:color w:val="auto"/>
        </w:rPr>
      </w:pPr>
      <w:r>
        <w:rPr>
          <w:rFonts w:ascii="Arial" w:cs="Arial" w:eastAsia="Arial" w:hAnsi="Arial"/>
          <w:sz w:val="18"/>
          <w:szCs w:val="18"/>
          <w:b w:val="1"/>
          <w:bCs w:val="1"/>
          <w:color w:val="CF1D4C"/>
        </w:rPr>
        <w:t>Our Mission</w:t>
      </w:r>
    </w:p>
    <w:p>
      <w:pPr>
        <w:ind w:left="2840"/>
        <w:spacing w:after="0"/>
        <w:rPr>
          <w:sz w:val="20"/>
          <w:szCs w:val="20"/>
          <w:color w:val="auto"/>
        </w:rPr>
      </w:pPr>
      <w:r>
        <w:rPr>
          <w:rFonts w:ascii="Arial" w:cs="Arial" w:eastAsia="Arial" w:hAnsi="Arial"/>
          <w:sz w:val="16"/>
          <w:szCs w:val="16"/>
          <w:color w:val="333333"/>
        </w:rPr>
        <w:t> </w:t>
      </w:r>
    </w:p>
    <w:p>
      <w:pPr>
        <w:spacing w:after="0" w:line="15" w:lineRule="exact"/>
        <w:rPr>
          <w:sz w:val="20"/>
          <w:szCs w:val="20"/>
          <w:color w:val="auto"/>
        </w:rPr>
      </w:pPr>
    </w:p>
    <w:p>
      <w:pPr>
        <w:ind w:left="2840"/>
        <w:spacing w:after="0"/>
        <w:rPr>
          <w:sz w:val="20"/>
          <w:szCs w:val="20"/>
          <w:color w:val="auto"/>
        </w:rPr>
      </w:pPr>
      <w:r>
        <w:rPr>
          <w:rFonts w:ascii="Arial" w:cs="Arial" w:eastAsia="Arial" w:hAnsi="Arial"/>
          <w:sz w:val="16"/>
          <w:szCs w:val="16"/>
          <w:color w:val="333333"/>
        </w:rPr>
        <w:t xml:space="preserve">Corpay’s mission is to </w:t>
      </w:r>
      <w:r>
        <w:rPr>
          <w:rFonts w:ascii="Arial" w:cs="Arial" w:eastAsia="Arial" w:hAnsi="Arial"/>
          <w:sz w:val="16"/>
          <w:szCs w:val="16"/>
          <w:b w:val="1"/>
          <w:bCs w:val="1"/>
          <w:color w:val="E13279"/>
        </w:rPr>
        <w:t>Simplify Corporate Payments</w:t>
      </w:r>
      <w:r>
        <w:rPr>
          <w:rFonts w:ascii="Arial" w:cs="Arial" w:eastAsia="Arial" w:hAnsi="Arial"/>
          <w:sz w:val="16"/>
          <w:szCs w:val="16"/>
          <w:color w:val="333333"/>
        </w:rPr>
        <w:t xml:space="preserve"> on all non-payroll expenses.</w:t>
      </w:r>
    </w:p>
    <w:p>
      <w:pPr>
        <w:spacing w:after="0" w:line="22" w:lineRule="exact"/>
        <w:rPr>
          <w:sz w:val="20"/>
          <w:szCs w:val="20"/>
          <w:color w:val="auto"/>
        </w:rPr>
      </w:pPr>
    </w:p>
    <w:p>
      <w:pPr>
        <w:ind w:left="2840"/>
        <w:spacing w:after="0"/>
        <w:rPr>
          <w:sz w:val="20"/>
          <w:szCs w:val="20"/>
          <w:color w:val="auto"/>
        </w:rPr>
      </w:pPr>
      <w:r>
        <w:rPr>
          <w:rFonts w:ascii="Arial" w:cs="Arial" w:eastAsia="Arial" w:hAnsi="Arial"/>
          <w:sz w:val="16"/>
          <w:szCs w:val="16"/>
          <w:color w:val="333333"/>
        </w:rPr>
        <w:t>Through the digitalization of payments, we support ecosystems which benefit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-57150</wp:posOffset>
            </wp:positionV>
            <wp:extent cx="857250" cy="12426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0" cy="1242695"/>
                    </a:xfrm>
                    <a:prstGeom prst="rect">
                      <a:avLst/>
                    </a:prstGeom>
                    <a:noFill/>
                  </pic:spPr>
                </pic:pic>
              </a:graphicData>
            </a:graphic>
          </wp:anchor>
        </w:drawing>
      </w:r>
    </w:p>
    <w:p>
      <w:pPr>
        <w:ind w:left="2840"/>
        <w:spacing w:after="0"/>
        <w:rPr>
          <w:sz w:val="20"/>
          <w:szCs w:val="20"/>
          <w:color w:val="auto"/>
        </w:rPr>
      </w:pPr>
      <w:r>
        <w:rPr>
          <w:rFonts w:ascii="Arial" w:cs="Arial" w:eastAsia="Arial" w:hAnsi="Arial"/>
          <w:sz w:val="16"/>
          <w:szCs w:val="16"/>
          <w:color w:val="333333"/>
        </w:rPr>
        <w:t>participating constituents: payment-making customers, payment-accepting merchants, tax-</w:t>
      </w:r>
    </w:p>
    <w:p>
      <w:pPr>
        <w:spacing w:after="0" w:line="19" w:lineRule="exact"/>
        <w:rPr>
          <w:sz w:val="20"/>
          <w:szCs w:val="20"/>
          <w:color w:val="auto"/>
        </w:rPr>
      </w:pPr>
    </w:p>
    <w:p>
      <w:pPr>
        <w:ind w:left="2840"/>
        <w:spacing w:after="0"/>
        <w:rPr>
          <w:sz w:val="20"/>
          <w:szCs w:val="20"/>
          <w:color w:val="auto"/>
        </w:rPr>
      </w:pPr>
      <w:r>
        <w:rPr>
          <w:rFonts w:ascii="Arial" w:cs="Arial" w:eastAsia="Arial" w:hAnsi="Arial"/>
          <w:sz w:val="16"/>
          <w:szCs w:val="16"/>
          <w:color w:val="333333"/>
        </w:rPr>
        <w:t>collecting governments, and Corpay.</w:t>
      </w:r>
    </w:p>
    <w:p>
      <w:pPr>
        <w:sectPr>
          <w:pgSz w:w="11900" w:h="16838" w:orient="portrait"/>
          <w:cols w:equalWidth="0" w:num="1">
            <w:col w:w="9539"/>
          </w:cols>
          <w:pgMar w:left="9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 </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333333"/>
        </w:rPr>
        <w:t>As of December 31, 2023</w:t>
      </w:r>
    </w:p>
    <w:p>
      <w:pPr>
        <w:spacing w:after="0" w:line="265" w:lineRule="exact"/>
        <w:rPr>
          <w:sz w:val="20"/>
          <w:szCs w:val="20"/>
          <w:color w:val="auto"/>
        </w:rPr>
      </w:pPr>
    </w:p>
    <w:p>
      <w:pPr>
        <w:spacing w:after="0"/>
        <w:rPr>
          <w:sz w:val="20"/>
          <w:szCs w:val="20"/>
          <w:color w:val="auto"/>
        </w:rPr>
      </w:pPr>
      <w:r>
        <w:rPr>
          <w:rFonts w:ascii="Arial" w:cs="Arial" w:eastAsia="Arial" w:hAnsi="Arial"/>
          <w:sz w:val="10"/>
          <w:szCs w:val="10"/>
          <w:b w:val="1"/>
          <w:bCs w:val="1"/>
          <w:color w:val="333333"/>
        </w:rPr>
        <w:t xml:space="preserve">6 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132715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CF1D4C"/>
        </w:rPr>
        <w:t>CORPAY AT A GLANCE</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Our Strategy</w:t>
      </w:r>
    </w:p>
    <w:p>
      <w:pPr>
        <w:spacing w:after="0" w:line="216"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333333"/>
        </w:rPr>
        <w:t>We are executing on a strategy of optimizing assets, leveraging similar selling methods, and bundling and cross-selling value-added solutions. We continue to enhance our solutions to displace inferior payment methods, improve customers’ mobile and digital experiences, and extend utility. We actively market and sell to current and prospective customers leveraging a multi-channel go-to-market approach, which includes comprehensive digital channels, direct sales forces and strategic partner relationships. We supplement our organic growth strategy and sales efforts by pursuing attractive acquisition opportunities, which serve to strengthen our market positions and accelerate growth. We’ve simplified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396240</wp:posOffset>
            </wp:positionV>
            <wp:extent cx="2708910" cy="31115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08910" cy="3111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660"/>
        <w:spacing w:after="0" w:line="253" w:lineRule="auto"/>
        <w:rPr>
          <w:sz w:val="20"/>
          <w:szCs w:val="20"/>
          <w:color w:val="auto"/>
        </w:rPr>
      </w:pPr>
      <w:r>
        <w:rPr>
          <w:rFonts w:ascii="Arial" w:cs="Arial" w:eastAsia="Arial" w:hAnsi="Arial"/>
          <w:sz w:val="16"/>
          <w:szCs w:val="16"/>
          <w:color w:val="auto"/>
        </w:rPr>
        <w:t>the Company by consolidating into three operating segments—Vehicle Payments, Corporate Payments and Lodging Payments—and we will rationalize businesses that are not core. With a long, proven operating history, Corpay now serves hundreds of thousands of business customers with millions of cardholders making payments to millions of vendors around the world.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Our Performance</w:t>
      </w:r>
    </w:p>
    <w:p>
      <w:pPr>
        <w:spacing w:after="0" w:line="216" w:lineRule="exact"/>
        <w:rPr>
          <w:sz w:val="20"/>
          <w:szCs w:val="20"/>
          <w:color w:val="auto"/>
        </w:rPr>
      </w:pPr>
    </w:p>
    <w:p>
      <w:pPr>
        <w:ind w:right="700"/>
        <w:spacing w:after="0" w:line="259" w:lineRule="auto"/>
        <w:rPr>
          <w:sz w:val="20"/>
          <w:szCs w:val="20"/>
          <w:color w:val="auto"/>
        </w:rPr>
      </w:pPr>
      <w:r>
        <w:rPr>
          <w:rFonts w:ascii="Arial" w:cs="Arial" w:eastAsia="Arial" w:hAnsi="Arial"/>
          <w:sz w:val="16"/>
          <w:szCs w:val="16"/>
          <w:color w:val="333333"/>
        </w:rPr>
        <w:t>Corpay has delivered a superior track record of growth, generating compound annual growth rates of 18% in revenue and 20% in adjusted net income per diluted share (or “Adjusted EPS”) since going public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344805</wp:posOffset>
            </wp:positionV>
            <wp:extent cx="2760345" cy="31286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60345" cy="3128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260"/>
            <w:col w:w="4900"/>
          </w:cols>
          <w:pgMar w:left="920" w:top="114"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tabs>
          <w:tab w:leader="none" w:pos="5040" w:val="left"/>
        </w:tabs>
        <w:rPr>
          <w:sz w:val="20"/>
          <w:szCs w:val="20"/>
          <w:color w:val="auto"/>
        </w:rPr>
      </w:pPr>
      <w:r>
        <w:rPr>
          <w:rFonts w:ascii="Arial" w:cs="Arial" w:eastAsia="Arial" w:hAnsi="Arial"/>
          <w:sz w:val="16"/>
          <w:szCs w:val="16"/>
          <w:color w:val="333333"/>
        </w:rPr>
        <w:t> </w:t>
      </w:r>
      <w:r>
        <w:rPr>
          <w:sz w:val="20"/>
          <w:szCs w:val="20"/>
          <w:color w:val="auto"/>
        </w:rPr>
        <w:tab/>
      </w:r>
      <w:r>
        <w:rPr>
          <w:rFonts w:ascii="Arial" w:cs="Arial" w:eastAsia="Arial" w:hAnsi="Arial"/>
          <w:sz w:val="16"/>
          <w:szCs w:val="16"/>
          <w:color w:val="333333"/>
        </w:rPr>
        <w:t> </w:t>
      </w:r>
    </w:p>
    <w:p>
      <w:pPr>
        <w:spacing w:after="0" w:line="147" w:lineRule="exact"/>
        <w:rPr>
          <w:sz w:val="20"/>
          <w:szCs w:val="20"/>
          <w:color w:val="auto"/>
        </w:rPr>
      </w:pPr>
    </w:p>
    <w:p>
      <w:pPr>
        <w:ind w:left="860" w:hanging="210"/>
        <w:spacing w:after="0"/>
        <w:tabs>
          <w:tab w:leader="none" w:pos="860" w:val="left"/>
        </w:tabs>
        <w:numPr>
          <w:ilvl w:val="0"/>
          <w:numId w:val="19"/>
        </w:numPr>
        <w:rPr>
          <w:rFonts w:ascii="Arial" w:cs="Arial" w:eastAsia="Arial" w:hAnsi="Arial"/>
          <w:sz w:val="14"/>
          <w:szCs w:val="14"/>
          <w:i w:val="1"/>
          <w:iCs w:val="1"/>
          <w:color w:val="333333"/>
        </w:rPr>
      </w:pPr>
      <w:r>
        <w:rPr>
          <w:rFonts w:ascii="Arial" w:cs="Arial" w:eastAsia="Arial" w:hAnsi="Arial"/>
          <w:sz w:val="14"/>
          <w:szCs w:val="14"/>
          <w:i w:val="1"/>
          <w:iCs w:val="1"/>
          <w:color w:val="333333"/>
        </w:rPr>
        <w:t>Revenues before 2018 are presented pre-adoption of ASC 606.</w:t>
      </w:r>
    </w:p>
    <w:p>
      <w:pPr>
        <w:spacing w:after="0" w:line="26" w:lineRule="exact"/>
        <w:rPr>
          <w:rFonts w:ascii="Arial" w:cs="Arial" w:eastAsia="Arial" w:hAnsi="Arial"/>
          <w:sz w:val="14"/>
          <w:szCs w:val="14"/>
          <w:i w:val="1"/>
          <w:iCs w:val="1"/>
          <w:color w:val="333333"/>
        </w:rPr>
      </w:pPr>
    </w:p>
    <w:p>
      <w:pPr>
        <w:ind w:left="860" w:hanging="210"/>
        <w:spacing w:after="0"/>
        <w:tabs>
          <w:tab w:leader="none" w:pos="860" w:val="left"/>
        </w:tabs>
        <w:numPr>
          <w:ilvl w:val="0"/>
          <w:numId w:val="19"/>
        </w:numPr>
        <w:rPr>
          <w:rFonts w:ascii="Arial" w:cs="Arial" w:eastAsia="Arial" w:hAnsi="Arial"/>
          <w:sz w:val="14"/>
          <w:szCs w:val="14"/>
          <w:i w:val="1"/>
          <w:iCs w:val="1"/>
          <w:color w:val="333333"/>
        </w:rPr>
      </w:pPr>
      <w:r>
        <w:rPr>
          <w:rFonts w:ascii="Arial" w:cs="Arial" w:eastAsia="Arial" w:hAnsi="Arial"/>
          <w:sz w:val="14"/>
          <w:szCs w:val="14"/>
          <w:i w:val="1"/>
          <w:iCs w:val="1"/>
          <w:color w:val="333333"/>
        </w:rPr>
        <w:t>Non-GAAP financial measures. See appendix for reconciliation of non-GAAP measures to GAAP.</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CF1D4C"/>
        </w:rPr>
        <w:t>CORPAY AT A GLANCE</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Our Board of Directors</w:t>
      </w:r>
    </w:p>
    <w:p>
      <w:pPr>
        <w:spacing w:after="0" w:line="216" w:lineRule="exact"/>
        <w:rPr>
          <w:sz w:val="20"/>
          <w:szCs w:val="20"/>
          <w:color w:val="auto"/>
        </w:rPr>
      </w:pPr>
    </w:p>
    <w:p>
      <w:pPr>
        <w:ind w:left="660" w:right="240"/>
        <w:spacing w:after="0" w:line="250" w:lineRule="auto"/>
        <w:rPr>
          <w:sz w:val="20"/>
          <w:szCs w:val="20"/>
          <w:color w:val="auto"/>
        </w:rPr>
      </w:pPr>
      <w:r>
        <w:rPr>
          <w:rFonts w:ascii="Arial" w:cs="Arial" w:eastAsia="Arial" w:hAnsi="Arial"/>
          <w:sz w:val="16"/>
          <w:szCs w:val="16"/>
          <w:color w:val="333333"/>
        </w:rPr>
        <w:t>In order to oversee our complex, global business, our Board is comprised of experienced individuals who are engaged in their duties and invested in our Company’s success. Our Board recognizes the importance of independence from management and ensures its responsiveness to shareholders by directly connecting directors’ interests with those of our shareholders. Our Board and management have taken a long-term view toward shareholder engagement and recognize that continuous solicitation and consideration of shareholder feedback is critical to driving growth and creating shareholder value.</w:t>
      </w:r>
    </w:p>
    <w:p>
      <w:pPr>
        <w:spacing w:after="0" w:line="157" w:lineRule="exact"/>
        <w:rPr>
          <w:sz w:val="20"/>
          <w:szCs w:val="20"/>
          <w:color w:val="auto"/>
        </w:rPr>
      </w:pPr>
    </w:p>
    <w:p>
      <w:pPr>
        <w:ind w:left="660" w:right="320"/>
        <w:spacing w:after="0" w:line="266" w:lineRule="auto"/>
        <w:rPr>
          <w:sz w:val="20"/>
          <w:szCs w:val="20"/>
          <w:color w:val="auto"/>
        </w:rPr>
      </w:pPr>
      <w:r>
        <w:rPr>
          <w:rFonts w:ascii="Arial" w:cs="Arial" w:eastAsia="Arial" w:hAnsi="Arial"/>
          <w:sz w:val="16"/>
          <w:szCs w:val="16"/>
          <w:color w:val="333333"/>
        </w:rPr>
        <w:t>As a result, we regularly engage with our shareholders throughout the year by multiple means to encourage ongoing, meaningful dialogue.</w:t>
      </w:r>
    </w:p>
    <w:p>
      <w:pPr>
        <w:spacing w:after="0" w:line="131" w:lineRule="exact"/>
        <w:rPr>
          <w:sz w:val="20"/>
          <w:szCs w:val="20"/>
          <w:color w:val="auto"/>
        </w:rPr>
      </w:pPr>
    </w:p>
    <w:p>
      <w:pPr>
        <w:ind w:left="660" w:right="220"/>
        <w:spacing w:after="0" w:line="256" w:lineRule="auto"/>
        <w:rPr>
          <w:sz w:val="20"/>
          <w:szCs w:val="20"/>
          <w:color w:val="auto"/>
        </w:rPr>
      </w:pPr>
      <w:r>
        <w:rPr>
          <w:rFonts w:ascii="Arial" w:cs="Arial" w:eastAsia="Arial" w:hAnsi="Arial"/>
          <w:sz w:val="16"/>
          <w:szCs w:val="16"/>
          <w:color w:val="333333"/>
        </w:rPr>
        <w:t>We encourage you to visit the “Corporate Governance” area of the “Investor Relations” section of our website (https://investor.corpay.com) where you will find detailed information about our corporate governance practices, including our key governance documents listed below:</w:t>
      </w:r>
    </w:p>
    <w:p>
      <w:pPr>
        <w:spacing w:after="0" w:line="139" w:lineRule="exact"/>
        <w:rPr>
          <w:sz w:val="20"/>
          <w:szCs w:val="20"/>
          <w:color w:val="auto"/>
        </w:rPr>
      </w:pPr>
    </w:p>
    <w:p>
      <w:pPr>
        <w:ind w:left="640"/>
        <w:spacing w:after="0"/>
        <w:rPr>
          <w:sz w:val="20"/>
          <w:szCs w:val="20"/>
          <w:color w:val="auto"/>
        </w:rPr>
      </w:pPr>
      <w:r>
        <w:rPr>
          <w:sz w:val="1"/>
          <w:szCs w:val="1"/>
          <w:color w:val="auto"/>
        </w:rPr>
        <w:drawing>
          <wp:inline distT="0" distB="0" distL="0" distR="0">
            <wp:extent cx="76835" cy="9398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Code of Business Conduct and Ethics</w:t>
      </w:r>
    </w:p>
    <w:p>
      <w:pPr>
        <w:spacing w:after="0" w:line="19" w:lineRule="exact"/>
        <w:rPr>
          <w:sz w:val="20"/>
          <w:szCs w:val="20"/>
          <w:color w:val="auto"/>
        </w:rPr>
      </w:pPr>
    </w:p>
    <w:p>
      <w:pPr>
        <w:ind w:left="880" w:hanging="228"/>
        <w:spacing w:after="0"/>
        <w:rPr>
          <w:sz w:val="20"/>
          <w:szCs w:val="20"/>
          <w:color w:val="auto"/>
        </w:rPr>
      </w:pPr>
      <w:r>
        <w:rPr>
          <w:sz w:val="1"/>
          <w:szCs w:val="1"/>
          <w:color w:val="auto"/>
        </w:rPr>
        <w:drawing>
          <wp:inline distT="0" distB="0" distL="0" distR="0">
            <wp:extent cx="76835" cy="9398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Policy Regarding Interested Party Communications with the Board of Directors</w:t>
      </w:r>
    </w:p>
    <w:p>
      <w:pPr>
        <w:ind w:left="640"/>
        <w:spacing w:after="0"/>
        <w:rPr>
          <w:sz w:val="20"/>
          <w:szCs w:val="20"/>
          <w:color w:val="auto"/>
        </w:rPr>
      </w:pPr>
      <w:r>
        <w:rPr>
          <w:sz w:val="1"/>
          <w:szCs w:val="1"/>
          <w:color w:val="auto"/>
        </w:rPr>
        <w:drawing>
          <wp:inline distT="0" distB="0" distL="0" distR="0">
            <wp:extent cx="76835" cy="9398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Corporate Governance Guidelines</w:t>
      </w:r>
    </w:p>
    <w:p>
      <w:pPr>
        <w:spacing w:after="0" w:line="5" w:lineRule="exact"/>
        <w:rPr>
          <w:sz w:val="20"/>
          <w:szCs w:val="20"/>
          <w:color w:val="auto"/>
        </w:rPr>
      </w:pPr>
    </w:p>
    <w:p>
      <w:pPr>
        <w:ind w:left="640"/>
        <w:spacing w:after="0"/>
        <w:rPr>
          <w:sz w:val="20"/>
          <w:szCs w:val="20"/>
          <w:color w:val="auto"/>
        </w:rPr>
      </w:pPr>
      <w:r>
        <w:rPr>
          <w:sz w:val="1"/>
          <w:szCs w:val="1"/>
          <w:color w:val="auto"/>
        </w:rPr>
        <w:drawing>
          <wp:inline distT="0" distB="0" distL="0" distR="0">
            <wp:extent cx="76835" cy="9398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Insider Trading Policy</w:t>
      </w:r>
    </w:p>
    <w:p>
      <w:pPr>
        <w:spacing w:after="0" w:line="5" w:lineRule="exact"/>
        <w:rPr>
          <w:sz w:val="20"/>
          <w:szCs w:val="20"/>
          <w:color w:val="auto"/>
        </w:rPr>
      </w:pPr>
    </w:p>
    <w:p>
      <w:pPr>
        <w:ind w:left="640"/>
        <w:spacing w:after="0"/>
        <w:rPr>
          <w:sz w:val="20"/>
          <w:szCs w:val="20"/>
          <w:color w:val="auto"/>
        </w:rPr>
      </w:pPr>
      <w:r>
        <w:rPr>
          <w:sz w:val="1"/>
          <w:szCs w:val="1"/>
          <w:color w:val="auto"/>
        </w:rPr>
        <w:drawing>
          <wp:inline distT="0" distB="0" distL="0" distR="0">
            <wp:extent cx="76835" cy="9398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Board Committee Charters</w:t>
      </w:r>
    </w:p>
    <w:p>
      <w:pPr>
        <w:spacing w:after="0" w:line="180" w:lineRule="exact"/>
        <w:rPr>
          <w:sz w:val="20"/>
          <w:szCs w:val="20"/>
          <w:color w:val="auto"/>
        </w:rPr>
      </w:pPr>
    </w:p>
    <w:p>
      <w:pPr>
        <w:ind w:left="660" w:right="40"/>
        <w:spacing w:after="0" w:line="254" w:lineRule="auto"/>
        <w:rPr>
          <w:sz w:val="20"/>
          <w:szCs w:val="20"/>
          <w:color w:val="auto"/>
        </w:rPr>
      </w:pPr>
      <w:r>
        <w:rPr>
          <w:rFonts w:ascii="Arial" w:cs="Arial" w:eastAsia="Arial" w:hAnsi="Arial"/>
          <w:sz w:val="16"/>
          <w:szCs w:val="16"/>
          <w:color w:val="333333"/>
        </w:rPr>
        <w:t>The reports and other information contained on websites referred to in this proxy statement (other than to the extent specifically referred to herein as required by the rules of the NYSE or the SEC) are not part of this proxy solicitation and are not incorporated by reference into this proxy statement or any other proxy materials.</w:t>
      </w:r>
    </w:p>
    <w:p>
      <w:pPr>
        <w:spacing w:after="0" w:line="3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Forward-Leaning Corporate Governance</w:t>
      </w:r>
    </w:p>
    <w:p>
      <w:pPr>
        <w:spacing w:after="0" w:line="216" w:lineRule="exact"/>
        <w:rPr>
          <w:sz w:val="20"/>
          <w:szCs w:val="20"/>
          <w:color w:val="auto"/>
        </w:rPr>
      </w:pPr>
    </w:p>
    <w:p>
      <w:pPr>
        <w:ind w:left="660" w:right="60"/>
        <w:spacing w:after="0" w:line="259" w:lineRule="auto"/>
        <w:rPr>
          <w:sz w:val="20"/>
          <w:szCs w:val="20"/>
          <w:color w:val="auto"/>
        </w:rPr>
      </w:pPr>
      <w:r>
        <w:rPr>
          <w:rFonts w:ascii="Arial" w:cs="Arial" w:eastAsia="Arial" w:hAnsi="Arial"/>
          <w:sz w:val="16"/>
          <w:szCs w:val="16"/>
          <w:color w:val="333333"/>
        </w:rPr>
        <w:t>In response to our shareholder engagement efforts and recent shareholder votes at our annual meetings, we have taken significant steps to adopt many corporate governance best practices:</w:t>
      </w:r>
    </w:p>
    <w:p>
      <w:pPr>
        <w:spacing w:after="0" w:line="137" w:lineRule="exact"/>
        <w:rPr>
          <w:sz w:val="20"/>
          <w:szCs w:val="20"/>
          <w:color w:val="auto"/>
        </w:rPr>
      </w:pPr>
    </w:p>
    <w:p>
      <w:pPr>
        <w:ind w:left="640"/>
        <w:spacing w:after="0"/>
        <w:rPr>
          <w:sz w:val="20"/>
          <w:szCs w:val="20"/>
          <w:color w:val="auto"/>
        </w:rPr>
      </w:pPr>
      <w:r>
        <w:rPr>
          <w:sz w:val="1"/>
          <w:szCs w:val="1"/>
          <w:color w:val="auto"/>
        </w:rPr>
        <w:drawing>
          <wp:inline distT="0" distB="0" distL="0" distR="0">
            <wp:extent cx="76835" cy="9461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94615"/>
                    </a:xfrm>
                    <a:prstGeom prst="rect">
                      <a:avLst/>
                    </a:prstGeom>
                    <a:noFill/>
                    <a:ln>
                      <a:noFill/>
                    </a:ln>
                  </pic:spPr>
                </pic:pic>
              </a:graphicData>
            </a:graphic>
          </wp:inline>
        </w:drawing>
      </w:r>
      <w:r>
        <w:rPr>
          <w:rFonts w:ascii="Arial" w:cs="Arial" w:eastAsia="Arial" w:hAnsi="Arial"/>
          <w:sz w:val="16"/>
          <w:szCs w:val="16"/>
          <w:color w:val="333333"/>
        </w:rPr>
        <w:t>  Broad Director diversity search criteria</w:t>
      </w:r>
    </w:p>
    <w:p>
      <w:pPr>
        <w:spacing w:after="0" w:line="19" w:lineRule="exact"/>
        <w:rPr>
          <w:sz w:val="20"/>
          <w:szCs w:val="20"/>
          <w:color w:val="auto"/>
        </w:rPr>
      </w:pPr>
    </w:p>
    <w:p>
      <w:pPr>
        <w:ind w:left="640"/>
        <w:spacing w:after="0"/>
        <w:rPr>
          <w:sz w:val="20"/>
          <w:szCs w:val="20"/>
          <w:color w:val="auto"/>
        </w:rPr>
      </w:pPr>
      <w:r>
        <w:rPr>
          <w:sz w:val="1"/>
          <w:szCs w:val="1"/>
          <w:color w:val="auto"/>
        </w:rPr>
        <w:drawing>
          <wp:inline distT="0" distB="0" distL="0" distR="0">
            <wp:extent cx="76835" cy="9398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Declassified Board of Directors</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6"/>
          <w:szCs w:val="16"/>
          <w:color w:val="333333"/>
        </w:rPr>
        <w:t>  Lead Independent Director</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8 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Majority voting in Director elections</w:t>
      </w:r>
    </w:p>
    <w:p>
      <w:pPr>
        <w:spacing w:after="0" w:line="19"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Expanded shareholder engagement</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Proxy access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461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auto"/>
        </w:rPr>
        <w:t>  Shareholder right to call special meetings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Shareholder right to act by written consent</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No supermajority shareholder voting</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Regular review of governance practices</w:t>
      </w:r>
    </w:p>
    <w:p>
      <w:pPr>
        <w:spacing w:after="0" w:line="5" w:lineRule="exact"/>
        <w:rPr>
          <w:sz w:val="20"/>
          <w:szCs w:val="20"/>
          <w:color w:val="auto"/>
        </w:rPr>
      </w:pPr>
    </w:p>
    <w:p>
      <w:pPr>
        <w:ind w:left="240" w:right="339" w:hanging="233"/>
        <w:spacing w:after="0"/>
        <w:rPr>
          <w:sz w:val="20"/>
          <w:szCs w:val="20"/>
          <w:color w:val="auto"/>
        </w:rPr>
      </w:pPr>
      <w:r>
        <w:rPr>
          <w:sz w:val="1"/>
          <w:szCs w:val="1"/>
          <w:color w:val="auto"/>
        </w:rPr>
        <w:drawing>
          <wp:inline distT="0" distB="0" distL="0" distR="0">
            <wp:extent cx="77470" cy="9398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Continued the expansion of our environmental, social and governance (ESG) initiatives, including the continued publication of annual Corporate Responsibility and Sustainability report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Forward-Leaning Compensation Practices</w:t>
      </w:r>
    </w:p>
    <w:p>
      <w:pPr>
        <w:spacing w:after="0" w:line="216" w:lineRule="exact"/>
        <w:rPr>
          <w:sz w:val="20"/>
          <w:szCs w:val="20"/>
          <w:color w:val="auto"/>
        </w:rPr>
      </w:pPr>
    </w:p>
    <w:p>
      <w:pPr>
        <w:ind w:right="319"/>
        <w:spacing w:after="0" w:line="266" w:lineRule="auto"/>
        <w:rPr>
          <w:sz w:val="20"/>
          <w:szCs w:val="20"/>
          <w:color w:val="auto"/>
        </w:rPr>
      </w:pPr>
      <w:r>
        <w:rPr>
          <w:rFonts w:ascii="Arial" w:cs="Arial" w:eastAsia="Arial" w:hAnsi="Arial"/>
          <w:sz w:val="16"/>
          <w:szCs w:val="16"/>
          <w:color w:val="333333"/>
        </w:rPr>
        <w:t>Corpay has also embraced best practices in our compensation programs, which strongly support our pay-for-performance philosophy and culture:</w:t>
      </w:r>
    </w:p>
    <w:p>
      <w:pPr>
        <w:spacing w:after="0" w:line="131" w:lineRule="exact"/>
        <w:rPr>
          <w:sz w:val="20"/>
          <w:szCs w:val="20"/>
          <w:color w:val="auto"/>
        </w:rPr>
      </w:pPr>
    </w:p>
    <w:p>
      <w:pPr>
        <w:ind w:left="240" w:right="539" w:hanging="233"/>
        <w:spacing w:after="0"/>
        <w:rPr>
          <w:sz w:val="20"/>
          <w:szCs w:val="20"/>
          <w:color w:val="auto"/>
        </w:rPr>
      </w:pPr>
      <w:r>
        <w:rPr>
          <w:sz w:val="1"/>
          <w:szCs w:val="1"/>
          <w:color w:val="auto"/>
        </w:rPr>
        <w:drawing>
          <wp:inline distT="0" distB="0" distL="0" distR="0">
            <wp:extent cx="77470" cy="9461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333333"/>
        </w:rPr>
        <w:t>  NEO compensation aligned with Company and, as applicable, division performance</w:t>
      </w:r>
    </w:p>
    <w:p>
      <w:pPr>
        <w:spacing w:after="0"/>
        <w:rPr>
          <w:sz w:val="20"/>
          <w:szCs w:val="20"/>
          <w:color w:val="auto"/>
        </w:rPr>
      </w:pPr>
      <w:r>
        <w:rPr>
          <w:sz w:val="1"/>
          <w:szCs w:val="1"/>
          <w:color w:val="auto"/>
        </w:rPr>
        <w:drawing>
          <wp:inline distT="0" distB="0" distL="0" distR="0">
            <wp:extent cx="77470" cy="9398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Base salary levels generally at or below peer median</w:t>
      </w:r>
    </w:p>
    <w:p>
      <w:pPr>
        <w:spacing w:after="0" w:line="5" w:lineRule="exact"/>
        <w:rPr>
          <w:sz w:val="20"/>
          <w:szCs w:val="20"/>
          <w:color w:val="auto"/>
        </w:rPr>
      </w:pPr>
    </w:p>
    <w:p>
      <w:pPr>
        <w:ind w:left="240" w:right="479" w:hanging="233"/>
        <w:spacing w:after="0"/>
        <w:rPr>
          <w:sz w:val="20"/>
          <w:szCs w:val="20"/>
          <w:color w:val="auto"/>
        </w:rPr>
      </w:pPr>
      <w:r>
        <w:rPr>
          <w:sz w:val="1"/>
          <w:szCs w:val="1"/>
          <w:color w:val="auto"/>
        </w:rPr>
        <w:drawing>
          <wp:inline distT="0" distB="0" distL="0" distR="0">
            <wp:extent cx="77470" cy="9398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Target annual cash incentives generally at or below peer median</w:t>
      </w:r>
    </w:p>
    <w:p>
      <w:pPr>
        <w:ind w:left="240" w:right="539" w:hanging="233"/>
        <w:spacing w:after="0"/>
        <w:rPr>
          <w:sz w:val="20"/>
          <w:szCs w:val="20"/>
          <w:color w:val="auto"/>
        </w:rPr>
      </w:pPr>
      <w:r>
        <w:rPr>
          <w:sz w:val="1"/>
          <w:szCs w:val="1"/>
          <w:color w:val="auto"/>
        </w:rPr>
        <w:drawing>
          <wp:inline distT="0" distB="0" distL="0" distR="0">
            <wp:extent cx="77470" cy="9461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333333"/>
        </w:rPr>
        <w:t>  Significant portion of NEO compensation generally delivered in the form of equity-based awards</w:t>
      </w:r>
    </w:p>
    <w:p>
      <w:pPr>
        <w:ind w:left="240" w:right="1159" w:hanging="233"/>
        <w:spacing w:after="0"/>
        <w:rPr>
          <w:sz w:val="20"/>
          <w:szCs w:val="20"/>
          <w:color w:val="auto"/>
        </w:rPr>
      </w:pPr>
      <w:r>
        <w:rPr>
          <w:sz w:val="1"/>
          <w:szCs w:val="1"/>
          <w:color w:val="auto"/>
        </w:rPr>
        <w:drawing>
          <wp:inline distT="0" distB="0" distL="0" distR="0">
            <wp:extent cx="77470" cy="9398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Different performance metrics for different compensation components</w:t>
      </w:r>
    </w:p>
    <w:p>
      <w:pPr>
        <w:ind w:left="240" w:right="399" w:hanging="233"/>
        <w:spacing w:after="0"/>
        <w:rPr>
          <w:sz w:val="20"/>
          <w:szCs w:val="20"/>
          <w:color w:val="auto"/>
        </w:rPr>
      </w:pPr>
      <w:r>
        <w:rPr>
          <w:sz w:val="1"/>
          <w:szCs w:val="1"/>
          <w:color w:val="auto"/>
        </w:rPr>
        <w:drawing>
          <wp:inline distT="0" distB="0" distL="0" distR="0">
            <wp:extent cx="77470" cy="9461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333333"/>
        </w:rPr>
        <w:t>  Incentive payouts tied closely to achieving published guidance</w:t>
      </w:r>
    </w:p>
    <w:p>
      <w:pPr>
        <w:spacing w:after="0"/>
        <w:rPr>
          <w:sz w:val="20"/>
          <w:szCs w:val="20"/>
          <w:color w:val="auto"/>
        </w:rPr>
      </w:pPr>
      <w:r>
        <w:rPr>
          <w:sz w:val="1"/>
          <w:szCs w:val="1"/>
          <w:color w:val="auto"/>
        </w:rPr>
        <w:drawing>
          <wp:inline distT="0" distB="0" distL="0" distR="0">
            <wp:extent cx="77470" cy="9461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333333"/>
        </w:rPr>
        <w:t>  Significant stock ownership requirements</w:t>
      </w:r>
    </w:p>
    <w:p>
      <w:pPr>
        <w:spacing w:after="0" w:line="5" w:lineRule="exact"/>
        <w:rPr>
          <w:sz w:val="20"/>
          <w:szCs w:val="20"/>
          <w:color w:val="auto"/>
        </w:rPr>
      </w:pPr>
    </w:p>
    <w:p>
      <w:pPr>
        <w:ind w:left="240" w:right="199" w:hanging="233"/>
        <w:spacing w:after="0"/>
        <w:rPr>
          <w:sz w:val="20"/>
          <w:szCs w:val="20"/>
          <w:color w:val="auto"/>
        </w:rPr>
      </w:pPr>
      <w:r>
        <w:rPr>
          <w:sz w:val="1"/>
          <w:szCs w:val="1"/>
          <w:color w:val="auto"/>
        </w:rPr>
        <w:drawing>
          <wp:inline distT="0" distB="0" distL="0" distR="0">
            <wp:extent cx="77470" cy="9398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No repricing or cashing out of underwater stock options or stock appreciation rights</w:t>
      </w:r>
    </w:p>
    <w:p>
      <w:pPr>
        <w:spacing w:after="0"/>
        <w:rPr>
          <w:sz w:val="20"/>
          <w:szCs w:val="20"/>
          <w:color w:val="auto"/>
        </w:rPr>
      </w:pPr>
      <w:r>
        <w:rPr>
          <w:sz w:val="1"/>
          <w:szCs w:val="1"/>
          <w:color w:val="auto"/>
        </w:rPr>
        <w:drawing>
          <wp:inline distT="0" distB="0" distL="0" distR="0">
            <wp:extent cx="77470" cy="9398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No hedging or pledging of common shares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No excise tax gross-ups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No excessive perquisites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Maintain a compensation clawback policy</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Below-market severance policies</w:t>
      </w:r>
    </w:p>
    <w:p>
      <w:pPr>
        <w:spacing w:after="0" w:line="5" w:lineRule="exact"/>
        <w:rPr>
          <w:sz w:val="20"/>
          <w:szCs w:val="20"/>
          <w:color w:val="auto"/>
        </w:rPr>
      </w:pPr>
    </w:p>
    <w:p>
      <w:pPr>
        <w:ind w:left="240" w:right="539" w:hanging="233"/>
        <w:spacing w:after="0"/>
        <w:rPr>
          <w:sz w:val="20"/>
          <w:szCs w:val="20"/>
          <w:color w:val="auto"/>
        </w:rPr>
      </w:pPr>
      <w:r>
        <w:rPr>
          <w:sz w:val="1"/>
          <w:szCs w:val="1"/>
          <w:color w:val="auto"/>
        </w:rPr>
        <w:drawing>
          <wp:inline distT="0" distB="0" distL="0" distR="0">
            <wp:extent cx="77470" cy="9398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Shareholder engagement includes nomination and governance committee Chair, additional Board members and management</w:t>
      </w:r>
    </w:p>
    <w:p>
      <w:pPr>
        <w:spacing w:after="0"/>
        <w:rPr>
          <w:sz w:val="20"/>
          <w:szCs w:val="20"/>
          <w:color w:val="auto"/>
        </w:rPr>
      </w:pPr>
      <w:r>
        <w:rPr>
          <w:sz w:val="1"/>
          <w:szCs w:val="1"/>
          <w:color w:val="auto"/>
        </w:rPr>
        <w:drawing>
          <wp:inline distT="0" distB="0" distL="0" distR="0">
            <wp:extent cx="77470" cy="9398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Regular review of compensation programs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Utilize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1177925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880" w:space="260"/>
            <w:col w:w="4399"/>
          </w:cols>
          <w:pgMar w:left="920" w:top="114"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CF1D4C"/>
        </w:rPr>
        <w:t>CORPAY AT A GLANCE</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Shareholder Engagement Results</w:t>
      </w:r>
    </w:p>
    <w:p>
      <w:pPr>
        <w:spacing w:after="0" w:line="189" w:lineRule="exact"/>
        <w:rPr>
          <w:sz w:val="20"/>
          <w:szCs w:val="20"/>
          <w:color w:val="auto"/>
        </w:rPr>
      </w:pPr>
    </w:p>
    <w:p>
      <w:pPr>
        <w:ind w:left="660" w:right="140"/>
        <w:spacing w:after="0" w:line="253" w:lineRule="auto"/>
        <w:rPr>
          <w:sz w:val="20"/>
          <w:szCs w:val="20"/>
          <w:color w:val="auto"/>
        </w:rPr>
      </w:pPr>
      <w:r>
        <w:rPr>
          <w:rFonts w:ascii="Arial" w:cs="Arial" w:eastAsia="Arial" w:hAnsi="Arial"/>
          <w:sz w:val="16"/>
          <w:szCs w:val="16"/>
          <w:color w:val="333333"/>
        </w:rPr>
        <w:t>Our 2023 shareholder outreach regarding executive compensation was a continuation of our annual comprehensive shareholder engagement plan. We have taken decisive action in recent years in response to our shareholder outreach initiatives and we believe that our compensation practices address the feedback we received.</w:t>
      </w:r>
    </w:p>
    <w:p>
      <w:pPr>
        <w:spacing w:after="0" w:line="141"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333333"/>
        </w:rPr>
        <w:t>Since we mailed our Proxy Statement for the 2023 annual meeting, we contacted our 10 largest shareholders (excluding our CEO), and select others from the next 15 largest shareholders who voted against say-on-pay and/or against certain Directors at the 2023 annual meeting. These shareholders held approximately 64.3% of our common shares (as of December 31, 2023). Of those we attempted to engage, 50% of those shares accepted our invitation and attended video or telephonic meetings. A majority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720"/>
        <w:spacing w:after="0" w:line="249" w:lineRule="auto"/>
        <w:rPr>
          <w:sz w:val="20"/>
          <w:szCs w:val="20"/>
          <w:color w:val="auto"/>
        </w:rPr>
      </w:pPr>
      <w:r>
        <w:rPr>
          <w:rFonts w:ascii="Arial" w:cs="Arial" w:eastAsia="Arial" w:hAnsi="Arial"/>
          <w:sz w:val="16"/>
          <w:szCs w:val="16"/>
          <w:color w:val="auto"/>
        </w:rPr>
        <w:t>meetings were attended by the Chair of the compensation committee, and remaining meetings were attended by the Lead Independent Director, Chair of the nomination and governance committee, or Chair of the information technology and security committee. These meetings occurred periodically in 2023. During the meetings, we requested specific feedback on our 2023 say-on-pay vote and any issues shareholders had with our compensation program or our governance practices, and solicited their thoughts on how we might address these issues. Importantly, the changes to our 2023 compensation practices reflect shareholder feedback received from our 2022 say-on-pay process, some of which was similar to input provided by shareholders from our 2023 say-on-pay process. As such, our remediation efforts in response to the pay program issues raised by shareholders in both 2023 and 2024 are reflected in the table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426085</wp:posOffset>
            </wp:positionV>
            <wp:extent cx="3282950" cy="20999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8295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116840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820" w:space="320"/>
            <w:col w:w="4900"/>
          </w:cols>
          <w:pgMar w:left="920" w:top="114" w:right="9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CF1D4C"/>
        </w:rPr>
        <w:t>CORPAY AT A GLANCE</w:t>
      </w:r>
    </w:p>
    <w:p>
      <w:pPr>
        <w:spacing w:after="0" w:line="351" w:lineRule="exact"/>
        <w:rPr>
          <w:sz w:val="20"/>
          <w:szCs w:val="20"/>
          <w:color w:val="auto"/>
        </w:rPr>
      </w:pPr>
    </w:p>
    <w:p>
      <w:pPr>
        <w:ind w:left="660" w:right="1019"/>
        <w:spacing w:after="0" w:line="286" w:lineRule="auto"/>
        <w:rPr>
          <w:sz w:val="20"/>
          <w:szCs w:val="20"/>
          <w:color w:val="auto"/>
        </w:rPr>
      </w:pPr>
      <w:r>
        <w:rPr>
          <w:rFonts w:ascii="Arial" w:cs="Arial" w:eastAsia="Arial" w:hAnsi="Arial"/>
          <w:sz w:val="16"/>
          <w:szCs w:val="16"/>
          <w:color w:val="auto"/>
        </w:rPr>
        <w:t>Based on our outreach efforts and our review of the recommendations of proxy advisory firms, the table below summarizes what we heard and how we responded in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22225</wp:posOffset>
            </wp:positionV>
            <wp:extent cx="5554980" cy="4457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54980" cy="445770"/>
                    </a:xfrm>
                    <a:prstGeom prst="rect">
                      <a:avLst/>
                    </a:prstGeom>
                    <a:noFill/>
                  </pic:spPr>
                </pic:pic>
              </a:graphicData>
            </a:graphic>
          </wp:anchor>
        </w:drawing>
      </w:r>
    </w:p>
    <w:p>
      <w:pPr>
        <w:spacing w:after="0" w:line="244" w:lineRule="exact"/>
        <w:rPr>
          <w:sz w:val="20"/>
          <w:szCs w:val="20"/>
          <w:color w:val="auto"/>
        </w:rPr>
      </w:pPr>
    </w:p>
    <w:p>
      <w:pPr>
        <w:ind w:left="820"/>
        <w:spacing w:after="0"/>
        <w:tabs>
          <w:tab w:leader="none" w:pos="3080" w:val="left"/>
        </w:tabs>
        <w:rPr>
          <w:sz w:val="20"/>
          <w:szCs w:val="20"/>
          <w:color w:val="auto"/>
        </w:rPr>
      </w:pPr>
      <w:r>
        <w:rPr>
          <w:rFonts w:ascii="Arial" w:cs="Arial" w:eastAsia="Arial" w:hAnsi="Arial"/>
          <w:sz w:val="16"/>
          <w:szCs w:val="16"/>
          <w:b w:val="1"/>
          <w:bCs w:val="1"/>
          <w:color w:val="FFFFFF"/>
        </w:rPr>
        <w:t>What we heard</w:t>
      </w:r>
      <w:r>
        <w:rPr>
          <w:sz w:val="20"/>
          <w:szCs w:val="20"/>
          <w:color w:val="auto"/>
        </w:rPr>
        <w:tab/>
      </w:r>
      <w:r>
        <w:rPr>
          <w:rFonts w:ascii="Arial" w:cs="Arial" w:eastAsia="Arial" w:hAnsi="Arial"/>
          <w:sz w:val="16"/>
          <w:szCs w:val="16"/>
          <w:b w:val="1"/>
          <w:bCs w:val="1"/>
          <w:color w:val="FFFFFF"/>
        </w:rPr>
        <w:t>What we have done in response</w:t>
      </w:r>
    </w:p>
    <w:p>
      <w:pPr>
        <w:sectPr>
          <w:pgSz w:w="11900" w:h="16838" w:orient="portrait"/>
          <w:cols w:equalWidth="0" w:num="1">
            <w:col w:w="9539"/>
          </w:cols>
          <w:pgMar w:left="9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20"/>
        <w:spacing w:after="0" w:line="256" w:lineRule="auto"/>
        <w:rPr>
          <w:sz w:val="20"/>
          <w:szCs w:val="20"/>
          <w:color w:val="auto"/>
        </w:rPr>
      </w:pPr>
      <w:r>
        <w:rPr>
          <w:rFonts w:ascii="Arial" w:cs="Arial" w:eastAsia="Arial" w:hAnsi="Arial"/>
          <w:sz w:val="16"/>
          <w:szCs w:val="16"/>
          <w:color w:val="333333"/>
        </w:rPr>
        <w:t>Interest in the direction of CEO compensation, including metrics used for CEO’s incentive-based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CEO Pay Level</w:t>
      </w:r>
      <w:r>
        <w:rPr>
          <w:rFonts w:ascii="Arial" w:cs="Arial" w:eastAsia="Arial" w:hAnsi="Arial"/>
          <w:sz w:val="16"/>
          <w:szCs w:val="16"/>
          <w:color w:val="333333"/>
        </w:rPr>
        <w:t>: CEO pay for 2023 was lower than CEO pay for 2022.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5" w:lineRule="exact"/>
        <w:rPr>
          <w:sz w:val="20"/>
          <w:szCs w:val="20"/>
          <w:color w:val="auto"/>
        </w:rPr>
      </w:pPr>
    </w:p>
    <w:p>
      <w:pPr>
        <w:ind w:right="399"/>
        <w:spacing w:after="0" w:line="248" w:lineRule="auto"/>
        <w:rPr>
          <w:sz w:val="20"/>
          <w:szCs w:val="20"/>
          <w:color w:val="auto"/>
        </w:rPr>
      </w:pPr>
      <w:r>
        <w:rPr>
          <w:rFonts w:ascii="Arial" w:cs="Arial" w:eastAsia="Arial" w:hAnsi="Arial"/>
          <w:sz w:val="16"/>
          <w:szCs w:val="16"/>
          <w:u w:val="single" w:color="auto"/>
          <w:color w:val="auto"/>
        </w:rPr>
        <w:t>Annual Incentive Performance Metrics</w:t>
      </w:r>
      <w:r>
        <w:rPr>
          <w:rFonts w:ascii="Arial" w:cs="Arial" w:eastAsia="Arial" w:hAnsi="Arial"/>
          <w:sz w:val="16"/>
          <w:szCs w:val="16"/>
          <w:color w:val="333333"/>
        </w:rPr>
        <w:t>: Other than in the case of Ms. Vickery (who</w:t>
      </w:r>
      <w:r>
        <w:rPr>
          <w:rFonts w:ascii="Arial" w:cs="Arial" w:eastAsia="Arial" w:hAnsi="Arial"/>
          <w:sz w:val="16"/>
          <w:szCs w:val="16"/>
          <w:color w:val="auto"/>
        </w:rPr>
        <w:t xml:space="preserve"> </w:t>
      </w:r>
      <w:r>
        <w:rPr>
          <w:rFonts w:ascii="Arial" w:cs="Arial" w:eastAsia="Arial" w:hAnsi="Arial"/>
          <w:sz w:val="16"/>
          <w:szCs w:val="16"/>
          <w:color w:val="333333"/>
        </w:rPr>
        <w:t>returned to her former role in early 2023), the great majority of the cash portion of all NEOs’ (including the CEO) targeted annual incentive opportunities were contingent upon the achievement of pre-established financial goals.  </w:t>
      </w:r>
    </w:p>
    <w:p>
      <w:pPr>
        <w:spacing w:after="0" w:line="185" w:lineRule="exact"/>
        <w:rPr>
          <w:sz w:val="20"/>
          <w:szCs w:val="20"/>
          <w:color w:val="auto"/>
        </w:rPr>
      </w:pPr>
    </w:p>
    <w:p>
      <w:pPr>
        <w:ind w:right="399"/>
        <w:spacing w:after="0" w:line="249" w:lineRule="auto"/>
        <w:rPr>
          <w:sz w:val="20"/>
          <w:szCs w:val="20"/>
          <w:color w:val="auto"/>
        </w:rPr>
      </w:pPr>
      <w:r>
        <w:rPr>
          <w:rFonts w:ascii="Arial" w:cs="Arial" w:eastAsia="Arial" w:hAnsi="Arial"/>
          <w:sz w:val="16"/>
          <w:szCs w:val="16"/>
          <w:u w:val="single" w:color="auto"/>
          <w:color w:val="auto"/>
        </w:rPr>
        <w:t>LTI Performance Linkages</w:t>
      </w:r>
      <w:r>
        <w:rPr>
          <w:rFonts w:ascii="Arial" w:cs="Arial" w:eastAsia="Arial" w:hAnsi="Arial"/>
          <w:sz w:val="16"/>
          <w:szCs w:val="16"/>
          <w:color w:val="333333"/>
        </w:rPr>
        <w:t>: Our CEO did not receive any long-term incentive awards</w:t>
      </w:r>
      <w:r>
        <w:rPr>
          <w:rFonts w:ascii="Arial" w:cs="Arial" w:eastAsia="Arial" w:hAnsi="Arial"/>
          <w:sz w:val="16"/>
          <w:szCs w:val="16"/>
          <w:color w:val="auto"/>
        </w:rPr>
        <w:t xml:space="preserve"> </w:t>
      </w:r>
      <w:r>
        <w:rPr>
          <w:rFonts w:ascii="Arial" w:cs="Arial" w:eastAsia="Arial" w:hAnsi="Arial"/>
          <w:sz w:val="16"/>
          <w:szCs w:val="16"/>
          <w:color w:val="333333"/>
        </w:rPr>
        <w:t>in 2023. Other than in the case of Mr. Netto, the 2023 long-term incentive awards to all of our other NEOs were comprised at least 50% of performance-based long-term incentives (Performance Shares and Performance-Based RSUs). These performance-based long-term incentives were 100% contingent on the achievement of pre-established earnings per share and revenue goals. 48% of Mr. Netto’s 2023 long-term incentive target grant value was comprised of these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57785</wp:posOffset>
            </wp:positionV>
            <wp:extent cx="5554980" cy="4972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54980" cy="49720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2640" w:space="460"/>
            <w:col w:w="6439"/>
          </w:cols>
          <w:pgMar w:left="920" w:top="114" w:right="1440" w:bottom="1440" w:gutter="0" w:footer="0" w:header="0"/>
          <w:type w:val="continuous"/>
        </w:sectPr>
      </w:pPr>
    </w:p>
    <w:p>
      <w:pPr>
        <w:jc w:val="both"/>
        <w:ind w:left="820"/>
        <w:spacing w:after="0" w:line="266" w:lineRule="auto"/>
        <w:rPr>
          <w:sz w:val="20"/>
          <w:szCs w:val="20"/>
          <w:color w:val="auto"/>
        </w:rPr>
      </w:pPr>
      <w:r>
        <w:rPr>
          <w:rFonts w:ascii="Arial" w:cs="Arial" w:eastAsia="Arial" w:hAnsi="Arial"/>
          <w:sz w:val="16"/>
          <w:szCs w:val="16"/>
          <w:color w:val="333333"/>
        </w:rPr>
        <w:t>CEO compensation structure should help ensure long-term retention</w:t>
      </w:r>
    </w:p>
    <w:p>
      <w:pPr>
        <w:spacing w:after="0" w:line="266" w:lineRule="exact"/>
        <w:rPr>
          <w:sz w:val="20"/>
          <w:szCs w:val="20"/>
          <w:color w:val="auto"/>
        </w:rPr>
      </w:pPr>
    </w:p>
    <w:p>
      <w:pPr>
        <w:ind w:left="820" w:right="340"/>
        <w:spacing w:after="0" w:line="266" w:lineRule="auto"/>
        <w:rPr>
          <w:sz w:val="20"/>
          <w:szCs w:val="20"/>
          <w:color w:val="auto"/>
        </w:rPr>
      </w:pPr>
      <w:r>
        <w:rPr>
          <w:rFonts w:ascii="Arial" w:cs="Arial" w:eastAsia="Arial" w:hAnsi="Arial"/>
          <w:sz w:val="16"/>
          <w:szCs w:val="16"/>
          <w:color w:val="333333"/>
        </w:rPr>
        <w:t>The majority of NEO compensation should be performance-based</w:t>
      </w:r>
    </w:p>
    <w:p>
      <w:pPr>
        <w:spacing w:after="0" w:line="266" w:lineRule="exact"/>
        <w:rPr>
          <w:sz w:val="20"/>
          <w:szCs w:val="20"/>
          <w:color w:val="auto"/>
        </w:rPr>
      </w:pPr>
    </w:p>
    <w:p>
      <w:pPr>
        <w:ind w:left="820" w:right="300"/>
        <w:spacing w:after="0" w:line="266" w:lineRule="auto"/>
        <w:rPr>
          <w:sz w:val="20"/>
          <w:szCs w:val="20"/>
          <w:color w:val="auto"/>
        </w:rPr>
      </w:pPr>
      <w:r>
        <w:rPr>
          <w:rFonts w:ascii="Arial" w:cs="Arial" w:eastAsia="Arial" w:hAnsi="Arial"/>
          <w:sz w:val="16"/>
          <w:szCs w:val="16"/>
          <w:color w:val="333333"/>
        </w:rPr>
        <w:t>Long-term compensation should have longer measurement periods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right="280"/>
        <w:spacing w:after="0" w:line="266" w:lineRule="auto"/>
        <w:rPr>
          <w:sz w:val="20"/>
          <w:szCs w:val="20"/>
          <w:color w:val="auto"/>
        </w:rPr>
      </w:pPr>
      <w:r>
        <w:rPr>
          <w:rFonts w:ascii="Arial" w:cs="Arial" w:eastAsia="Arial" w:hAnsi="Arial"/>
          <w:sz w:val="16"/>
          <w:szCs w:val="16"/>
          <w:color w:val="333333"/>
        </w:rPr>
        <w:t>Compensation structures should align with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20" w:right="340"/>
        <w:spacing w:after="0" w:line="259" w:lineRule="auto"/>
        <w:rPr>
          <w:sz w:val="20"/>
          <w:szCs w:val="20"/>
          <w:color w:val="auto"/>
        </w:rPr>
      </w:pPr>
      <w:r>
        <w:rPr>
          <w:rFonts w:ascii="Arial" w:cs="Arial" w:eastAsia="Arial" w:hAnsi="Arial"/>
          <w:sz w:val="16"/>
          <w:szCs w:val="16"/>
          <w:color w:val="333333"/>
        </w:rPr>
        <w:t>Compensation for NEOs should have a total shareholder return component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739"/>
        <w:spacing w:after="0" w:line="286" w:lineRule="auto"/>
        <w:rPr>
          <w:sz w:val="20"/>
          <w:szCs w:val="20"/>
          <w:color w:val="auto"/>
        </w:rPr>
      </w:pPr>
      <w:r>
        <w:rPr>
          <w:rFonts w:ascii="Arial" w:cs="Arial" w:eastAsia="Arial" w:hAnsi="Arial"/>
          <w:sz w:val="16"/>
          <w:szCs w:val="16"/>
          <w:color w:val="333333"/>
        </w:rPr>
        <w:t>For 2024, we have provided the CEO with long-term incentive awards that have multi-year vesting schedules.</w:t>
      </w:r>
    </w:p>
    <w:p>
      <w:pPr>
        <w:spacing w:after="0" w:line="250" w:lineRule="exact"/>
        <w:rPr>
          <w:sz w:val="20"/>
          <w:szCs w:val="20"/>
          <w:color w:val="auto"/>
        </w:rPr>
      </w:pPr>
    </w:p>
    <w:p>
      <w:pPr>
        <w:ind w:right="459"/>
        <w:spacing w:after="0" w:line="259" w:lineRule="auto"/>
        <w:rPr>
          <w:sz w:val="20"/>
          <w:szCs w:val="20"/>
          <w:color w:val="auto"/>
        </w:rPr>
      </w:pPr>
      <w:r>
        <w:rPr>
          <w:rFonts w:ascii="Arial" w:cs="Arial" w:eastAsia="Arial" w:hAnsi="Arial"/>
          <w:sz w:val="16"/>
          <w:szCs w:val="16"/>
          <w:color w:val="333333"/>
        </w:rPr>
        <w:t>For 2024, we ensured more than 50% of all NEO long-term compensation in the aggregate is performance-based. As noted above, the majority of most NEOs’ long-term incentive grant value in 2023 was similarly tied to the achievement of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53340</wp:posOffset>
            </wp:positionV>
            <wp:extent cx="5554980" cy="4972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54980" cy="497205"/>
                    </a:xfrm>
                    <a:prstGeom prst="rect">
                      <a:avLst/>
                    </a:prstGeom>
                    <a:noFill/>
                  </pic:spPr>
                </pic:pic>
              </a:graphicData>
            </a:graphic>
          </wp:anchor>
        </w:drawing>
      </w:r>
    </w:p>
    <w:p>
      <w:pPr>
        <w:spacing w:after="0" w:line="252" w:lineRule="exact"/>
        <w:rPr>
          <w:sz w:val="20"/>
          <w:szCs w:val="20"/>
          <w:color w:val="auto"/>
        </w:rPr>
      </w:pPr>
    </w:p>
    <w:p>
      <w:pPr>
        <w:ind w:right="539"/>
        <w:spacing w:after="0" w:line="286" w:lineRule="auto"/>
        <w:rPr>
          <w:sz w:val="20"/>
          <w:szCs w:val="20"/>
          <w:color w:val="auto"/>
        </w:rPr>
      </w:pPr>
      <w:r>
        <w:rPr>
          <w:rFonts w:ascii="Arial" w:cs="Arial" w:eastAsia="Arial" w:hAnsi="Arial"/>
          <w:sz w:val="16"/>
          <w:szCs w:val="16"/>
          <w:color w:val="333333"/>
        </w:rPr>
        <w:t>For 2024, a portion of long-term compensation has a measurement period of three years.</w:t>
      </w:r>
    </w:p>
    <w:p>
      <w:pPr>
        <w:spacing w:after="0" w:line="250" w:lineRule="exact"/>
        <w:rPr>
          <w:sz w:val="20"/>
          <w:szCs w:val="20"/>
          <w:color w:val="auto"/>
        </w:rPr>
      </w:pPr>
    </w:p>
    <w:p>
      <w:pPr>
        <w:ind w:right="459"/>
        <w:spacing w:after="0" w:line="251" w:lineRule="auto"/>
        <w:rPr>
          <w:sz w:val="20"/>
          <w:szCs w:val="20"/>
          <w:color w:val="auto"/>
        </w:rPr>
      </w:pPr>
      <w:r>
        <w:rPr>
          <w:rFonts w:ascii="Arial" w:cs="Arial" w:eastAsia="Arial" w:hAnsi="Arial"/>
          <w:sz w:val="16"/>
          <w:szCs w:val="16"/>
          <w:color w:val="333333"/>
        </w:rPr>
        <w:t>Our long-term incentives are granted 100% in the form of equity-based awards that are settled in the form of shares. In addition, a portion of our NEOs’ targeted annual incentive opportunities are tied to the achievement of preestablished financial metrics that directly contribute to longer-term shareholder value creation. Demonstrating our commitment to aligning NEOs’ incentive earnings with shareholder value creation, in 2023, despite strong annual incentive program formulaic results, the compensation committee used negative discretion to reduce cash payouts under the annual incentive to $0 considering the totality of 2023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57785</wp:posOffset>
            </wp:positionV>
            <wp:extent cx="5554980" cy="12172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54980" cy="1217295"/>
                    </a:xfrm>
                    <a:prstGeom prst="rect">
                      <a:avLst/>
                    </a:prstGeom>
                    <a:noFill/>
                  </pic:spPr>
                </pic:pic>
              </a:graphicData>
            </a:graphic>
          </wp:anchor>
        </w:drawing>
      </w:r>
    </w:p>
    <w:p>
      <w:pPr>
        <w:spacing w:after="0" w:line="165" w:lineRule="exact"/>
        <w:rPr>
          <w:sz w:val="20"/>
          <w:szCs w:val="20"/>
          <w:color w:val="auto"/>
        </w:rPr>
      </w:pPr>
    </w:p>
    <w:p>
      <w:pPr>
        <w:ind w:right="399"/>
        <w:spacing w:after="0" w:line="251" w:lineRule="auto"/>
        <w:rPr>
          <w:sz w:val="20"/>
          <w:szCs w:val="20"/>
          <w:color w:val="auto"/>
        </w:rPr>
      </w:pPr>
      <w:r>
        <w:rPr>
          <w:rFonts w:ascii="Arial" w:cs="Arial" w:eastAsia="Arial" w:hAnsi="Arial"/>
          <w:sz w:val="16"/>
          <w:szCs w:val="16"/>
          <w:color w:val="333333"/>
        </w:rPr>
        <w:t>We continue to believe the performance metrics we have chosen under our annual incentive and long-term incentive arrangements are directly aligned with the creation of shareholder value, and are therefore the most appropriate metrics in the near-term. We have considered the use of relative total shareholder return ("TSR"), but have found that that there are too few companies in our direct operating space that present the opportunity for reliable and statistically relevant comparisons of TSR over a three-year period. We intend to continue to review the possibility of adding relative TSR as a metric in coming years, and are receptive to doing so in the event that reliable comparisons are available.</w:t>
      </w:r>
    </w:p>
    <w:p>
      <w:pPr>
        <w:spacing w:after="0" w:line="185" w:lineRule="exact"/>
        <w:rPr>
          <w:sz w:val="20"/>
          <w:szCs w:val="20"/>
          <w:color w:val="auto"/>
        </w:rPr>
      </w:pPr>
    </w:p>
    <w:p>
      <w:pPr>
        <w:sectPr>
          <w:pgSz w:w="11900" w:h="16838" w:orient="portrait"/>
          <w:cols w:equalWidth="0" w:num="2">
            <w:col w:w="2900" w:space="200"/>
            <w:col w:w="6439"/>
          </w:cols>
          <w:pgMar w:left="920" w:top="114" w:right="1440" w:bottom="1440" w:gutter="0" w:footer="0" w:header="0"/>
          <w:type w:val="continuous"/>
        </w:sectPr>
      </w:pPr>
    </w:p>
    <w:p>
      <w:pPr>
        <w:ind w:left="820"/>
        <w:spacing w:after="0" w:line="254" w:lineRule="auto"/>
        <w:rPr>
          <w:sz w:val="20"/>
          <w:szCs w:val="20"/>
          <w:color w:val="auto"/>
        </w:rPr>
      </w:pPr>
      <w:r>
        <w:rPr>
          <w:rFonts w:ascii="Arial" w:cs="Arial" w:eastAsia="Arial" w:hAnsi="Arial"/>
          <w:sz w:val="16"/>
          <w:szCs w:val="16"/>
          <w:color w:val="333333"/>
        </w:rPr>
        <w:t>Disclosure should provide context for why the Company selects particular performance metrics for incentive-based compensation</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399"/>
        <w:spacing w:after="0" w:line="256" w:lineRule="auto"/>
        <w:rPr>
          <w:sz w:val="20"/>
          <w:szCs w:val="20"/>
          <w:color w:val="auto"/>
        </w:rPr>
      </w:pPr>
      <w:r>
        <w:rPr>
          <w:rFonts w:ascii="Arial" w:cs="Arial" w:eastAsia="Arial" w:hAnsi="Arial"/>
          <w:sz w:val="16"/>
          <w:szCs w:val="16"/>
          <w:color w:val="333333"/>
        </w:rPr>
        <w:t>In direct response to shareholder input, we have substantially enhanced our disclosure of our incentive metrics in this year’s Proxy Statement. As noted throughout this Proxy Statement, a portion of our NEOs’ annual incentives and long-term incentives are tied to the achievement of the financial and operating metrics that best align with shareholder value creation.</w:t>
      </w:r>
    </w:p>
    <w:p>
      <w:pPr>
        <w:spacing w:after="0" w:line="292" w:lineRule="exact"/>
        <w:rPr>
          <w:sz w:val="20"/>
          <w:szCs w:val="20"/>
          <w:color w:val="auto"/>
        </w:rPr>
      </w:pPr>
    </w:p>
    <w:p>
      <w:pPr>
        <w:sectPr>
          <w:pgSz w:w="11900" w:h="16838" w:orient="portrait"/>
          <w:cols w:equalWidth="0" w:num="2">
            <w:col w:w="2900" w:space="200"/>
            <w:col w:w="6439"/>
          </w:cols>
          <w:pgMar w:left="920" w:top="114" w:right="1440"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0"/>
          <w:szCs w:val="10"/>
          <w:b w:val="1"/>
          <w:bCs w:val="1"/>
          <w:color w:val="333333"/>
        </w:rPr>
        <w:t xml:space="preserve">10 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CF1D4C"/>
        </w:rPr>
        <w:t>CORPAY AT A GLANCE</w:t>
      </w:r>
    </w:p>
    <w:p>
      <w:pPr>
        <w:spacing w:after="0" w:line="3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Our Commitment to Culture, Diversity, Equity, Inclusion, Belonging and Sustainability</w:t>
      </w:r>
    </w:p>
    <w:p>
      <w:pPr>
        <w:spacing w:after="0" w:line="216" w:lineRule="exact"/>
        <w:rPr>
          <w:sz w:val="20"/>
          <w:szCs w:val="20"/>
          <w:color w:val="auto"/>
        </w:rPr>
      </w:pPr>
    </w:p>
    <w:p>
      <w:pPr>
        <w:ind w:left="660" w:right="720"/>
        <w:spacing w:after="0" w:line="256" w:lineRule="auto"/>
        <w:rPr>
          <w:sz w:val="20"/>
          <w:szCs w:val="20"/>
          <w:color w:val="auto"/>
        </w:rPr>
      </w:pPr>
      <w:r>
        <w:rPr>
          <w:rFonts w:ascii="Arial" w:cs="Arial" w:eastAsia="Arial" w:hAnsi="Arial"/>
          <w:sz w:val="16"/>
          <w:szCs w:val="16"/>
          <w:color w:val="333333"/>
        </w:rPr>
        <w:t>Corporate responsibility promotes the long-term interests of our shareholders and strengthens Board and management accountability. Our corporate strategy includes a focus on how environmental and social issues may impact the long-term interests of our shareholders and other stakeholders. We believe that environmentally and socially responsible operating practices are important considerations while generating value for our shareholders, being good partners with our customers by providing efficient payment solutions, and being a good employer to our employees.</w:t>
      </w:r>
    </w:p>
    <w:p>
      <w:pPr>
        <w:spacing w:after="0" w:line="153" w:lineRule="exact"/>
        <w:rPr>
          <w:sz w:val="20"/>
          <w:szCs w:val="20"/>
          <w:color w:val="auto"/>
        </w:rPr>
      </w:pPr>
    </w:p>
    <w:p>
      <w:pPr>
        <w:ind w:left="660" w:right="740"/>
        <w:spacing w:after="0" w:line="254" w:lineRule="auto"/>
        <w:rPr>
          <w:sz w:val="20"/>
          <w:szCs w:val="20"/>
          <w:color w:val="auto"/>
        </w:rPr>
      </w:pPr>
      <w:r>
        <w:rPr>
          <w:rFonts w:ascii="Arial" w:cs="Arial" w:eastAsia="Arial" w:hAnsi="Arial"/>
          <w:sz w:val="16"/>
          <w:szCs w:val="16"/>
          <w:color w:val="333333"/>
        </w:rPr>
        <w:t>As of December 31, 2023, Corpay employed approximately 10,000 associates located in over 21 countries around the world, with approximately 4,100 of those associates based in the U.S. Our values-driven people programs, practices and policies have been developed to ensure we are able to attract, retain and develop the quality of talent necessary to advance our key initiatives and achieve our strategic objectives. We are firmly committed to delivering a strong employee value proposition and unique employment experience to our associates which, in turn, should lead to better customer experiences and business outcomes.</w:t>
      </w:r>
    </w:p>
    <w:p>
      <w:pPr>
        <w:sectPr>
          <w:pgSz w:w="11900" w:h="16838" w:orient="portrait"/>
          <w:cols w:equalWidth="0" w:num="1">
            <w:col w:w="10040"/>
          </w:cols>
          <w:pgMar w:left="920" w:top="114" w:right="939" w:bottom="1440" w:gutter="0" w:footer="0" w:header="0"/>
        </w:sectPr>
      </w:pP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CF1D4C"/>
        </w:rPr>
        <w:t>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69215</wp:posOffset>
            </wp:positionV>
            <wp:extent cx="283210" cy="420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321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180"/>
        <w:spacing w:after="0"/>
        <w:rPr>
          <w:sz w:val="20"/>
          <w:szCs w:val="20"/>
          <w:color w:val="auto"/>
        </w:rPr>
      </w:pPr>
      <w:r>
        <w:rPr>
          <w:rFonts w:ascii="Arial" w:cs="Arial" w:eastAsia="Arial" w:hAnsi="Arial"/>
          <w:sz w:val="16"/>
          <w:szCs w:val="16"/>
          <w:color w:val="333333"/>
        </w:rPr>
        <w:t xml:space="preserve">  </w:t>
      </w:r>
    </w:p>
    <w:p>
      <w:pPr>
        <w:spacing w:after="0" w:line="168" w:lineRule="exact"/>
        <w:rPr>
          <w:sz w:val="20"/>
          <w:szCs w:val="20"/>
          <w:color w:val="auto"/>
        </w:rPr>
      </w:pPr>
    </w:p>
    <w:p>
      <w:pPr>
        <w:ind w:left="1400"/>
        <w:spacing w:after="0"/>
        <w:rPr>
          <w:sz w:val="20"/>
          <w:szCs w:val="20"/>
          <w:color w:val="auto"/>
        </w:rPr>
      </w:pPr>
      <w:r>
        <w:rPr>
          <w:rFonts w:ascii="Arial" w:cs="Arial" w:eastAsia="Arial" w:hAnsi="Arial"/>
          <w:sz w:val="11"/>
          <w:szCs w:val="11"/>
          <w:b w:val="1"/>
          <w:bCs w:val="1"/>
          <w:color w:val="CF1D4C"/>
        </w:rPr>
        <w:t>INNOVATION</w:t>
      </w:r>
    </w:p>
    <w:p>
      <w:pPr>
        <w:spacing w:after="0" w:line="21" w:lineRule="exact"/>
        <w:rPr>
          <w:sz w:val="20"/>
          <w:szCs w:val="20"/>
          <w:color w:val="auto"/>
        </w:rPr>
      </w:pPr>
    </w:p>
    <w:p>
      <w:pPr>
        <w:jc w:val="center"/>
        <w:ind w:left="1020"/>
        <w:spacing w:after="0"/>
        <w:rPr>
          <w:sz w:val="20"/>
          <w:szCs w:val="20"/>
          <w:color w:val="auto"/>
        </w:rPr>
      </w:pPr>
      <w:r>
        <w:rPr>
          <w:rFonts w:ascii="Arial" w:cs="Arial" w:eastAsia="Arial" w:hAnsi="Arial"/>
          <w:sz w:val="16"/>
          <w:szCs w:val="16"/>
          <w:color w:val="333333"/>
        </w:rPr>
        <w:t>Figure out</w:t>
      </w:r>
    </w:p>
    <w:p>
      <w:pPr>
        <w:spacing w:after="0" w:line="7" w:lineRule="exact"/>
        <w:rPr>
          <w:sz w:val="20"/>
          <w:szCs w:val="20"/>
          <w:color w:val="auto"/>
        </w:rPr>
      </w:pPr>
    </w:p>
    <w:p>
      <w:pPr>
        <w:jc w:val="center"/>
        <w:ind w:left="1020"/>
        <w:spacing w:after="0"/>
        <w:rPr>
          <w:sz w:val="20"/>
          <w:szCs w:val="20"/>
          <w:color w:val="auto"/>
        </w:rPr>
      </w:pPr>
      <w:r>
        <w:rPr>
          <w:rFonts w:ascii="Arial" w:cs="Arial" w:eastAsia="Arial" w:hAnsi="Arial"/>
          <w:sz w:val="16"/>
          <w:szCs w:val="16"/>
          <w:color w:val="333333"/>
        </w:rPr>
        <w:t>a better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62230</wp:posOffset>
            </wp:positionV>
            <wp:extent cx="402590" cy="411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25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180"/>
        <w:spacing w:after="0"/>
        <w:rPr>
          <w:sz w:val="20"/>
          <w:szCs w:val="20"/>
          <w:color w:val="auto"/>
        </w:rPr>
      </w:pPr>
      <w:r>
        <w:rPr>
          <w:rFonts w:ascii="Arial" w:cs="Arial" w:eastAsia="Arial" w:hAnsi="Arial"/>
          <w:sz w:val="16"/>
          <w:szCs w:val="16"/>
          <w:color w:val="333333"/>
        </w:rPr>
        <w:t xml:space="preserve">  </w:t>
      </w:r>
    </w:p>
    <w:p>
      <w:pPr>
        <w:spacing w:after="0" w:line="113" w:lineRule="exact"/>
        <w:rPr>
          <w:sz w:val="20"/>
          <w:szCs w:val="20"/>
          <w:color w:val="auto"/>
        </w:rPr>
      </w:pPr>
    </w:p>
    <w:p>
      <w:pPr>
        <w:jc w:val="center"/>
        <w:ind w:left="1020"/>
        <w:spacing w:after="0"/>
        <w:rPr>
          <w:sz w:val="20"/>
          <w:szCs w:val="20"/>
          <w:color w:val="auto"/>
        </w:rPr>
      </w:pPr>
      <w:r>
        <w:rPr>
          <w:rFonts w:ascii="Arial" w:cs="Arial" w:eastAsia="Arial" w:hAnsi="Arial"/>
          <w:sz w:val="16"/>
          <w:szCs w:val="16"/>
          <w:b w:val="1"/>
          <w:bCs w:val="1"/>
          <w:color w:val="CF1D4C"/>
        </w:rPr>
        <w:t>COLLABORATION</w:t>
      </w:r>
    </w:p>
    <w:p>
      <w:pPr>
        <w:spacing w:after="0" w:line="21" w:lineRule="exact"/>
        <w:rPr>
          <w:sz w:val="20"/>
          <w:szCs w:val="20"/>
          <w:color w:val="auto"/>
        </w:rPr>
      </w:pPr>
    </w:p>
    <w:p>
      <w:pPr>
        <w:jc w:val="center"/>
        <w:ind w:left="1020"/>
        <w:spacing w:after="0"/>
        <w:rPr>
          <w:sz w:val="20"/>
          <w:szCs w:val="20"/>
          <w:color w:val="auto"/>
        </w:rPr>
      </w:pPr>
      <w:r>
        <w:rPr>
          <w:rFonts w:ascii="Arial" w:cs="Arial" w:eastAsia="Arial" w:hAnsi="Arial"/>
          <w:sz w:val="16"/>
          <w:szCs w:val="16"/>
          <w:color w:val="333333"/>
        </w:rPr>
        <w:t>Accomplish</w:t>
      </w:r>
    </w:p>
    <w:p>
      <w:pPr>
        <w:spacing w:after="0" w:line="5" w:lineRule="exact"/>
        <w:rPr>
          <w:sz w:val="20"/>
          <w:szCs w:val="20"/>
          <w:color w:val="auto"/>
        </w:rPr>
      </w:pPr>
    </w:p>
    <w:p>
      <w:pPr>
        <w:jc w:val="center"/>
        <w:ind w:left="1020"/>
        <w:spacing w:after="0"/>
        <w:rPr>
          <w:sz w:val="20"/>
          <w:szCs w:val="20"/>
          <w:color w:val="auto"/>
        </w:rPr>
      </w:pPr>
      <w:r>
        <w:rPr>
          <w:rFonts w:ascii="Arial" w:cs="Arial" w:eastAsia="Arial" w:hAnsi="Arial"/>
          <w:sz w:val="16"/>
          <w:szCs w:val="16"/>
          <w:color w:val="333333"/>
        </w:rPr>
        <w:t>more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53340</wp:posOffset>
            </wp:positionV>
            <wp:extent cx="462915" cy="420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6291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180"/>
        <w:spacing w:after="0"/>
        <w:rPr>
          <w:sz w:val="20"/>
          <w:szCs w:val="20"/>
          <w:color w:val="auto"/>
        </w:rPr>
      </w:pPr>
      <w:r>
        <w:rPr>
          <w:rFonts w:ascii="Arial" w:cs="Arial" w:eastAsia="Arial" w:hAnsi="Arial"/>
          <w:sz w:val="16"/>
          <w:szCs w:val="16"/>
          <w:color w:val="333333"/>
        </w:rPr>
        <w:t xml:space="preserve">  </w:t>
      </w:r>
    </w:p>
    <w:p>
      <w:pPr>
        <w:spacing w:after="0" w:line="113" w:lineRule="exact"/>
        <w:rPr>
          <w:sz w:val="20"/>
          <w:szCs w:val="20"/>
          <w:color w:val="auto"/>
        </w:rPr>
      </w:pPr>
    </w:p>
    <w:p>
      <w:pPr>
        <w:jc w:val="center"/>
        <w:ind w:left="1020"/>
        <w:spacing w:after="0"/>
        <w:rPr>
          <w:sz w:val="20"/>
          <w:szCs w:val="20"/>
          <w:color w:val="auto"/>
        </w:rPr>
      </w:pPr>
      <w:r>
        <w:rPr>
          <w:rFonts w:ascii="Arial" w:cs="Arial" w:eastAsia="Arial" w:hAnsi="Arial"/>
          <w:sz w:val="16"/>
          <w:szCs w:val="16"/>
          <w:b w:val="1"/>
          <w:bCs w:val="1"/>
          <w:color w:val="CF1D4C"/>
        </w:rPr>
        <w:t>EXECUTION</w:t>
      </w:r>
    </w:p>
    <w:p>
      <w:pPr>
        <w:spacing w:after="0" w:line="21" w:lineRule="exact"/>
        <w:rPr>
          <w:sz w:val="20"/>
          <w:szCs w:val="20"/>
          <w:color w:val="auto"/>
        </w:rPr>
      </w:pPr>
    </w:p>
    <w:p>
      <w:pPr>
        <w:jc w:val="center"/>
        <w:ind w:left="1020"/>
        <w:spacing w:after="0"/>
        <w:rPr>
          <w:sz w:val="20"/>
          <w:szCs w:val="20"/>
          <w:color w:val="auto"/>
        </w:rPr>
      </w:pPr>
      <w:r>
        <w:rPr>
          <w:rFonts w:ascii="Arial" w:cs="Arial" w:eastAsia="Arial" w:hAnsi="Arial"/>
          <w:sz w:val="16"/>
          <w:szCs w:val="16"/>
          <w:color w:val="333333"/>
        </w:rPr>
        <w:t>Get it done</w:t>
      </w:r>
    </w:p>
    <w:p>
      <w:pPr>
        <w:spacing w:after="0" w:line="5" w:lineRule="exact"/>
        <w:rPr>
          <w:sz w:val="20"/>
          <w:szCs w:val="20"/>
          <w:color w:val="auto"/>
        </w:rPr>
      </w:pPr>
    </w:p>
    <w:p>
      <w:pPr>
        <w:jc w:val="center"/>
        <w:ind w:left="1020"/>
        <w:spacing w:after="0"/>
        <w:rPr>
          <w:sz w:val="20"/>
          <w:szCs w:val="20"/>
          <w:color w:val="auto"/>
        </w:rPr>
      </w:pPr>
      <w:r>
        <w:rPr>
          <w:rFonts w:ascii="Arial" w:cs="Arial" w:eastAsia="Arial" w:hAnsi="Arial"/>
          <w:sz w:val="16"/>
          <w:szCs w:val="16"/>
          <w:color w:val="333333"/>
        </w:rPr>
        <w:t>outputs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62230</wp:posOffset>
            </wp:positionV>
            <wp:extent cx="394335" cy="420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9433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80"/>
        <w:spacing w:after="0"/>
        <w:rPr>
          <w:sz w:val="20"/>
          <w:szCs w:val="20"/>
          <w:color w:val="auto"/>
        </w:rPr>
      </w:pPr>
      <w:r>
        <w:rPr>
          <w:rFonts w:ascii="Arial" w:cs="Arial" w:eastAsia="Arial" w:hAnsi="Arial"/>
          <w:sz w:val="16"/>
          <w:szCs w:val="16"/>
          <w:color w:val="333333"/>
        </w:rPr>
        <w:t xml:space="preserve">  </w:t>
      </w:r>
    </w:p>
    <w:p>
      <w:pPr>
        <w:spacing w:after="0" w:line="113" w:lineRule="exact"/>
        <w:rPr>
          <w:sz w:val="20"/>
          <w:szCs w:val="20"/>
          <w:color w:val="auto"/>
        </w:rPr>
      </w:pPr>
    </w:p>
    <w:p>
      <w:pPr>
        <w:jc w:val="center"/>
        <w:ind w:left="1020"/>
        <w:spacing w:after="0"/>
        <w:rPr>
          <w:sz w:val="20"/>
          <w:szCs w:val="20"/>
          <w:color w:val="auto"/>
        </w:rPr>
      </w:pPr>
      <w:r>
        <w:rPr>
          <w:rFonts w:ascii="Arial" w:cs="Arial" w:eastAsia="Arial" w:hAnsi="Arial"/>
          <w:sz w:val="16"/>
          <w:szCs w:val="16"/>
          <w:b w:val="1"/>
          <w:bCs w:val="1"/>
          <w:color w:val="CF1D4C"/>
        </w:rPr>
        <w:t>INTEGRITY</w:t>
      </w:r>
    </w:p>
    <w:p>
      <w:pPr>
        <w:spacing w:after="0" w:line="21" w:lineRule="exact"/>
        <w:rPr>
          <w:sz w:val="20"/>
          <w:szCs w:val="20"/>
          <w:color w:val="auto"/>
        </w:rPr>
      </w:pPr>
    </w:p>
    <w:p>
      <w:pPr>
        <w:jc w:val="center"/>
        <w:ind w:left="1020"/>
        <w:spacing w:after="0"/>
        <w:rPr>
          <w:sz w:val="20"/>
          <w:szCs w:val="20"/>
          <w:color w:val="auto"/>
        </w:rPr>
      </w:pPr>
      <w:r>
        <w:rPr>
          <w:rFonts w:ascii="Arial" w:cs="Arial" w:eastAsia="Arial" w:hAnsi="Arial"/>
          <w:sz w:val="16"/>
          <w:szCs w:val="16"/>
          <w:color w:val="333333"/>
        </w:rPr>
        <w:t>Do the</w:t>
      </w:r>
    </w:p>
    <w:p>
      <w:pPr>
        <w:spacing w:after="0" w:line="5" w:lineRule="exact"/>
        <w:rPr>
          <w:sz w:val="20"/>
          <w:szCs w:val="20"/>
          <w:color w:val="auto"/>
        </w:rPr>
      </w:pPr>
    </w:p>
    <w:p>
      <w:pPr>
        <w:jc w:val="center"/>
        <w:ind w:left="1020"/>
        <w:spacing w:after="0"/>
        <w:rPr>
          <w:sz w:val="20"/>
          <w:szCs w:val="20"/>
          <w:color w:val="auto"/>
        </w:rPr>
      </w:pPr>
      <w:r>
        <w:rPr>
          <w:rFonts w:ascii="Arial" w:cs="Arial" w:eastAsia="Arial" w:hAnsi="Arial"/>
          <w:sz w:val="16"/>
          <w:szCs w:val="16"/>
          <w:color w:val="333333"/>
        </w:rPr>
        <w:t>right 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62230</wp:posOffset>
            </wp:positionV>
            <wp:extent cx="582930" cy="411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29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180"/>
        <w:spacing w:after="0"/>
        <w:rPr>
          <w:sz w:val="20"/>
          <w:szCs w:val="20"/>
          <w:color w:val="auto"/>
        </w:rPr>
      </w:pPr>
      <w:r>
        <w:rPr>
          <w:rFonts w:ascii="Arial" w:cs="Arial" w:eastAsia="Arial" w:hAnsi="Arial"/>
          <w:sz w:val="16"/>
          <w:szCs w:val="16"/>
          <w:color w:val="333333"/>
        </w:rPr>
        <w:t xml:space="preserve">  </w:t>
      </w:r>
    </w:p>
    <w:p>
      <w:pPr>
        <w:spacing w:after="0" w:line="113" w:lineRule="exact"/>
        <w:rPr>
          <w:sz w:val="20"/>
          <w:szCs w:val="20"/>
          <w:color w:val="auto"/>
        </w:rPr>
      </w:pPr>
    </w:p>
    <w:p>
      <w:pPr>
        <w:jc w:val="center"/>
        <w:ind w:left="1020"/>
        <w:spacing w:after="0"/>
        <w:rPr>
          <w:sz w:val="20"/>
          <w:szCs w:val="20"/>
          <w:color w:val="auto"/>
        </w:rPr>
      </w:pPr>
      <w:r>
        <w:rPr>
          <w:rFonts w:ascii="Arial" w:cs="Arial" w:eastAsia="Arial" w:hAnsi="Arial"/>
          <w:sz w:val="16"/>
          <w:szCs w:val="16"/>
          <w:b w:val="1"/>
          <w:bCs w:val="1"/>
          <w:color w:val="CF1D4C"/>
        </w:rPr>
        <w:t>PEOPLE</w:t>
      </w:r>
    </w:p>
    <w:p>
      <w:pPr>
        <w:spacing w:after="0" w:line="21" w:lineRule="exact"/>
        <w:rPr>
          <w:sz w:val="20"/>
          <w:szCs w:val="20"/>
          <w:color w:val="auto"/>
        </w:rPr>
      </w:pPr>
    </w:p>
    <w:p>
      <w:pPr>
        <w:jc w:val="center"/>
        <w:ind w:left="1020"/>
        <w:spacing w:after="0"/>
        <w:rPr>
          <w:sz w:val="20"/>
          <w:szCs w:val="20"/>
          <w:color w:val="auto"/>
        </w:rPr>
      </w:pPr>
      <w:r>
        <w:rPr>
          <w:rFonts w:ascii="Arial" w:cs="Arial" w:eastAsia="Arial" w:hAnsi="Arial"/>
          <w:sz w:val="16"/>
          <w:szCs w:val="16"/>
          <w:color w:val="333333"/>
        </w:rPr>
        <w:t>We make</w:t>
      </w:r>
    </w:p>
    <w:p>
      <w:pPr>
        <w:spacing w:after="0" w:line="5" w:lineRule="exact"/>
        <w:rPr>
          <w:sz w:val="20"/>
          <w:szCs w:val="20"/>
          <w:color w:val="auto"/>
        </w:rPr>
      </w:pPr>
    </w:p>
    <w:p>
      <w:pPr>
        <w:jc w:val="center"/>
        <w:ind w:left="1020"/>
        <w:spacing w:after="0"/>
        <w:rPr>
          <w:sz w:val="20"/>
          <w:szCs w:val="20"/>
          <w:color w:val="auto"/>
        </w:rPr>
      </w:pPr>
      <w:r>
        <w:rPr>
          <w:rFonts w:ascii="Arial" w:cs="Arial" w:eastAsia="Arial" w:hAnsi="Arial"/>
          <w:sz w:val="16"/>
          <w:szCs w:val="16"/>
          <w:color w:val="333333"/>
        </w:rPr>
        <w:t>the difference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Culture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5" w:lineRule="exact"/>
        <w:rPr>
          <w:sz w:val="20"/>
          <w:szCs w:val="20"/>
          <w:color w:val="auto"/>
        </w:rPr>
      </w:pPr>
    </w:p>
    <w:p>
      <w:pPr>
        <w:ind w:right="680"/>
        <w:spacing w:after="0" w:line="247" w:lineRule="auto"/>
        <w:rPr>
          <w:sz w:val="20"/>
          <w:szCs w:val="20"/>
          <w:color w:val="auto"/>
        </w:rPr>
      </w:pPr>
      <w:r>
        <w:rPr>
          <w:rFonts w:ascii="Arial" w:cs="Arial" w:eastAsia="Arial" w:hAnsi="Arial"/>
          <w:sz w:val="16"/>
          <w:szCs w:val="16"/>
          <w:color w:val="333333"/>
        </w:rPr>
        <w:t>We strongly believe that commitment to our culture is a strong determinant of the Company’s performance and success. Our culture has evolved through time, as the Company has grown considerably both organically and through acquisitions. Despite Corpay’s expansive size and geographic scope, we retain a strong entrepreneurial spirit, and share a common vision, mission and set of values, which together serve as cornerstones to our “One Corpay” culture. Our core values, listed below, are infused in all aspects of Corpay, and guide our employee selection, behavior and interactions with both internal and external stakeholders. Through our relentless efforts to improve our workplace at Corpay, we have been awarded the 2022 Most Loved Workplace certificate by the Best Practices Institute.  </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Diversity, Equity, Inclusion &amp; Belonging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As of December 31, 2023, females represented approximately 52% of our global workforce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and approximately 17% of our senior leadership team, while ethnic minorities comprised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approximately 36% of our domestic workforce and approximately 17% of our senior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leadership team.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5" w:lineRule="exact"/>
        <w:rPr>
          <w:sz w:val="20"/>
          <w:szCs w:val="20"/>
          <w:color w:val="auto"/>
        </w:rPr>
      </w:pPr>
    </w:p>
    <w:p>
      <w:pPr>
        <w:ind w:right="720"/>
        <w:spacing w:after="0" w:line="249" w:lineRule="auto"/>
        <w:rPr>
          <w:sz w:val="20"/>
          <w:szCs w:val="20"/>
          <w:color w:val="auto"/>
        </w:rPr>
      </w:pPr>
      <w:r>
        <w:rPr>
          <w:rFonts w:ascii="Arial" w:cs="Arial" w:eastAsia="Arial" w:hAnsi="Arial"/>
          <w:sz w:val="16"/>
          <w:szCs w:val="16"/>
          <w:color w:val="333333"/>
        </w:rPr>
        <w:t>Our diversity, equity, inclusion and belonging (DEIB) programs foster a culturally diverse and inclusive environment and create a true sense of belonging. Our global diversity council, three regional councils and nine employee resource groups (each, an ERG) are built to bring diversity, equity, inclusion and belonging into all aspects of our global operations. The councils and ERGs are vital to creating an environment where all employees are able to prosper. Our ERGs allow a safe space for traditionally underrepresented employees to connect and discuss experiences. The ERGs also provide Corpay with perspectives on the unique needs and lived experiences of those who are traditionally underrepresented.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109220</wp:posOffset>
            </wp:positionV>
            <wp:extent cx="3763010" cy="916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76301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1552" w:lineRule="exact"/>
        <w:rPr>
          <w:sz w:val="20"/>
          <w:szCs w:val="20"/>
          <w:color w:val="auto"/>
        </w:rPr>
      </w:pPr>
    </w:p>
    <w:p>
      <w:pPr>
        <w:sectPr>
          <w:pgSz w:w="11900" w:h="16838" w:orient="portrait"/>
          <w:cols w:equalWidth="0" w:num="2">
            <w:col w:w="2440" w:space="240"/>
            <w:col w:w="7360"/>
          </w:cols>
          <w:pgMar w:left="920" w:top="114" w:right="939" w:bottom="1440" w:gutter="0" w:footer="0" w:header="0"/>
          <w:type w:val="continuous"/>
        </w:sectPr>
      </w:pPr>
    </w:p>
    <w:p>
      <w:pPr>
        <w:spacing w:after="0" w:line="100" w:lineRule="exact"/>
        <w:rPr>
          <w:sz w:val="20"/>
          <w:szCs w:val="20"/>
          <w:color w:val="auto"/>
        </w:rPr>
      </w:pPr>
    </w:p>
    <w:p>
      <w:pPr>
        <w:ind w:left="7300"/>
        <w:spacing w:after="0"/>
        <w:rPr>
          <w:sz w:val="20"/>
          <w:szCs w:val="20"/>
          <w:color w:val="auto"/>
        </w:rPr>
      </w:pPr>
      <w:r>
        <w:rPr>
          <w:rFonts w:ascii="Arial" w:cs="Arial" w:eastAsia="Arial" w:hAnsi="Arial"/>
          <w:sz w:val="10"/>
          <w:szCs w:val="10"/>
          <w:color w:val="333333"/>
        </w:rPr>
        <w:t xml:space="preserve">2024 Notice of Annual Meeting &amp; Proxy Statement      </w:t>
      </w:r>
      <w:r>
        <w:rPr>
          <w:rFonts w:ascii="Arial" w:cs="Arial" w:eastAsia="Arial" w:hAnsi="Arial"/>
          <w:sz w:val="10"/>
          <w:szCs w:val="10"/>
          <w:b w:val="1"/>
          <w:bCs w:val="1"/>
          <w:color w:val="333333"/>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132715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CF1D4C"/>
        </w:rPr>
        <w:t>CORPAY AT A GLANCE</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Talent Acquisition</w:t>
      </w:r>
    </w:p>
    <w:p>
      <w:pPr>
        <w:spacing w:after="0" w:line="248" w:lineRule="exact"/>
        <w:rPr>
          <w:sz w:val="20"/>
          <w:szCs w:val="20"/>
          <w:color w:val="auto"/>
        </w:rPr>
      </w:pPr>
    </w:p>
    <w:p>
      <w:pPr>
        <w:ind w:left="660" w:right="279"/>
        <w:spacing w:after="0" w:line="254" w:lineRule="auto"/>
        <w:rPr>
          <w:sz w:val="20"/>
          <w:szCs w:val="20"/>
          <w:color w:val="auto"/>
        </w:rPr>
      </w:pPr>
      <w:r>
        <w:rPr>
          <w:rFonts w:ascii="Arial" w:cs="Arial" w:eastAsia="Arial" w:hAnsi="Arial"/>
          <w:sz w:val="16"/>
          <w:szCs w:val="16"/>
          <w:color w:val="333333"/>
        </w:rPr>
        <w:t>Corpay maintains a focus on recruiting a talented workforce across all of our businesses and geographies. Corpay recognizes both the importance of developing a qualified workforce to power continued innovation, and the high demand of candidates in our industry. In addition to traditional recruiting channels (social media and third-party search firms), we also attract new talent through our partnerships. To contribute to the success and advancement of women and minorities in our workforce, we employ additional talent acquisition strategies to attract a range of diverse candidates. These initiatives include:</w:t>
      </w:r>
    </w:p>
    <w:p>
      <w:pPr>
        <w:spacing w:after="0" w:line="141" w:lineRule="exact"/>
        <w:rPr>
          <w:sz w:val="20"/>
          <w:szCs w:val="20"/>
          <w:color w:val="auto"/>
        </w:rPr>
      </w:pPr>
    </w:p>
    <w:p>
      <w:pPr>
        <w:ind w:left="1360" w:right="719" w:hanging="350"/>
        <w:spacing w:after="0" w:line="286" w:lineRule="auto"/>
        <w:tabs>
          <w:tab w:leader="none" w:pos="1360" w:val="left"/>
        </w:tabs>
        <w:numPr>
          <w:ilvl w:val="0"/>
          <w:numId w:val="25"/>
        </w:numPr>
        <w:rPr>
          <w:rFonts w:ascii="Arial" w:cs="Arial" w:eastAsia="Arial" w:hAnsi="Arial"/>
          <w:sz w:val="16"/>
          <w:szCs w:val="16"/>
          <w:color w:val="333333"/>
        </w:rPr>
      </w:pPr>
      <w:r>
        <w:rPr>
          <w:rFonts w:ascii="Arial" w:cs="Arial" w:eastAsia="Arial" w:hAnsi="Arial"/>
          <w:sz w:val="16"/>
          <w:szCs w:val="16"/>
          <w:color w:val="333333"/>
        </w:rPr>
        <w:t>“Rooney Rule” — We currently utilize the “Rooney Rule” (a diverse candidate slate) for all positions Vice President and above.</w:t>
      </w:r>
    </w:p>
    <w:p>
      <w:pPr>
        <w:spacing w:after="0" w:line="115" w:lineRule="exact"/>
        <w:rPr>
          <w:rFonts w:ascii="Arial" w:cs="Arial" w:eastAsia="Arial" w:hAnsi="Arial"/>
          <w:sz w:val="16"/>
          <w:szCs w:val="16"/>
          <w:color w:val="333333"/>
        </w:rPr>
      </w:pPr>
    </w:p>
    <w:p>
      <w:pPr>
        <w:ind w:left="1360" w:right="539" w:hanging="350"/>
        <w:spacing w:after="0" w:line="286" w:lineRule="auto"/>
        <w:tabs>
          <w:tab w:leader="none" w:pos="1360" w:val="left"/>
        </w:tabs>
        <w:numPr>
          <w:ilvl w:val="0"/>
          <w:numId w:val="25"/>
        </w:numPr>
        <w:rPr>
          <w:rFonts w:ascii="Arial" w:cs="Arial" w:eastAsia="Arial" w:hAnsi="Arial"/>
          <w:sz w:val="16"/>
          <w:szCs w:val="16"/>
          <w:color w:val="333333"/>
        </w:rPr>
      </w:pPr>
      <w:r>
        <w:rPr>
          <w:rFonts w:ascii="Arial" w:cs="Arial" w:eastAsia="Arial" w:hAnsi="Arial"/>
          <w:sz w:val="16"/>
          <w:szCs w:val="16"/>
          <w:color w:val="333333"/>
        </w:rPr>
        <w:t>Behavior Based Interviewing (BBI) — We require hiring managers to participate in BBI training which helps provide an unbiased view of the candidate’s experience and skill set.</w:t>
      </w:r>
    </w:p>
    <w:p>
      <w:pPr>
        <w:spacing w:after="0" w:line="39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Talent Development</w:t>
      </w:r>
    </w:p>
    <w:p>
      <w:pPr>
        <w:spacing w:after="0" w:line="248" w:lineRule="exact"/>
        <w:rPr>
          <w:sz w:val="20"/>
          <w:szCs w:val="20"/>
          <w:color w:val="auto"/>
        </w:rPr>
      </w:pPr>
    </w:p>
    <w:p>
      <w:pPr>
        <w:ind w:left="660" w:right="139"/>
        <w:spacing w:after="0" w:line="254" w:lineRule="auto"/>
        <w:rPr>
          <w:sz w:val="20"/>
          <w:szCs w:val="20"/>
          <w:color w:val="auto"/>
        </w:rPr>
      </w:pPr>
      <w:r>
        <w:rPr>
          <w:rFonts w:ascii="Arial" w:cs="Arial" w:eastAsia="Arial" w:hAnsi="Arial"/>
          <w:sz w:val="16"/>
          <w:szCs w:val="16"/>
          <w:color w:val="333333"/>
        </w:rPr>
        <w:t>Corpay offers a variety of high-quality learning opportunities, designed to support employee development and organizational effectiveness. Learning opportunities are available in all geographies at all levels, and incorporate personal, business and leadership skills development with the goal of empowering our organization, creating avenues for closing skill gaps, and enhancing the capabilities of our workforce. Leadership, teamwork, communication, and many other soft skills are vital to our success. We offer a wide variety of career opportunities and paths to advancement through on-the-job coaching, training, and education.</w:t>
      </w:r>
    </w:p>
    <w:p>
      <w:pPr>
        <w:spacing w:after="0" w:line="141" w:lineRule="exact"/>
        <w:rPr>
          <w:sz w:val="20"/>
          <w:szCs w:val="20"/>
          <w:color w:val="auto"/>
        </w:rPr>
      </w:pPr>
    </w:p>
    <w:p>
      <w:pPr>
        <w:ind w:left="660" w:right="179"/>
        <w:spacing w:after="0" w:line="256" w:lineRule="auto"/>
        <w:rPr>
          <w:sz w:val="20"/>
          <w:szCs w:val="20"/>
          <w:color w:val="auto"/>
        </w:rPr>
      </w:pPr>
      <w:r>
        <w:rPr>
          <w:rFonts w:ascii="Arial" w:cs="Arial" w:eastAsia="Arial" w:hAnsi="Arial"/>
          <w:sz w:val="16"/>
          <w:szCs w:val="16"/>
          <w:color w:val="333333"/>
        </w:rPr>
        <w:t>As part of the new hire onboarding program, employees participate in Explore the Cor, a unique immersion program focused on understanding the Company’s mission, vision, culture and values. Our day 1 programming also introduces our Human Resources programs, benefits, and policies and procedures, such as information security awareness, anti-harassment training, and code of ethics compliance. New hires learn about their workstyle and the workstyle of their colleagues by participating in our Introduction to DiSC® program.</w:t>
      </w:r>
    </w:p>
    <w:p>
      <w:pPr>
        <w:spacing w:after="0" w:line="139" w:lineRule="exact"/>
        <w:rPr>
          <w:sz w:val="20"/>
          <w:szCs w:val="20"/>
          <w:color w:val="auto"/>
        </w:rPr>
      </w:pPr>
    </w:p>
    <w:p>
      <w:pPr>
        <w:ind w:left="660" w:right="279"/>
        <w:spacing w:after="0" w:line="256" w:lineRule="auto"/>
        <w:rPr>
          <w:sz w:val="20"/>
          <w:szCs w:val="20"/>
          <w:color w:val="auto"/>
        </w:rPr>
      </w:pPr>
      <w:r>
        <w:rPr>
          <w:rFonts w:ascii="Arial" w:cs="Arial" w:eastAsia="Arial" w:hAnsi="Arial"/>
          <w:sz w:val="16"/>
          <w:szCs w:val="16"/>
          <w:color w:val="333333"/>
        </w:rPr>
        <w:t>Our entry-level employees are required to participate in our foundational learning sessions, which build upon onboarding experiences. More senior employees are required to complete all foundational training along with our Great Manager Program (GMP). GMP is designed to teach both first-time and experienced managers situational leadership, coaching skills, and the art of providing feedback and feedforward. Corpay also offers voluntary learning opportunities through CorSuccess, a global career development and acceleration program designed for high performing employees.</w:t>
      </w:r>
    </w:p>
    <w:p>
      <w:pPr>
        <w:spacing w:after="0" w:line="153" w:lineRule="exact"/>
        <w:rPr>
          <w:sz w:val="20"/>
          <w:szCs w:val="20"/>
          <w:color w:val="auto"/>
        </w:rPr>
      </w:pPr>
    </w:p>
    <w:p>
      <w:pPr>
        <w:ind w:left="660" w:right="139"/>
        <w:spacing w:after="0" w:line="253" w:lineRule="auto"/>
        <w:rPr>
          <w:sz w:val="20"/>
          <w:szCs w:val="20"/>
          <w:color w:val="auto"/>
        </w:rPr>
      </w:pPr>
      <w:r>
        <w:rPr>
          <w:rFonts w:ascii="Arial" w:cs="Arial" w:eastAsia="Arial" w:hAnsi="Arial"/>
          <w:sz w:val="16"/>
          <w:szCs w:val="16"/>
          <w:color w:val="333333"/>
        </w:rPr>
        <w:t>At the heart of our most senior leader learning experience is the Global Leader Program (GLP). GLP is a leadership development program, through an interactive curriculum which is based on our core values and competencies. The goal is to guide our leaders towards greater self-awareness, create the opportunity to build a strong leadership foundation, provide the skills to act as a coach and mentor, and provide the opportunity to build lasting relationships with Corpay professionals from around the world. Senior leaders also have the opportunity to work with a personal coach and/or rotational assignments to further assist with their development. Additional programs include mentoring/mentee, and team building.</w:t>
      </w:r>
    </w:p>
    <w:p>
      <w:pPr>
        <w:spacing w:after="0" w:line="376"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12 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CF1D4C"/>
        </w:rPr>
        <w:t>CORPAY AT A GLANCE</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Health and Wellness</w:t>
      </w:r>
    </w:p>
    <w:p>
      <w:pPr>
        <w:spacing w:after="0" w:line="248" w:lineRule="exact"/>
        <w:rPr>
          <w:sz w:val="20"/>
          <w:szCs w:val="20"/>
          <w:color w:val="auto"/>
        </w:rPr>
      </w:pPr>
    </w:p>
    <w:p>
      <w:pPr>
        <w:ind w:left="660" w:right="640"/>
        <w:spacing w:after="0" w:line="251" w:lineRule="auto"/>
        <w:rPr>
          <w:sz w:val="20"/>
          <w:szCs w:val="20"/>
          <w:color w:val="auto"/>
        </w:rPr>
      </w:pPr>
      <w:r>
        <w:rPr>
          <w:rFonts w:ascii="Arial" w:cs="Arial" w:eastAsia="Arial" w:hAnsi="Arial"/>
          <w:sz w:val="16"/>
          <w:szCs w:val="16"/>
          <w:color w:val="333333"/>
        </w:rPr>
        <w:t>We offer a competitive and comprehensive benefits package, wellness programs, time-off policies, and an engaging environment. In the U.S., Corpay pays the majority of the cost for our core set of benefits which includes comprehensive medical, prescription drug, dental, and vision coverage. Our benefit plans include options for employees to customize their coverage with voluntary plans that include critical illness, disability, life insurance, hospitalization protection, and legal assistance, among others. We also offer access to tax-advantaged accounts that can help employees pay for future health care expenses, including Health Savings Accounts and Flexible Spending Accounts. Additionally, we offer life insurance, accidental death and dismemberment insurance, and short and long-term disability at no cost to the employee. All benefits are offered to employees, their partners (including spouses and domestic partners), and their children. In other geographies, we offer competitive benefits packages that are tailored to local market conditions and norms.</w:t>
      </w:r>
    </w:p>
    <w:p>
      <w:pPr>
        <w:spacing w:after="0" w:line="145" w:lineRule="exact"/>
        <w:rPr>
          <w:sz w:val="20"/>
          <w:szCs w:val="20"/>
          <w:color w:val="auto"/>
        </w:rPr>
      </w:pPr>
    </w:p>
    <w:p>
      <w:pPr>
        <w:ind w:left="660" w:right="880"/>
        <w:spacing w:after="0" w:line="256" w:lineRule="auto"/>
        <w:rPr>
          <w:sz w:val="20"/>
          <w:szCs w:val="20"/>
          <w:color w:val="auto"/>
        </w:rPr>
      </w:pPr>
      <w:r>
        <w:rPr>
          <w:rFonts w:ascii="Arial" w:cs="Arial" w:eastAsia="Arial" w:hAnsi="Arial"/>
          <w:sz w:val="16"/>
          <w:szCs w:val="16"/>
          <w:color w:val="333333"/>
        </w:rPr>
        <w:t>Our Corpay’s wellness programs are designed to meet the evolving needs of a diverse workforce across the globe. We want our employees and their families to thrive and continue to place our focus on physical and mental well-being. We offer free virtual fitness classes and provide access to employee assistance programs in all regions. In the U.K. and Europe, we’ve trained 20 “Mental Health First Aiders” that provide all employees access to support on issues such as anxiety, depression, mental fatigue, burn out, or stress.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Voice of the Employee</w:t>
      </w:r>
    </w:p>
    <w:p>
      <w:pPr>
        <w:spacing w:after="0" w:line="235" w:lineRule="exact"/>
        <w:rPr>
          <w:sz w:val="20"/>
          <w:szCs w:val="20"/>
          <w:color w:val="auto"/>
        </w:rPr>
      </w:pPr>
    </w:p>
    <w:p>
      <w:pPr>
        <w:ind w:left="660" w:right="760"/>
        <w:spacing w:after="0" w:line="253" w:lineRule="auto"/>
        <w:rPr>
          <w:sz w:val="20"/>
          <w:szCs w:val="20"/>
          <w:color w:val="auto"/>
        </w:rPr>
      </w:pPr>
      <w:r>
        <w:rPr>
          <w:rFonts w:ascii="Arial" w:cs="Arial" w:eastAsia="Arial" w:hAnsi="Arial"/>
          <w:sz w:val="16"/>
          <w:szCs w:val="16"/>
          <w:color w:val="333333"/>
        </w:rPr>
        <w:t>Each year, Corpay conducts an employee survey to measure talent engagement. The purpose of the survey is to give employees a voice and use employee feedback to improve and build our organizational capability. We share the detailed engagement scores across the organization, and analyze the results to understand differences by geography, demographics, job level, and leader, and to identify opportunities for further improvement. Based on the feedback and perception of employees, action plans are created to drive continuous improvement of results. The participation rate for our 2023 annual survey was approximately 70%. Our employee engagement score in 2023 remained consistent with our prior year results. We believe our employee proposition remains strong and we continue to attract and retain top talent.</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Sustainability</w:t>
      </w:r>
    </w:p>
    <w:p>
      <w:pPr>
        <w:spacing w:after="0" w:line="235" w:lineRule="exact"/>
        <w:rPr>
          <w:sz w:val="20"/>
          <w:szCs w:val="20"/>
          <w:color w:val="auto"/>
        </w:rPr>
      </w:pPr>
    </w:p>
    <w:p>
      <w:pPr>
        <w:ind w:left="660" w:right="640"/>
        <w:spacing w:after="0" w:line="254" w:lineRule="auto"/>
        <w:rPr>
          <w:sz w:val="20"/>
          <w:szCs w:val="20"/>
          <w:color w:val="auto"/>
        </w:rPr>
      </w:pPr>
      <w:r>
        <w:rPr>
          <w:rFonts w:ascii="Arial" w:cs="Arial" w:eastAsia="Arial" w:hAnsi="Arial"/>
          <w:sz w:val="16"/>
          <w:szCs w:val="16"/>
          <w:color w:val="333333"/>
        </w:rPr>
        <w:t>Our Board of Directors and management recognize that we have a role to play in environmental stewardship. Given that Corpay is a business payments solutions company, greenhouse gas (“GHG”), emissions, and water and energy usage are not material factors to the day-to-day operations of our business. We believe, however, that environmentally responsible operating practices generate value for our shareholders and stakeholders. Corpay continues to reduce environmental impact and seeks to implement innovative and sustainable initiatives, both for the Company and for customers. We have implemented the following initiatives: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Carbon Offset Programs</w:t>
      </w:r>
    </w:p>
    <w:p>
      <w:pPr>
        <w:spacing w:after="0" w:line="187" w:lineRule="exact"/>
        <w:rPr>
          <w:sz w:val="20"/>
          <w:szCs w:val="20"/>
          <w:color w:val="auto"/>
        </w:rPr>
      </w:pPr>
    </w:p>
    <w:p>
      <w:pPr>
        <w:ind w:left="660" w:right="740"/>
        <w:spacing w:after="0" w:line="251" w:lineRule="auto"/>
        <w:rPr>
          <w:sz w:val="20"/>
          <w:szCs w:val="20"/>
          <w:color w:val="auto"/>
        </w:rPr>
      </w:pPr>
      <w:r>
        <w:rPr>
          <w:rFonts w:ascii="Arial" w:cs="Arial" w:eastAsia="Arial" w:hAnsi="Arial"/>
          <w:sz w:val="16"/>
          <w:szCs w:val="16"/>
          <w:color w:val="333333"/>
        </w:rPr>
        <w:t>A carbon offset represents the reduction, destruction, or capture of one metric ton of carbon dioxide equivalent emissions (C02e), which means that companies can counteract the carbon produced by their day-to-day business processes. North America Clean Advantage is a program that provides carbon offsets to our customers, empowering them to manage carbon-neutral fleets and reduce CO2 emissions of their hotel stays. Since 2015, Clean Advantage has offset over</w:t>
      </w:r>
    </w:p>
    <w:p>
      <w:pPr>
        <w:spacing w:after="0" w:line="2" w:lineRule="exact"/>
        <w:rPr>
          <w:sz w:val="20"/>
          <w:szCs w:val="20"/>
          <w:color w:val="auto"/>
        </w:rPr>
      </w:pPr>
    </w:p>
    <w:p>
      <w:pPr>
        <w:ind w:left="660" w:right="880"/>
        <w:spacing w:after="0" w:line="252" w:lineRule="auto"/>
        <w:rPr>
          <w:sz w:val="20"/>
          <w:szCs w:val="20"/>
          <w:color w:val="auto"/>
        </w:rPr>
      </w:pPr>
      <w:r>
        <w:rPr>
          <w:rFonts w:ascii="Arial" w:cs="Arial" w:eastAsia="Arial" w:hAnsi="Arial"/>
          <w:sz w:val="16"/>
          <w:szCs w:val="16"/>
          <w:color w:val="333333"/>
        </w:rPr>
        <w:t>657 million gallons of fuel in the U.S. alone, equaling more than 5.8 million metric tons of CO2e offset. In Europe, EcoPoint is a carbon mitigation program for our European customers that creates new woodlands inside and outside of the U.K. Our partner, Forest Carbon has planted more than nine million trees for corporate partners in more than 150 woodlands.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CF1D4C"/>
        </w:rPr>
        <w:t>CORPAY AT A GLANCE</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Payment Cards for Alternative Fuels</w:t>
      </w:r>
    </w:p>
    <w:p>
      <w:pPr>
        <w:spacing w:after="0" w:line="187" w:lineRule="exact"/>
        <w:rPr>
          <w:sz w:val="20"/>
          <w:szCs w:val="20"/>
          <w:color w:val="auto"/>
        </w:rPr>
      </w:pPr>
    </w:p>
    <w:p>
      <w:pPr>
        <w:ind w:left="660" w:right="179"/>
        <w:spacing w:after="0" w:line="256" w:lineRule="auto"/>
        <w:rPr>
          <w:sz w:val="20"/>
          <w:szCs w:val="20"/>
          <w:color w:val="auto"/>
        </w:rPr>
      </w:pPr>
      <w:r>
        <w:rPr>
          <w:rFonts w:ascii="Arial" w:cs="Arial" w:eastAsia="Arial" w:hAnsi="Arial"/>
          <w:sz w:val="16"/>
          <w:szCs w:val="16"/>
          <w:color w:val="333333"/>
        </w:rPr>
        <w:t>Some of our fuel cards can be used to pay for alternative energy, which simplifies recharging, reduces the range anxiety of our driver customers, and encourages alternative fuel usage. We have hundreds of thousands of customers globally who maintain and manage fleets. As their current fuel card provider, we believe we are in a unique position to help them make the transition to electric vehicles (EV). Corpay is actively developing EV payment solutions and related services and products.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Electronic Payments</w:t>
      </w:r>
    </w:p>
    <w:p>
      <w:pPr>
        <w:spacing w:after="0" w:line="174" w:lineRule="exact"/>
        <w:rPr>
          <w:sz w:val="20"/>
          <w:szCs w:val="20"/>
          <w:color w:val="auto"/>
        </w:rPr>
      </w:pPr>
    </w:p>
    <w:p>
      <w:pPr>
        <w:ind w:left="660" w:right="179"/>
        <w:spacing w:after="0" w:line="259" w:lineRule="auto"/>
        <w:rPr>
          <w:sz w:val="20"/>
          <w:szCs w:val="20"/>
          <w:color w:val="auto"/>
        </w:rPr>
      </w:pPr>
      <w:r>
        <w:rPr>
          <w:rFonts w:ascii="Arial" w:cs="Arial" w:eastAsia="Arial" w:hAnsi="Arial"/>
          <w:sz w:val="16"/>
          <w:szCs w:val="16"/>
          <w:color w:val="333333"/>
        </w:rPr>
        <w:t>Electronic payments are a fast, simple, convenient, and secure way to pay for goods and services with an added environmental benefit. Besides cutting down on paper, which limits paper-related wastewater and the release of greenhouse gases associated with paper production and transportation, Corpay’s card solutions lower the need for printer ink and reduce contact between a user and cash.</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Sustainable Workplace Initiatives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Our workplace initiatives are designed to reduce our impact on the environment and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55245</wp:posOffset>
            </wp:positionV>
            <wp:extent cx="5554980" cy="29317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54980" cy="29317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840"/>
        <w:spacing w:after="0"/>
        <w:rPr>
          <w:sz w:val="20"/>
          <w:szCs w:val="20"/>
          <w:color w:val="auto"/>
        </w:rPr>
      </w:pPr>
      <w:r>
        <w:rPr>
          <w:rFonts w:ascii="Arial" w:cs="Arial" w:eastAsia="Arial" w:hAnsi="Arial"/>
          <w:sz w:val="18"/>
          <w:szCs w:val="18"/>
          <w:color w:val="333333"/>
        </w:rPr>
        <w:t>Motion​ sensor-controlled lighting — Can reduce energy lighting consumption by up to 63%</w:t>
      </w:r>
    </w:p>
    <w:p>
      <w:pPr>
        <w:spacing w:after="0" w:line="266" w:lineRule="exact"/>
        <w:rPr>
          <w:sz w:val="20"/>
          <w:szCs w:val="20"/>
          <w:color w:val="auto"/>
        </w:rPr>
      </w:pPr>
    </w:p>
    <w:p>
      <w:pPr>
        <w:ind w:left="1840"/>
        <w:spacing w:after="0"/>
        <w:rPr>
          <w:sz w:val="20"/>
          <w:szCs w:val="20"/>
          <w:color w:val="auto"/>
        </w:rPr>
      </w:pPr>
      <w:r>
        <w:rPr>
          <w:rFonts w:ascii="Arial" w:cs="Arial" w:eastAsia="Arial" w:hAnsi="Arial"/>
          <w:sz w:val="18"/>
          <w:szCs w:val="18"/>
          <w:color w:val="333333"/>
        </w:rPr>
        <w:t>LED​ lighting — Uses 75% less energy and last 25 times longer than incandescent lighting</w:t>
      </w:r>
    </w:p>
    <w:p>
      <w:pPr>
        <w:spacing w:after="0" w:line="266" w:lineRule="exact"/>
        <w:rPr>
          <w:sz w:val="20"/>
          <w:szCs w:val="20"/>
          <w:color w:val="auto"/>
        </w:rPr>
      </w:pPr>
    </w:p>
    <w:p>
      <w:pPr>
        <w:ind w:left="1840"/>
        <w:spacing w:after="0"/>
        <w:rPr>
          <w:sz w:val="20"/>
          <w:szCs w:val="20"/>
          <w:color w:val="auto"/>
        </w:rPr>
      </w:pPr>
      <w:r>
        <w:rPr>
          <w:rFonts w:ascii="Arial" w:cs="Arial" w:eastAsia="Arial" w:hAnsi="Arial"/>
          <w:sz w:val="18"/>
          <w:szCs w:val="18"/>
          <w:color w:val="333333"/>
        </w:rPr>
        <w:t>​Time-controlled air conditioning — Can save up to 10% energy costs per year</w:t>
      </w:r>
    </w:p>
    <w:p>
      <w:pPr>
        <w:spacing w:after="0" w:line="266" w:lineRule="exact"/>
        <w:rPr>
          <w:sz w:val="20"/>
          <w:szCs w:val="20"/>
          <w:color w:val="auto"/>
        </w:rPr>
      </w:pPr>
    </w:p>
    <w:p>
      <w:pPr>
        <w:ind w:left="1840"/>
        <w:spacing w:after="0"/>
        <w:rPr>
          <w:sz w:val="20"/>
          <w:szCs w:val="20"/>
          <w:color w:val="auto"/>
        </w:rPr>
      </w:pPr>
      <w:r>
        <w:rPr>
          <w:rFonts w:ascii="Arial" w:cs="Arial" w:eastAsia="Arial" w:hAnsi="Arial"/>
          <w:sz w:val="18"/>
          <w:szCs w:val="18"/>
          <w:color w:val="333333"/>
        </w:rPr>
        <w:t>Video​ &amp; telephone conferencing to reduce meeting-related travel</w:t>
      </w:r>
    </w:p>
    <w:p>
      <w:pPr>
        <w:spacing w:after="0" w:line="266" w:lineRule="exact"/>
        <w:rPr>
          <w:sz w:val="20"/>
          <w:szCs w:val="20"/>
          <w:color w:val="auto"/>
        </w:rPr>
      </w:pPr>
    </w:p>
    <w:p>
      <w:pPr>
        <w:ind w:left="1840"/>
        <w:spacing w:after="0"/>
        <w:rPr>
          <w:sz w:val="20"/>
          <w:szCs w:val="20"/>
          <w:color w:val="auto"/>
        </w:rPr>
      </w:pPr>
      <w:r>
        <w:rPr>
          <w:rFonts w:ascii="Arial" w:cs="Arial" w:eastAsia="Arial" w:hAnsi="Arial"/>
          <w:sz w:val="18"/>
          <w:szCs w:val="18"/>
          <w:color w:val="333333"/>
        </w:rPr>
        <w:t>​Printing defaulted to double-sided</w:t>
      </w:r>
    </w:p>
    <w:p>
      <w:pPr>
        <w:spacing w:after="0" w:line="266" w:lineRule="exact"/>
        <w:rPr>
          <w:sz w:val="20"/>
          <w:szCs w:val="20"/>
          <w:color w:val="auto"/>
        </w:rPr>
      </w:pPr>
    </w:p>
    <w:p>
      <w:pPr>
        <w:ind w:left="1840"/>
        <w:spacing w:after="0"/>
        <w:rPr>
          <w:sz w:val="20"/>
          <w:szCs w:val="20"/>
          <w:color w:val="auto"/>
        </w:rPr>
      </w:pPr>
      <w:r>
        <w:rPr>
          <w:rFonts w:ascii="Arial" w:cs="Arial" w:eastAsia="Arial" w:hAnsi="Arial"/>
          <w:sz w:val="18"/>
          <w:szCs w:val="18"/>
          <w:color w:val="333333"/>
        </w:rPr>
        <w:t>​Recycling</w:t>
      </w:r>
    </w:p>
    <w:p>
      <w:pPr>
        <w:spacing w:after="0" w:line="266" w:lineRule="exact"/>
        <w:rPr>
          <w:sz w:val="20"/>
          <w:szCs w:val="20"/>
          <w:color w:val="auto"/>
        </w:rPr>
      </w:pPr>
    </w:p>
    <w:p>
      <w:pPr>
        <w:ind w:left="1840"/>
        <w:spacing w:after="0"/>
        <w:rPr>
          <w:sz w:val="20"/>
          <w:szCs w:val="20"/>
          <w:color w:val="auto"/>
        </w:rPr>
      </w:pPr>
      <w:r>
        <w:rPr>
          <w:rFonts w:ascii="Arial" w:cs="Arial" w:eastAsia="Arial" w:hAnsi="Arial"/>
          <w:sz w:val="18"/>
          <w:szCs w:val="18"/>
          <w:color w:val="333333"/>
        </w:rPr>
        <w:t>Reusable​ cups and water bottles</w:t>
      </w:r>
    </w:p>
    <w:p>
      <w:pPr>
        <w:spacing w:after="0" w:line="266" w:lineRule="exact"/>
        <w:rPr>
          <w:sz w:val="20"/>
          <w:szCs w:val="20"/>
          <w:color w:val="auto"/>
        </w:rPr>
      </w:pPr>
    </w:p>
    <w:p>
      <w:pPr>
        <w:ind w:left="1840" w:right="959"/>
        <w:spacing w:after="0" w:line="584" w:lineRule="auto"/>
        <w:rPr>
          <w:sz w:val="20"/>
          <w:szCs w:val="20"/>
          <w:color w:val="auto"/>
        </w:rPr>
      </w:pPr>
      <w:r>
        <w:rPr>
          <w:rFonts w:ascii="Arial" w:cs="Arial" w:eastAsia="Arial" w:hAnsi="Arial"/>
          <w:sz w:val="18"/>
          <w:szCs w:val="18"/>
          <w:color w:val="333333"/>
        </w:rPr>
        <w:t>Proper​ disposal of hazardous waste, such as ink cartridges, batteries, and light bulbs DocuSign/e-Docs to limit paper usage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Energy Compliance</w:t>
      </w:r>
    </w:p>
    <w:p>
      <w:pPr>
        <w:spacing w:after="0" w:line="187" w:lineRule="exact"/>
        <w:rPr>
          <w:sz w:val="20"/>
          <w:szCs w:val="20"/>
          <w:color w:val="auto"/>
        </w:rPr>
      </w:pPr>
    </w:p>
    <w:p>
      <w:pPr>
        <w:ind w:left="660" w:right="359"/>
        <w:spacing w:after="0" w:line="256" w:lineRule="auto"/>
        <w:rPr>
          <w:sz w:val="20"/>
          <w:szCs w:val="20"/>
          <w:color w:val="auto"/>
        </w:rPr>
      </w:pPr>
      <w:r>
        <w:rPr>
          <w:rFonts w:ascii="Arial" w:cs="Arial" w:eastAsia="Arial" w:hAnsi="Arial"/>
          <w:sz w:val="16"/>
          <w:szCs w:val="16"/>
          <w:color w:val="333333"/>
        </w:rPr>
        <w:t>We continue to make efforts to ensure environmental sustainability. For example, in the U.K., we are registered with the Energy Savings Opportunity Scheme (ESOS), which assesses energy use and energy efficiency opportunities with respect to facilities and transportation. Also, we comply with the Streamlined Energy and Carbon Reporting (SECR) regulations concerning energy consumption and carbon emissions. The SECR reporting framework is intended to encourage the implementation of energy efficiency measures, with both economic and environmental benefits.</w:t>
      </w:r>
    </w:p>
    <w:p>
      <w:pPr>
        <w:spacing w:after="0" w:line="181"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14 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CF1D4C"/>
        </w:rPr>
        <w:t>CORPAY AT A GLANCE</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Energy-Efficient Data Storage and Cloud Computing</w:t>
      </w:r>
    </w:p>
    <w:p>
      <w:pPr>
        <w:spacing w:after="0" w:line="187" w:lineRule="exact"/>
        <w:rPr>
          <w:sz w:val="20"/>
          <w:szCs w:val="20"/>
          <w:color w:val="auto"/>
        </w:rPr>
      </w:pPr>
    </w:p>
    <w:p>
      <w:pPr>
        <w:ind w:left="660" w:right="720"/>
        <w:spacing w:after="0" w:line="254" w:lineRule="auto"/>
        <w:rPr>
          <w:sz w:val="20"/>
          <w:szCs w:val="20"/>
          <w:color w:val="auto"/>
        </w:rPr>
      </w:pPr>
      <w:r>
        <w:rPr>
          <w:rFonts w:ascii="Arial" w:cs="Arial" w:eastAsia="Arial" w:hAnsi="Arial"/>
          <w:sz w:val="16"/>
          <w:szCs w:val="16"/>
          <w:color w:val="333333"/>
        </w:rPr>
        <w:t>Energy consumption and usage within data centers is an important component of the day-to-day operations of our business. Corpay currently outsources the majority of our data center management to third-party vendors in different geographic regions and complies with all applicable regulatory requirements. As a global leader in the payments industry, our primary opportunities for reducing direct environmental impact are the efforts we make to operate our data centers and office buildings around the world efficiently and responsibly. Corpay’s IT infrastructure sustainability promotes environmental conservation and market innovation through three primary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29845</wp:posOffset>
            </wp:positionV>
            <wp:extent cx="5554980" cy="12598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54980" cy="1259840"/>
                    </a:xfrm>
                    <a:prstGeom prst="rect">
                      <a:avLst/>
                    </a:prstGeom>
                    <a:noFill/>
                  </pic:spPr>
                </pic:pic>
              </a:graphicData>
            </a:graphic>
          </wp:anchor>
        </w:drawing>
      </w:r>
    </w:p>
    <w:p>
      <w:pPr>
        <w:spacing w:after="0" w:line="400" w:lineRule="exact"/>
        <w:rPr>
          <w:sz w:val="20"/>
          <w:szCs w:val="20"/>
          <w:color w:val="auto"/>
        </w:rPr>
      </w:pPr>
    </w:p>
    <w:p>
      <w:pPr>
        <w:ind w:left="1820"/>
        <w:spacing w:after="0"/>
        <w:rPr>
          <w:sz w:val="20"/>
          <w:szCs w:val="20"/>
          <w:color w:val="auto"/>
        </w:rPr>
      </w:pPr>
      <w:r>
        <w:rPr>
          <w:rFonts w:ascii="Arial" w:cs="Arial" w:eastAsia="Arial" w:hAnsi="Arial"/>
          <w:sz w:val="18"/>
          <w:szCs w:val="18"/>
          <w:color w:val="333333"/>
        </w:rPr>
        <w:t>Datacenter initiatives — consolidate and streamline data center footprints</w:t>
      </w:r>
    </w:p>
    <w:p>
      <w:pPr>
        <w:spacing w:after="0" w:line="266" w:lineRule="exact"/>
        <w:rPr>
          <w:sz w:val="20"/>
          <w:szCs w:val="20"/>
          <w:color w:val="auto"/>
        </w:rPr>
      </w:pPr>
    </w:p>
    <w:p>
      <w:pPr>
        <w:ind w:left="1820"/>
        <w:spacing w:after="0"/>
        <w:rPr>
          <w:sz w:val="20"/>
          <w:szCs w:val="20"/>
          <w:color w:val="auto"/>
        </w:rPr>
      </w:pPr>
      <w:r>
        <w:rPr>
          <w:rFonts w:ascii="Arial" w:cs="Arial" w:eastAsia="Arial" w:hAnsi="Arial"/>
          <w:sz w:val="18"/>
          <w:szCs w:val="18"/>
          <w:color w:val="333333"/>
        </w:rPr>
        <w:t>Cloud computing — transform to virtual environments</w:t>
      </w:r>
    </w:p>
    <w:p>
      <w:pPr>
        <w:spacing w:after="0" w:line="266" w:lineRule="exact"/>
        <w:rPr>
          <w:sz w:val="20"/>
          <w:szCs w:val="20"/>
          <w:color w:val="auto"/>
        </w:rPr>
      </w:pPr>
    </w:p>
    <w:p>
      <w:pPr>
        <w:ind w:left="1820" w:right="1720"/>
        <w:spacing w:after="0" w:line="271" w:lineRule="auto"/>
        <w:rPr>
          <w:sz w:val="20"/>
          <w:szCs w:val="20"/>
          <w:color w:val="auto"/>
        </w:rPr>
      </w:pPr>
      <w:r>
        <w:rPr>
          <w:rFonts w:ascii="Arial" w:cs="Arial" w:eastAsia="Arial" w:hAnsi="Arial"/>
          <w:sz w:val="18"/>
          <w:szCs w:val="18"/>
          <w:color w:val="333333"/>
        </w:rPr>
        <w:t>Shared environmental commitment with vendors — leverage spend to align green commitments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CF1D4C"/>
        </w:rPr>
        <w:t>CORPORATE GOVERNANCE AND BOARD MATTERS</w:t>
      </w:r>
    </w:p>
    <w:p>
      <w:pPr>
        <w:spacing w:after="0" w:line="3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Our Board of Directors</w:t>
      </w:r>
    </w:p>
    <w:p>
      <w:pPr>
        <w:spacing w:after="0" w:line="243" w:lineRule="exact"/>
        <w:rPr>
          <w:sz w:val="20"/>
          <w:szCs w:val="20"/>
          <w:color w:val="auto"/>
        </w:rPr>
      </w:pPr>
    </w:p>
    <w:p>
      <w:pPr>
        <w:ind w:left="660" w:right="159"/>
        <w:spacing w:after="0" w:line="256" w:lineRule="auto"/>
        <w:rPr>
          <w:sz w:val="20"/>
          <w:szCs w:val="20"/>
          <w:color w:val="auto"/>
        </w:rPr>
      </w:pPr>
      <w:r>
        <w:rPr>
          <w:rFonts w:ascii="Arial" w:cs="Arial" w:eastAsia="Arial" w:hAnsi="Arial"/>
          <w:sz w:val="16"/>
          <w:szCs w:val="16"/>
          <w:color w:val="333333"/>
        </w:rPr>
        <w:t>Our Board currently consists of eleven highly accomplished and engaged members. Except for our CEO, all of our directors are independent under the NYSE rules. The average tenure of our director nominees since the Company’s initial public offering is nine years, and the average age of our director nominees is 65. We continually focus on Board composition to ensure an appropriate mix of tenure and expertise that provides fresh perspectives and significant industry, functional, and subject matter experience.</w:t>
      </w:r>
    </w:p>
    <w:p>
      <w:pPr>
        <w:spacing w:after="0" w:line="139" w:lineRule="exact"/>
        <w:rPr>
          <w:sz w:val="20"/>
          <w:szCs w:val="20"/>
          <w:color w:val="auto"/>
        </w:rPr>
      </w:pPr>
    </w:p>
    <w:p>
      <w:pPr>
        <w:ind w:left="660" w:right="259"/>
        <w:spacing w:after="0" w:line="259" w:lineRule="auto"/>
        <w:rPr>
          <w:sz w:val="20"/>
          <w:szCs w:val="20"/>
          <w:color w:val="auto"/>
        </w:rPr>
      </w:pPr>
      <w:r>
        <w:rPr>
          <w:rFonts w:ascii="Arial" w:cs="Arial" w:eastAsia="Arial" w:hAnsi="Arial"/>
          <w:sz w:val="16"/>
          <w:szCs w:val="16"/>
          <w:color w:val="333333"/>
        </w:rPr>
        <w:t>The complexity of our global business requires oversight by experienced, informed individuals that understand the industry and challenges, and our Company on a deep level. Our directors’ diverse backgrounds contribute to an effective and well-balanced Board that is able to provide valuable insight to, and effective oversight to, our senior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27305</wp:posOffset>
            </wp:positionV>
            <wp:extent cx="5332095" cy="52038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32095" cy="5203825"/>
                    </a:xfrm>
                    <a:prstGeom prst="rect">
                      <a:avLst/>
                    </a:prstGeom>
                    <a:noFill/>
                  </pic:spPr>
                </pic:pic>
              </a:graphicData>
            </a:graphic>
          </wp:anchor>
        </w:drawing>
      </w:r>
    </w:p>
    <w:p>
      <w:pPr>
        <w:spacing w:after="0" w:line="284"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FFFFFF"/>
        </w:rPr>
        <w:t>DIRECTOR EXPERIENCE</w:t>
      </w:r>
    </w:p>
    <w:p>
      <w:pPr>
        <w:spacing w:after="0" w:line="200" w:lineRule="exact"/>
        <w:rPr>
          <w:sz w:val="20"/>
          <w:szCs w:val="20"/>
          <w:color w:val="auto"/>
        </w:rPr>
      </w:pPr>
    </w:p>
    <w:p>
      <w:pPr>
        <w:spacing w:after="0" w:line="314" w:lineRule="exact"/>
        <w:rPr>
          <w:sz w:val="20"/>
          <w:szCs w:val="20"/>
          <w:color w:val="auto"/>
        </w:rPr>
      </w:pPr>
    </w:p>
    <w:tbl>
      <w:tblPr>
        <w:tblLayout w:type="fixed"/>
        <w:tblInd w:w="1620" w:type="dxa"/>
        <w:tblCellMar>
          <w:top w:w="0" w:type="dxa"/>
          <w:left w:w="0" w:type="dxa"/>
          <w:bottom w:w="0" w:type="dxa"/>
          <w:right w:w="0" w:type="dxa"/>
        </w:tblCellMar>
      </w:tblPr>
      <w:tr>
        <w:trPr>
          <w:trHeight w:val="196"/>
        </w:trPr>
        <w:tc>
          <w:tcPr>
            <w:tcW w:w="3340" w:type="dxa"/>
            <w:vAlign w:val="bottom"/>
          </w:tcPr>
          <w:p>
            <w:pPr>
              <w:spacing w:after="0"/>
              <w:rPr>
                <w:sz w:val="20"/>
                <w:szCs w:val="20"/>
                <w:color w:val="auto"/>
              </w:rPr>
            </w:pPr>
            <w:r>
              <w:rPr>
                <w:rFonts w:ascii="Arial" w:cs="Arial" w:eastAsia="Arial" w:hAnsi="Arial"/>
                <w:sz w:val="14"/>
                <w:szCs w:val="14"/>
                <w:b w:val="1"/>
                <w:bCs w:val="1"/>
                <w:color w:val="auto"/>
              </w:rPr>
              <w:t>Payments, financial services and fintech</w:t>
            </w:r>
          </w:p>
        </w:tc>
        <w:tc>
          <w:tcPr>
            <w:tcW w:w="1100" w:type="dxa"/>
            <w:vAlign w:val="bottom"/>
          </w:tcPr>
          <w:p>
            <w:pPr>
              <w:ind w:left="580"/>
              <w:spacing w:after="0"/>
              <w:rPr>
                <w:sz w:val="20"/>
                <w:szCs w:val="20"/>
                <w:color w:val="auto"/>
              </w:rPr>
            </w:pPr>
            <w:r>
              <w:rPr>
                <w:rFonts w:ascii="Arial" w:cs="Arial" w:eastAsia="Arial" w:hAnsi="Arial"/>
                <w:sz w:val="14"/>
                <w:szCs w:val="14"/>
                <w:b w:val="1"/>
                <w:bCs w:val="1"/>
                <w:color w:val="auto"/>
                <w:w w:val="95"/>
              </w:rPr>
              <w:t>10 of 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-118110</wp:posOffset>
            </wp:positionV>
            <wp:extent cx="266065" cy="2660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000000"/>
                        </a:clrFrom>
                        <a:clrTo>
                          <a:srgbClr val="000000">
                            <a:alpha val="0"/>
                          </a:srgbClr>
                        </a:clrTo>
                      </a:clrChange>
                      <a:extLst>
                        <a:ext uri="{28A0092B-C50C-407E-A947-70E740481C1C}"/>
                      </a:extLst>
                    </a:blip>
                    <a:srcRect/>
                    <a:stretch>
                      <a:fillRect/>
                    </a:stretch>
                  </pic:blipFill>
                  <pic:spPr bwMode="auto">
                    <a:xfrm>
                      <a:off x="0" y="0"/>
                      <a:ext cx="266065" cy="266065"/>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-118110</wp:posOffset>
            </wp:positionV>
            <wp:extent cx="266065" cy="2660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266065" cy="266065"/>
                    </a:xfrm>
                    <a:prstGeom prst="rect">
                      <a:avLst/>
                    </a:prstGeom>
                    <a:noFill/>
                  </pic:spPr>
                </pic:pic>
              </a:graphicData>
            </a:graphic>
          </wp:anchor>
        </w:drawing>
      </w:r>
    </w:p>
    <w:p>
      <w:pPr>
        <w:ind w:left="1620" w:hanging="754"/>
        <w:spacing w:after="0" w:line="233" w:lineRule="auto"/>
        <w:tabs>
          <w:tab w:leader="none" w:pos="1620" w:val="left"/>
        </w:tabs>
        <w:numPr>
          <w:ilvl w:val="0"/>
          <w:numId w:val="30"/>
        </w:numPr>
        <w:rPr>
          <w:rFonts w:ascii="Arial" w:cs="Arial" w:eastAsia="Arial" w:hAnsi="Arial"/>
          <w:sz w:val="29"/>
          <w:szCs w:val="29"/>
          <w:color w:val="333333"/>
          <w:vertAlign w:val="subscript"/>
        </w:rPr>
      </w:pPr>
      <w:r>
        <w:rPr>
          <w:rFonts w:ascii="Arial" w:cs="Arial" w:eastAsia="Arial" w:hAnsi="Arial"/>
          <w:sz w:val="16"/>
          <w:szCs w:val="16"/>
          <w:color w:val="333333"/>
        </w:rPr>
        <w:t>Informed about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155575</wp:posOffset>
            </wp:positionV>
            <wp:extent cx="3086100" cy="3257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086100" cy="325755"/>
                    </a:xfrm>
                    <a:prstGeom prst="rect">
                      <a:avLst/>
                    </a:prstGeom>
                    <a:noFill/>
                  </pic:spPr>
                </pic:pic>
              </a:graphicData>
            </a:graphic>
          </wp:anchor>
        </w:drawing>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362"/>
        </w:trPr>
        <w:tc>
          <w:tcPr>
            <w:tcW w:w="8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4"/>
                <w:szCs w:val="14"/>
                <w:b w:val="1"/>
                <w:bCs w:val="1"/>
                <w:color w:val="auto"/>
              </w:rPr>
              <w:t>Finance &amp; accounting</w:t>
            </w:r>
          </w:p>
        </w:tc>
        <w:tc>
          <w:tcPr>
            <w:tcW w:w="800" w:type="dxa"/>
            <w:vAlign w:val="bottom"/>
          </w:tcPr>
          <w:p>
            <w:pPr>
              <w:spacing w:after="0"/>
              <w:rPr>
                <w:sz w:val="20"/>
                <w:szCs w:val="20"/>
                <w:color w:val="auto"/>
              </w:rPr>
            </w:pPr>
            <w:r>
              <w:rPr>
                <w:rFonts w:ascii="Arial" w:cs="Arial" w:eastAsia="Arial" w:hAnsi="Arial"/>
                <w:sz w:val="14"/>
                <w:szCs w:val="14"/>
                <w:b w:val="1"/>
                <w:bCs w:val="1"/>
                <w:color w:val="auto"/>
              </w:rPr>
              <w:t>8 of 11</w:t>
            </w:r>
          </w:p>
        </w:tc>
        <w:tc>
          <w:tcPr>
            <w:tcW w:w="0" w:type="dxa"/>
            <w:vAlign w:val="bottom"/>
          </w:tcPr>
          <w:p>
            <w:pPr>
              <w:spacing w:after="0"/>
              <w:rPr>
                <w:sz w:val="1"/>
                <w:szCs w:val="1"/>
                <w:color w:val="auto"/>
              </w:rPr>
            </w:pPr>
          </w:p>
        </w:tc>
      </w:tr>
      <w:tr>
        <w:trPr>
          <w:trHeight w:val="297"/>
        </w:trPr>
        <w:tc>
          <w:tcPr>
            <w:tcW w:w="8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6"/>
                <w:szCs w:val="16"/>
                <w:color w:val="333333"/>
              </w:rPr>
              <w:t>Understands the financial complexities of our business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40" w:type="dxa"/>
            <w:vAlign w:val="bottom"/>
            <w:shd w:val="clear" w:color="auto" w:fill="D9D9D9"/>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Accomplished operating executives</w:t>
            </w: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6 of 11</w:t>
            </w:r>
          </w:p>
        </w:tc>
        <w:tc>
          <w:tcPr>
            <w:tcW w:w="0" w:type="dxa"/>
            <w:vAlign w:val="bottom"/>
          </w:tcPr>
          <w:p>
            <w:pPr>
              <w:spacing w:after="0"/>
              <w:rPr>
                <w:sz w:val="1"/>
                <w:szCs w:val="1"/>
                <w:color w:val="auto"/>
              </w:rPr>
            </w:pPr>
          </w:p>
        </w:tc>
      </w:tr>
      <w:tr>
        <w:trPr>
          <w:trHeight w:val="363"/>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40" w:type="dxa"/>
            <w:vAlign w:val="bottom"/>
            <w:vMerge w:val="restart"/>
          </w:tcPr>
          <w:p>
            <w:pPr>
              <w:ind w:left="220"/>
              <w:spacing w:after="0"/>
              <w:rPr>
                <w:sz w:val="20"/>
                <w:szCs w:val="20"/>
                <w:color w:val="auto"/>
              </w:rPr>
            </w:pPr>
            <w:r>
              <w:rPr>
                <w:rFonts w:ascii="Arial" w:cs="Arial" w:eastAsia="Arial" w:hAnsi="Arial"/>
                <w:sz w:val="14"/>
                <w:szCs w:val="14"/>
                <w:color w:val="333333"/>
              </w:rPr>
              <w:t> </w:t>
            </w:r>
          </w:p>
        </w:tc>
        <w:tc>
          <w:tcPr>
            <w:tcW w:w="140" w:type="dxa"/>
            <w:vAlign w:val="bottom"/>
          </w:tcPr>
          <w:p>
            <w:pPr>
              <w:spacing w:after="0"/>
              <w:rPr>
                <w:sz w:val="22"/>
                <w:szCs w:val="22"/>
                <w:color w:val="auto"/>
              </w:rPr>
            </w:pPr>
          </w:p>
        </w:tc>
        <w:tc>
          <w:tcPr>
            <w:tcW w:w="3920" w:type="dxa"/>
            <w:vAlign w:val="bottom"/>
          </w:tcPr>
          <w:p>
            <w:pPr>
              <w:spacing w:after="0"/>
              <w:rPr>
                <w:sz w:val="20"/>
                <w:szCs w:val="20"/>
                <w:color w:val="auto"/>
              </w:rPr>
            </w:pPr>
            <w:r>
              <w:rPr>
                <w:rFonts w:ascii="Arial" w:cs="Arial" w:eastAsia="Arial" w:hAnsi="Arial"/>
                <w:sz w:val="16"/>
                <w:szCs w:val="16"/>
                <w:color w:val="333333"/>
              </w:rPr>
              <w:t>Have successfully led companies, functions, or entire</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6"/>
                <w:szCs w:val="16"/>
                <w:color w:val="333333"/>
              </w:rPr>
              <w:t>enterprises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8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392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Technology &amp; innovation</w:t>
            </w:r>
          </w:p>
        </w:tc>
        <w:tc>
          <w:tcPr>
            <w:tcW w:w="80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10 of 11</w:t>
            </w:r>
          </w:p>
        </w:tc>
        <w:tc>
          <w:tcPr>
            <w:tcW w:w="0" w:type="dxa"/>
            <w:vAlign w:val="bottom"/>
          </w:tcPr>
          <w:p>
            <w:pPr>
              <w:spacing w:after="0"/>
              <w:rPr>
                <w:sz w:val="1"/>
                <w:szCs w:val="1"/>
                <w:color w:val="auto"/>
              </w:rPr>
            </w:pPr>
          </w:p>
        </w:tc>
      </w:tr>
      <w:tr>
        <w:trPr>
          <w:trHeight w:val="324"/>
        </w:trPr>
        <w:tc>
          <w:tcPr>
            <w:tcW w:w="840" w:type="dxa"/>
            <w:vAlign w:val="bottom"/>
            <w:vMerge w:val="restart"/>
            <w:shd w:val="clear" w:color="auto" w:fill="D9D9D9"/>
          </w:tcPr>
          <w:p>
            <w:pPr>
              <w:ind w:left="220"/>
              <w:spacing w:after="0"/>
              <w:rPr>
                <w:sz w:val="20"/>
                <w:szCs w:val="20"/>
                <w:color w:val="auto"/>
              </w:rPr>
            </w:pPr>
            <w:r>
              <w:rPr>
                <w:rFonts w:ascii="Arial" w:cs="Arial" w:eastAsia="Arial" w:hAnsi="Arial"/>
                <w:sz w:val="14"/>
                <w:szCs w:val="14"/>
                <w:color w:val="333333"/>
              </w:rPr>
              <w:t> </w:t>
            </w:r>
          </w:p>
        </w:tc>
        <w:tc>
          <w:tcPr>
            <w:tcW w:w="140" w:type="dxa"/>
            <w:vAlign w:val="bottom"/>
            <w:shd w:val="clear" w:color="auto" w:fill="D9D9D9"/>
          </w:tcPr>
          <w:p>
            <w:pPr>
              <w:spacing w:after="0"/>
              <w:rPr>
                <w:sz w:val="24"/>
                <w:szCs w:val="24"/>
                <w:color w:val="auto"/>
              </w:rPr>
            </w:pPr>
          </w:p>
        </w:tc>
        <w:tc>
          <w:tcPr>
            <w:tcW w:w="3920" w:type="dxa"/>
            <w:vAlign w:val="bottom"/>
            <w:shd w:val="clear" w:color="auto" w:fill="D9D9D9"/>
          </w:tcPr>
          <w:p>
            <w:pPr>
              <w:spacing w:after="0"/>
              <w:rPr>
                <w:sz w:val="20"/>
                <w:szCs w:val="20"/>
                <w:color w:val="auto"/>
              </w:rPr>
            </w:pPr>
            <w:r>
              <w:rPr>
                <w:rFonts w:ascii="Arial" w:cs="Arial" w:eastAsia="Arial" w:hAnsi="Arial"/>
                <w:sz w:val="16"/>
                <w:szCs w:val="16"/>
                <w:color w:val="333333"/>
              </w:rPr>
              <w:t>Equipped to respond to rapidly changing technology</w:t>
            </w:r>
          </w:p>
        </w:tc>
        <w:tc>
          <w:tcPr>
            <w:tcW w:w="8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40" w:type="dxa"/>
            <w:vAlign w:val="bottom"/>
            <w:vMerge w:val="continue"/>
            <w:shd w:val="clear" w:color="auto" w:fill="D9D9D9"/>
          </w:tcPr>
          <w:p>
            <w:pPr>
              <w:spacing w:after="0"/>
              <w:rPr>
                <w:sz w:val="8"/>
                <w:szCs w:val="8"/>
                <w:color w:val="auto"/>
              </w:rPr>
            </w:pPr>
          </w:p>
        </w:tc>
        <w:tc>
          <w:tcPr>
            <w:tcW w:w="140" w:type="dxa"/>
            <w:vAlign w:val="bottom"/>
            <w:shd w:val="clear" w:color="auto" w:fill="D9D9D9"/>
          </w:tcPr>
          <w:p>
            <w:pPr>
              <w:spacing w:after="0"/>
              <w:rPr>
                <w:sz w:val="8"/>
                <w:szCs w:val="8"/>
                <w:color w:val="auto"/>
              </w:rPr>
            </w:pPr>
          </w:p>
        </w:tc>
        <w:tc>
          <w:tcPr>
            <w:tcW w:w="3920" w:type="dxa"/>
            <w:vAlign w:val="bottom"/>
            <w:shd w:val="clear" w:color="auto" w:fill="D9D9D9"/>
          </w:tcPr>
          <w:p>
            <w:pPr>
              <w:spacing w:after="0"/>
              <w:rPr>
                <w:sz w:val="8"/>
                <w:szCs w:val="8"/>
                <w:color w:val="auto"/>
              </w:rPr>
            </w:pPr>
          </w:p>
        </w:tc>
        <w:tc>
          <w:tcPr>
            <w:tcW w:w="80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84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3920" w:type="dxa"/>
            <w:vAlign w:val="bottom"/>
            <w:shd w:val="clear" w:color="auto" w:fill="D9D9D9"/>
          </w:tcPr>
          <w:p>
            <w:pPr>
              <w:spacing w:after="0"/>
              <w:rPr>
                <w:sz w:val="13"/>
                <w:szCs w:val="13"/>
                <w:color w:val="auto"/>
              </w:rPr>
            </w:pPr>
          </w:p>
        </w:tc>
        <w:tc>
          <w:tcPr>
            <w:tcW w:w="8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376"/>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4"/>
                <w:szCs w:val="14"/>
                <w:b w:val="1"/>
                <w:bCs w:val="1"/>
                <w:color w:val="auto"/>
              </w:rPr>
              <w:t>Cyber &amp; information security</w:t>
            </w:r>
          </w:p>
        </w:tc>
        <w:tc>
          <w:tcPr>
            <w:tcW w:w="800" w:type="dxa"/>
            <w:vAlign w:val="bottom"/>
          </w:tcPr>
          <w:p>
            <w:pPr>
              <w:spacing w:after="0"/>
              <w:rPr>
                <w:sz w:val="20"/>
                <w:szCs w:val="20"/>
                <w:color w:val="auto"/>
              </w:rPr>
            </w:pPr>
            <w:r>
              <w:rPr>
                <w:rFonts w:ascii="Arial" w:cs="Arial" w:eastAsia="Arial" w:hAnsi="Arial"/>
                <w:sz w:val="14"/>
                <w:szCs w:val="14"/>
                <w:b w:val="1"/>
                <w:bCs w:val="1"/>
                <w:color w:val="auto"/>
              </w:rPr>
              <w:t>7 of 11</w:t>
            </w:r>
          </w:p>
        </w:tc>
        <w:tc>
          <w:tcPr>
            <w:tcW w:w="0" w:type="dxa"/>
            <w:vAlign w:val="bottom"/>
          </w:tcPr>
          <w:p>
            <w:pPr>
              <w:spacing w:after="0"/>
              <w:rPr>
                <w:sz w:val="1"/>
                <w:szCs w:val="1"/>
                <w:color w:val="auto"/>
              </w:rPr>
            </w:pPr>
          </w:p>
        </w:tc>
      </w:tr>
      <w:tr>
        <w:trPr>
          <w:trHeight w:val="351"/>
        </w:trPr>
        <w:tc>
          <w:tcPr>
            <w:tcW w:w="840" w:type="dxa"/>
            <w:vAlign w:val="bottom"/>
            <w:vMerge w:val="restart"/>
          </w:tcPr>
          <w:p>
            <w:pPr>
              <w:ind w:left="220"/>
              <w:spacing w:after="0"/>
              <w:rPr>
                <w:sz w:val="20"/>
                <w:szCs w:val="20"/>
                <w:color w:val="auto"/>
              </w:rPr>
            </w:pPr>
            <w:r>
              <w:rPr>
                <w:rFonts w:ascii="Arial" w:cs="Arial" w:eastAsia="Arial" w:hAnsi="Arial"/>
                <w:sz w:val="14"/>
                <w:szCs w:val="14"/>
                <w:color w:val="333333"/>
              </w:rPr>
              <w:t> </w:t>
            </w:r>
          </w:p>
        </w:tc>
        <w:tc>
          <w:tcPr>
            <w:tcW w:w="14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6"/>
                <w:szCs w:val="16"/>
                <w:color w:val="333333"/>
              </w:rPr>
              <w:t>Committed to maintaining customers’ trust</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3"/>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4"/>
                <w:szCs w:val="14"/>
                <w:b w:val="1"/>
                <w:bCs w:val="1"/>
                <w:color w:val="auto"/>
              </w:rPr>
              <w:t>Global business</w:t>
            </w:r>
          </w:p>
        </w:tc>
        <w:tc>
          <w:tcPr>
            <w:tcW w:w="800" w:type="dxa"/>
            <w:vAlign w:val="bottom"/>
          </w:tcPr>
          <w:p>
            <w:pPr>
              <w:spacing w:after="0"/>
              <w:rPr>
                <w:sz w:val="20"/>
                <w:szCs w:val="20"/>
                <w:color w:val="auto"/>
              </w:rPr>
            </w:pPr>
            <w:r>
              <w:rPr>
                <w:rFonts w:ascii="Arial" w:cs="Arial" w:eastAsia="Arial" w:hAnsi="Arial"/>
                <w:sz w:val="14"/>
                <w:szCs w:val="14"/>
                <w:b w:val="1"/>
                <w:bCs w:val="1"/>
                <w:color w:val="auto"/>
              </w:rPr>
              <w:t>9 of 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-2484120</wp:posOffset>
            </wp:positionV>
            <wp:extent cx="3480435" cy="3943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80435" cy="394335"/>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-2484120</wp:posOffset>
            </wp:positionV>
            <wp:extent cx="3480435" cy="3943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80435" cy="394335"/>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-1960880</wp:posOffset>
            </wp:positionV>
            <wp:extent cx="266065" cy="265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000000"/>
                        </a:clrFrom>
                        <a:clrTo>
                          <a:srgbClr val="000000">
                            <a:alpha val="0"/>
                          </a:srgbClr>
                        </a:clrTo>
                      </a:clrChange>
                      <a:extLst>
                        <a:ext uri="{28A0092B-C50C-407E-A947-70E740481C1C}"/>
                      </a:extLst>
                    </a:blip>
                    <a:srcRect/>
                    <a:stretch>
                      <a:fillRect/>
                    </a:stretch>
                  </pic:blipFill>
                  <pic:spPr bwMode="auto">
                    <a:xfrm>
                      <a:off x="0" y="0"/>
                      <a:ext cx="266065" cy="26543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-1960880</wp:posOffset>
            </wp:positionV>
            <wp:extent cx="266065" cy="2654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266065" cy="26543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-1352550</wp:posOffset>
            </wp:positionV>
            <wp:extent cx="274320" cy="274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000000"/>
                        </a:clrFrom>
                        <a:clrTo>
                          <a:srgbClr val="000000">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-1352550</wp:posOffset>
            </wp:positionV>
            <wp:extent cx="274320" cy="274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-752475</wp:posOffset>
            </wp:positionV>
            <wp:extent cx="240030" cy="3003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000000"/>
                        </a:clrFrom>
                        <a:clrTo>
                          <a:srgbClr val="000000">
                            <a:alpha val="0"/>
                          </a:srgbClr>
                        </a:clrTo>
                      </a:clrChange>
                      <a:extLst>
                        <a:ext uri="{28A0092B-C50C-407E-A947-70E740481C1C}"/>
                      </a:extLst>
                    </a:blip>
                    <a:srcRect/>
                    <a:stretch>
                      <a:fillRect/>
                    </a:stretch>
                  </pic:blipFill>
                  <pic:spPr bwMode="auto">
                    <a:xfrm>
                      <a:off x="0" y="0"/>
                      <a:ext cx="240030" cy="300355"/>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-752475</wp:posOffset>
            </wp:positionV>
            <wp:extent cx="240030" cy="3003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240030" cy="300355"/>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-238125</wp:posOffset>
            </wp:positionV>
            <wp:extent cx="3617595" cy="6172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617595" cy="61722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-238125</wp:posOffset>
            </wp:positionV>
            <wp:extent cx="3617595" cy="6172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617595" cy="617220"/>
                    </a:xfrm>
                    <a:prstGeom prst="rect">
                      <a:avLst/>
                    </a:prstGeom>
                    <a:noFill/>
                  </pic:spPr>
                </pic:pic>
              </a:graphicData>
            </a:graphic>
          </wp:anchor>
        </w:drawing>
      </w:r>
    </w:p>
    <w:p>
      <w:pPr>
        <w:ind w:left="1620" w:hanging="761"/>
        <w:spacing w:after="0" w:line="183" w:lineRule="auto"/>
        <w:tabs>
          <w:tab w:leader="none" w:pos="1620" w:val="left"/>
        </w:tabs>
        <w:numPr>
          <w:ilvl w:val="0"/>
          <w:numId w:val="31"/>
        </w:numPr>
        <w:rPr>
          <w:rFonts w:ascii="Arial" w:cs="Arial" w:eastAsia="Arial" w:hAnsi="Arial"/>
          <w:sz w:val="30"/>
          <w:szCs w:val="30"/>
          <w:color w:val="333333"/>
          <w:vertAlign w:val="superscript"/>
        </w:rPr>
      </w:pPr>
      <w:r>
        <w:rPr>
          <w:rFonts w:ascii="Arial" w:cs="Arial" w:eastAsia="Arial" w:hAnsi="Arial"/>
          <w:sz w:val="16"/>
          <w:szCs w:val="16"/>
          <w:color w:val="333333"/>
        </w:rPr>
        <w:t>Able to navigate the global opportunities of our business</w:t>
      </w:r>
    </w:p>
    <w:p>
      <w:pPr>
        <w:ind w:left="860"/>
        <w:spacing w:after="0"/>
        <w:rPr>
          <w:rFonts w:ascii="Arial" w:cs="Arial" w:eastAsia="Arial" w:hAnsi="Arial"/>
          <w:sz w:val="30"/>
          <w:szCs w:val="30"/>
          <w:color w:val="333333"/>
          <w:vertAlign w:val="superscript"/>
        </w:rPr>
      </w:pPr>
      <w:r>
        <w:rPr>
          <w:rFonts w:ascii="Arial" w:cs="Arial" w:eastAsia="Arial" w:hAnsi="Arial"/>
          <w:sz w:val="14"/>
          <w:szCs w:val="14"/>
          <w:color w:val="333333"/>
        </w:rPr>
        <w:t> </w:t>
      </w:r>
    </w:p>
    <w:p>
      <w:pPr>
        <w:spacing w:after="0" w:line="338" w:lineRule="exact"/>
        <w:rPr>
          <w:sz w:val="20"/>
          <w:szCs w:val="20"/>
          <w:color w:val="auto"/>
        </w:rPr>
      </w:pPr>
    </w:p>
    <w:tbl>
      <w:tblPr>
        <w:tblLayout w:type="fixed"/>
        <w:tblInd w:w="1620" w:type="dxa"/>
        <w:tblCellMar>
          <w:top w:w="0" w:type="dxa"/>
          <w:left w:w="0" w:type="dxa"/>
          <w:bottom w:w="0" w:type="dxa"/>
          <w:right w:w="0" w:type="dxa"/>
        </w:tblCellMar>
      </w:tblPr>
      <w:tr>
        <w:trPr>
          <w:trHeight w:val="196"/>
        </w:trPr>
        <w:tc>
          <w:tcPr>
            <w:tcW w:w="3120" w:type="dxa"/>
            <w:vAlign w:val="bottom"/>
          </w:tcPr>
          <w:p>
            <w:pPr>
              <w:spacing w:after="0"/>
              <w:rPr>
                <w:sz w:val="20"/>
                <w:szCs w:val="20"/>
                <w:color w:val="auto"/>
              </w:rPr>
            </w:pPr>
            <w:r>
              <w:rPr>
                <w:rFonts w:ascii="Arial" w:cs="Arial" w:eastAsia="Arial" w:hAnsi="Arial"/>
                <w:sz w:val="14"/>
                <w:szCs w:val="14"/>
                <w:b w:val="1"/>
                <w:bCs w:val="1"/>
                <w:color w:val="auto"/>
              </w:rPr>
              <w:t>Business development &amp; strategy</w:t>
            </w:r>
          </w:p>
        </w:tc>
        <w:tc>
          <w:tcPr>
            <w:tcW w:w="1320" w:type="dxa"/>
            <w:vAlign w:val="bottom"/>
          </w:tcPr>
          <w:p>
            <w:pPr>
              <w:ind w:left="800"/>
              <w:spacing w:after="0"/>
              <w:rPr>
                <w:sz w:val="20"/>
                <w:szCs w:val="20"/>
                <w:color w:val="auto"/>
              </w:rPr>
            </w:pPr>
            <w:r>
              <w:rPr>
                <w:rFonts w:ascii="Arial" w:cs="Arial" w:eastAsia="Arial" w:hAnsi="Arial"/>
                <w:sz w:val="14"/>
                <w:szCs w:val="14"/>
                <w:b w:val="1"/>
                <w:bCs w:val="1"/>
                <w:color w:val="auto"/>
                <w:w w:val="95"/>
              </w:rPr>
              <w:t>10 of 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-118110</wp:posOffset>
            </wp:positionV>
            <wp:extent cx="240030" cy="274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000000"/>
                        </a:clrFrom>
                        <a:clrTo>
                          <a:srgbClr val="000000">
                            <a:alpha val="0"/>
                          </a:srgbClr>
                        </a:clrTo>
                      </a:clrChange>
                      <a:extLst>
                        <a:ext uri="{28A0092B-C50C-407E-A947-70E740481C1C}"/>
                      </a:extLst>
                    </a:blip>
                    <a:srcRect/>
                    <a:stretch>
                      <a:fillRect/>
                    </a:stretch>
                  </pic:blipFill>
                  <pic:spPr bwMode="auto">
                    <a:xfrm>
                      <a:off x="0" y="0"/>
                      <a:ext cx="240030" cy="274320"/>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-118110</wp:posOffset>
            </wp:positionV>
            <wp:extent cx="240030" cy="274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240030" cy="274320"/>
                    </a:xfrm>
                    <a:prstGeom prst="rect">
                      <a:avLst/>
                    </a:prstGeom>
                    <a:noFill/>
                  </pic:spPr>
                </pic:pic>
              </a:graphicData>
            </a:graphic>
          </wp:anchor>
        </w:drawing>
      </w:r>
    </w:p>
    <w:p>
      <w:pPr>
        <w:spacing w:after="0" w:line="89"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400" w:type="dxa"/>
            <w:vAlign w:val="bottom"/>
            <w:vMerge w:val="restart"/>
          </w:tcPr>
          <w:p>
            <w:pPr>
              <w:spacing w:after="0"/>
              <w:rPr>
                <w:sz w:val="20"/>
                <w:szCs w:val="20"/>
                <w:color w:val="auto"/>
              </w:rPr>
            </w:pPr>
            <w:r>
              <w:rPr>
                <w:rFonts w:ascii="Arial" w:cs="Arial" w:eastAsia="Arial" w:hAnsi="Arial"/>
                <w:sz w:val="14"/>
                <w:szCs w:val="14"/>
                <w:color w:val="333333"/>
              </w:rPr>
              <w:t> </w:t>
            </w:r>
          </w:p>
        </w:tc>
        <w:tc>
          <w:tcPr>
            <w:tcW w:w="4720" w:type="dxa"/>
            <w:vAlign w:val="bottom"/>
            <w:gridSpan w:val="2"/>
          </w:tcPr>
          <w:p>
            <w:pPr>
              <w:ind w:left="360"/>
              <w:spacing w:after="0"/>
              <w:rPr>
                <w:sz w:val="20"/>
                <w:szCs w:val="20"/>
                <w:color w:val="auto"/>
              </w:rPr>
            </w:pPr>
            <w:r>
              <w:rPr>
                <w:rFonts w:ascii="Arial" w:cs="Arial" w:eastAsia="Arial" w:hAnsi="Arial"/>
                <w:sz w:val="16"/>
                <w:szCs w:val="16"/>
                <w:color w:val="333333"/>
              </w:rPr>
              <w:t>Able to assess our portfolio and mergers and acquisitions</w:t>
            </w:r>
          </w:p>
        </w:tc>
        <w:tc>
          <w:tcPr>
            <w:tcW w:w="0" w:type="dxa"/>
            <w:vAlign w:val="bottom"/>
          </w:tcPr>
          <w:p>
            <w:pPr>
              <w:spacing w:after="0"/>
              <w:rPr>
                <w:sz w:val="1"/>
                <w:szCs w:val="1"/>
                <w:color w:val="auto"/>
              </w:rPr>
            </w:pPr>
          </w:p>
        </w:tc>
      </w:tr>
      <w:tr>
        <w:trPr>
          <w:trHeight w:val="102"/>
        </w:trPr>
        <w:tc>
          <w:tcPr>
            <w:tcW w:w="400" w:type="dxa"/>
            <w:vAlign w:val="bottom"/>
            <w:vMerge w:val="continue"/>
          </w:tcPr>
          <w:p>
            <w:pPr>
              <w:spacing w:after="0"/>
              <w:rPr>
                <w:sz w:val="8"/>
                <w:szCs w:val="8"/>
                <w:color w:val="auto"/>
              </w:rPr>
            </w:pPr>
          </w:p>
        </w:tc>
        <w:tc>
          <w:tcPr>
            <w:tcW w:w="4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9"/>
        </w:trPr>
        <w:tc>
          <w:tcPr>
            <w:tcW w:w="400" w:type="dxa"/>
            <w:vAlign w:val="bottom"/>
          </w:tcPr>
          <w:p>
            <w:pPr>
              <w:spacing w:after="0"/>
              <w:rPr>
                <w:sz w:val="24"/>
                <w:szCs w:val="24"/>
                <w:color w:val="auto"/>
              </w:rPr>
            </w:pPr>
          </w:p>
        </w:tc>
        <w:tc>
          <w:tcPr>
            <w:tcW w:w="4040" w:type="dxa"/>
            <w:vAlign w:val="bottom"/>
          </w:tcPr>
          <w:p>
            <w:pPr>
              <w:ind w:left="360"/>
              <w:spacing w:after="0"/>
              <w:rPr>
                <w:sz w:val="20"/>
                <w:szCs w:val="20"/>
                <w:color w:val="auto"/>
              </w:rPr>
            </w:pPr>
            <w:r>
              <w:rPr>
                <w:rFonts w:ascii="Arial" w:cs="Arial" w:eastAsia="Arial" w:hAnsi="Arial"/>
                <w:sz w:val="14"/>
                <w:szCs w:val="14"/>
                <w:b w:val="1"/>
                <w:bCs w:val="1"/>
                <w:color w:val="auto"/>
              </w:rPr>
              <w:t>Other public company leadership or board service</w:t>
            </w:r>
          </w:p>
        </w:tc>
        <w:tc>
          <w:tcPr>
            <w:tcW w:w="680" w:type="dxa"/>
            <w:vAlign w:val="bottom"/>
          </w:tcPr>
          <w:p>
            <w:pPr>
              <w:ind w:left="240"/>
              <w:spacing w:after="0"/>
              <w:rPr>
                <w:sz w:val="20"/>
                <w:szCs w:val="20"/>
                <w:color w:val="auto"/>
              </w:rPr>
            </w:pPr>
            <w:r>
              <w:rPr>
                <w:rFonts w:ascii="Arial" w:cs="Arial" w:eastAsia="Arial" w:hAnsi="Arial"/>
                <w:sz w:val="14"/>
                <w:szCs w:val="14"/>
                <w:b w:val="1"/>
                <w:bCs w:val="1"/>
                <w:color w:val="auto"/>
                <w:w w:val="94"/>
              </w:rPr>
              <w:t>9 of 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-229870</wp:posOffset>
            </wp:positionV>
            <wp:extent cx="3617595" cy="5397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17595" cy="53975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-229870</wp:posOffset>
            </wp:positionV>
            <wp:extent cx="3617595" cy="5397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617595" cy="539750"/>
                    </a:xfrm>
                    <a:prstGeom prst="rect">
                      <a:avLst/>
                    </a:prstGeom>
                    <a:noFill/>
                  </pic:spPr>
                </pic:pic>
              </a:graphicData>
            </a:graphic>
          </wp:anchor>
        </w:drawing>
      </w:r>
    </w:p>
    <w:p>
      <w:pPr>
        <w:ind w:left="1620" w:hanging="592"/>
        <w:spacing w:after="0" w:line="223" w:lineRule="auto"/>
        <w:tabs>
          <w:tab w:leader="none" w:pos="1620" w:val="left"/>
        </w:tabs>
        <w:numPr>
          <w:ilvl w:val="0"/>
          <w:numId w:val="32"/>
        </w:numPr>
        <w:rPr>
          <w:rFonts w:ascii="Arial" w:cs="Arial" w:eastAsia="Arial" w:hAnsi="Arial"/>
          <w:sz w:val="29"/>
          <w:szCs w:val="29"/>
          <w:color w:val="333333"/>
          <w:vertAlign w:val="subscript"/>
        </w:rPr>
      </w:pPr>
      <w:r>
        <w:rPr>
          <w:rFonts w:ascii="Arial" w:cs="Arial" w:eastAsia="Arial" w:hAnsi="Arial"/>
          <w:sz w:val="16"/>
          <w:szCs w:val="16"/>
          <w:color w:val="333333"/>
        </w:rPr>
        <w:t>Experienced in large-scale strategy and operations</w:t>
      </w:r>
    </w:p>
    <w:p>
      <w:pPr>
        <w:spacing w:after="0" w:line="70" w:lineRule="exact"/>
        <w:rPr>
          <w:sz w:val="20"/>
          <w:szCs w:val="20"/>
          <w:color w:val="auto"/>
        </w:rPr>
      </w:pPr>
    </w:p>
    <w:p>
      <w:pPr>
        <w:ind w:left="6480"/>
        <w:spacing w:after="0"/>
        <w:rPr>
          <w:sz w:val="20"/>
          <w:szCs w:val="20"/>
          <w:color w:val="auto"/>
        </w:rPr>
      </w:pPr>
      <w:r>
        <w:rPr>
          <w:rFonts w:ascii="Arial" w:cs="Arial" w:eastAsia="Arial" w:hAnsi="Arial"/>
          <w:sz w:val="16"/>
          <w:szCs w:val="16"/>
          <w:color w:val="333333"/>
        </w:rPr>
        <w:t> </w:t>
      </w: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16 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CF1D4C"/>
        </w:rPr>
        <w:t>CORPORATE GOVERNANCE AND BOARD MATTERS</w:t>
      </w:r>
    </w:p>
    <w:p>
      <w:pPr>
        <w:spacing w:after="0" w:line="3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Director Nominees</w:t>
      </w:r>
    </w:p>
    <w:p>
      <w:pPr>
        <w:spacing w:after="0" w:line="216" w:lineRule="exact"/>
        <w:rPr>
          <w:sz w:val="20"/>
          <w:szCs w:val="20"/>
          <w:color w:val="auto"/>
        </w:rPr>
      </w:pPr>
    </w:p>
    <w:p>
      <w:pPr>
        <w:ind w:left="660" w:right="640"/>
        <w:spacing w:after="0" w:line="254" w:lineRule="auto"/>
        <w:rPr>
          <w:sz w:val="20"/>
          <w:szCs w:val="20"/>
          <w:color w:val="auto"/>
        </w:rPr>
      </w:pPr>
      <w:r>
        <w:rPr>
          <w:rFonts w:ascii="Arial" w:cs="Arial" w:eastAsia="Arial" w:hAnsi="Arial"/>
          <w:sz w:val="16"/>
          <w:szCs w:val="16"/>
          <w:color w:val="333333"/>
        </w:rPr>
        <w:t>The nomination and governance committee evaluates the Board’s composition at least annually to determine whether directors’ backgrounds and experiences align with our long-term needs. The committee also takes into consideration the results of the Board’s self-evaluation. Based on its review, the committee determines whether Board refreshment is needed. Then the committee searches for potential candidates, utilizing a variety of sources to help identify nominees who would be valuable assets to our Board. To meet the needs of our Board, the committee seeks to identify candidates possessing the desired qualities, skills and background.</w:t>
      </w:r>
    </w:p>
    <w:p>
      <w:pPr>
        <w:spacing w:after="0" w:line="155" w:lineRule="exact"/>
        <w:rPr>
          <w:sz w:val="20"/>
          <w:szCs w:val="20"/>
          <w:color w:val="auto"/>
        </w:rPr>
      </w:pPr>
    </w:p>
    <w:p>
      <w:pPr>
        <w:ind w:left="660" w:right="680"/>
        <w:spacing w:after="0" w:line="252" w:lineRule="auto"/>
        <w:rPr>
          <w:sz w:val="20"/>
          <w:szCs w:val="20"/>
          <w:color w:val="auto"/>
        </w:rPr>
      </w:pPr>
      <w:r>
        <w:rPr>
          <w:rFonts w:ascii="Arial" w:cs="Arial" w:eastAsia="Arial" w:hAnsi="Arial"/>
          <w:sz w:val="16"/>
          <w:szCs w:val="16"/>
          <w:color w:val="333333"/>
        </w:rPr>
        <w:t>In February and March 2023, the Board was considering feedback it received in light of its continued shareholder engagement, including shareholder views expressed to us on our strategy, performance and Board composition. In March 2023, the Company, following an extensive and deliberative engagement process, entered into a Cooperation Agreement (the “Cooperation Agreement”) with D.E. Shaw Oculus Portfolios, L.L.C. and D.E. Shaw Valence Portfolios, L.L.C. (collectively, “D.E. Shaw”). Under the terms of the Cooperation Agreement, among other things, we appointed Rahul Gupta and Gerald Throop to the Board. The appointment of Mr. Gupta and Mr. Throop advances the Company’s Board refreshment process, which is intended to deepen the Board’s skill set in financial oversight. These new appointments followed the January 2023 appointment of Annabelle Bexiga, a seasoned technology executive.</w:t>
      </w:r>
    </w:p>
    <w:p>
      <w:pPr>
        <w:spacing w:after="0" w:line="142" w:lineRule="exact"/>
        <w:rPr>
          <w:sz w:val="20"/>
          <w:szCs w:val="20"/>
          <w:color w:val="auto"/>
        </w:rPr>
      </w:pPr>
    </w:p>
    <w:p>
      <w:pPr>
        <w:ind w:left="660" w:right="700"/>
        <w:spacing w:after="0" w:line="259" w:lineRule="auto"/>
        <w:rPr>
          <w:sz w:val="20"/>
          <w:szCs w:val="20"/>
          <w:color w:val="auto"/>
        </w:rPr>
      </w:pPr>
      <w:r>
        <w:rPr>
          <w:rFonts w:ascii="Arial" w:cs="Arial" w:eastAsia="Arial" w:hAnsi="Arial"/>
          <w:sz w:val="16"/>
          <w:szCs w:val="16"/>
          <w:color w:val="333333"/>
        </w:rPr>
        <w:t>The Board has selected Messrs. Clarke, Farrelly, Gupta, Hagerty, Jones, Macchia, Sloan, Stull and Throop and Mses. Bexiga and Moddelmog as nominees for election to the Board for one-year terms, to be voted upon at the annual meeting by shareholders. If elected, each director nominee will hold office until the next annual meeting and until his or her successor is elected and qualified, or until their earlier resignation, removal or other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95885</wp:posOffset>
            </wp:positionV>
            <wp:extent cx="1174115" cy="12001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74115" cy="1200150"/>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95885</wp:posOffset>
            </wp:positionV>
            <wp:extent cx="1028700" cy="162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0" cy="162560"/>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w:t>
      </w:r>
    </w:p>
    <w:p>
      <w:pPr>
        <w:ind w:left="660"/>
        <w:spacing w:after="0"/>
        <w:rPr>
          <w:sz w:val="20"/>
          <w:szCs w:val="20"/>
          <w:color w:val="auto"/>
        </w:rPr>
      </w:pPr>
      <w:r>
        <w:rPr>
          <w:rFonts w:ascii="Arial" w:cs="Arial" w:eastAsia="Arial" w:hAnsi="Arial"/>
          <w:sz w:val="14"/>
          <w:szCs w:val="14"/>
          <w:i w:val="1"/>
          <w:iCs w:val="1"/>
          <w:color w:val="333333"/>
        </w:rPr>
        <w:t>Age: 62</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333333"/>
        </w:rPr>
        <w:t>Director Since: 2023</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Annabelle Bexiga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40373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250" w:lineRule="exact"/>
        <w:rPr>
          <w:sz w:val="20"/>
          <w:szCs w:val="20"/>
          <w:color w:val="auto"/>
        </w:rPr>
      </w:pPr>
    </w:p>
    <w:p>
      <w:pPr>
        <w:ind w:right="860"/>
        <w:spacing w:after="0" w:line="259" w:lineRule="auto"/>
        <w:rPr>
          <w:sz w:val="20"/>
          <w:szCs w:val="20"/>
          <w:color w:val="auto"/>
        </w:rPr>
      </w:pPr>
      <w:r>
        <w:rPr>
          <w:rFonts w:ascii="Arial" w:cs="Arial" w:eastAsia="Arial" w:hAnsi="Arial"/>
          <w:sz w:val="16"/>
          <w:szCs w:val="16"/>
          <w:color w:val="333333"/>
        </w:rPr>
        <w:t>Featured experience, qualifications and attributes: Prior Chief Information Officer positions at AIG (NYSE: AIG), a multinational finance and insurance corporation, from 2015 to 2017, TIAA, a Fortune 100 financial services organization, from 2010 to 2015, Bain Capital, and JP Morgan Chase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333333"/>
        </w:rPr>
        <w:t>Other board experience (current): StoneX Group Inc. and Quantexa Ltd.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333333"/>
        </w:rPr>
        <w:t>Provides: Substantial expertise in technology and cybersecurity</w:t>
      </w:r>
    </w:p>
    <w:p>
      <w:pPr>
        <w:spacing w:after="0" w:line="413" w:lineRule="exact"/>
        <w:rPr>
          <w:sz w:val="20"/>
          <w:szCs w:val="20"/>
          <w:color w:val="auto"/>
        </w:rPr>
      </w:pPr>
    </w:p>
    <w:p>
      <w:pPr>
        <w:sectPr>
          <w:pgSz w:w="11900" w:h="16838" w:orient="portrait"/>
          <w:cols w:equalWidth="0" w:num="2">
            <w:col w:w="2320" w:space="720"/>
            <w:col w:w="7000"/>
          </w:cols>
          <w:pgMar w:left="920" w:top="114" w:right="939" w:bottom="1440" w:gutter="0" w:footer="0" w:header="0"/>
          <w:type w:val="continuous"/>
        </w:sectPr>
      </w:pPr>
    </w:p>
    <w:p>
      <w:pPr>
        <w:spacing w:after="0" w:line="119" w:lineRule="exact"/>
        <w:rPr>
          <w:sz w:val="20"/>
          <w:szCs w:val="20"/>
          <w:color w:val="auto"/>
        </w:rPr>
      </w:pPr>
    </w:p>
    <w:p>
      <w:pPr>
        <w:ind w:left="7300"/>
        <w:spacing w:after="0"/>
        <w:rPr>
          <w:sz w:val="20"/>
          <w:szCs w:val="20"/>
          <w:color w:val="auto"/>
        </w:rPr>
      </w:pPr>
      <w:r>
        <w:rPr>
          <w:rFonts w:ascii="Arial" w:cs="Arial" w:eastAsia="Arial" w:hAnsi="Arial"/>
          <w:sz w:val="10"/>
          <w:szCs w:val="10"/>
          <w:color w:val="333333"/>
        </w:rPr>
        <w:t xml:space="preserve">2024 Notice of Annual Meeting &amp; Proxy Statement      </w:t>
      </w:r>
      <w:r>
        <w:rPr>
          <w:rFonts w:ascii="Arial" w:cs="Arial" w:eastAsia="Arial" w:hAnsi="Arial"/>
          <w:sz w:val="10"/>
          <w:szCs w:val="10"/>
          <w:b w:val="1"/>
          <w:bCs w:val="1"/>
          <w:color w:val="333333"/>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132715</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CF1D4C"/>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307975</wp:posOffset>
            </wp:positionV>
            <wp:extent cx="1174115" cy="12344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74115" cy="1234440"/>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307975</wp:posOffset>
            </wp:positionV>
            <wp:extent cx="1345565"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45565" cy="16319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  </w:t>
      </w:r>
    </w:p>
    <w:p>
      <w:pPr>
        <w:ind w:left="660"/>
        <w:spacing w:after="0"/>
        <w:rPr>
          <w:sz w:val="20"/>
          <w:szCs w:val="20"/>
          <w:color w:val="auto"/>
        </w:rPr>
      </w:pPr>
      <w:r>
        <w:rPr>
          <w:rFonts w:ascii="Arial" w:cs="Arial" w:eastAsia="Arial" w:hAnsi="Arial"/>
          <w:sz w:val="14"/>
          <w:szCs w:val="14"/>
          <w:i w:val="1"/>
          <w:iCs w:val="1"/>
          <w:color w:val="333333"/>
        </w:rPr>
        <w:t>Age: 68</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333333"/>
        </w:rPr>
        <w:t>Director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416560</wp:posOffset>
            </wp:positionV>
            <wp:extent cx="1174115" cy="12001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74115" cy="1200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40373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83" w:lineRule="exact"/>
        <w:rPr>
          <w:sz w:val="20"/>
          <w:szCs w:val="20"/>
          <w:color w:val="auto"/>
        </w:rPr>
      </w:pPr>
    </w:p>
    <w:p>
      <w:pPr>
        <w:ind w:right="239"/>
        <w:spacing w:after="0" w:line="256" w:lineRule="auto"/>
        <w:rPr>
          <w:sz w:val="20"/>
          <w:szCs w:val="20"/>
          <w:color w:val="auto"/>
        </w:rPr>
      </w:pPr>
      <w:r>
        <w:rPr>
          <w:rFonts w:ascii="Arial" w:cs="Arial" w:eastAsia="Arial" w:hAnsi="Arial"/>
          <w:sz w:val="16"/>
          <w:szCs w:val="16"/>
          <w:color w:val="333333"/>
        </w:rPr>
        <w:t>Featured experience, qualifications and attributes: Company CEO since August 2000; prior President &amp; COO of AHL Services, Inc. a staffing firm; Chief Marketing Officer and Division President of Automatic Data Processing, human resources and payroll services company; Principal with Booz Allen Hamilton, a global management firm; Marketing Manager of General Electric Company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333333"/>
        </w:rPr>
        <w:t>Other board experience (current): Dayforce, Inc. (NYSE: DAY)</w:t>
      </w:r>
    </w:p>
    <w:p>
      <w:pPr>
        <w:spacing w:after="0" w:line="221" w:lineRule="exact"/>
        <w:rPr>
          <w:sz w:val="20"/>
          <w:szCs w:val="20"/>
          <w:color w:val="auto"/>
        </w:rPr>
      </w:pPr>
    </w:p>
    <w:p>
      <w:pPr>
        <w:ind w:right="539"/>
        <w:spacing w:after="0" w:line="286" w:lineRule="auto"/>
        <w:rPr>
          <w:sz w:val="20"/>
          <w:szCs w:val="20"/>
          <w:color w:val="auto"/>
        </w:rPr>
      </w:pPr>
      <w:r>
        <w:rPr>
          <w:rFonts w:ascii="Arial" w:cs="Arial" w:eastAsia="Arial" w:hAnsi="Arial"/>
          <w:sz w:val="16"/>
          <w:szCs w:val="16"/>
          <w:color w:val="333333"/>
        </w:rPr>
        <w:t>Provides: Deep knowledge of our Company and industry through his service as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347980</wp:posOffset>
            </wp:positionV>
            <wp:extent cx="106299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6299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720"/>
            <w:col w:w="6499"/>
          </w:cols>
          <w:pgMar w:left="9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w:t>
      </w:r>
    </w:p>
    <w:p>
      <w:pPr>
        <w:ind w:left="660"/>
        <w:spacing w:after="0"/>
        <w:rPr>
          <w:sz w:val="20"/>
          <w:szCs w:val="20"/>
          <w:color w:val="auto"/>
        </w:rPr>
      </w:pPr>
      <w:r>
        <w:rPr>
          <w:rFonts w:ascii="Arial" w:cs="Arial" w:eastAsia="Arial" w:hAnsi="Arial"/>
          <w:sz w:val="14"/>
          <w:szCs w:val="14"/>
          <w:i w:val="1"/>
          <w:iCs w:val="1"/>
          <w:color w:val="333333"/>
        </w:rPr>
        <w:t>Age: 80</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333333"/>
        </w:rPr>
        <w:t>Director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485140</wp:posOffset>
            </wp:positionV>
            <wp:extent cx="1174115" cy="12001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74115" cy="1200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Joseph W. Farrelly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40373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83" w:lineRule="exact"/>
        <w:rPr>
          <w:sz w:val="20"/>
          <w:szCs w:val="20"/>
          <w:color w:val="auto"/>
        </w:rPr>
      </w:pPr>
    </w:p>
    <w:p>
      <w:pPr>
        <w:ind w:right="459"/>
        <w:spacing w:after="0" w:line="256" w:lineRule="auto"/>
        <w:rPr>
          <w:sz w:val="20"/>
          <w:szCs w:val="20"/>
          <w:color w:val="auto"/>
        </w:rPr>
      </w:pPr>
      <w:r>
        <w:rPr>
          <w:rFonts w:ascii="Arial" w:cs="Arial" w:eastAsia="Arial" w:hAnsi="Arial"/>
          <w:sz w:val="16"/>
          <w:szCs w:val="16"/>
          <w:color w:val="333333"/>
        </w:rPr>
        <w:t>Featured experience, qualifications and attributes: Senior Vice President, Chief Information Officer of Interpublic Group of Companies, Inc. (NYSE:IPG), a global provider of advertising and marketing services, from 2006 through March 2015; prior Executive Vice President and Chief Information Officer at Aventis, Vivendi Universal, Joseph E. Seagrams and Nabisco</w:t>
      </w:r>
    </w:p>
    <w:p>
      <w:pPr>
        <w:spacing w:after="0" w:line="180" w:lineRule="exact"/>
        <w:rPr>
          <w:sz w:val="20"/>
          <w:szCs w:val="20"/>
          <w:color w:val="auto"/>
        </w:rPr>
      </w:pPr>
    </w:p>
    <w:p>
      <w:pPr>
        <w:ind w:right="379"/>
        <w:spacing w:after="0" w:line="266" w:lineRule="auto"/>
        <w:rPr>
          <w:sz w:val="20"/>
          <w:szCs w:val="20"/>
          <w:color w:val="auto"/>
        </w:rPr>
      </w:pPr>
      <w:r>
        <w:rPr>
          <w:rFonts w:ascii="Arial" w:cs="Arial" w:eastAsia="Arial" w:hAnsi="Arial"/>
          <w:sz w:val="16"/>
          <w:szCs w:val="16"/>
          <w:color w:val="333333"/>
        </w:rPr>
        <w:t>Other board experience (prior): Helium, GridApps and Aperture Technologies, Inc., all of which were acquired by larger companies in their respective industries, and NetNumber Inc.</w:t>
      </w:r>
    </w:p>
    <w:p>
      <w:pPr>
        <w:spacing w:after="0" w:line="171" w:lineRule="exact"/>
        <w:rPr>
          <w:sz w:val="20"/>
          <w:szCs w:val="20"/>
          <w:color w:val="auto"/>
        </w:rPr>
      </w:pPr>
    </w:p>
    <w:p>
      <w:pPr>
        <w:ind w:right="279"/>
        <w:spacing w:after="0" w:line="286" w:lineRule="auto"/>
        <w:rPr>
          <w:sz w:val="20"/>
          <w:szCs w:val="20"/>
          <w:color w:val="auto"/>
        </w:rPr>
      </w:pPr>
      <w:r>
        <w:rPr>
          <w:rFonts w:ascii="Arial" w:cs="Arial" w:eastAsia="Arial" w:hAnsi="Arial"/>
          <w:sz w:val="16"/>
          <w:szCs w:val="16"/>
          <w:color w:val="333333"/>
        </w:rPr>
        <w:t>Provides: Substantial experience and knowledge regarding information technology and security; experience in advertising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142240</wp:posOffset>
            </wp:positionV>
            <wp:extent cx="1345565"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4556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720"/>
            <w:col w:w="6499"/>
          </w:cols>
          <w:pgMar w:left="9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w:t>
      </w:r>
    </w:p>
    <w:p>
      <w:pPr>
        <w:ind w:left="660"/>
        <w:spacing w:after="0"/>
        <w:rPr>
          <w:sz w:val="20"/>
          <w:szCs w:val="20"/>
          <w:color w:val="auto"/>
        </w:rPr>
      </w:pPr>
      <w:r>
        <w:rPr>
          <w:rFonts w:ascii="Arial" w:cs="Arial" w:eastAsia="Arial" w:hAnsi="Arial"/>
          <w:sz w:val="14"/>
          <w:szCs w:val="14"/>
          <w:i w:val="1"/>
          <w:iCs w:val="1"/>
          <w:color w:val="333333"/>
        </w:rPr>
        <w:t>Age: 64</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333333"/>
        </w:rPr>
        <w:t>Director Since: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0"/>
          <w:szCs w:val="10"/>
          <w:b w:val="1"/>
          <w:bCs w:val="1"/>
          <w:color w:val="333333"/>
        </w:rPr>
        <w:t xml:space="preserve">18 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Rahul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40373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83" w:lineRule="exact"/>
        <w:rPr>
          <w:sz w:val="20"/>
          <w:szCs w:val="20"/>
          <w:color w:val="auto"/>
        </w:rPr>
      </w:pPr>
    </w:p>
    <w:p>
      <w:pPr>
        <w:ind w:right="319"/>
        <w:spacing w:after="0" w:line="253" w:lineRule="auto"/>
        <w:rPr>
          <w:sz w:val="20"/>
          <w:szCs w:val="20"/>
          <w:color w:val="auto"/>
        </w:rPr>
      </w:pPr>
      <w:r>
        <w:rPr>
          <w:rFonts w:ascii="Arial" w:cs="Arial" w:eastAsia="Arial" w:hAnsi="Arial"/>
          <w:sz w:val="16"/>
          <w:szCs w:val="16"/>
          <w:color w:val="333333"/>
        </w:rPr>
        <w:t>Featured experience, qualifications and attributes: Prior executive positions as CEO of RevSpring, a healthcare billing and payments company from 2017 to 2019; as Group President for Fiserv (NASDAQ: FISV) from 2006 to 2017 and as President for eFunds (NYSE: EFD) from 2002 to 2006. In addition, Mr. Gupta has launched several startup companies in the payments and marketing spaces, built technology businesses for Fidelity Investments, and served numerous consulting clients for PricewaterhouseCoopers (PwC)</w:t>
      </w:r>
    </w:p>
    <w:p>
      <w:pPr>
        <w:spacing w:after="0" w:line="181" w:lineRule="exact"/>
        <w:rPr>
          <w:sz w:val="20"/>
          <w:szCs w:val="20"/>
          <w:color w:val="auto"/>
        </w:rPr>
      </w:pPr>
    </w:p>
    <w:p>
      <w:pPr>
        <w:ind w:right="299"/>
        <w:spacing w:after="0" w:line="286" w:lineRule="auto"/>
        <w:rPr>
          <w:sz w:val="20"/>
          <w:szCs w:val="20"/>
          <w:color w:val="auto"/>
        </w:rPr>
      </w:pPr>
      <w:r>
        <w:rPr>
          <w:rFonts w:ascii="Arial" w:cs="Arial" w:eastAsia="Arial" w:hAnsi="Arial"/>
          <w:sz w:val="16"/>
          <w:szCs w:val="16"/>
          <w:color w:val="333333"/>
        </w:rPr>
        <w:t>Other board experience (current): Mitek (NASDAQ: MITK), SavvyMoney, Amount. Inc., Exact Payments and Capital Good Fund</w:t>
      </w:r>
    </w:p>
    <w:p>
      <w:pPr>
        <w:spacing w:after="0" w:line="156" w:lineRule="exact"/>
        <w:rPr>
          <w:sz w:val="20"/>
          <w:szCs w:val="20"/>
          <w:color w:val="auto"/>
        </w:rPr>
      </w:pPr>
    </w:p>
    <w:p>
      <w:pPr>
        <w:ind w:right="379"/>
        <w:spacing w:after="0" w:line="286" w:lineRule="auto"/>
        <w:rPr>
          <w:sz w:val="20"/>
          <w:szCs w:val="20"/>
          <w:color w:val="auto"/>
        </w:rPr>
      </w:pPr>
      <w:r>
        <w:rPr>
          <w:rFonts w:ascii="Arial" w:cs="Arial" w:eastAsia="Arial" w:hAnsi="Arial"/>
          <w:sz w:val="16"/>
          <w:szCs w:val="16"/>
          <w:color w:val="333333"/>
        </w:rPr>
        <w:t>Other board experience (prior): Cardtronics plc (formerly NASDAQ: CATM) from 2020 to 2021; Paylease, LLC from 2019 to 2021 and Ncontracts from 2018 to 2020</w:t>
      </w:r>
    </w:p>
    <w:p>
      <w:pPr>
        <w:spacing w:after="0" w:line="156" w:lineRule="exact"/>
        <w:rPr>
          <w:sz w:val="20"/>
          <w:szCs w:val="20"/>
          <w:color w:val="auto"/>
        </w:rPr>
      </w:pPr>
    </w:p>
    <w:p>
      <w:pPr>
        <w:ind w:right="959"/>
        <w:spacing w:after="0" w:line="286" w:lineRule="auto"/>
        <w:rPr>
          <w:sz w:val="20"/>
          <w:szCs w:val="20"/>
          <w:color w:val="auto"/>
        </w:rPr>
      </w:pPr>
      <w:r>
        <w:rPr>
          <w:rFonts w:ascii="Arial" w:cs="Arial" w:eastAsia="Arial" w:hAnsi="Arial"/>
          <w:sz w:val="16"/>
          <w:szCs w:val="16"/>
          <w:color w:val="333333"/>
        </w:rPr>
        <w:t>Provides: Over 37 years of experience in the financial services and payments industries and significant experience in fintech venture and 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339090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740" w:space="300"/>
            <w:col w:w="6499"/>
          </w:cols>
          <w:pgMar w:left="920" w:top="114" w:right="1440"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03. </w:t>
      </w:r>
      <w:r>
        <w:rPr>
          <w:rFonts w:ascii="Arial" w:cs="Arial" w:eastAsia="Arial" w:hAnsi="Arial"/>
          <w:sz w:val="18"/>
          <w:szCs w:val="18"/>
          <w:color w:val="CF1D4C"/>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300355</wp:posOffset>
            </wp:positionV>
            <wp:extent cx="1174115" cy="12001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74115" cy="1200150"/>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300355</wp:posOffset>
            </wp:positionV>
            <wp:extent cx="1225550"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25550" cy="1631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CF1D4C"/>
        </w:rPr>
        <w:t>Thomas M. Hagerty</w:t>
      </w:r>
    </w:p>
    <w:p>
      <w:pPr>
        <w:jc w:val="right"/>
        <w:ind w:right="2920"/>
        <w:spacing w:after="0"/>
        <w:rPr>
          <w:sz w:val="20"/>
          <w:szCs w:val="20"/>
          <w:color w:val="auto"/>
        </w:rPr>
      </w:pPr>
      <w:r>
        <w:rPr>
          <w:rFonts w:ascii="Arial" w:cs="Arial" w:eastAsia="Arial" w:hAnsi="Arial"/>
          <w:sz w:val="18"/>
          <w:szCs w:val="18"/>
          <w:b w:val="1"/>
          <w:bCs w:val="1"/>
          <w:color w:val="CF1D4C"/>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1929765</wp:posOffset>
            </wp:positionH>
            <wp:positionV relativeFrom="paragraph">
              <wp:posOffset>74930</wp:posOffset>
            </wp:positionV>
            <wp:extent cx="40373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w:t>
      </w:r>
    </w:p>
    <w:p>
      <w:pPr>
        <w:ind w:left="660"/>
        <w:spacing w:after="0"/>
        <w:rPr>
          <w:sz w:val="20"/>
          <w:szCs w:val="20"/>
          <w:color w:val="auto"/>
        </w:rPr>
      </w:pPr>
      <w:r>
        <w:rPr>
          <w:rFonts w:ascii="Arial" w:cs="Arial" w:eastAsia="Arial" w:hAnsi="Arial"/>
          <w:sz w:val="14"/>
          <w:szCs w:val="14"/>
          <w:i w:val="1"/>
          <w:iCs w:val="1"/>
          <w:color w:val="333333"/>
        </w:rPr>
        <w:t>Age: 61</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333333"/>
        </w:rPr>
        <w:t>Director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459740</wp:posOffset>
            </wp:positionV>
            <wp:extent cx="1174115" cy="12001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74115" cy="1200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333333"/>
        </w:rPr>
        <w:t>Featured experience, qualifications and attributes: Managing Director of Thomas 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Lee Partners, L.P., a leading private equity firm, since 1994</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333333"/>
        </w:rPr>
        <w:t>Other board experience (current): Dayforce, Inc. (NYSE: DAY), Fidelity National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Financial, Inc. (NYSE: FNF), and Dun &amp; Bradstreet Holdings, Inc. (NYSE:DNB)</w:t>
      </w:r>
    </w:p>
    <w:p>
      <w:pPr>
        <w:spacing w:after="0" w:line="205" w:lineRule="exact"/>
        <w:rPr>
          <w:sz w:val="20"/>
          <w:szCs w:val="20"/>
          <w:color w:val="auto"/>
        </w:rPr>
      </w:pPr>
    </w:p>
    <w:p>
      <w:pPr>
        <w:ind w:right="760"/>
        <w:spacing w:after="0" w:line="266" w:lineRule="auto"/>
        <w:rPr>
          <w:sz w:val="20"/>
          <w:szCs w:val="20"/>
          <w:color w:val="auto"/>
        </w:rPr>
      </w:pPr>
      <w:r>
        <w:rPr>
          <w:rFonts w:ascii="Arial" w:cs="Arial" w:eastAsia="Arial" w:hAnsi="Arial"/>
          <w:sz w:val="16"/>
          <w:szCs w:val="16"/>
          <w:color w:val="333333"/>
        </w:rPr>
        <w:t>Provides: Managerial and strategic expertise developed by working with and enhancing value at large, growth-oriented companies; expertise in corporate finance; substantial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357505</wp:posOffset>
            </wp:positionV>
            <wp:extent cx="685800"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720"/>
            <w:col w:w="7000"/>
          </w:cols>
          <w:pgMar w:left="920" w:top="114"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w:t>
      </w:r>
    </w:p>
    <w:p>
      <w:pPr>
        <w:ind w:left="660"/>
        <w:spacing w:after="0"/>
        <w:rPr>
          <w:sz w:val="20"/>
          <w:szCs w:val="20"/>
          <w:color w:val="auto"/>
        </w:rPr>
      </w:pPr>
      <w:r>
        <w:rPr>
          <w:rFonts w:ascii="Arial" w:cs="Arial" w:eastAsia="Arial" w:hAnsi="Arial"/>
          <w:sz w:val="14"/>
          <w:szCs w:val="14"/>
          <w:i w:val="1"/>
          <w:iCs w:val="1"/>
          <w:color w:val="333333"/>
        </w:rPr>
        <w:t>Age: 52</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333333"/>
        </w:rPr>
        <w:t>Director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w:t>
      </w:r>
    </w:p>
    <w:p>
      <w:pPr>
        <w:ind w:left="660"/>
        <w:spacing w:after="0"/>
        <w:rPr>
          <w:sz w:val="20"/>
          <w:szCs w:val="20"/>
          <w:color w:val="auto"/>
        </w:rPr>
      </w:pPr>
      <w:r>
        <w:rPr>
          <w:rFonts w:ascii="Arial" w:cs="Arial" w:eastAsia="Arial" w:hAnsi="Arial"/>
          <w:sz w:val="14"/>
          <w:szCs w:val="14"/>
          <w:i w:val="1"/>
          <w:iCs w:val="1"/>
          <w:color w:val="333333"/>
        </w:rPr>
        <w:t>Age: 72</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333333"/>
        </w:rPr>
        <w:t>Director Since: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2820" w:type="dxa"/>
            <w:vAlign w:val="bottom"/>
          </w:tcPr>
          <w:p>
            <w:pPr>
              <w:spacing w:after="0"/>
              <w:rPr>
                <w:sz w:val="20"/>
                <w:szCs w:val="20"/>
                <w:color w:val="auto"/>
              </w:rPr>
            </w:pPr>
            <w:r>
              <w:rPr>
                <w:rFonts w:ascii="Arial" w:cs="Arial" w:eastAsia="Arial" w:hAnsi="Arial"/>
                <w:sz w:val="18"/>
                <w:szCs w:val="18"/>
                <w:b w:val="1"/>
                <w:bCs w:val="1"/>
                <w:color w:val="CF1D4C"/>
              </w:rPr>
              <w:t>Archie L. Jones, Jr.</w:t>
            </w:r>
          </w:p>
        </w:tc>
        <w:tc>
          <w:tcPr>
            <w:tcW w:w="1280" w:type="dxa"/>
            <w:vAlign w:val="bottom"/>
            <w:vMerge w:val="restart"/>
          </w:tcPr>
          <w:p>
            <w:pPr>
              <w:ind w:left="1180"/>
              <w:spacing w:after="0"/>
              <w:rPr>
                <w:sz w:val="20"/>
                <w:szCs w:val="20"/>
                <w:color w:val="auto"/>
              </w:rPr>
            </w:pPr>
            <w:r>
              <w:rPr>
                <w:rFonts w:ascii="Arial" w:cs="Arial" w:eastAsia="Arial" w:hAnsi="Arial"/>
                <w:sz w:val="18"/>
                <w:szCs w:val="18"/>
                <w:b w:val="1"/>
                <w:bCs w:val="1"/>
                <w:color w:val="CF1D4C"/>
              </w:rPr>
              <w:t xml:space="preserve">  </w:t>
            </w: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403733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197" w:lineRule="exact"/>
        <w:rPr>
          <w:sz w:val="20"/>
          <w:szCs w:val="20"/>
          <w:color w:val="auto"/>
        </w:rPr>
      </w:pPr>
    </w:p>
    <w:p>
      <w:pPr>
        <w:ind w:right="820"/>
        <w:spacing w:after="0" w:line="254" w:lineRule="auto"/>
        <w:rPr>
          <w:sz w:val="20"/>
          <w:szCs w:val="20"/>
          <w:color w:val="auto"/>
        </w:rPr>
      </w:pPr>
      <w:r>
        <w:rPr>
          <w:rFonts w:ascii="Arial" w:cs="Arial" w:eastAsia="Arial" w:hAnsi="Arial"/>
          <w:sz w:val="16"/>
          <w:szCs w:val="16"/>
          <w:color w:val="333333"/>
        </w:rPr>
        <w:t>Featured experience, qualifications and attributes: Managing Director of Six Pillars Partners, a private equity firm investing in high-growth companies, and a Professor at Harvard Business School; prior executive positions at private equity, public and private companies including NOWaccount Network Corporation, IBM, Kenexa (NYSE: KNXA) and Parthenon Capital; Certified Public Accountant and graduate of Morehouse College and Harvard Business School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333333"/>
        </w:rPr>
        <w:t>Other board experience (current): Project Evident</w:t>
      </w:r>
    </w:p>
    <w:p>
      <w:pPr>
        <w:spacing w:after="0" w:line="221" w:lineRule="exact"/>
        <w:rPr>
          <w:sz w:val="20"/>
          <w:szCs w:val="20"/>
          <w:color w:val="auto"/>
        </w:rPr>
      </w:pPr>
    </w:p>
    <w:p>
      <w:pPr>
        <w:ind w:right="1120"/>
        <w:spacing w:after="0" w:line="286" w:lineRule="auto"/>
        <w:rPr>
          <w:sz w:val="20"/>
          <w:szCs w:val="20"/>
          <w:color w:val="auto"/>
        </w:rPr>
      </w:pPr>
      <w:r>
        <w:rPr>
          <w:rFonts w:ascii="Arial" w:cs="Arial" w:eastAsia="Arial" w:hAnsi="Arial"/>
          <w:sz w:val="16"/>
          <w:szCs w:val="16"/>
          <w:color w:val="333333"/>
        </w:rPr>
        <w:t>Provides: Deep investment and mergers and acquisitions expertise in the financial institutions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142240</wp:posOffset>
            </wp:positionV>
            <wp:extent cx="1191260" cy="162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91260" cy="16256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Richard Macchia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40373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83" w:lineRule="exact"/>
        <w:rPr>
          <w:sz w:val="20"/>
          <w:szCs w:val="20"/>
          <w:color w:val="auto"/>
        </w:rPr>
      </w:pPr>
    </w:p>
    <w:p>
      <w:pPr>
        <w:ind w:right="760"/>
        <w:spacing w:after="0" w:line="251" w:lineRule="auto"/>
        <w:rPr>
          <w:sz w:val="20"/>
          <w:szCs w:val="20"/>
          <w:color w:val="auto"/>
        </w:rPr>
      </w:pPr>
      <w:r>
        <w:rPr>
          <w:rFonts w:ascii="Arial" w:cs="Arial" w:eastAsia="Arial" w:hAnsi="Arial"/>
          <w:sz w:val="16"/>
          <w:szCs w:val="16"/>
          <w:color w:val="333333"/>
        </w:rPr>
        <w:t>Featured experience, qualifications and attributes: Chief Financial Officer and Senior Vice President of Administration for Internet Security Systems, Inc., an information security provider, from 1997 through October 2006, when it was acquired by International Business Machines Corporation; senior executive roles, including as principal financial officer and accounting officer, with several public companies, including with MicroBilt Corporation, a financial information services company, and First Financial Management Corporation, a company providing credit card authorization, processing and settlement services and other enterprise solutions; Partner in the audit and assurance practice of KPMG</w:t>
      </w:r>
    </w:p>
    <w:p>
      <w:pPr>
        <w:spacing w:after="0" w:line="185"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333333"/>
        </w:rPr>
        <w:t>Provides: Over 20 years of experience in the financial and information services industry and significant audit and accounting background</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125095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320" w:space="720"/>
            <w:col w:w="7000"/>
          </w:cols>
          <w:pgMar w:left="920" w:top="114" w:right="9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CF1D4C"/>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300355</wp:posOffset>
            </wp:positionV>
            <wp:extent cx="1174115" cy="12001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74115" cy="120015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300355</wp:posOffset>
            </wp:positionV>
            <wp:extent cx="676910" cy="146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6910" cy="14605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3040" w:type="dxa"/>
        <w:tblCellMar>
          <w:top w:w="0" w:type="dxa"/>
          <w:left w:w="0" w:type="dxa"/>
          <w:bottom w:w="0" w:type="dxa"/>
          <w:right w:w="0" w:type="dxa"/>
        </w:tblCellMar>
      </w:tblPr>
      <w:tr>
        <w:trPr>
          <w:trHeight w:val="247"/>
        </w:trPr>
        <w:tc>
          <w:tcPr>
            <w:tcW w:w="2840" w:type="dxa"/>
            <w:vAlign w:val="bottom"/>
          </w:tcPr>
          <w:p>
            <w:pPr>
              <w:spacing w:after="0"/>
              <w:rPr>
                <w:sz w:val="20"/>
                <w:szCs w:val="20"/>
                <w:color w:val="auto"/>
              </w:rPr>
            </w:pPr>
            <w:r>
              <w:rPr>
                <w:rFonts w:ascii="Arial" w:cs="Arial" w:eastAsia="Arial" w:hAnsi="Arial"/>
                <w:sz w:val="18"/>
                <w:szCs w:val="18"/>
                <w:b w:val="1"/>
                <w:bCs w:val="1"/>
                <w:color w:val="CF1D4C"/>
              </w:rPr>
              <w:t>Hala G. Moddelmog</w:t>
            </w:r>
          </w:p>
        </w:tc>
        <w:tc>
          <w:tcPr>
            <w:tcW w:w="1260" w:type="dxa"/>
            <w:vAlign w:val="bottom"/>
            <w:vMerge w:val="restart"/>
          </w:tcPr>
          <w:p>
            <w:pPr>
              <w:ind w:left="1160"/>
              <w:spacing w:after="0"/>
              <w:rPr>
                <w:sz w:val="20"/>
                <w:szCs w:val="20"/>
                <w:color w:val="auto"/>
              </w:rPr>
            </w:pPr>
            <w:r>
              <w:rPr>
                <w:rFonts w:ascii="Arial" w:cs="Arial" w:eastAsia="Arial" w:hAnsi="Arial"/>
                <w:sz w:val="18"/>
                <w:szCs w:val="18"/>
                <w:b w:val="1"/>
                <w:bCs w:val="1"/>
                <w:color w:val="CF1D4C"/>
              </w:rPr>
              <w:t xml:space="preserve">  </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1929765</wp:posOffset>
            </wp:positionH>
            <wp:positionV relativeFrom="paragraph">
              <wp:posOffset>60960</wp:posOffset>
            </wp:positionV>
            <wp:extent cx="40373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w:t>
      </w:r>
    </w:p>
    <w:p>
      <w:pPr>
        <w:ind w:left="660"/>
        <w:spacing w:after="0"/>
        <w:rPr>
          <w:sz w:val="20"/>
          <w:szCs w:val="20"/>
          <w:color w:val="auto"/>
        </w:rPr>
      </w:pPr>
      <w:r>
        <w:rPr>
          <w:rFonts w:ascii="Arial" w:cs="Arial" w:eastAsia="Arial" w:hAnsi="Arial"/>
          <w:sz w:val="14"/>
          <w:szCs w:val="14"/>
          <w:i w:val="1"/>
          <w:iCs w:val="1"/>
          <w:color w:val="333333"/>
        </w:rPr>
        <w:t>Age: 68</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333333"/>
        </w:rPr>
        <w:t>Director Since: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1659890</wp:posOffset>
            </wp:positionV>
            <wp:extent cx="1174115" cy="12001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74115" cy="1200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239"/>
        <w:spacing w:after="0" w:line="251" w:lineRule="auto"/>
        <w:rPr>
          <w:sz w:val="20"/>
          <w:szCs w:val="20"/>
          <w:color w:val="auto"/>
        </w:rPr>
      </w:pPr>
      <w:r>
        <w:rPr>
          <w:rFonts w:ascii="Arial" w:cs="Arial" w:eastAsia="Arial" w:hAnsi="Arial"/>
          <w:sz w:val="16"/>
          <w:szCs w:val="16"/>
          <w:color w:val="333333"/>
        </w:rPr>
        <w:t>Featured experience, qualifications and attributes: President &amp; CEO of the Woodruff Arts Center, which enriches the lives of more than 800,000 patrons annually, including more than 170,000 students and teachers, making the Woodruff Arts Center the largest arts educator in the state of Georgia; prior President &amp; CEO of the Metro Atlanta Chamber of Commerce; prior President of Arby’s Restaurant Group, Inc., a division of Wendy’s/Arby’s Group, Inc. (NYSE: WEN); prior President &amp; CEO of Susan G. Komen for the Cure, the world’s largest breast cancer organization; CEO of Catalytic Ventures, LLC, a business that evaluated investment opportunities in foodservice, franchising and multi-unit retail; and prior President of Church’s Chicken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333333"/>
        </w:rPr>
        <w:t>Other board experience (current): Lamb Weston Holdings, Inc. (NYSE: LW)</w:t>
      </w:r>
    </w:p>
    <w:p>
      <w:pPr>
        <w:spacing w:after="0" w:line="221" w:lineRule="exact"/>
        <w:rPr>
          <w:sz w:val="20"/>
          <w:szCs w:val="20"/>
          <w:color w:val="auto"/>
        </w:rPr>
      </w:pPr>
    </w:p>
    <w:p>
      <w:pPr>
        <w:ind w:right="239"/>
        <w:spacing w:after="0" w:line="266" w:lineRule="auto"/>
        <w:rPr>
          <w:sz w:val="20"/>
          <w:szCs w:val="20"/>
          <w:color w:val="auto"/>
        </w:rPr>
      </w:pPr>
      <w:r>
        <w:rPr>
          <w:rFonts w:ascii="Arial" w:cs="Arial" w:eastAsia="Arial" w:hAnsi="Arial"/>
          <w:sz w:val="16"/>
          <w:szCs w:val="16"/>
          <w:color w:val="333333"/>
        </w:rPr>
        <w:t>Other board experience (prior): Amerigroup Corporation (NYSE: AGP) from 2009 to 2012; AMN Healthcare Services, Inc. (NYSE: AHS) from 2008 to 2010 and a number of non-profit boards of directors</w:t>
      </w:r>
    </w:p>
    <w:p>
      <w:pPr>
        <w:spacing w:after="0" w:line="171" w:lineRule="exact"/>
        <w:rPr>
          <w:sz w:val="20"/>
          <w:szCs w:val="20"/>
          <w:color w:val="auto"/>
        </w:rPr>
      </w:pPr>
    </w:p>
    <w:p>
      <w:pPr>
        <w:ind w:right="559"/>
        <w:spacing w:after="0" w:line="266" w:lineRule="auto"/>
        <w:rPr>
          <w:sz w:val="20"/>
          <w:szCs w:val="20"/>
          <w:color w:val="auto"/>
        </w:rPr>
      </w:pPr>
      <w:r>
        <w:rPr>
          <w:rFonts w:ascii="Arial" w:cs="Arial" w:eastAsia="Arial" w:hAnsi="Arial"/>
          <w:sz w:val="16"/>
          <w:szCs w:val="16"/>
          <w:color w:val="333333"/>
        </w:rPr>
        <w:t>Provides: Over 20 years leading and enhancing value at high-growth companies including through M&amp;A; expertise in marketing; experience as an executive of large public companies; community ties and extensive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357505</wp:posOffset>
            </wp:positionV>
            <wp:extent cx="1345565" cy="162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4556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720"/>
            <w:col w:w="6499"/>
          </w:cols>
          <w:pgMar w:left="9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w:t>
      </w:r>
    </w:p>
    <w:p>
      <w:pPr>
        <w:ind w:left="660"/>
        <w:spacing w:after="0"/>
        <w:rPr>
          <w:sz w:val="20"/>
          <w:szCs w:val="20"/>
          <w:color w:val="auto"/>
        </w:rPr>
      </w:pPr>
      <w:r>
        <w:rPr>
          <w:rFonts w:ascii="Arial" w:cs="Arial" w:eastAsia="Arial" w:hAnsi="Arial"/>
          <w:sz w:val="14"/>
          <w:szCs w:val="14"/>
          <w:i w:val="1"/>
          <w:iCs w:val="1"/>
          <w:color w:val="333333"/>
        </w:rPr>
        <w:t>Age: 56</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333333"/>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665480</wp:posOffset>
            </wp:positionV>
            <wp:extent cx="1174115" cy="12001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74115" cy="1200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Jeffrey S. Sloan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40373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96" w:lineRule="exact"/>
        <w:rPr>
          <w:sz w:val="20"/>
          <w:szCs w:val="20"/>
          <w:color w:val="auto"/>
        </w:rPr>
      </w:pPr>
    </w:p>
    <w:p>
      <w:pPr>
        <w:ind w:right="239"/>
        <w:spacing w:after="0" w:line="259" w:lineRule="auto"/>
        <w:rPr>
          <w:sz w:val="20"/>
          <w:szCs w:val="20"/>
          <w:color w:val="auto"/>
        </w:rPr>
      </w:pPr>
      <w:r>
        <w:rPr>
          <w:rFonts w:ascii="Arial" w:cs="Arial" w:eastAsia="Arial" w:hAnsi="Arial"/>
          <w:sz w:val="16"/>
          <w:szCs w:val="16"/>
          <w:color w:val="333333"/>
        </w:rPr>
        <w:t>Featured experience, qualifications and attributes: former CEO of Global Payments Inc, a leading international payments technology company, from 2013 through 2023; prior executive positions with Goldman, Sachs &amp; Co., including as partner and worldwide head of its financial technology group</w:t>
      </w:r>
    </w:p>
    <w:p>
      <w:pPr>
        <w:spacing w:after="0" w:line="178" w:lineRule="exact"/>
        <w:rPr>
          <w:sz w:val="20"/>
          <w:szCs w:val="20"/>
          <w:color w:val="auto"/>
        </w:rPr>
      </w:pPr>
    </w:p>
    <w:p>
      <w:pPr>
        <w:ind w:right="619"/>
        <w:spacing w:after="0" w:line="286" w:lineRule="auto"/>
        <w:rPr>
          <w:sz w:val="20"/>
          <w:szCs w:val="20"/>
          <w:color w:val="auto"/>
        </w:rPr>
      </w:pPr>
      <w:r>
        <w:rPr>
          <w:rFonts w:ascii="Arial" w:cs="Arial" w:eastAsia="Arial" w:hAnsi="Arial"/>
          <w:sz w:val="16"/>
          <w:szCs w:val="16"/>
          <w:color w:val="333333"/>
        </w:rPr>
        <w:t>Other board experience (recent): Metro Atlanta Chamber of Commerce, Executive Committee; Atlanta Committee for Progress</w:t>
      </w:r>
    </w:p>
    <w:p>
      <w:pPr>
        <w:spacing w:after="0" w:line="156" w:lineRule="exact"/>
        <w:rPr>
          <w:sz w:val="20"/>
          <w:szCs w:val="20"/>
          <w:color w:val="auto"/>
        </w:rPr>
      </w:pPr>
    </w:p>
    <w:p>
      <w:pPr>
        <w:ind w:right="239"/>
        <w:spacing w:after="0" w:line="259" w:lineRule="auto"/>
        <w:rPr>
          <w:sz w:val="20"/>
          <w:szCs w:val="20"/>
          <w:color w:val="auto"/>
        </w:rPr>
      </w:pPr>
      <w:r>
        <w:rPr>
          <w:rFonts w:ascii="Arial" w:cs="Arial" w:eastAsia="Arial" w:hAnsi="Arial"/>
          <w:sz w:val="16"/>
          <w:szCs w:val="16"/>
          <w:color w:val="333333"/>
        </w:rPr>
        <w:t>Provides: Over 30 years of experience in the financial services, financial technology and payments industries; extensive experience in private equity and venture capital investing; and financial acumen and experience as a public company executive for over 14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327660</wp:posOffset>
            </wp:positionV>
            <wp:extent cx="685800" cy="145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720"/>
            <w:col w:w="6499"/>
          </w:cols>
          <w:pgMar w:left="9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w:t>
      </w:r>
    </w:p>
    <w:p>
      <w:pPr>
        <w:ind w:left="660" w:right="380"/>
        <w:spacing w:after="0" w:line="252" w:lineRule="auto"/>
        <w:rPr>
          <w:sz w:val="20"/>
          <w:szCs w:val="20"/>
          <w:color w:val="auto"/>
        </w:rPr>
      </w:pPr>
      <w:r>
        <w:rPr>
          <w:rFonts w:ascii="Arial" w:cs="Arial" w:eastAsia="Arial" w:hAnsi="Arial"/>
          <w:sz w:val="14"/>
          <w:szCs w:val="14"/>
          <w:i w:val="1"/>
          <w:iCs w:val="1"/>
          <w:color w:val="333333"/>
        </w:rPr>
        <w:t>Lead Independent Director Age: 65</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333333"/>
        </w:rPr>
        <w:t>Director Since: 2000</w:t>
      </w:r>
    </w:p>
    <w:p>
      <w:pPr>
        <w:spacing w:after="0" w:line="319" w:lineRule="exact"/>
        <w:rPr>
          <w:sz w:val="20"/>
          <w:szCs w:val="20"/>
          <w:color w:val="auto"/>
        </w:rPr>
      </w:pPr>
    </w:p>
    <w:p>
      <w:pPr>
        <w:spacing w:after="0"/>
        <w:rPr>
          <w:sz w:val="20"/>
          <w:szCs w:val="20"/>
          <w:color w:val="auto"/>
        </w:rPr>
      </w:pPr>
      <w:r>
        <w:rPr>
          <w:rFonts w:ascii="Arial" w:cs="Arial" w:eastAsia="Arial" w:hAnsi="Arial"/>
          <w:sz w:val="10"/>
          <w:szCs w:val="10"/>
          <w:b w:val="1"/>
          <w:bCs w:val="1"/>
          <w:color w:val="333333"/>
        </w:rPr>
        <w:t xml:space="preserve">20 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2620" w:type="dxa"/>
            <w:vAlign w:val="bottom"/>
          </w:tcPr>
          <w:p>
            <w:pPr>
              <w:spacing w:after="0"/>
              <w:rPr>
                <w:sz w:val="20"/>
                <w:szCs w:val="20"/>
                <w:color w:val="auto"/>
              </w:rPr>
            </w:pPr>
            <w:r>
              <w:rPr>
                <w:rFonts w:ascii="Arial" w:cs="Arial" w:eastAsia="Arial" w:hAnsi="Arial"/>
                <w:sz w:val="18"/>
                <w:szCs w:val="18"/>
                <w:b w:val="1"/>
                <w:bCs w:val="1"/>
                <w:color w:val="CF1D4C"/>
              </w:rPr>
              <w:t>Steven T. Stull</w:t>
            </w:r>
          </w:p>
        </w:tc>
        <w:tc>
          <w:tcPr>
            <w:tcW w:w="1480" w:type="dxa"/>
            <w:vAlign w:val="bottom"/>
            <w:vMerge w:val="restart"/>
          </w:tcPr>
          <w:p>
            <w:pPr>
              <w:ind w:left="1380"/>
              <w:spacing w:after="0"/>
              <w:rPr>
                <w:sz w:val="20"/>
                <w:szCs w:val="20"/>
                <w:color w:val="auto"/>
              </w:rPr>
            </w:pPr>
            <w:r>
              <w:rPr>
                <w:rFonts w:ascii="Arial" w:cs="Arial" w:eastAsia="Arial" w:hAnsi="Arial"/>
                <w:sz w:val="18"/>
                <w:szCs w:val="18"/>
                <w:b w:val="1"/>
                <w:bCs w:val="1"/>
                <w:color w:val="CF1D4C"/>
              </w:rPr>
              <w:t xml:space="preserve">  </w:t>
            </w: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40373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345" w:lineRule="exact"/>
        <w:rPr>
          <w:sz w:val="20"/>
          <w:szCs w:val="20"/>
          <w:color w:val="auto"/>
        </w:rPr>
      </w:pPr>
    </w:p>
    <w:p>
      <w:pPr>
        <w:ind w:right="299"/>
        <w:spacing w:after="0" w:line="256" w:lineRule="auto"/>
        <w:rPr>
          <w:sz w:val="20"/>
          <w:szCs w:val="20"/>
          <w:color w:val="auto"/>
        </w:rPr>
      </w:pPr>
      <w:r>
        <w:rPr>
          <w:rFonts w:ascii="Arial" w:cs="Arial" w:eastAsia="Arial" w:hAnsi="Arial"/>
          <w:sz w:val="16"/>
          <w:szCs w:val="16"/>
          <w:color w:val="333333"/>
        </w:rPr>
        <w:t>Featured experience, qualifications and attributes: CEO and Co-Founder of Advantage Capital Partners, a private equity firm, overseeing investments in the technology, financial and information services industries, since 1992; prior Investment executive with a large insurance company; Chief Financial Officer of an information services company and other career experience in financial institutions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333333"/>
        </w:rPr>
        <w:t>Provides: Deep experience in investments and the financial services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621030</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740" w:space="300"/>
            <w:col w:w="6499"/>
          </w:cols>
          <w:pgMar w:left="920" w:top="114" w:right="1440"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36"/>
        </w:numPr>
        <w:rPr>
          <w:rFonts w:ascii="Arial" w:cs="Arial" w:eastAsia="Arial" w:hAnsi="Arial"/>
          <w:sz w:val="17"/>
          <w:szCs w:val="17"/>
          <w:b w:val="1"/>
          <w:bCs w:val="1"/>
          <w:color w:val="auto"/>
        </w:rPr>
      </w:pPr>
      <w:r>
        <w:rPr>
          <w:rFonts w:ascii="Arial" w:cs="Arial" w:eastAsia="Arial" w:hAnsi="Arial"/>
          <w:sz w:val="17"/>
          <w:szCs w:val="17"/>
          <w:color w:val="CF1D4C"/>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307975</wp:posOffset>
            </wp:positionV>
            <wp:extent cx="1174115" cy="12001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74115" cy="1200150"/>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307975</wp:posOffset>
            </wp:positionV>
            <wp:extent cx="1191260" cy="1631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91260" cy="16319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w:t>
      </w:r>
    </w:p>
    <w:p>
      <w:pPr>
        <w:ind w:left="660"/>
        <w:spacing w:after="0"/>
        <w:rPr>
          <w:sz w:val="20"/>
          <w:szCs w:val="20"/>
          <w:color w:val="auto"/>
        </w:rPr>
      </w:pPr>
      <w:r>
        <w:rPr>
          <w:rFonts w:ascii="Arial" w:cs="Arial" w:eastAsia="Arial" w:hAnsi="Arial"/>
          <w:sz w:val="14"/>
          <w:szCs w:val="14"/>
          <w:i w:val="1"/>
          <w:iCs w:val="1"/>
          <w:color w:val="333333"/>
        </w:rPr>
        <w:t>Age: 66</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333333"/>
        </w:rPr>
        <w:t>Director Since: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Gerald Throop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40373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83" w:lineRule="exact"/>
        <w:rPr>
          <w:sz w:val="20"/>
          <w:szCs w:val="20"/>
          <w:color w:val="auto"/>
        </w:rPr>
      </w:pPr>
    </w:p>
    <w:p>
      <w:pPr>
        <w:ind w:right="820"/>
        <w:spacing w:after="0" w:line="259" w:lineRule="auto"/>
        <w:rPr>
          <w:sz w:val="20"/>
          <w:szCs w:val="20"/>
          <w:color w:val="auto"/>
        </w:rPr>
      </w:pPr>
      <w:r>
        <w:rPr>
          <w:rFonts w:ascii="Arial" w:cs="Arial" w:eastAsia="Arial" w:hAnsi="Arial"/>
          <w:sz w:val="16"/>
          <w:szCs w:val="16"/>
          <w:color w:val="333333"/>
        </w:rPr>
        <w:t>Featured experience and qualifications: former Head of Global Equities at the National Bank of Canada; prior Head of Canadian Equities at Merrill Lynch; previously CFO for two Canadian public telecommunications companies; Throop earned his Canadian CPA while serving with a predecessor of KPMG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333333"/>
        </w:rPr>
        <w:t>Other board experience (current): Lead Independent Director for Dayforce,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(NYSE: DAY)</w:t>
      </w:r>
    </w:p>
    <w:p>
      <w:pPr>
        <w:spacing w:after="0" w:line="205" w:lineRule="exact"/>
        <w:rPr>
          <w:sz w:val="20"/>
          <w:szCs w:val="20"/>
          <w:color w:val="auto"/>
        </w:rPr>
      </w:pPr>
    </w:p>
    <w:p>
      <w:pPr>
        <w:ind w:right="1300"/>
        <w:spacing w:after="0" w:line="286" w:lineRule="auto"/>
        <w:rPr>
          <w:sz w:val="20"/>
          <w:szCs w:val="20"/>
          <w:color w:val="auto"/>
        </w:rPr>
      </w:pPr>
      <w:r>
        <w:rPr>
          <w:rFonts w:ascii="Arial" w:cs="Arial" w:eastAsia="Arial" w:hAnsi="Arial"/>
          <w:sz w:val="16"/>
          <w:szCs w:val="16"/>
          <w:color w:val="333333"/>
        </w:rPr>
        <w:t>Provides: Over 30 years of experience in the financial and banking industry and significant audit and accounting background</w:t>
      </w:r>
    </w:p>
    <w:p>
      <w:pPr>
        <w:spacing w:after="0" w:line="200" w:lineRule="exact"/>
        <w:rPr>
          <w:sz w:val="20"/>
          <w:szCs w:val="20"/>
          <w:color w:val="auto"/>
        </w:rPr>
      </w:pPr>
    </w:p>
    <w:p>
      <w:pPr>
        <w:sectPr>
          <w:pgSz w:w="11900" w:h="16838" w:orient="portrait"/>
          <w:cols w:equalWidth="0" w:num="2">
            <w:col w:w="2320" w:space="720"/>
            <w:col w:w="7000"/>
          </w:cols>
          <w:pgMar w:left="920" w:top="114" w:right="939" w:bottom="1440" w:gutter="0" w:footer="0" w:header="0"/>
          <w:type w:val="continuous"/>
        </w:sect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Evaluation and Evolution of Our Board</w:t>
      </w:r>
    </w:p>
    <w:p>
      <w:pPr>
        <w:spacing w:after="0" w:line="216"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333333"/>
        </w:rPr>
        <w:t>As part of our focus on shareholder value, we regularly evaluate the performance of our Board and its committees and engage in self-evaluation process. We also evaluate the mix of experience, expertise and tenure of our individual directors. Our corporate governance guidelines reflect this approach. We believe our directors’ diverse backgrounds help us to make the most of opportunities and to effectively manage risk. We believe that our efforts have and will continue to result in a board and management focused on delivering exceptional value to our shareholders.</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Board Meetings and Committees</w:t>
      </w:r>
    </w:p>
    <w:p>
      <w:pPr>
        <w:spacing w:after="0" w:line="216" w:lineRule="exact"/>
        <w:rPr>
          <w:sz w:val="20"/>
          <w:szCs w:val="20"/>
          <w:color w:val="auto"/>
        </w:rPr>
      </w:pPr>
    </w:p>
    <w:p>
      <w:pPr>
        <w:ind w:left="660" w:right="20"/>
        <w:spacing w:after="0" w:line="256" w:lineRule="auto"/>
        <w:rPr>
          <w:sz w:val="20"/>
          <w:szCs w:val="20"/>
          <w:color w:val="auto"/>
        </w:rPr>
      </w:pPr>
      <w:r>
        <w:rPr>
          <w:rFonts w:ascii="Arial" w:cs="Arial" w:eastAsia="Arial" w:hAnsi="Arial"/>
          <w:sz w:val="16"/>
          <w:szCs w:val="16"/>
          <w:color w:val="333333"/>
        </w:rPr>
        <w:t>The Board held five meetings in 2023. Information regarding the number of meetings held by the Board's five standing committees in 2023 is set forth below. Each director attended at least 75% of all Board and applicable committee meetings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700"/>
        <w:spacing w:after="0" w:line="253" w:lineRule="auto"/>
        <w:rPr>
          <w:sz w:val="20"/>
          <w:szCs w:val="20"/>
          <w:color w:val="auto"/>
        </w:rPr>
      </w:pPr>
      <w:r>
        <w:rPr>
          <w:rFonts w:ascii="Arial" w:cs="Arial" w:eastAsia="Arial" w:hAnsi="Arial"/>
          <w:sz w:val="16"/>
          <w:szCs w:val="16"/>
          <w:color w:val="auto"/>
        </w:rPr>
        <w:t>held during the year (or held during the portion of the year for which they served). Our independent directors meet regularly in executive session at each scheduled in-person Board meeting. These sessions are led by the lead independent director who reports the results of the independent sessions to the CEO and, if appropriate to other members of senior management.</w:t>
      </w:r>
    </w:p>
    <w:p>
      <w:pPr>
        <w:spacing w:after="0" w:line="141" w:lineRule="exact"/>
        <w:rPr>
          <w:sz w:val="20"/>
          <w:szCs w:val="20"/>
          <w:color w:val="auto"/>
        </w:rPr>
      </w:pPr>
    </w:p>
    <w:p>
      <w:pPr>
        <w:ind w:right="700"/>
        <w:spacing w:after="0" w:line="253" w:lineRule="auto"/>
        <w:rPr>
          <w:sz w:val="20"/>
          <w:szCs w:val="20"/>
          <w:color w:val="auto"/>
        </w:rPr>
      </w:pPr>
      <w:r>
        <w:rPr>
          <w:rFonts w:ascii="Arial" w:cs="Arial" w:eastAsia="Arial" w:hAnsi="Arial"/>
          <w:sz w:val="16"/>
          <w:szCs w:val="16"/>
          <w:color w:val="auto"/>
        </w:rPr>
        <w:t>Through 2023, our Board had six standing committees: an audit committee; a compensation committee; a nominating and corporate governance committee (referred to as our governance committee); an executive and acquisitions committee; and an information technology and security committee. The table on the next page provides current membership for each of the Board committees.</w:t>
      </w:r>
    </w:p>
    <w:p>
      <w:pPr>
        <w:spacing w:after="0" w:line="154" w:lineRule="exact"/>
        <w:rPr>
          <w:sz w:val="20"/>
          <w:szCs w:val="20"/>
          <w:color w:val="auto"/>
        </w:rPr>
      </w:pPr>
    </w:p>
    <w:p>
      <w:pPr>
        <w:ind w:right="820"/>
        <w:spacing w:after="0" w:line="256" w:lineRule="auto"/>
        <w:rPr>
          <w:sz w:val="20"/>
          <w:szCs w:val="20"/>
          <w:color w:val="auto"/>
        </w:rPr>
      </w:pPr>
      <w:r>
        <w:rPr>
          <w:rFonts w:ascii="Arial" w:cs="Arial" w:eastAsia="Arial" w:hAnsi="Arial"/>
          <w:sz w:val="16"/>
          <w:szCs w:val="16"/>
          <w:color w:val="auto"/>
        </w:rPr>
        <w:t>Each committee meets at least quarterly, except the executive and acquisitions and governance committees, which meet as needed. Our Board has adopted charters for the committees, which are available on our website at https://investor.corpay.com.</w:t>
      </w:r>
    </w:p>
    <w:p>
      <w:pPr>
        <w:spacing w:after="0" w:line="558" w:lineRule="exact"/>
        <w:rPr>
          <w:sz w:val="20"/>
          <w:szCs w:val="20"/>
          <w:color w:val="auto"/>
        </w:rPr>
      </w:pPr>
    </w:p>
    <w:p>
      <w:pPr>
        <w:sectPr>
          <w:pgSz w:w="11900" w:h="16838" w:orient="portrait"/>
          <w:cols w:equalWidth="0" w:num="2">
            <w:col w:w="4820" w:space="320"/>
            <w:col w:w="4900"/>
          </w:cols>
          <w:pgMar w:left="920" w:top="114" w:right="939" w:bottom="1440" w:gutter="0" w:footer="0" w:header="0"/>
          <w:type w:val="continuous"/>
        </w:sectPr>
      </w:pPr>
    </w:p>
    <w:p>
      <w:pPr>
        <w:ind w:left="7300"/>
        <w:spacing w:after="0"/>
        <w:rPr>
          <w:sz w:val="20"/>
          <w:szCs w:val="20"/>
          <w:color w:val="auto"/>
        </w:rPr>
      </w:pPr>
      <w:r>
        <w:rPr>
          <w:rFonts w:ascii="Arial" w:cs="Arial" w:eastAsia="Arial" w:hAnsi="Arial"/>
          <w:sz w:val="10"/>
          <w:szCs w:val="10"/>
          <w:color w:val="333333"/>
        </w:rPr>
        <w:t xml:space="preserve">2024 Notice of Annual Meeting &amp; Proxy Statement      </w:t>
      </w:r>
      <w:r>
        <w:rPr>
          <w:rFonts w:ascii="Arial" w:cs="Arial" w:eastAsia="Arial" w:hAnsi="Arial"/>
          <w:sz w:val="10"/>
          <w:szCs w:val="10"/>
          <w:b w:val="1"/>
          <w:bCs w:val="1"/>
          <w:color w:val="333333"/>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CF1D4C"/>
        </w:rPr>
        <w:t>CORPORATE GOVERNANCE AND BOARD MATTERS</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Board Committee Membership</w:t>
      </w:r>
    </w:p>
    <w:p>
      <w:pPr>
        <w:spacing w:after="0" w:line="100" w:lineRule="exact"/>
        <w:rPr>
          <w:sz w:val="20"/>
          <w:szCs w:val="20"/>
          <w:color w:val="auto"/>
        </w:rPr>
      </w:pPr>
    </w:p>
    <w:tbl>
      <w:tblPr>
        <w:tblLayout w:type="fixed"/>
        <w:tblInd w:w="640" w:type="dxa"/>
        <w:tblCellMar>
          <w:top w:w="0" w:type="dxa"/>
          <w:left w:w="0" w:type="dxa"/>
          <w:bottom w:w="0" w:type="dxa"/>
          <w:right w:w="0" w:type="dxa"/>
        </w:tblCellMar>
      </w:tblPr>
      <w:tr>
        <w:trPr>
          <w:trHeight w:val="252"/>
        </w:trPr>
        <w:tc>
          <w:tcPr>
            <w:tcW w:w="1920" w:type="dxa"/>
            <w:vAlign w:val="bottom"/>
            <w:shd w:val="clear" w:color="auto" w:fill="CF1D4C"/>
          </w:tcPr>
          <w:p>
            <w:pPr>
              <w:spacing w:after="0"/>
              <w:rPr>
                <w:sz w:val="21"/>
                <w:szCs w:val="21"/>
                <w:color w:val="auto"/>
              </w:rPr>
            </w:pPr>
          </w:p>
        </w:tc>
        <w:tc>
          <w:tcPr>
            <w:tcW w:w="1240" w:type="dxa"/>
            <w:vAlign w:val="bottom"/>
            <w:shd w:val="clear" w:color="auto" w:fill="CF1D4C"/>
          </w:tcPr>
          <w:p>
            <w:pPr>
              <w:spacing w:after="0"/>
              <w:rPr>
                <w:sz w:val="21"/>
                <w:szCs w:val="21"/>
                <w:color w:val="auto"/>
              </w:rPr>
            </w:pPr>
          </w:p>
        </w:tc>
        <w:tc>
          <w:tcPr>
            <w:tcW w:w="1440" w:type="dxa"/>
            <w:vAlign w:val="bottom"/>
            <w:shd w:val="clear" w:color="auto" w:fill="CF1D4C"/>
          </w:tcPr>
          <w:p>
            <w:pPr>
              <w:spacing w:after="0"/>
              <w:rPr>
                <w:sz w:val="21"/>
                <w:szCs w:val="21"/>
                <w:color w:val="auto"/>
              </w:rPr>
            </w:pPr>
          </w:p>
        </w:tc>
        <w:tc>
          <w:tcPr>
            <w:tcW w:w="1460" w:type="dxa"/>
            <w:vAlign w:val="bottom"/>
            <w:vMerge w:val="restart"/>
            <w:shd w:val="clear" w:color="auto" w:fill="CF1D4C"/>
          </w:tcPr>
          <w:p>
            <w:pPr>
              <w:ind w:left="320"/>
              <w:spacing w:after="0"/>
              <w:rPr>
                <w:sz w:val="20"/>
                <w:szCs w:val="20"/>
                <w:color w:val="auto"/>
              </w:rPr>
            </w:pPr>
            <w:r>
              <w:rPr>
                <w:rFonts w:ascii="Arial" w:cs="Arial" w:eastAsia="Arial" w:hAnsi="Arial"/>
                <w:sz w:val="13"/>
                <w:szCs w:val="13"/>
                <w:b w:val="1"/>
                <w:bCs w:val="1"/>
                <w:color w:val="FFFFFF"/>
              </w:rPr>
              <w:t>Nomination</w:t>
            </w:r>
          </w:p>
        </w:tc>
        <w:tc>
          <w:tcPr>
            <w:tcW w:w="1340" w:type="dxa"/>
            <w:vAlign w:val="bottom"/>
            <w:vMerge w:val="restart"/>
            <w:shd w:val="clear" w:color="auto" w:fill="CF1D4C"/>
          </w:tcPr>
          <w:p>
            <w:pPr>
              <w:ind w:left="300"/>
              <w:spacing w:after="0"/>
              <w:rPr>
                <w:sz w:val="20"/>
                <w:szCs w:val="20"/>
                <w:color w:val="auto"/>
              </w:rPr>
            </w:pPr>
            <w:r>
              <w:rPr>
                <w:rFonts w:ascii="Arial" w:cs="Arial" w:eastAsia="Arial" w:hAnsi="Arial"/>
                <w:sz w:val="13"/>
                <w:szCs w:val="13"/>
                <w:b w:val="1"/>
                <w:bCs w:val="1"/>
                <w:color w:val="FFFFFF"/>
              </w:rPr>
              <w:t>Executive &amp;</w:t>
            </w:r>
          </w:p>
        </w:tc>
        <w:tc>
          <w:tcPr>
            <w:tcW w:w="1360" w:type="dxa"/>
            <w:vAlign w:val="bottom"/>
            <w:shd w:val="clear" w:color="auto" w:fill="CF1D4C"/>
          </w:tcPr>
          <w:p>
            <w:pPr>
              <w:ind w:left="300"/>
              <w:spacing w:after="0"/>
              <w:rPr>
                <w:sz w:val="20"/>
                <w:szCs w:val="20"/>
                <w:color w:val="auto"/>
              </w:rPr>
            </w:pPr>
            <w:r>
              <w:rPr>
                <w:rFonts w:ascii="Arial" w:cs="Arial" w:eastAsia="Arial" w:hAnsi="Arial"/>
                <w:sz w:val="13"/>
                <w:szCs w:val="13"/>
                <w:b w:val="1"/>
                <w:bCs w:val="1"/>
                <w:color w:val="FFFFFF"/>
              </w:rPr>
              <w:t>Information</w:t>
            </w:r>
          </w:p>
        </w:tc>
        <w:tc>
          <w:tcPr>
            <w:tcW w:w="0" w:type="dxa"/>
            <w:vAlign w:val="bottom"/>
          </w:tcPr>
          <w:p>
            <w:pPr>
              <w:spacing w:after="0"/>
              <w:rPr>
                <w:sz w:val="1"/>
                <w:szCs w:val="1"/>
                <w:color w:val="auto"/>
              </w:rPr>
            </w:pPr>
          </w:p>
        </w:tc>
      </w:tr>
      <w:tr>
        <w:trPr>
          <w:trHeight w:val="68"/>
        </w:trPr>
        <w:tc>
          <w:tcPr>
            <w:tcW w:w="1920" w:type="dxa"/>
            <w:vAlign w:val="bottom"/>
            <w:shd w:val="clear" w:color="auto" w:fill="CF1D4C"/>
          </w:tcPr>
          <w:p>
            <w:pPr>
              <w:spacing w:after="0"/>
              <w:rPr>
                <w:sz w:val="5"/>
                <w:szCs w:val="5"/>
                <w:color w:val="auto"/>
              </w:rPr>
            </w:pPr>
          </w:p>
        </w:tc>
        <w:tc>
          <w:tcPr>
            <w:tcW w:w="1240" w:type="dxa"/>
            <w:vAlign w:val="bottom"/>
            <w:vMerge w:val="restart"/>
            <w:shd w:val="clear" w:color="auto" w:fill="CF1D4C"/>
          </w:tcPr>
          <w:p>
            <w:pPr>
              <w:ind w:left="640"/>
              <w:spacing w:after="0" w:line="135" w:lineRule="exact"/>
              <w:rPr>
                <w:sz w:val="20"/>
                <w:szCs w:val="20"/>
                <w:color w:val="auto"/>
              </w:rPr>
            </w:pPr>
            <w:r>
              <w:rPr>
                <w:rFonts w:ascii="Arial" w:cs="Arial" w:eastAsia="Arial" w:hAnsi="Arial"/>
                <w:sz w:val="13"/>
                <w:szCs w:val="13"/>
                <w:b w:val="1"/>
                <w:bCs w:val="1"/>
                <w:color w:val="FFFFFF"/>
              </w:rPr>
              <w:t>Audit</w:t>
            </w:r>
          </w:p>
        </w:tc>
        <w:tc>
          <w:tcPr>
            <w:tcW w:w="1440" w:type="dxa"/>
            <w:vAlign w:val="bottom"/>
            <w:vMerge w:val="restart"/>
            <w:shd w:val="clear" w:color="auto" w:fill="CF1D4C"/>
          </w:tcPr>
          <w:p>
            <w:pPr>
              <w:ind w:left="260"/>
              <w:spacing w:after="0" w:line="135" w:lineRule="exact"/>
              <w:rPr>
                <w:sz w:val="20"/>
                <w:szCs w:val="20"/>
                <w:color w:val="auto"/>
              </w:rPr>
            </w:pPr>
            <w:r>
              <w:rPr>
                <w:rFonts w:ascii="Arial" w:cs="Arial" w:eastAsia="Arial" w:hAnsi="Arial"/>
                <w:sz w:val="13"/>
                <w:szCs w:val="13"/>
                <w:b w:val="1"/>
                <w:bCs w:val="1"/>
                <w:color w:val="FFFFFF"/>
              </w:rPr>
              <w:t>Compensation</w:t>
            </w:r>
          </w:p>
        </w:tc>
        <w:tc>
          <w:tcPr>
            <w:tcW w:w="1460" w:type="dxa"/>
            <w:vAlign w:val="bottom"/>
            <w:vMerge w:val="continue"/>
            <w:shd w:val="clear" w:color="auto" w:fill="CF1D4C"/>
          </w:tcPr>
          <w:p>
            <w:pPr>
              <w:spacing w:after="0"/>
              <w:rPr>
                <w:sz w:val="5"/>
                <w:szCs w:val="5"/>
                <w:color w:val="auto"/>
              </w:rPr>
            </w:pPr>
          </w:p>
        </w:tc>
        <w:tc>
          <w:tcPr>
            <w:tcW w:w="1340" w:type="dxa"/>
            <w:vAlign w:val="bottom"/>
            <w:vMerge w:val="continue"/>
            <w:shd w:val="clear" w:color="auto" w:fill="CF1D4C"/>
          </w:tcPr>
          <w:p>
            <w:pPr>
              <w:spacing w:after="0"/>
              <w:rPr>
                <w:sz w:val="5"/>
                <w:szCs w:val="5"/>
                <w:color w:val="auto"/>
              </w:rPr>
            </w:pPr>
          </w:p>
        </w:tc>
        <w:tc>
          <w:tcPr>
            <w:tcW w:w="1360" w:type="dxa"/>
            <w:vAlign w:val="bottom"/>
            <w:vMerge w:val="restart"/>
            <w:shd w:val="clear" w:color="auto" w:fill="CF1D4C"/>
          </w:tcPr>
          <w:p>
            <w:pPr>
              <w:ind w:left="300"/>
              <w:spacing w:after="0" w:line="135" w:lineRule="exact"/>
              <w:rPr>
                <w:sz w:val="20"/>
                <w:szCs w:val="20"/>
                <w:color w:val="auto"/>
              </w:rPr>
            </w:pPr>
            <w:r>
              <w:rPr>
                <w:rFonts w:ascii="Arial" w:cs="Arial" w:eastAsia="Arial" w:hAnsi="Arial"/>
                <w:sz w:val="13"/>
                <w:szCs w:val="13"/>
                <w:b w:val="1"/>
                <w:bCs w:val="1"/>
                <w:color w:val="FFFFFF"/>
              </w:rPr>
              <w:t>Technology</w:t>
            </w:r>
          </w:p>
        </w:tc>
        <w:tc>
          <w:tcPr>
            <w:tcW w:w="0" w:type="dxa"/>
            <w:vAlign w:val="bottom"/>
          </w:tcPr>
          <w:p>
            <w:pPr>
              <w:spacing w:after="0"/>
              <w:rPr>
                <w:sz w:val="1"/>
                <w:szCs w:val="1"/>
                <w:color w:val="auto"/>
              </w:rPr>
            </w:pPr>
          </w:p>
        </w:tc>
      </w:tr>
      <w:tr>
        <w:trPr>
          <w:trHeight w:val="68"/>
        </w:trPr>
        <w:tc>
          <w:tcPr>
            <w:tcW w:w="1920" w:type="dxa"/>
            <w:vAlign w:val="bottom"/>
            <w:shd w:val="clear" w:color="auto" w:fill="CF1D4C"/>
          </w:tcPr>
          <w:p>
            <w:pPr>
              <w:spacing w:after="0"/>
              <w:rPr>
                <w:sz w:val="5"/>
                <w:szCs w:val="5"/>
                <w:color w:val="auto"/>
              </w:rPr>
            </w:pPr>
          </w:p>
        </w:tc>
        <w:tc>
          <w:tcPr>
            <w:tcW w:w="1240" w:type="dxa"/>
            <w:vAlign w:val="bottom"/>
            <w:vMerge w:val="continue"/>
            <w:shd w:val="clear" w:color="auto" w:fill="CF1D4C"/>
          </w:tcPr>
          <w:p>
            <w:pPr>
              <w:spacing w:after="0"/>
              <w:rPr>
                <w:sz w:val="5"/>
                <w:szCs w:val="5"/>
                <w:color w:val="auto"/>
              </w:rPr>
            </w:pPr>
          </w:p>
        </w:tc>
        <w:tc>
          <w:tcPr>
            <w:tcW w:w="1440" w:type="dxa"/>
            <w:vAlign w:val="bottom"/>
            <w:vMerge w:val="continue"/>
            <w:shd w:val="clear" w:color="auto" w:fill="CF1D4C"/>
          </w:tcPr>
          <w:p>
            <w:pPr>
              <w:spacing w:after="0"/>
              <w:rPr>
                <w:sz w:val="5"/>
                <w:szCs w:val="5"/>
                <w:color w:val="auto"/>
              </w:rPr>
            </w:pPr>
          </w:p>
        </w:tc>
        <w:tc>
          <w:tcPr>
            <w:tcW w:w="1460" w:type="dxa"/>
            <w:vAlign w:val="bottom"/>
            <w:vMerge w:val="restart"/>
            <w:shd w:val="clear" w:color="auto" w:fill="CF1D4C"/>
          </w:tcPr>
          <w:p>
            <w:pPr>
              <w:ind w:left="320"/>
              <w:spacing w:after="0"/>
              <w:rPr>
                <w:sz w:val="20"/>
                <w:szCs w:val="20"/>
                <w:color w:val="auto"/>
              </w:rPr>
            </w:pPr>
            <w:r>
              <w:rPr>
                <w:rFonts w:ascii="Arial" w:cs="Arial" w:eastAsia="Arial" w:hAnsi="Arial"/>
                <w:sz w:val="13"/>
                <w:szCs w:val="13"/>
                <w:b w:val="1"/>
                <w:bCs w:val="1"/>
                <w:color w:val="FFFFFF"/>
              </w:rPr>
              <w:t>&amp; Governance</w:t>
            </w:r>
          </w:p>
        </w:tc>
        <w:tc>
          <w:tcPr>
            <w:tcW w:w="1340" w:type="dxa"/>
            <w:vAlign w:val="bottom"/>
            <w:vMerge w:val="restart"/>
            <w:shd w:val="clear" w:color="auto" w:fill="CF1D4C"/>
          </w:tcPr>
          <w:p>
            <w:pPr>
              <w:ind w:left="300"/>
              <w:spacing w:after="0"/>
              <w:rPr>
                <w:sz w:val="20"/>
                <w:szCs w:val="20"/>
                <w:color w:val="auto"/>
              </w:rPr>
            </w:pPr>
            <w:r>
              <w:rPr>
                <w:rFonts w:ascii="Arial" w:cs="Arial" w:eastAsia="Arial" w:hAnsi="Arial"/>
                <w:sz w:val="13"/>
                <w:szCs w:val="13"/>
                <w:b w:val="1"/>
                <w:bCs w:val="1"/>
                <w:color w:val="FFFFFF"/>
              </w:rPr>
              <w:t>Acquisitions</w:t>
            </w:r>
          </w:p>
        </w:tc>
        <w:tc>
          <w:tcPr>
            <w:tcW w:w="136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920" w:type="dxa"/>
            <w:vAlign w:val="bottom"/>
            <w:shd w:val="clear" w:color="auto" w:fill="CF1D4C"/>
          </w:tcPr>
          <w:p>
            <w:pPr>
              <w:spacing w:after="0"/>
              <w:rPr>
                <w:sz w:val="9"/>
                <w:szCs w:val="9"/>
                <w:color w:val="auto"/>
              </w:rPr>
            </w:pPr>
          </w:p>
        </w:tc>
        <w:tc>
          <w:tcPr>
            <w:tcW w:w="1240" w:type="dxa"/>
            <w:vAlign w:val="bottom"/>
            <w:shd w:val="clear" w:color="auto" w:fill="CF1D4C"/>
          </w:tcPr>
          <w:p>
            <w:pPr>
              <w:spacing w:after="0"/>
              <w:rPr>
                <w:sz w:val="9"/>
                <w:szCs w:val="9"/>
                <w:color w:val="auto"/>
              </w:rPr>
            </w:pPr>
          </w:p>
        </w:tc>
        <w:tc>
          <w:tcPr>
            <w:tcW w:w="1440" w:type="dxa"/>
            <w:vAlign w:val="bottom"/>
            <w:shd w:val="clear" w:color="auto" w:fill="CF1D4C"/>
          </w:tcPr>
          <w:p>
            <w:pPr>
              <w:spacing w:after="0"/>
              <w:rPr>
                <w:sz w:val="9"/>
                <w:szCs w:val="9"/>
                <w:color w:val="auto"/>
              </w:rPr>
            </w:pPr>
          </w:p>
        </w:tc>
        <w:tc>
          <w:tcPr>
            <w:tcW w:w="1460" w:type="dxa"/>
            <w:vAlign w:val="bottom"/>
            <w:vMerge w:val="continue"/>
            <w:shd w:val="clear" w:color="auto" w:fill="CF1D4C"/>
          </w:tcPr>
          <w:p>
            <w:pPr>
              <w:spacing w:after="0"/>
              <w:rPr>
                <w:sz w:val="9"/>
                <w:szCs w:val="9"/>
                <w:color w:val="auto"/>
              </w:rPr>
            </w:pPr>
          </w:p>
        </w:tc>
        <w:tc>
          <w:tcPr>
            <w:tcW w:w="1340" w:type="dxa"/>
            <w:vAlign w:val="bottom"/>
            <w:vMerge w:val="continue"/>
            <w:shd w:val="clear" w:color="auto" w:fill="CF1D4C"/>
          </w:tcPr>
          <w:p>
            <w:pPr>
              <w:spacing w:after="0"/>
              <w:rPr>
                <w:sz w:val="9"/>
                <w:szCs w:val="9"/>
                <w:color w:val="auto"/>
              </w:rPr>
            </w:pPr>
          </w:p>
        </w:tc>
        <w:tc>
          <w:tcPr>
            <w:tcW w:w="1360" w:type="dxa"/>
            <w:vAlign w:val="bottom"/>
            <w:vMerge w:val="restart"/>
            <w:shd w:val="clear" w:color="auto" w:fill="CF1D4C"/>
          </w:tcPr>
          <w:p>
            <w:pPr>
              <w:ind w:left="300"/>
              <w:spacing w:after="0"/>
              <w:rPr>
                <w:sz w:val="20"/>
                <w:szCs w:val="20"/>
                <w:color w:val="auto"/>
              </w:rPr>
            </w:pPr>
            <w:r>
              <w:rPr>
                <w:rFonts w:ascii="Arial" w:cs="Arial" w:eastAsia="Arial" w:hAnsi="Arial"/>
                <w:sz w:val="13"/>
                <w:szCs w:val="13"/>
                <w:b w:val="1"/>
                <w:bCs w:val="1"/>
                <w:color w:val="FFFFFF"/>
              </w:rPr>
              <w:t>&amp; Security</w:t>
            </w:r>
          </w:p>
        </w:tc>
        <w:tc>
          <w:tcPr>
            <w:tcW w:w="0" w:type="dxa"/>
            <w:vAlign w:val="bottom"/>
          </w:tcPr>
          <w:p>
            <w:pPr>
              <w:spacing w:after="0"/>
              <w:rPr>
                <w:sz w:val="1"/>
                <w:szCs w:val="1"/>
                <w:color w:val="auto"/>
              </w:rPr>
            </w:pPr>
          </w:p>
        </w:tc>
      </w:tr>
      <w:tr>
        <w:trPr>
          <w:trHeight w:val="68"/>
        </w:trPr>
        <w:tc>
          <w:tcPr>
            <w:tcW w:w="1920" w:type="dxa"/>
            <w:vAlign w:val="bottom"/>
            <w:shd w:val="clear" w:color="auto" w:fill="CF1D4C"/>
          </w:tcPr>
          <w:p>
            <w:pPr>
              <w:spacing w:after="0"/>
              <w:rPr>
                <w:sz w:val="5"/>
                <w:szCs w:val="5"/>
                <w:color w:val="auto"/>
              </w:rPr>
            </w:pPr>
          </w:p>
        </w:tc>
        <w:tc>
          <w:tcPr>
            <w:tcW w:w="1240" w:type="dxa"/>
            <w:vAlign w:val="bottom"/>
            <w:shd w:val="clear" w:color="auto" w:fill="CF1D4C"/>
          </w:tcPr>
          <w:p>
            <w:pPr>
              <w:spacing w:after="0"/>
              <w:rPr>
                <w:sz w:val="5"/>
                <w:szCs w:val="5"/>
                <w:color w:val="auto"/>
              </w:rPr>
            </w:pPr>
          </w:p>
        </w:tc>
        <w:tc>
          <w:tcPr>
            <w:tcW w:w="1440" w:type="dxa"/>
            <w:vAlign w:val="bottom"/>
            <w:shd w:val="clear" w:color="auto" w:fill="CF1D4C"/>
          </w:tcPr>
          <w:p>
            <w:pPr>
              <w:spacing w:after="0"/>
              <w:rPr>
                <w:sz w:val="5"/>
                <w:szCs w:val="5"/>
                <w:color w:val="auto"/>
              </w:rPr>
            </w:pPr>
          </w:p>
        </w:tc>
        <w:tc>
          <w:tcPr>
            <w:tcW w:w="1460" w:type="dxa"/>
            <w:vAlign w:val="bottom"/>
            <w:shd w:val="clear" w:color="auto" w:fill="CF1D4C"/>
          </w:tcPr>
          <w:p>
            <w:pPr>
              <w:spacing w:after="0"/>
              <w:rPr>
                <w:sz w:val="5"/>
                <w:szCs w:val="5"/>
                <w:color w:val="auto"/>
              </w:rPr>
            </w:pPr>
          </w:p>
        </w:tc>
        <w:tc>
          <w:tcPr>
            <w:tcW w:w="1340" w:type="dxa"/>
            <w:vAlign w:val="bottom"/>
            <w:shd w:val="clear" w:color="auto" w:fill="CF1D4C"/>
          </w:tcPr>
          <w:p>
            <w:pPr>
              <w:spacing w:after="0"/>
              <w:rPr>
                <w:sz w:val="5"/>
                <w:szCs w:val="5"/>
                <w:color w:val="auto"/>
              </w:rPr>
            </w:pPr>
          </w:p>
        </w:tc>
        <w:tc>
          <w:tcPr>
            <w:tcW w:w="136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1920" w:type="dxa"/>
            <w:vAlign w:val="bottom"/>
            <w:shd w:val="clear" w:color="auto" w:fill="CF1D4C"/>
          </w:tcPr>
          <w:p>
            <w:pPr>
              <w:spacing w:after="0"/>
              <w:rPr>
                <w:sz w:val="10"/>
                <w:szCs w:val="10"/>
                <w:color w:val="auto"/>
              </w:rPr>
            </w:pPr>
          </w:p>
        </w:tc>
        <w:tc>
          <w:tcPr>
            <w:tcW w:w="1240" w:type="dxa"/>
            <w:vAlign w:val="bottom"/>
            <w:shd w:val="clear" w:color="auto" w:fill="CF1D4C"/>
          </w:tcPr>
          <w:p>
            <w:pPr>
              <w:spacing w:after="0"/>
              <w:rPr>
                <w:sz w:val="10"/>
                <w:szCs w:val="10"/>
                <w:color w:val="auto"/>
              </w:rPr>
            </w:pPr>
          </w:p>
        </w:tc>
        <w:tc>
          <w:tcPr>
            <w:tcW w:w="1440" w:type="dxa"/>
            <w:vAlign w:val="bottom"/>
            <w:shd w:val="clear" w:color="auto" w:fill="CF1D4C"/>
          </w:tcPr>
          <w:p>
            <w:pPr>
              <w:spacing w:after="0"/>
              <w:rPr>
                <w:sz w:val="10"/>
                <w:szCs w:val="10"/>
                <w:color w:val="auto"/>
              </w:rPr>
            </w:pPr>
          </w:p>
        </w:tc>
        <w:tc>
          <w:tcPr>
            <w:tcW w:w="1460" w:type="dxa"/>
            <w:vAlign w:val="bottom"/>
            <w:shd w:val="clear" w:color="auto" w:fill="CF1D4C"/>
          </w:tcPr>
          <w:p>
            <w:pPr>
              <w:spacing w:after="0"/>
              <w:rPr>
                <w:sz w:val="10"/>
                <w:szCs w:val="10"/>
                <w:color w:val="auto"/>
              </w:rPr>
            </w:pPr>
          </w:p>
        </w:tc>
        <w:tc>
          <w:tcPr>
            <w:tcW w:w="1340" w:type="dxa"/>
            <w:vAlign w:val="bottom"/>
            <w:shd w:val="clear" w:color="auto" w:fill="CF1D4C"/>
          </w:tcPr>
          <w:p>
            <w:pPr>
              <w:spacing w:after="0"/>
              <w:rPr>
                <w:sz w:val="10"/>
                <w:szCs w:val="10"/>
                <w:color w:val="auto"/>
              </w:rPr>
            </w:pPr>
          </w:p>
        </w:tc>
        <w:tc>
          <w:tcPr>
            <w:tcW w:w="1360" w:type="dxa"/>
            <w:vAlign w:val="bottom"/>
            <w:shd w:val="clear" w:color="auto" w:fill="CF1D4C"/>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1920" w:type="dxa"/>
            <w:vAlign w:val="bottom"/>
          </w:tcPr>
          <w:p>
            <w:pPr>
              <w:ind w:left="160"/>
              <w:spacing w:after="0"/>
              <w:rPr>
                <w:sz w:val="20"/>
                <w:szCs w:val="20"/>
                <w:color w:val="auto"/>
              </w:rPr>
            </w:pPr>
            <w:r>
              <w:rPr>
                <w:rFonts w:ascii="Arial" w:cs="Arial" w:eastAsia="Arial" w:hAnsi="Arial"/>
                <w:sz w:val="16"/>
                <w:szCs w:val="16"/>
                <w:b w:val="1"/>
                <w:bCs w:val="1"/>
                <w:color w:val="333333"/>
              </w:rPr>
              <w:t>Annabelle Bexiga</w:t>
            </w:r>
          </w:p>
        </w:tc>
        <w:tc>
          <w:tcPr>
            <w:tcW w:w="1240" w:type="dxa"/>
            <w:vAlign w:val="bottom"/>
          </w:tcPr>
          <w:p>
            <w:pPr>
              <w:ind w:left="640"/>
              <w:spacing w:after="0"/>
              <w:rPr>
                <w:sz w:val="20"/>
                <w:szCs w:val="20"/>
                <w:color w:val="auto"/>
              </w:rPr>
            </w:pPr>
            <w:r>
              <w:rPr>
                <w:rFonts w:ascii="Arial" w:cs="Arial" w:eastAsia="Arial" w:hAnsi="Arial"/>
                <w:sz w:val="16"/>
                <w:szCs w:val="16"/>
                <w:color w:val="333333"/>
              </w:rPr>
              <w:t>—</w:t>
            </w:r>
          </w:p>
        </w:tc>
        <w:tc>
          <w:tcPr>
            <w:tcW w:w="1440" w:type="dxa"/>
            <w:vAlign w:val="bottom"/>
          </w:tcPr>
          <w:p>
            <w:pPr>
              <w:ind w:left="260"/>
              <w:spacing w:after="0"/>
              <w:rPr>
                <w:sz w:val="20"/>
                <w:szCs w:val="20"/>
                <w:color w:val="auto"/>
              </w:rPr>
            </w:pPr>
            <w:r>
              <w:rPr>
                <w:rFonts w:ascii="Arial" w:cs="Arial" w:eastAsia="Arial" w:hAnsi="Arial"/>
                <w:sz w:val="16"/>
                <w:szCs w:val="16"/>
                <w:color w:val="333333"/>
              </w:rPr>
              <w:t>​C</w:t>
            </w:r>
          </w:p>
        </w:tc>
        <w:tc>
          <w:tcPr>
            <w:tcW w:w="1460" w:type="dxa"/>
            <w:vAlign w:val="bottom"/>
          </w:tcPr>
          <w:p>
            <w:pPr>
              <w:ind w:left="320"/>
              <w:spacing w:after="0"/>
              <w:rPr>
                <w:sz w:val="20"/>
                <w:szCs w:val="20"/>
                <w:color w:val="auto"/>
              </w:rPr>
            </w:pPr>
            <w:r>
              <w:rPr>
                <w:rFonts w:ascii="Arial" w:cs="Arial" w:eastAsia="Arial" w:hAnsi="Arial"/>
                <w:sz w:val="16"/>
                <w:szCs w:val="16"/>
                <w:color w:val="333333"/>
              </w:rPr>
              <w:t>—</w:t>
            </w:r>
          </w:p>
        </w:tc>
        <w:tc>
          <w:tcPr>
            <w:tcW w:w="1340" w:type="dxa"/>
            <w:vAlign w:val="bottom"/>
          </w:tcPr>
          <w:p>
            <w:pPr>
              <w:ind w:left="300"/>
              <w:spacing w:after="0"/>
              <w:rPr>
                <w:sz w:val="20"/>
                <w:szCs w:val="20"/>
                <w:color w:val="auto"/>
              </w:rPr>
            </w:pPr>
            <w:r>
              <w:rPr>
                <w:rFonts w:ascii="Arial" w:cs="Arial" w:eastAsia="Arial" w:hAnsi="Arial"/>
                <w:sz w:val="16"/>
                <w:szCs w:val="16"/>
                <w:color w:val="333333"/>
              </w:rPr>
              <w:t>—</w:t>
            </w:r>
          </w:p>
        </w:tc>
        <w:tc>
          <w:tcPr>
            <w:tcW w:w="1360" w:type="dxa"/>
            <w:vAlign w:val="bottom"/>
          </w:tcPr>
          <w:p>
            <w:pPr>
              <w:ind w:left="300"/>
              <w:spacing w:after="0"/>
              <w:rPr>
                <w:sz w:val="20"/>
                <w:szCs w:val="20"/>
                <w:color w:val="auto"/>
              </w:rPr>
            </w:pPr>
            <w:r>
              <w:rPr>
                <w:rFonts w:ascii="Arial" w:cs="Arial" w:eastAsia="Arial" w:hAnsi="Arial"/>
                <w:sz w:val="16"/>
                <w:szCs w:val="16"/>
                <w:color w:val="333333"/>
              </w:rPr>
              <w:t>M</w:t>
            </w:r>
          </w:p>
        </w:tc>
        <w:tc>
          <w:tcPr>
            <w:tcW w:w="0" w:type="dxa"/>
            <w:vAlign w:val="bottom"/>
          </w:tcPr>
          <w:p>
            <w:pPr>
              <w:spacing w:after="0"/>
              <w:rPr>
                <w:sz w:val="1"/>
                <w:szCs w:val="1"/>
                <w:color w:val="auto"/>
              </w:rPr>
            </w:pPr>
          </w:p>
        </w:tc>
      </w:tr>
      <w:tr>
        <w:trPr>
          <w:trHeight w:val="102"/>
        </w:trPr>
        <w:tc>
          <w:tcPr>
            <w:tcW w:w="1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920" w:type="dxa"/>
            <w:vAlign w:val="bottom"/>
            <w:shd w:val="clear" w:color="auto" w:fill="D9D9D9"/>
          </w:tcPr>
          <w:p>
            <w:pPr>
              <w:ind w:left="160"/>
              <w:spacing w:after="0"/>
              <w:rPr>
                <w:sz w:val="20"/>
                <w:szCs w:val="20"/>
                <w:color w:val="auto"/>
              </w:rPr>
            </w:pPr>
            <w:r>
              <w:rPr>
                <w:rFonts w:ascii="Arial" w:cs="Arial" w:eastAsia="Arial" w:hAnsi="Arial"/>
                <w:sz w:val="16"/>
                <w:szCs w:val="16"/>
                <w:b w:val="1"/>
                <w:bCs w:val="1"/>
                <w:color w:val="333333"/>
              </w:rPr>
              <w:t>Ronald F. Clarke</w:t>
            </w:r>
          </w:p>
        </w:tc>
        <w:tc>
          <w:tcPr>
            <w:tcW w:w="1240" w:type="dxa"/>
            <w:vAlign w:val="bottom"/>
            <w:shd w:val="clear" w:color="auto" w:fill="D9D9D9"/>
          </w:tcPr>
          <w:p>
            <w:pPr>
              <w:ind w:left="640"/>
              <w:spacing w:after="0"/>
              <w:rPr>
                <w:sz w:val="20"/>
                <w:szCs w:val="20"/>
                <w:color w:val="auto"/>
              </w:rPr>
            </w:pPr>
            <w:r>
              <w:rPr>
                <w:rFonts w:ascii="Arial" w:cs="Arial" w:eastAsia="Arial" w:hAnsi="Arial"/>
                <w:sz w:val="16"/>
                <w:szCs w:val="16"/>
                <w:color w:val="333333"/>
              </w:rPr>
              <w:t>—</w:t>
            </w:r>
          </w:p>
        </w:tc>
        <w:tc>
          <w:tcPr>
            <w:tcW w:w="1440" w:type="dxa"/>
            <w:vAlign w:val="bottom"/>
            <w:shd w:val="clear" w:color="auto" w:fill="D9D9D9"/>
          </w:tcPr>
          <w:p>
            <w:pPr>
              <w:ind w:left="260"/>
              <w:spacing w:after="0"/>
              <w:rPr>
                <w:sz w:val="20"/>
                <w:szCs w:val="20"/>
                <w:color w:val="auto"/>
              </w:rPr>
            </w:pPr>
            <w:r>
              <w:rPr>
                <w:rFonts w:ascii="Arial" w:cs="Arial" w:eastAsia="Arial" w:hAnsi="Arial"/>
                <w:sz w:val="16"/>
                <w:szCs w:val="16"/>
                <w:color w:val="333333"/>
              </w:rPr>
              <w:t>—</w:t>
            </w:r>
          </w:p>
        </w:tc>
        <w:tc>
          <w:tcPr>
            <w:tcW w:w="1460" w:type="dxa"/>
            <w:vAlign w:val="bottom"/>
            <w:shd w:val="clear" w:color="auto" w:fill="D9D9D9"/>
          </w:tcPr>
          <w:p>
            <w:pPr>
              <w:ind w:left="320"/>
              <w:spacing w:after="0"/>
              <w:rPr>
                <w:sz w:val="20"/>
                <w:szCs w:val="20"/>
                <w:color w:val="auto"/>
              </w:rPr>
            </w:pPr>
            <w:r>
              <w:rPr>
                <w:rFonts w:ascii="Arial" w:cs="Arial" w:eastAsia="Arial" w:hAnsi="Arial"/>
                <w:sz w:val="16"/>
                <w:szCs w:val="16"/>
                <w:color w:val="333333"/>
              </w:rPr>
              <w:t>—</w:t>
            </w:r>
          </w:p>
        </w:tc>
        <w:tc>
          <w:tcPr>
            <w:tcW w:w="134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C</w:t>
            </w:r>
          </w:p>
        </w:tc>
        <w:tc>
          <w:tcPr>
            <w:tcW w:w="136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102"/>
        </w:trPr>
        <w:tc>
          <w:tcPr>
            <w:tcW w:w="1920" w:type="dxa"/>
            <w:vAlign w:val="bottom"/>
            <w:shd w:val="clear" w:color="auto" w:fill="D9D9D9"/>
          </w:tcPr>
          <w:p>
            <w:pPr>
              <w:spacing w:after="0"/>
              <w:rPr>
                <w:sz w:val="8"/>
                <w:szCs w:val="8"/>
                <w:color w:val="auto"/>
              </w:rPr>
            </w:pPr>
          </w:p>
        </w:tc>
        <w:tc>
          <w:tcPr>
            <w:tcW w:w="1240" w:type="dxa"/>
            <w:vAlign w:val="bottom"/>
            <w:shd w:val="clear" w:color="auto" w:fill="D9D9D9"/>
          </w:tcPr>
          <w:p>
            <w:pPr>
              <w:spacing w:after="0"/>
              <w:rPr>
                <w:sz w:val="8"/>
                <w:szCs w:val="8"/>
                <w:color w:val="auto"/>
              </w:rPr>
            </w:pPr>
          </w:p>
        </w:tc>
        <w:tc>
          <w:tcPr>
            <w:tcW w:w="1440" w:type="dxa"/>
            <w:vAlign w:val="bottom"/>
            <w:shd w:val="clear" w:color="auto" w:fill="D9D9D9"/>
          </w:tcPr>
          <w:p>
            <w:pPr>
              <w:spacing w:after="0"/>
              <w:rPr>
                <w:sz w:val="8"/>
                <w:szCs w:val="8"/>
                <w:color w:val="auto"/>
              </w:rPr>
            </w:pPr>
          </w:p>
        </w:tc>
        <w:tc>
          <w:tcPr>
            <w:tcW w:w="1460" w:type="dxa"/>
            <w:vAlign w:val="bottom"/>
            <w:shd w:val="clear" w:color="auto" w:fill="D9D9D9"/>
          </w:tcPr>
          <w:p>
            <w:pPr>
              <w:spacing w:after="0"/>
              <w:rPr>
                <w:sz w:val="8"/>
                <w:szCs w:val="8"/>
                <w:color w:val="auto"/>
              </w:rPr>
            </w:pPr>
          </w:p>
        </w:tc>
        <w:tc>
          <w:tcPr>
            <w:tcW w:w="1340" w:type="dxa"/>
            <w:vAlign w:val="bottom"/>
            <w:shd w:val="clear" w:color="auto" w:fill="D9D9D9"/>
          </w:tcPr>
          <w:p>
            <w:pPr>
              <w:spacing w:after="0"/>
              <w:rPr>
                <w:sz w:val="8"/>
                <w:szCs w:val="8"/>
                <w:color w:val="auto"/>
              </w:rPr>
            </w:pPr>
          </w:p>
        </w:tc>
        <w:tc>
          <w:tcPr>
            <w:tcW w:w="136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920" w:type="dxa"/>
            <w:vAlign w:val="bottom"/>
          </w:tcPr>
          <w:p>
            <w:pPr>
              <w:ind w:left="160"/>
              <w:spacing w:after="0"/>
              <w:rPr>
                <w:sz w:val="20"/>
                <w:szCs w:val="20"/>
                <w:color w:val="auto"/>
              </w:rPr>
            </w:pPr>
            <w:r>
              <w:rPr>
                <w:rFonts w:ascii="Arial" w:cs="Arial" w:eastAsia="Arial" w:hAnsi="Arial"/>
                <w:sz w:val="16"/>
                <w:szCs w:val="16"/>
                <w:b w:val="1"/>
                <w:bCs w:val="1"/>
                <w:color w:val="333333"/>
              </w:rPr>
              <w:t>Joseph W. Farrelly</w:t>
            </w:r>
          </w:p>
        </w:tc>
        <w:tc>
          <w:tcPr>
            <w:tcW w:w="1240" w:type="dxa"/>
            <w:vAlign w:val="bottom"/>
          </w:tcPr>
          <w:p>
            <w:pPr>
              <w:ind w:left="640"/>
              <w:spacing w:after="0"/>
              <w:rPr>
                <w:sz w:val="20"/>
                <w:szCs w:val="20"/>
                <w:color w:val="auto"/>
              </w:rPr>
            </w:pPr>
            <w:r>
              <w:rPr>
                <w:rFonts w:ascii="Arial" w:cs="Arial" w:eastAsia="Arial" w:hAnsi="Arial"/>
                <w:sz w:val="16"/>
                <w:szCs w:val="16"/>
                <w:color w:val="333333"/>
              </w:rPr>
              <w:t>—</w:t>
            </w:r>
          </w:p>
        </w:tc>
        <w:tc>
          <w:tcPr>
            <w:tcW w:w="1440" w:type="dxa"/>
            <w:vAlign w:val="bottom"/>
          </w:tcPr>
          <w:p>
            <w:pPr>
              <w:ind w:left="260"/>
              <w:spacing w:after="0"/>
              <w:rPr>
                <w:sz w:val="20"/>
                <w:szCs w:val="20"/>
                <w:color w:val="auto"/>
              </w:rPr>
            </w:pPr>
            <w:r>
              <w:rPr>
                <w:rFonts w:ascii="Arial" w:cs="Arial" w:eastAsia="Arial" w:hAnsi="Arial"/>
                <w:sz w:val="16"/>
                <w:szCs w:val="16"/>
                <w:color w:val="333333"/>
              </w:rPr>
              <w:t>M</w:t>
            </w:r>
          </w:p>
        </w:tc>
        <w:tc>
          <w:tcPr>
            <w:tcW w:w="1460" w:type="dxa"/>
            <w:vAlign w:val="bottom"/>
          </w:tcPr>
          <w:p>
            <w:pPr>
              <w:ind w:left="320"/>
              <w:spacing w:after="0"/>
              <w:rPr>
                <w:sz w:val="20"/>
                <w:szCs w:val="20"/>
                <w:color w:val="auto"/>
              </w:rPr>
            </w:pPr>
            <w:r>
              <w:rPr>
                <w:rFonts w:ascii="Arial" w:cs="Arial" w:eastAsia="Arial" w:hAnsi="Arial"/>
                <w:sz w:val="16"/>
                <w:szCs w:val="16"/>
                <w:color w:val="333333"/>
              </w:rPr>
              <w:t>—</w:t>
            </w:r>
          </w:p>
        </w:tc>
        <w:tc>
          <w:tcPr>
            <w:tcW w:w="1340" w:type="dxa"/>
            <w:vAlign w:val="bottom"/>
          </w:tcPr>
          <w:p>
            <w:pPr>
              <w:ind w:left="300"/>
              <w:spacing w:after="0"/>
              <w:rPr>
                <w:sz w:val="20"/>
                <w:szCs w:val="20"/>
                <w:color w:val="auto"/>
              </w:rPr>
            </w:pPr>
            <w:r>
              <w:rPr>
                <w:rFonts w:ascii="Arial" w:cs="Arial" w:eastAsia="Arial" w:hAnsi="Arial"/>
                <w:sz w:val="16"/>
                <w:szCs w:val="16"/>
                <w:color w:val="333333"/>
              </w:rPr>
              <w:t>—</w:t>
            </w:r>
          </w:p>
        </w:tc>
        <w:tc>
          <w:tcPr>
            <w:tcW w:w="1360" w:type="dxa"/>
            <w:vAlign w:val="bottom"/>
          </w:tcPr>
          <w:p>
            <w:pPr>
              <w:ind w:left="300"/>
              <w:spacing w:after="0"/>
              <w:rPr>
                <w:sz w:val="20"/>
                <w:szCs w:val="20"/>
                <w:color w:val="auto"/>
              </w:rPr>
            </w:pPr>
            <w:r>
              <w:rPr>
                <w:rFonts w:ascii="Arial" w:cs="Arial" w:eastAsia="Arial" w:hAnsi="Arial"/>
                <w:sz w:val="16"/>
                <w:szCs w:val="16"/>
                <w:color w:val="333333"/>
              </w:rPr>
              <w:t>C</w:t>
            </w:r>
          </w:p>
        </w:tc>
        <w:tc>
          <w:tcPr>
            <w:tcW w:w="0" w:type="dxa"/>
            <w:vAlign w:val="bottom"/>
          </w:tcPr>
          <w:p>
            <w:pPr>
              <w:spacing w:after="0"/>
              <w:rPr>
                <w:sz w:val="1"/>
                <w:szCs w:val="1"/>
                <w:color w:val="auto"/>
              </w:rPr>
            </w:pPr>
          </w:p>
        </w:tc>
      </w:tr>
      <w:tr>
        <w:trPr>
          <w:trHeight w:val="102"/>
        </w:trPr>
        <w:tc>
          <w:tcPr>
            <w:tcW w:w="1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920" w:type="dxa"/>
            <w:vAlign w:val="bottom"/>
            <w:shd w:val="clear" w:color="auto" w:fill="D9D9D9"/>
          </w:tcPr>
          <w:p>
            <w:pPr>
              <w:ind w:left="160"/>
              <w:spacing w:after="0"/>
              <w:rPr>
                <w:sz w:val="20"/>
                <w:szCs w:val="20"/>
                <w:color w:val="auto"/>
              </w:rPr>
            </w:pPr>
            <w:r>
              <w:rPr>
                <w:rFonts w:ascii="Arial" w:cs="Arial" w:eastAsia="Arial" w:hAnsi="Arial"/>
                <w:sz w:val="16"/>
                <w:szCs w:val="16"/>
                <w:b w:val="1"/>
                <w:bCs w:val="1"/>
                <w:color w:val="333333"/>
              </w:rPr>
              <w:t>Rahul Gupta</w:t>
            </w:r>
          </w:p>
        </w:tc>
        <w:tc>
          <w:tcPr>
            <w:tcW w:w="1240" w:type="dxa"/>
            <w:vAlign w:val="bottom"/>
            <w:shd w:val="clear" w:color="auto" w:fill="D9D9D9"/>
          </w:tcPr>
          <w:p>
            <w:pPr>
              <w:ind w:left="640"/>
              <w:spacing w:after="0"/>
              <w:rPr>
                <w:sz w:val="20"/>
                <w:szCs w:val="20"/>
                <w:color w:val="auto"/>
              </w:rPr>
            </w:pPr>
            <w:r>
              <w:rPr>
                <w:rFonts w:ascii="Arial" w:cs="Arial" w:eastAsia="Arial" w:hAnsi="Arial"/>
                <w:sz w:val="16"/>
                <w:szCs w:val="16"/>
                <w:color w:val="333333"/>
              </w:rPr>
              <w:t>—</w:t>
            </w:r>
          </w:p>
        </w:tc>
        <w:tc>
          <w:tcPr>
            <w:tcW w:w="1440" w:type="dxa"/>
            <w:vAlign w:val="bottom"/>
            <w:shd w:val="clear" w:color="auto" w:fill="D9D9D9"/>
          </w:tcPr>
          <w:p>
            <w:pPr>
              <w:ind w:left="260"/>
              <w:spacing w:after="0"/>
              <w:rPr>
                <w:sz w:val="20"/>
                <w:szCs w:val="20"/>
                <w:color w:val="auto"/>
              </w:rPr>
            </w:pPr>
            <w:r>
              <w:rPr>
                <w:rFonts w:ascii="Arial" w:cs="Arial" w:eastAsia="Arial" w:hAnsi="Arial"/>
                <w:sz w:val="16"/>
                <w:szCs w:val="16"/>
                <w:color w:val="333333"/>
              </w:rPr>
              <w:t>—</w:t>
            </w:r>
          </w:p>
        </w:tc>
        <w:tc>
          <w:tcPr>
            <w:tcW w:w="1460" w:type="dxa"/>
            <w:vAlign w:val="bottom"/>
            <w:shd w:val="clear" w:color="auto" w:fill="D9D9D9"/>
          </w:tcPr>
          <w:p>
            <w:pPr>
              <w:ind w:left="320"/>
              <w:spacing w:after="0"/>
              <w:rPr>
                <w:sz w:val="20"/>
                <w:szCs w:val="20"/>
                <w:color w:val="auto"/>
              </w:rPr>
            </w:pPr>
            <w:r>
              <w:rPr>
                <w:rFonts w:ascii="Arial" w:cs="Arial" w:eastAsia="Arial" w:hAnsi="Arial"/>
                <w:sz w:val="16"/>
                <w:szCs w:val="16"/>
                <w:color w:val="333333"/>
              </w:rPr>
              <w:t>M</w:t>
            </w:r>
          </w:p>
        </w:tc>
        <w:tc>
          <w:tcPr>
            <w:tcW w:w="134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w:t>
            </w:r>
          </w:p>
        </w:tc>
        <w:tc>
          <w:tcPr>
            <w:tcW w:w="136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102"/>
        </w:trPr>
        <w:tc>
          <w:tcPr>
            <w:tcW w:w="1920" w:type="dxa"/>
            <w:vAlign w:val="bottom"/>
            <w:shd w:val="clear" w:color="auto" w:fill="D9D9D9"/>
          </w:tcPr>
          <w:p>
            <w:pPr>
              <w:spacing w:after="0"/>
              <w:rPr>
                <w:sz w:val="8"/>
                <w:szCs w:val="8"/>
                <w:color w:val="auto"/>
              </w:rPr>
            </w:pPr>
          </w:p>
        </w:tc>
        <w:tc>
          <w:tcPr>
            <w:tcW w:w="1240" w:type="dxa"/>
            <w:vAlign w:val="bottom"/>
            <w:shd w:val="clear" w:color="auto" w:fill="D9D9D9"/>
          </w:tcPr>
          <w:p>
            <w:pPr>
              <w:spacing w:after="0"/>
              <w:rPr>
                <w:sz w:val="8"/>
                <w:szCs w:val="8"/>
                <w:color w:val="auto"/>
              </w:rPr>
            </w:pPr>
          </w:p>
        </w:tc>
        <w:tc>
          <w:tcPr>
            <w:tcW w:w="1440" w:type="dxa"/>
            <w:vAlign w:val="bottom"/>
            <w:shd w:val="clear" w:color="auto" w:fill="D9D9D9"/>
          </w:tcPr>
          <w:p>
            <w:pPr>
              <w:spacing w:after="0"/>
              <w:rPr>
                <w:sz w:val="8"/>
                <w:szCs w:val="8"/>
                <w:color w:val="auto"/>
              </w:rPr>
            </w:pPr>
          </w:p>
        </w:tc>
        <w:tc>
          <w:tcPr>
            <w:tcW w:w="1460" w:type="dxa"/>
            <w:vAlign w:val="bottom"/>
            <w:shd w:val="clear" w:color="auto" w:fill="D9D9D9"/>
          </w:tcPr>
          <w:p>
            <w:pPr>
              <w:spacing w:after="0"/>
              <w:rPr>
                <w:sz w:val="8"/>
                <w:szCs w:val="8"/>
                <w:color w:val="auto"/>
              </w:rPr>
            </w:pPr>
          </w:p>
        </w:tc>
        <w:tc>
          <w:tcPr>
            <w:tcW w:w="1340" w:type="dxa"/>
            <w:vAlign w:val="bottom"/>
            <w:shd w:val="clear" w:color="auto" w:fill="D9D9D9"/>
          </w:tcPr>
          <w:p>
            <w:pPr>
              <w:spacing w:after="0"/>
              <w:rPr>
                <w:sz w:val="8"/>
                <w:szCs w:val="8"/>
                <w:color w:val="auto"/>
              </w:rPr>
            </w:pPr>
          </w:p>
        </w:tc>
        <w:tc>
          <w:tcPr>
            <w:tcW w:w="136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920" w:type="dxa"/>
            <w:vAlign w:val="bottom"/>
          </w:tcPr>
          <w:p>
            <w:pPr>
              <w:ind w:left="160"/>
              <w:spacing w:after="0"/>
              <w:rPr>
                <w:sz w:val="20"/>
                <w:szCs w:val="20"/>
                <w:color w:val="auto"/>
              </w:rPr>
            </w:pPr>
            <w:r>
              <w:rPr>
                <w:rFonts w:ascii="Arial" w:cs="Arial" w:eastAsia="Arial" w:hAnsi="Arial"/>
                <w:sz w:val="16"/>
                <w:szCs w:val="16"/>
                <w:b w:val="1"/>
                <w:bCs w:val="1"/>
                <w:color w:val="333333"/>
              </w:rPr>
              <w:t>Thomas M. Hagerty</w:t>
            </w:r>
          </w:p>
        </w:tc>
        <w:tc>
          <w:tcPr>
            <w:tcW w:w="1240" w:type="dxa"/>
            <w:vAlign w:val="bottom"/>
          </w:tcPr>
          <w:p>
            <w:pPr>
              <w:ind w:left="640"/>
              <w:spacing w:after="0"/>
              <w:rPr>
                <w:sz w:val="20"/>
                <w:szCs w:val="20"/>
                <w:color w:val="auto"/>
              </w:rPr>
            </w:pPr>
            <w:r>
              <w:rPr>
                <w:rFonts w:ascii="Arial" w:cs="Arial" w:eastAsia="Arial" w:hAnsi="Arial"/>
                <w:sz w:val="16"/>
                <w:szCs w:val="16"/>
                <w:color w:val="333333"/>
              </w:rPr>
              <w:t>—</w:t>
            </w:r>
          </w:p>
        </w:tc>
        <w:tc>
          <w:tcPr>
            <w:tcW w:w="1440" w:type="dxa"/>
            <w:vAlign w:val="bottom"/>
          </w:tcPr>
          <w:p>
            <w:pPr>
              <w:ind w:left="260"/>
              <w:spacing w:after="0"/>
              <w:rPr>
                <w:sz w:val="20"/>
                <w:szCs w:val="20"/>
                <w:color w:val="auto"/>
              </w:rPr>
            </w:pPr>
            <w:r>
              <w:rPr>
                <w:rFonts w:ascii="Arial" w:cs="Arial" w:eastAsia="Arial" w:hAnsi="Arial"/>
                <w:sz w:val="16"/>
                <w:szCs w:val="16"/>
                <w:color w:val="333333"/>
              </w:rPr>
              <w:t>​M</w:t>
            </w:r>
          </w:p>
        </w:tc>
        <w:tc>
          <w:tcPr>
            <w:tcW w:w="1460" w:type="dxa"/>
            <w:vAlign w:val="bottom"/>
          </w:tcPr>
          <w:p>
            <w:pPr>
              <w:ind w:left="320"/>
              <w:spacing w:after="0"/>
              <w:rPr>
                <w:sz w:val="20"/>
                <w:szCs w:val="20"/>
                <w:color w:val="auto"/>
              </w:rPr>
            </w:pPr>
            <w:r>
              <w:rPr>
                <w:rFonts w:ascii="Arial" w:cs="Arial" w:eastAsia="Arial" w:hAnsi="Arial"/>
                <w:sz w:val="16"/>
                <w:szCs w:val="16"/>
                <w:color w:val="333333"/>
              </w:rPr>
              <w:t>—</w:t>
            </w:r>
          </w:p>
        </w:tc>
        <w:tc>
          <w:tcPr>
            <w:tcW w:w="1340" w:type="dxa"/>
            <w:vAlign w:val="bottom"/>
          </w:tcPr>
          <w:p>
            <w:pPr>
              <w:ind w:left="300"/>
              <w:spacing w:after="0"/>
              <w:rPr>
                <w:sz w:val="20"/>
                <w:szCs w:val="20"/>
                <w:color w:val="auto"/>
              </w:rPr>
            </w:pPr>
            <w:r>
              <w:rPr>
                <w:rFonts w:ascii="Arial" w:cs="Arial" w:eastAsia="Arial" w:hAnsi="Arial"/>
                <w:sz w:val="16"/>
                <w:szCs w:val="16"/>
                <w:color w:val="333333"/>
              </w:rPr>
              <w:t>M</w:t>
            </w:r>
          </w:p>
        </w:tc>
        <w:tc>
          <w:tcPr>
            <w:tcW w:w="1360" w:type="dxa"/>
            <w:vAlign w:val="bottom"/>
          </w:tcPr>
          <w:p>
            <w:pPr>
              <w:ind w:left="30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102"/>
        </w:trPr>
        <w:tc>
          <w:tcPr>
            <w:tcW w:w="1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920" w:type="dxa"/>
            <w:vAlign w:val="bottom"/>
            <w:shd w:val="clear" w:color="auto" w:fill="D9D9D9"/>
          </w:tcPr>
          <w:p>
            <w:pPr>
              <w:ind w:left="160"/>
              <w:spacing w:after="0"/>
              <w:rPr>
                <w:sz w:val="20"/>
                <w:szCs w:val="20"/>
                <w:color w:val="auto"/>
              </w:rPr>
            </w:pPr>
            <w:r>
              <w:rPr>
                <w:rFonts w:ascii="Arial" w:cs="Arial" w:eastAsia="Arial" w:hAnsi="Arial"/>
                <w:sz w:val="16"/>
                <w:szCs w:val="16"/>
                <w:b w:val="1"/>
                <w:bCs w:val="1"/>
                <w:color w:val="333333"/>
              </w:rPr>
              <w:t>Archie L. Jones, Jr.</w:t>
            </w:r>
          </w:p>
        </w:tc>
        <w:tc>
          <w:tcPr>
            <w:tcW w:w="1240" w:type="dxa"/>
            <w:vAlign w:val="bottom"/>
            <w:shd w:val="clear" w:color="auto" w:fill="D9D9D9"/>
          </w:tcPr>
          <w:p>
            <w:pPr>
              <w:ind w:left="640"/>
              <w:spacing w:after="0"/>
              <w:rPr>
                <w:sz w:val="20"/>
                <w:szCs w:val="20"/>
                <w:color w:val="auto"/>
              </w:rPr>
            </w:pPr>
            <w:r>
              <w:rPr>
                <w:rFonts w:ascii="Arial" w:cs="Arial" w:eastAsia="Arial" w:hAnsi="Arial"/>
                <w:sz w:val="16"/>
                <w:szCs w:val="16"/>
                <w:color w:val="333333"/>
              </w:rPr>
              <w:t>M</w:t>
            </w:r>
          </w:p>
        </w:tc>
        <w:tc>
          <w:tcPr>
            <w:tcW w:w="1440" w:type="dxa"/>
            <w:vAlign w:val="bottom"/>
            <w:shd w:val="clear" w:color="auto" w:fill="D9D9D9"/>
          </w:tcPr>
          <w:p>
            <w:pPr>
              <w:ind w:left="260"/>
              <w:spacing w:after="0"/>
              <w:rPr>
                <w:sz w:val="20"/>
                <w:szCs w:val="20"/>
                <w:color w:val="auto"/>
              </w:rPr>
            </w:pPr>
            <w:r>
              <w:rPr>
                <w:rFonts w:ascii="Arial" w:cs="Arial" w:eastAsia="Arial" w:hAnsi="Arial"/>
                <w:sz w:val="16"/>
                <w:szCs w:val="16"/>
                <w:color w:val="333333"/>
              </w:rPr>
              <w:t>—</w:t>
            </w:r>
          </w:p>
        </w:tc>
        <w:tc>
          <w:tcPr>
            <w:tcW w:w="1460" w:type="dxa"/>
            <w:vAlign w:val="bottom"/>
            <w:shd w:val="clear" w:color="auto" w:fill="D9D9D9"/>
          </w:tcPr>
          <w:p>
            <w:pPr>
              <w:ind w:left="320"/>
              <w:spacing w:after="0"/>
              <w:rPr>
                <w:sz w:val="20"/>
                <w:szCs w:val="20"/>
                <w:color w:val="auto"/>
              </w:rPr>
            </w:pPr>
            <w:r>
              <w:rPr>
                <w:rFonts w:ascii="Arial" w:cs="Arial" w:eastAsia="Arial" w:hAnsi="Arial"/>
                <w:sz w:val="16"/>
                <w:szCs w:val="16"/>
                <w:color w:val="333333"/>
              </w:rPr>
              <w:t>M</w:t>
            </w:r>
          </w:p>
        </w:tc>
        <w:tc>
          <w:tcPr>
            <w:tcW w:w="134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M</w:t>
            </w:r>
          </w:p>
        </w:tc>
        <w:tc>
          <w:tcPr>
            <w:tcW w:w="136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102"/>
        </w:trPr>
        <w:tc>
          <w:tcPr>
            <w:tcW w:w="1920" w:type="dxa"/>
            <w:vAlign w:val="bottom"/>
            <w:shd w:val="clear" w:color="auto" w:fill="D9D9D9"/>
          </w:tcPr>
          <w:p>
            <w:pPr>
              <w:spacing w:after="0"/>
              <w:rPr>
                <w:sz w:val="8"/>
                <w:szCs w:val="8"/>
                <w:color w:val="auto"/>
              </w:rPr>
            </w:pPr>
          </w:p>
        </w:tc>
        <w:tc>
          <w:tcPr>
            <w:tcW w:w="1240" w:type="dxa"/>
            <w:vAlign w:val="bottom"/>
            <w:shd w:val="clear" w:color="auto" w:fill="D9D9D9"/>
          </w:tcPr>
          <w:p>
            <w:pPr>
              <w:spacing w:after="0"/>
              <w:rPr>
                <w:sz w:val="8"/>
                <w:szCs w:val="8"/>
                <w:color w:val="auto"/>
              </w:rPr>
            </w:pPr>
          </w:p>
        </w:tc>
        <w:tc>
          <w:tcPr>
            <w:tcW w:w="1440" w:type="dxa"/>
            <w:vAlign w:val="bottom"/>
            <w:shd w:val="clear" w:color="auto" w:fill="D9D9D9"/>
          </w:tcPr>
          <w:p>
            <w:pPr>
              <w:spacing w:after="0"/>
              <w:rPr>
                <w:sz w:val="8"/>
                <w:szCs w:val="8"/>
                <w:color w:val="auto"/>
              </w:rPr>
            </w:pPr>
          </w:p>
        </w:tc>
        <w:tc>
          <w:tcPr>
            <w:tcW w:w="1460" w:type="dxa"/>
            <w:vAlign w:val="bottom"/>
            <w:shd w:val="clear" w:color="auto" w:fill="D9D9D9"/>
          </w:tcPr>
          <w:p>
            <w:pPr>
              <w:spacing w:after="0"/>
              <w:rPr>
                <w:sz w:val="8"/>
                <w:szCs w:val="8"/>
                <w:color w:val="auto"/>
              </w:rPr>
            </w:pPr>
          </w:p>
        </w:tc>
        <w:tc>
          <w:tcPr>
            <w:tcW w:w="1340" w:type="dxa"/>
            <w:vAlign w:val="bottom"/>
            <w:shd w:val="clear" w:color="auto" w:fill="D9D9D9"/>
          </w:tcPr>
          <w:p>
            <w:pPr>
              <w:spacing w:after="0"/>
              <w:rPr>
                <w:sz w:val="8"/>
                <w:szCs w:val="8"/>
                <w:color w:val="auto"/>
              </w:rPr>
            </w:pPr>
          </w:p>
        </w:tc>
        <w:tc>
          <w:tcPr>
            <w:tcW w:w="136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920" w:type="dxa"/>
            <w:vAlign w:val="bottom"/>
          </w:tcPr>
          <w:p>
            <w:pPr>
              <w:ind w:left="160"/>
              <w:spacing w:after="0"/>
              <w:rPr>
                <w:sz w:val="20"/>
                <w:szCs w:val="20"/>
                <w:color w:val="auto"/>
              </w:rPr>
            </w:pPr>
            <w:r>
              <w:rPr>
                <w:rFonts w:ascii="Arial" w:cs="Arial" w:eastAsia="Arial" w:hAnsi="Arial"/>
                <w:sz w:val="16"/>
                <w:szCs w:val="16"/>
                <w:b w:val="1"/>
                <w:bCs w:val="1"/>
                <w:color w:val="333333"/>
              </w:rPr>
              <w:t>Richard Macchia</w:t>
            </w:r>
          </w:p>
        </w:tc>
        <w:tc>
          <w:tcPr>
            <w:tcW w:w="1240" w:type="dxa"/>
            <w:vAlign w:val="bottom"/>
          </w:tcPr>
          <w:p>
            <w:pPr>
              <w:ind w:left="640"/>
              <w:spacing w:after="0"/>
              <w:rPr>
                <w:sz w:val="20"/>
                <w:szCs w:val="20"/>
                <w:color w:val="auto"/>
              </w:rPr>
            </w:pPr>
            <w:r>
              <w:rPr>
                <w:rFonts w:ascii="Arial" w:cs="Arial" w:eastAsia="Arial" w:hAnsi="Arial"/>
                <w:sz w:val="16"/>
                <w:szCs w:val="16"/>
                <w:color w:val="333333"/>
              </w:rPr>
              <w:t>C, F</w:t>
            </w:r>
          </w:p>
        </w:tc>
        <w:tc>
          <w:tcPr>
            <w:tcW w:w="1440" w:type="dxa"/>
            <w:vAlign w:val="bottom"/>
          </w:tcPr>
          <w:p>
            <w:pPr>
              <w:ind w:left="260"/>
              <w:spacing w:after="0"/>
              <w:rPr>
                <w:sz w:val="20"/>
                <w:szCs w:val="20"/>
                <w:color w:val="auto"/>
              </w:rPr>
            </w:pPr>
            <w:r>
              <w:rPr>
                <w:rFonts w:ascii="Arial" w:cs="Arial" w:eastAsia="Arial" w:hAnsi="Arial"/>
                <w:sz w:val="16"/>
                <w:szCs w:val="16"/>
                <w:color w:val="333333"/>
              </w:rPr>
              <w:t>—</w:t>
            </w:r>
          </w:p>
        </w:tc>
        <w:tc>
          <w:tcPr>
            <w:tcW w:w="1460" w:type="dxa"/>
            <w:vAlign w:val="bottom"/>
          </w:tcPr>
          <w:p>
            <w:pPr>
              <w:ind w:left="320"/>
              <w:spacing w:after="0"/>
              <w:rPr>
                <w:sz w:val="20"/>
                <w:szCs w:val="20"/>
                <w:color w:val="auto"/>
              </w:rPr>
            </w:pPr>
            <w:r>
              <w:rPr>
                <w:rFonts w:ascii="Arial" w:cs="Arial" w:eastAsia="Arial" w:hAnsi="Arial"/>
                <w:sz w:val="16"/>
                <w:szCs w:val="16"/>
                <w:color w:val="333333"/>
              </w:rPr>
              <w:t>—</w:t>
            </w:r>
          </w:p>
        </w:tc>
        <w:tc>
          <w:tcPr>
            <w:tcW w:w="1340" w:type="dxa"/>
            <w:vAlign w:val="bottom"/>
          </w:tcPr>
          <w:p>
            <w:pPr>
              <w:ind w:left="300"/>
              <w:spacing w:after="0"/>
              <w:rPr>
                <w:sz w:val="20"/>
                <w:szCs w:val="20"/>
                <w:color w:val="auto"/>
              </w:rPr>
            </w:pPr>
            <w:r>
              <w:rPr>
                <w:rFonts w:ascii="Arial" w:cs="Arial" w:eastAsia="Arial" w:hAnsi="Arial"/>
                <w:sz w:val="16"/>
                <w:szCs w:val="16"/>
                <w:color w:val="333333"/>
              </w:rPr>
              <w:t>—</w:t>
            </w:r>
          </w:p>
        </w:tc>
        <w:tc>
          <w:tcPr>
            <w:tcW w:w="1360" w:type="dxa"/>
            <w:vAlign w:val="bottom"/>
          </w:tcPr>
          <w:p>
            <w:pPr>
              <w:ind w:left="300"/>
              <w:spacing w:after="0"/>
              <w:rPr>
                <w:sz w:val="20"/>
                <w:szCs w:val="20"/>
                <w:color w:val="auto"/>
              </w:rPr>
            </w:pPr>
            <w:r>
              <w:rPr>
                <w:rFonts w:ascii="Arial" w:cs="Arial" w:eastAsia="Arial" w:hAnsi="Arial"/>
                <w:sz w:val="16"/>
                <w:szCs w:val="16"/>
                <w:color w:val="333333"/>
              </w:rPr>
              <w:t>M</w:t>
            </w:r>
          </w:p>
        </w:tc>
        <w:tc>
          <w:tcPr>
            <w:tcW w:w="0" w:type="dxa"/>
            <w:vAlign w:val="bottom"/>
          </w:tcPr>
          <w:p>
            <w:pPr>
              <w:spacing w:after="0"/>
              <w:rPr>
                <w:sz w:val="1"/>
                <w:szCs w:val="1"/>
                <w:color w:val="auto"/>
              </w:rPr>
            </w:pPr>
          </w:p>
        </w:tc>
      </w:tr>
      <w:tr>
        <w:trPr>
          <w:trHeight w:val="102"/>
        </w:trPr>
        <w:tc>
          <w:tcPr>
            <w:tcW w:w="1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920" w:type="dxa"/>
            <w:vAlign w:val="bottom"/>
            <w:shd w:val="clear" w:color="auto" w:fill="D9D9D9"/>
          </w:tcPr>
          <w:p>
            <w:pPr>
              <w:ind w:left="160"/>
              <w:spacing w:after="0"/>
              <w:rPr>
                <w:sz w:val="20"/>
                <w:szCs w:val="20"/>
                <w:color w:val="auto"/>
              </w:rPr>
            </w:pPr>
            <w:r>
              <w:rPr>
                <w:rFonts w:ascii="Arial" w:cs="Arial" w:eastAsia="Arial" w:hAnsi="Arial"/>
                <w:sz w:val="16"/>
                <w:szCs w:val="16"/>
                <w:b w:val="1"/>
                <w:bCs w:val="1"/>
                <w:color w:val="333333"/>
              </w:rPr>
              <w:t>Hala G. Moddelmog</w:t>
            </w:r>
          </w:p>
        </w:tc>
        <w:tc>
          <w:tcPr>
            <w:tcW w:w="1240" w:type="dxa"/>
            <w:vAlign w:val="bottom"/>
            <w:shd w:val="clear" w:color="auto" w:fill="D9D9D9"/>
          </w:tcPr>
          <w:p>
            <w:pPr>
              <w:ind w:left="640"/>
              <w:spacing w:after="0"/>
              <w:rPr>
                <w:sz w:val="20"/>
                <w:szCs w:val="20"/>
                <w:color w:val="auto"/>
              </w:rPr>
            </w:pPr>
            <w:r>
              <w:rPr>
                <w:rFonts w:ascii="Arial" w:cs="Arial" w:eastAsia="Arial" w:hAnsi="Arial"/>
                <w:sz w:val="16"/>
                <w:szCs w:val="16"/>
                <w:color w:val="333333"/>
              </w:rPr>
              <w:t>—</w:t>
            </w:r>
          </w:p>
        </w:tc>
        <w:tc>
          <w:tcPr>
            <w:tcW w:w="1440" w:type="dxa"/>
            <w:vAlign w:val="bottom"/>
            <w:shd w:val="clear" w:color="auto" w:fill="D9D9D9"/>
          </w:tcPr>
          <w:p>
            <w:pPr>
              <w:ind w:left="260"/>
              <w:spacing w:after="0"/>
              <w:rPr>
                <w:sz w:val="20"/>
                <w:szCs w:val="20"/>
                <w:color w:val="auto"/>
              </w:rPr>
            </w:pPr>
            <w:r>
              <w:rPr>
                <w:rFonts w:ascii="Arial" w:cs="Arial" w:eastAsia="Arial" w:hAnsi="Arial"/>
                <w:sz w:val="16"/>
                <w:szCs w:val="16"/>
                <w:color w:val="333333"/>
              </w:rPr>
              <w:t>M</w:t>
            </w:r>
          </w:p>
        </w:tc>
        <w:tc>
          <w:tcPr>
            <w:tcW w:w="1460" w:type="dxa"/>
            <w:vAlign w:val="bottom"/>
            <w:shd w:val="clear" w:color="auto" w:fill="D9D9D9"/>
          </w:tcPr>
          <w:p>
            <w:pPr>
              <w:ind w:left="320"/>
              <w:spacing w:after="0"/>
              <w:rPr>
                <w:sz w:val="20"/>
                <w:szCs w:val="20"/>
                <w:color w:val="auto"/>
              </w:rPr>
            </w:pPr>
            <w:r>
              <w:rPr>
                <w:rFonts w:ascii="Arial" w:cs="Arial" w:eastAsia="Arial" w:hAnsi="Arial"/>
                <w:sz w:val="16"/>
                <w:szCs w:val="16"/>
                <w:color w:val="333333"/>
              </w:rPr>
              <w:t>C</w:t>
            </w:r>
          </w:p>
        </w:tc>
        <w:tc>
          <w:tcPr>
            <w:tcW w:w="134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w:t>
            </w:r>
          </w:p>
        </w:tc>
        <w:tc>
          <w:tcPr>
            <w:tcW w:w="136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102"/>
        </w:trPr>
        <w:tc>
          <w:tcPr>
            <w:tcW w:w="1920" w:type="dxa"/>
            <w:vAlign w:val="bottom"/>
            <w:shd w:val="clear" w:color="auto" w:fill="D9D9D9"/>
          </w:tcPr>
          <w:p>
            <w:pPr>
              <w:spacing w:after="0"/>
              <w:rPr>
                <w:sz w:val="8"/>
                <w:szCs w:val="8"/>
                <w:color w:val="auto"/>
              </w:rPr>
            </w:pPr>
          </w:p>
        </w:tc>
        <w:tc>
          <w:tcPr>
            <w:tcW w:w="1240" w:type="dxa"/>
            <w:vAlign w:val="bottom"/>
            <w:shd w:val="clear" w:color="auto" w:fill="D9D9D9"/>
          </w:tcPr>
          <w:p>
            <w:pPr>
              <w:spacing w:after="0"/>
              <w:rPr>
                <w:sz w:val="8"/>
                <w:szCs w:val="8"/>
                <w:color w:val="auto"/>
              </w:rPr>
            </w:pPr>
          </w:p>
        </w:tc>
        <w:tc>
          <w:tcPr>
            <w:tcW w:w="1440" w:type="dxa"/>
            <w:vAlign w:val="bottom"/>
            <w:shd w:val="clear" w:color="auto" w:fill="D9D9D9"/>
          </w:tcPr>
          <w:p>
            <w:pPr>
              <w:spacing w:after="0"/>
              <w:rPr>
                <w:sz w:val="8"/>
                <w:szCs w:val="8"/>
                <w:color w:val="auto"/>
              </w:rPr>
            </w:pPr>
          </w:p>
        </w:tc>
        <w:tc>
          <w:tcPr>
            <w:tcW w:w="1460" w:type="dxa"/>
            <w:vAlign w:val="bottom"/>
            <w:shd w:val="clear" w:color="auto" w:fill="D9D9D9"/>
          </w:tcPr>
          <w:p>
            <w:pPr>
              <w:spacing w:after="0"/>
              <w:rPr>
                <w:sz w:val="8"/>
                <w:szCs w:val="8"/>
                <w:color w:val="auto"/>
              </w:rPr>
            </w:pPr>
          </w:p>
        </w:tc>
        <w:tc>
          <w:tcPr>
            <w:tcW w:w="1340" w:type="dxa"/>
            <w:vAlign w:val="bottom"/>
            <w:shd w:val="clear" w:color="auto" w:fill="D9D9D9"/>
          </w:tcPr>
          <w:p>
            <w:pPr>
              <w:spacing w:after="0"/>
              <w:rPr>
                <w:sz w:val="8"/>
                <w:szCs w:val="8"/>
                <w:color w:val="auto"/>
              </w:rPr>
            </w:pPr>
          </w:p>
        </w:tc>
        <w:tc>
          <w:tcPr>
            <w:tcW w:w="136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920" w:type="dxa"/>
            <w:vAlign w:val="bottom"/>
          </w:tcPr>
          <w:p>
            <w:pPr>
              <w:ind w:left="160"/>
              <w:spacing w:after="0"/>
              <w:rPr>
                <w:sz w:val="20"/>
                <w:szCs w:val="20"/>
                <w:color w:val="auto"/>
              </w:rPr>
            </w:pPr>
            <w:r>
              <w:rPr>
                <w:rFonts w:ascii="Arial" w:cs="Arial" w:eastAsia="Arial" w:hAnsi="Arial"/>
                <w:sz w:val="16"/>
                <w:szCs w:val="16"/>
                <w:b w:val="1"/>
                <w:bCs w:val="1"/>
                <w:color w:val="333333"/>
              </w:rPr>
              <w:t>Jeffrey S. Sloan</w:t>
            </w:r>
          </w:p>
        </w:tc>
        <w:tc>
          <w:tcPr>
            <w:tcW w:w="1240" w:type="dxa"/>
            <w:vAlign w:val="bottom"/>
          </w:tcPr>
          <w:p>
            <w:pPr>
              <w:ind w:left="640"/>
              <w:spacing w:after="0"/>
              <w:rPr>
                <w:sz w:val="20"/>
                <w:szCs w:val="20"/>
                <w:color w:val="auto"/>
              </w:rPr>
            </w:pPr>
            <w:r>
              <w:rPr>
                <w:rFonts w:ascii="Arial" w:cs="Arial" w:eastAsia="Arial" w:hAnsi="Arial"/>
                <w:sz w:val="16"/>
                <w:szCs w:val="16"/>
                <w:color w:val="333333"/>
              </w:rPr>
              <w:t>—</w:t>
            </w:r>
          </w:p>
        </w:tc>
        <w:tc>
          <w:tcPr>
            <w:tcW w:w="1440" w:type="dxa"/>
            <w:vAlign w:val="bottom"/>
          </w:tcPr>
          <w:p>
            <w:pPr>
              <w:ind w:left="260"/>
              <w:spacing w:after="0"/>
              <w:rPr>
                <w:sz w:val="20"/>
                <w:szCs w:val="20"/>
                <w:color w:val="auto"/>
              </w:rPr>
            </w:pPr>
            <w:r>
              <w:rPr>
                <w:rFonts w:ascii="Arial" w:cs="Arial" w:eastAsia="Arial" w:hAnsi="Arial"/>
                <w:sz w:val="16"/>
                <w:szCs w:val="16"/>
                <w:color w:val="333333"/>
              </w:rPr>
              <w:t>—</w:t>
            </w:r>
          </w:p>
        </w:tc>
        <w:tc>
          <w:tcPr>
            <w:tcW w:w="1460" w:type="dxa"/>
            <w:vAlign w:val="bottom"/>
          </w:tcPr>
          <w:p>
            <w:pPr>
              <w:ind w:left="320"/>
              <w:spacing w:after="0"/>
              <w:rPr>
                <w:sz w:val="20"/>
                <w:szCs w:val="20"/>
                <w:color w:val="auto"/>
              </w:rPr>
            </w:pPr>
            <w:r>
              <w:rPr>
                <w:rFonts w:ascii="Arial" w:cs="Arial" w:eastAsia="Arial" w:hAnsi="Arial"/>
                <w:sz w:val="16"/>
                <w:szCs w:val="16"/>
                <w:color w:val="333333"/>
              </w:rPr>
              <w:t>—</w:t>
            </w:r>
          </w:p>
        </w:tc>
        <w:tc>
          <w:tcPr>
            <w:tcW w:w="1340" w:type="dxa"/>
            <w:vAlign w:val="bottom"/>
          </w:tcPr>
          <w:p>
            <w:pPr>
              <w:ind w:left="300"/>
              <w:spacing w:after="0"/>
              <w:rPr>
                <w:sz w:val="20"/>
                <w:szCs w:val="20"/>
                <w:color w:val="auto"/>
              </w:rPr>
            </w:pPr>
            <w:r>
              <w:rPr>
                <w:rFonts w:ascii="Arial" w:cs="Arial" w:eastAsia="Arial" w:hAnsi="Arial"/>
                <w:sz w:val="16"/>
                <w:szCs w:val="16"/>
                <w:color w:val="333333"/>
              </w:rPr>
              <w:t>M</w:t>
            </w:r>
          </w:p>
        </w:tc>
        <w:tc>
          <w:tcPr>
            <w:tcW w:w="1360" w:type="dxa"/>
            <w:vAlign w:val="bottom"/>
          </w:tcPr>
          <w:p>
            <w:pPr>
              <w:ind w:left="300"/>
              <w:spacing w:after="0"/>
              <w:rPr>
                <w:sz w:val="20"/>
                <w:szCs w:val="20"/>
                <w:color w:val="auto"/>
              </w:rPr>
            </w:pPr>
            <w:r>
              <w:rPr>
                <w:rFonts w:ascii="Arial" w:cs="Arial" w:eastAsia="Arial" w:hAnsi="Arial"/>
                <w:sz w:val="16"/>
                <w:szCs w:val="16"/>
                <w:color w:val="333333"/>
              </w:rPr>
              <w:t>M</w:t>
            </w:r>
          </w:p>
        </w:tc>
        <w:tc>
          <w:tcPr>
            <w:tcW w:w="0" w:type="dxa"/>
            <w:vAlign w:val="bottom"/>
          </w:tcPr>
          <w:p>
            <w:pPr>
              <w:spacing w:after="0"/>
              <w:rPr>
                <w:sz w:val="1"/>
                <w:szCs w:val="1"/>
                <w:color w:val="auto"/>
              </w:rPr>
            </w:pPr>
          </w:p>
        </w:tc>
      </w:tr>
      <w:tr>
        <w:trPr>
          <w:trHeight w:val="102"/>
        </w:trPr>
        <w:tc>
          <w:tcPr>
            <w:tcW w:w="1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920" w:type="dxa"/>
            <w:vAlign w:val="bottom"/>
            <w:shd w:val="clear" w:color="auto" w:fill="D9D9D9"/>
          </w:tcPr>
          <w:p>
            <w:pPr>
              <w:ind w:left="160"/>
              <w:spacing w:after="0"/>
              <w:rPr>
                <w:sz w:val="20"/>
                <w:szCs w:val="20"/>
                <w:color w:val="auto"/>
              </w:rPr>
            </w:pPr>
            <w:r>
              <w:rPr>
                <w:rFonts w:ascii="Arial" w:cs="Arial" w:eastAsia="Arial" w:hAnsi="Arial"/>
                <w:sz w:val="16"/>
                <w:szCs w:val="16"/>
                <w:b w:val="1"/>
                <w:bCs w:val="1"/>
                <w:color w:val="333333"/>
              </w:rPr>
              <w:t>Steven T. Stull</w:t>
            </w:r>
          </w:p>
        </w:tc>
        <w:tc>
          <w:tcPr>
            <w:tcW w:w="1240" w:type="dxa"/>
            <w:vAlign w:val="bottom"/>
            <w:shd w:val="clear" w:color="auto" w:fill="D9D9D9"/>
          </w:tcPr>
          <w:p>
            <w:pPr>
              <w:ind w:left="640"/>
              <w:spacing w:after="0"/>
              <w:rPr>
                <w:sz w:val="20"/>
                <w:szCs w:val="20"/>
                <w:color w:val="auto"/>
              </w:rPr>
            </w:pPr>
            <w:r>
              <w:rPr>
                <w:rFonts w:ascii="Arial" w:cs="Arial" w:eastAsia="Arial" w:hAnsi="Arial"/>
                <w:sz w:val="16"/>
                <w:szCs w:val="16"/>
                <w:color w:val="333333"/>
              </w:rPr>
              <w:t>—</w:t>
            </w:r>
          </w:p>
        </w:tc>
        <w:tc>
          <w:tcPr>
            <w:tcW w:w="1440" w:type="dxa"/>
            <w:vAlign w:val="bottom"/>
            <w:shd w:val="clear" w:color="auto" w:fill="D9D9D9"/>
          </w:tcPr>
          <w:p>
            <w:pPr>
              <w:ind w:left="260"/>
              <w:spacing w:after="0"/>
              <w:rPr>
                <w:sz w:val="20"/>
                <w:szCs w:val="20"/>
                <w:color w:val="auto"/>
              </w:rPr>
            </w:pPr>
            <w:r>
              <w:rPr>
                <w:rFonts w:ascii="Arial" w:cs="Arial" w:eastAsia="Arial" w:hAnsi="Arial"/>
                <w:sz w:val="16"/>
                <w:szCs w:val="16"/>
                <w:color w:val="333333"/>
              </w:rPr>
              <w:t>M</w:t>
            </w:r>
          </w:p>
        </w:tc>
        <w:tc>
          <w:tcPr>
            <w:tcW w:w="1460" w:type="dxa"/>
            <w:vAlign w:val="bottom"/>
            <w:shd w:val="clear" w:color="auto" w:fill="D9D9D9"/>
          </w:tcPr>
          <w:p>
            <w:pPr>
              <w:ind w:left="320"/>
              <w:spacing w:after="0"/>
              <w:rPr>
                <w:sz w:val="20"/>
                <w:szCs w:val="20"/>
                <w:color w:val="auto"/>
              </w:rPr>
            </w:pPr>
            <w:r>
              <w:rPr>
                <w:rFonts w:ascii="Arial" w:cs="Arial" w:eastAsia="Arial" w:hAnsi="Arial"/>
                <w:sz w:val="16"/>
                <w:szCs w:val="16"/>
                <w:color w:val="333333"/>
              </w:rPr>
              <w:t>M</w:t>
            </w:r>
          </w:p>
        </w:tc>
        <w:tc>
          <w:tcPr>
            <w:tcW w:w="134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w:t>
            </w:r>
          </w:p>
        </w:tc>
        <w:tc>
          <w:tcPr>
            <w:tcW w:w="136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102"/>
        </w:trPr>
        <w:tc>
          <w:tcPr>
            <w:tcW w:w="1920" w:type="dxa"/>
            <w:vAlign w:val="bottom"/>
            <w:shd w:val="clear" w:color="auto" w:fill="D9D9D9"/>
          </w:tcPr>
          <w:p>
            <w:pPr>
              <w:spacing w:after="0"/>
              <w:rPr>
                <w:sz w:val="8"/>
                <w:szCs w:val="8"/>
                <w:color w:val="auto"/>
              </w:rPr>
            </w:pPr>
          </w:p>
        </w:tc>
        <w:tc>
          <w:tcPr>
            <w:tcW w:w="1240" w:type="dxa"/>
            <w:vAlign w:val="bottom"/>
            <w:shd w:val="clear" w:color="auto" w:fill="D9D9D9"/>
          </w:tcPr>
          <w:p>
            <w:pPr>
              <w:spacing w:after="0"/>
              <w:rPr>
                <w:sz w:val="8"/>
                <w:szCs w:val="8"/>
                <w:color w:val="auto"/>
              </w:rPr>
            </w:pPr>
          </w:p>
        </w:tc>
        <w:tc>
          <w:tcPr>
            <w:tcW w:w="1440" w:type="dxa"/>
            <w:vAlign w:val="bottom"/>
            <w:shd w:val="clear" w:color="auto" w:fill="D9D9D9"/>
          </w:tcPr>
          <w:p>
            <w:pPr>
              <w:spacing w:after="0"/>
              <w:rPr>
                <w:sz w:val="8"/>
                <w:szCs w:val="8"/>
                <w:color w:val="auto"/>
              </w:rPr>
            </w:pPr>
          </w:p>
        </w:tc>
        <w:tc>
          <w:tcPr>
            <w:tcW w:w="1460" w:type="dxa"/>
            <w:vAlign w:val="bottom"/>
            <w:shd w:val="clear" w:color="auto" w:fill="D9D9D9"/>
          </w:tcPr>
          <w:p>
            <w:pPr>
              <w:spacing w:after="0"/>
              <w:rPr>
                <w:sz w:val="8"/>
                <w:szCs w:val="8"/>
                <w:color w:val="auto"/>
              </w:rPr>
            </w:pPr>
          </w:p>
        </w:tc>
        <w:tc>
          <w:tcPr>
            <w:tcW w:w="1340" w:type="dxa"/>
            <w:vAlign w:val="bottom"/>
            <w:shd w:val="clear" w:color="auto" w:fill="D9D9D9"/>
          </w:tcPr>
          <w:p>
            <w:pPr>
              <w:spacing w:after="0"/>
              <w:rPr>
                <w:sz w:val="8"/>
                <w:szCs w:val="8"/>
                <w:color w:val="auto"/>
              </w:rPr>
            </w:pPr>
          </w:p>
        </w:tc>
        <w:tc>
          <w:tcPr>
            <w:tcW w:w="136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920" w:type="dxa"/>
            <w:vAlign w:val="bottom"/>
          </w:tcPr>
          <w:p>
            <w:pPr>
              <w:ind w:left="160"/>
              <w:spacing w:after="0"/>
              <w:rPr>
                <w:sz w:val="20"/>
                <w:szCs w:val="20"/>
                <w:color w:val="auto"/>
              </w:rPr>
            </w:pPr>
            <w:r>
              <w:rPr>
                <w:rFonts w:ascii="Arial" w:cs="Arial" w:eastAsia="Arial" w:hAnsi="Arial"/>
                <w:sz w:val="16"/>
                <w:szCs w:val="16"/>
                <w:b w:val="1"/>
                <w:bCs w:val="1"/>
                <w:color w:val="333333"/>
              </w:rPr>
              <w:t>Gerald Throop</w:t>
            </w:r>
          </w:p>
        </w:tc>
        <w:tc>
          <w:tcPr>
            <w:tcW w:w="1240" w:type="dxa"/>
            <w:vAlign w:val="bottom"/>
          </w:tcPr>
          <w:p>
            <w:pPr>
              <w:ind w:left="640"/>
              <w:spacing w:after="0"/>
              <w:rPr>
                <w:sz w:val="20"/>
                <w:szCs w:val="20"/>
                <w:color w:val="auto"/>
              </w:rPr>
            </w:pPr>
            <w:r>
              <w:rPr>
                <w:rFonts w:ascii="Arial" w:cs="Arial" w:eastAsia="Arial" w:hAnsi="Arial"/>
                <w:sz w:val="16"/>
                <w:szCs w:val="16"/>
                <w:color w:val="333333"/>
              </w:rPr>
              <w:t>M, F</w:t>
            </w:r>
          </w:p>
        </w:tc>
        <w:tc>
          <w:tcPr>
            <w:tcW w:w="1440" w:type="dxa"/>
            <w:vAlign w:val="bottom"/>
          </w:tcPr>
          <w:p>
            <w:pPr>
              <w:ind w:left="260"/>
              <w:spacing w:after="0"/>
              <w:rPr>
                <w:sz w:val="20"/>
                <w:szCs w:val="20"/>
                <w:color w:val="auto"/>
              </w:rPr>
            </w:pPr>
            <w:r>
              <w:rPr>
                <w:rFonts w:ascii="Arial" w:cs="Arial" w:eastAsia="Arial" w:hAnsi="Arial"/>
                <w:sz w:val="16"/>
                <w:szCs w:val="16"/>
                <w:color w:val="333333"/>
              </w:rPr>
              <w:t>—</w:t>
            </w:r>
          </w:p>
        </w:tc>
        <w:tc>
          <w:tcPr>
            <w:tcW w:w="1460" w:type="dxa"/>
            <w:vAlign w:val="bottom"/>
          </w:tcPr>
          <w:p>
            <w:pPr>
              <w:ind w:left="320"/>
              <w:spacing w:after="0"/>
              <w:rPr>
                <w:sz w:val="20"/>
                <w:szCs w:val="20"/>
                <w:color w:val="auto"/>
              </w:rPr>
            </w:pPr>
            <w:r>
              <w:rPr>
                <w:rFonts w:ascii="Arial" w:cs="Arial" w:eastAsia="Arial" w:hAnsi="Arial"/>
                <w:sz w:val="16"/>
                <w:szCs w:val="16"/>
                <w:color w:val="333333"/>
              </w:rPr>
              <w:t>—</w:t>
            </w:r>
          </w:p>
        </w:tc>
        <w:tc>
          <w:tcPr>
            <w:tcW w:w="1340" w:type="dxa"/>
            <w:vAlign w:val="bottom"/>
          </w:tcPr>
          <w:p>
            <w:pPr>
              <w:ind w:left="300"/>
              <w:spacing w:after="0"/>
              <w:rPr>
                <w:sz w:val="20"/>
                <w:szCs w:val="20"/>
                <w:color w:val="auto"/>
              </w:rPr>
            </w:pPr>
            <w:r>
              <w:rPr>
                <w:rFonts w:ascii="Arial" w:cs="Arial" w:eastAsia="Arial" w:hAnsi="Arial"/>
                <w:sz w:val="16"/>
                <w:szCs w:val="16"/>
                <w:color w:val="333333"/>
              </w:rPr>
              <w:t>—</w:t>
            </w:r>
          </w:p>
        </w:tc>
        <w:tc>
          <w:tcPr>
            <w:tcW w:w="1360" w:type="dxa"/>
            <w:vAlign w:val="bottom"/>
          </w:tcPr>
          <w:p>
            <w:pPr>
              <w:ind w:left="30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573"/>
        </w:trPr>
        <w:tc>
          <w:tcPr>
            <w:tcW w:w="1920" w:type="dxa"/>
            <w:vAlign w:val="bottom"/>
          </w:tcPr>
          <w:p>
            <w:pPr>
              <w:ind w:left="20"/>
              <w:spacing w:after="0"/>
              <w:rPr>
                <w:sz w:val="20"/>
                <w:szCs w:val="20"/>
                <w:color w:val="auto"/>
              </w:rPr>
            </w:pPr>
            <w:r>
              <w:rPr>
                <w:rFonts w:ascii="Arial" w:cs="Arial" w:eastAsia="Arial" w:hAnsi="Arial"/>
                <w:sz w:val="16"/>
                <w:szCs w:val="16"/>
                <w:color w:val="333333"/>
              </w:rPr>
              <w:t>C = Chair   M = Member</w:t>
            </w:r>
          </w:p>
        </w:tc>
        <w:tc>
          <w:tcPr>
            <w:tcW w:w="2680" w:type="dxa"/>
            <w:vAlign w:val="bottom"/>
            <w:gridSpan w:val="2"/>
          </w:tcPr>
          <w:p>
            <w:pPr>
              <w:ind w:left="100"/>
              <w:spacing w:after="0"/>
              <w:rPr>
                <w:sz w:val="20"/>
                <w:szCs w:val="20"/>
                <w:color w:val="auto"/>
              </w:rPr>
            </w:pPr>
            <w:r>
              <w:rPr>
                <w:rFonts w:ascii="Arial" w:cs="Arial" w:eastAsia="Arial" w:hAnsi="Arial"/>
                <w:sz w:val="16"/>
                <w:szCs w:val="16"/>
                <w:color w:val="333333"/>
              </w:rPr>
              <w:t>F = Financial Expert</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539"/>
          </w:cols>
          <w:pgMar w:left="920" w:top="114" w:right="1440" w:bottom="1440" w:gutter="0" w:footer="0" w:header="0"/>
        </w:sect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Audit Committee</w:t>
      </w:r>
    </w:p>
    <w:p>
      <w:pPr>
        <w:spacing w:after="0" w:line="235" w:lineRule="exact"/>
        <w:rPr>
          <w:sz w:val="20"/>
          <w:szCs w:val="20"/>
          <w:color w:val="auto"/>
        </w:rPr>
      </w:pPr>
    </w:p>
    <w:p>
      <w:pPr>
        <w:ind w:left="660" w:right="100"/>
        <w:spacing w:after="0" w:line="252" w:lineRule="auto"/>
        <w:rPr>
          <w:sz w:val="20"/>
          <w:szCs w:val="20"/>
          <w:color w:val="auto"/>
        </w:rPr>
      </w:pPr>
      <w:r>
        <w:rPr>
          <w:rFonts w:ascii="Arial" w:cs="Arial" w:eastAsia="Arial" w:hAnsi="Arial"/>
          <w:sz w:val="16"/>
          <w:szCs w:val="16"/>
          <w:color w:val="333333"/>
        </w:rPr>
        <w:t>The audit committee currently consists of Messrs. Jones, Macchia and Throop and is chaired by Mr. Macchia. The audit committee held six meetings in 2023. The Board determined that each member of the audit committee is independent under the NYSE rules and Rule 10A-3 of the Exchange Act, and has determined that Mr. Macchia and Mr. Throop qualify as “audit committee financial experts” under SEC rules.</w:t>
      </w:r>
    </w:p>
    <w:p>
      <w:pPr>
        <w:spacing w:after="0" w:line="196"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333333"/>
        </w:rPr>
        <w:t>The audit committee’s primary responsibilities include:</w:t>
      </w:r>
    </w:p>
    <w:p>
      <w:pPr>
        <w:spacing w:after="0" w:line="181" w:lineRule="exact"/>
        <w:rPr>
          <w:sz w:val="20"/>
          <w:szCs w:val="20"/>
          <w:color w:val="auto"/>
        </w:rPr>
      </w:pPr>
    </w:p>
    <w:p>
      <w:pPr>
        <w:ind w:left="880" w:right="140" w:hanging="228"/>
        <w:spacing w:after="0"/>
        <w:rPr>
          <w:sz w:val="20"/>
          <w:szCs w:val="20"/>
          <w:color w:val="auto"/>
        </w:rPr>
      </w:pPr>
      <w:r>
        <w:rPr>
          <w:sz w:val="1"/>
          <w:szCs w:val="1"/>
          <w:color w:val="auto"/>
        </w:rPr>
        <w:drawing>
          <wp:inline distT="0" distB="0" distL="0" distR="0">
            <wp:extent cx="76835" cy="9398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appointing and overseeing independence of and all other aspects of our relationship with our independent registered accountants</w:t>
      </w:r>
    </w:p>
    <w:p>
      <w:pPr>
        <w:jc w:val="both"/>
        <w:ind w:left="880" w:right="40" w:hanging="228"/>
        <w:spacing w:after="0"/>
        <w:rPr>
          <w:sz w:val="20"/>
          <w:szCs w:val="20"/>
          <w:color w:val="auto"/>
        </w:rPr>
      </w:pPr>
      <w:r>
        <w:rPr>
          <w:sz w:val="1"/>
          <w:szCs w:val="1"/>
          <w:color w:val="auto"/>
        </w:rPr>
        <w:drawing>
          <wp:inline distT="0" distB="0" distL="0" distR="0">
            <wp:extent cx="76835" cy="9398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reviewing and monitoring our accounting principles and policies, and our financial and accounting controls and compliance with regulatory requirements</w:t>
      </w:r>
    </w:p>
    <w:p>
      <w:pPr>
        <w:ind w:left="880" w:right="180" w:hanging="228"/>
        <w:spacing w:after="0"/>
        <w:rPr>
          <w:sz w:val="20"/>
          <w:szCs w:val="20"/>
          <w:color w:val="auto"/>
        </w:rPr>
      </w:pPr>
      <w:r>
        <w:rPr>
          <w:sz w:val="1"/>
          <w:szCs w:val="1"/>
          <w:color w:val="auto"/>
        </w:rPr>
        <w:drawing>
          <wp:inline distT="0" distB="0" distL="0" distR="0">
            <wp:extent cx="76835" cy="9461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94615"/>
                    </a:xfrm>
                    <a:prstGeom prst="rect">
                      <a:avLst/>
                    </a:prstGeom>
                    <a:noFill/>
                    <a:ln>
                      <a:noFill/>
                    </a:ln>
                  </pic:spPr>
                </pic:pic>
              </a:graphicData>
            </a:graphic>
          </wp:inline>
        </w:drawing>
      </w:r>
      <w:r>
        <w:rPr>
          <w:rFonts w:ascii="Arial" w:cs="Arial" w:eastAsia="Arial" w:hAnsi="Arial"/>
          <w:sz w:val="16"/>
          <w:szCs w:val="16"/>
          <w:color w:val="333333"/>
        </w:rPr>
        <w:t>  overseeing the financial reporting process and reviewing our interim and annual financial statements</w:t>
      </w:r>
    </w:p>
    <w:p>
      <w:pPr>
        <w:ind w:left="880" w:hanging="228"/>
        <w:spacing w:after="0"/>
        <w:rPr>
          <w:sz w:val="20"/>
          <w:szCs w:val="20"/>
          <w:color w:val="auto"/>
        </w:rPr>
      </w:pPr>
      <w:r>
        <w:rPr>
          <w:sz w:val="1"/>
          <w:szCs w:val="1"/>
          <w:color w:val="auto"/>
        </w:rPr>
        <w:drawing>
          <wp:inline distT="0" distB="0" distL="0" distR="0">
            <wp:extent cx="76835" cy="9398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establishing procedures for the confidential, anonymous submission of concerns regarding questionable accounting, internal controls or auditing matters</w:t>
      </w:r>
    </w:p>
    <w:p>
      <w:pPr>
        <w:ind w:left="880" w:right="140" w:hanging="228"/>
        <w:spacing w:after="0"/>
        <w:rPr>
          <w:sz w:val="20"/>
          <w:szCs w:val="20"/>
          <w:color w:val="auto"/>
        </w:rPr>
      </w:pPr>
      <w:r>
        <w:rPr>
          <w:sz w:val="1"/>
          <w:szCs w:val="1"/>
          <w:color w:val="auto"/>
        </w:rPr>
        <w:drawing>
          <wp:inline distT="0" distB="0" distL="0" distR="0">
            <wp:extent cx="76835" cy="9398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approving all audit and permissible non-audit services to be performed by our independent accountants</w:t>
      </w:r>
    </w:p>
    <w:p>
      <w:pPr>
        <w:jc w:val="center"/>
        <w:ind w:left="260"/>
        <w:spacing w:after="0"/>
        <w:rPr>
          <w:sz w:val="20"/>
          <w:szCs w:val="20"/>
          <w:color w:val="auto"/>
        </w:rPr>
      </w:pPr>
      <w:r>
        <w:rPr>
          <w:sz w:val="1"/>
          <w:szCs w:val="1"/>
          <w:color w:val="auto"/>
        </w:rPr>
        <w:drawing>
          <wp:inline distT="0" distB="0" distL="0" distR="0">
            <wp:extent cx="76835" cy="9461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94615"/>
                    </a:xfrm>
                    <a:prstGeom prst="rect">
                      <a:avLst/>
                    </a:prstGeom>
                    <a:noFill/>
                    <a:ln>
                      <a:noFill/>
                    </a:ln>
                  </pic:spPr>
                </pic:pic>
              </a:graphicData>
            </a:graphic>
          </wp:inline>
        </w:drawing>
      </w:r>
      <w:r>
        <w:rPr>
          <w:rFonts w:ascii="Arial" w:cs="Arial" w:eastAsia="Arial" w:hAnsi="Arial"/>
          <w:sz w:val="15"/>
          <w:szCs w:val="15"/>
          <w:color w:val="333333"/>
        </w:rPr>
        <w:t>  reviewing and approving related-party transactions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35" w:lineRule="exact"/>
        <w:rPr>
          <w:sz w:val="20"/>
          <w:szCs w:val="20"/>
          <w:color w:val="auto"/>
        </w:rPr>
      </w:pPr>
    </w:p>
    <w:p>
      <w:pPr>
        <w:ind w:right="179"/>
        <w:spacing w:after="0" w:line="253" w:lineRule="auto"/>
        <w:rPr>
          <w:sz w:val="20"/>
          <w:szCs w:val="20"/>
          <w:color w:val="auto"/>
        </w:rPr>
      </w:pPr>
      <w:r>
        <w:rPr>
          <w:rFonts w:ascii="Arial" w:cs="Arial" w:eastAsia="Arial" w:hAnsi="Arial"/>
          <w:sz w:val="16"/>
          <w:szCs w:val="16"/>
          <w:color w:val="333333"/>
        </w:rPr>
        <w:t>The compensation committee currently consists of Messrs. Farrelly, Hagerty and Stull and Mses. Bexiga and Moddelmog and is chaired by Ms. Bexiga. The compensation committee held six meetings in 2023. The Board has determined that each compensation committee member is independent under the NYSE rules for compensation committee members.</w:t>
      </w:r>
    </w:p>
    <w:p>
      <w:pPr>
        <w:spacing w:after="0" w:line="141" w:lineRule="exact"/>
        <w:rPr>
          <w:sz w:val="20"/>
          <w:szCs w:val="20"/>
          <w:color w:val="auto"/>
        </w:rPr>
      </w:pPr>
    </w:p>
    <w:p>
      <w:pPr>
        <w:ind w:right="459"/>
        <w:spacing w:after="0" w:line="286" w:lineRule="auto"/>
        <w:rPr>
          <w:sz w:val="20"/>
          <w:szCs w:val="20"/>
          <w:color w:val="auto"/>
        </w:rPr>
      </w:pPr>
      <w:r>
        <w:rPr>
          <w:rFonts w:ascii="Arial" w:cs="Arial" w:eastAsia="Arial" w:hAnsi="Arial"/>
          <w:sz w:val="16"/>
          <w:szCs w:val="16"/>
          <w:color w:val="333333"/>
        </w:rPr>
        <w:t>The compensation committee’s primary responsibilities include:</w:t>
      </w:r>
    </w:p>
    <w:p>
      <w:pPr>
        <w:spacing w:after="0" w:line="129" w:lineRule="exact"/>
        <w:rPr>
          <w:sz w:val="20"/>
          <w:szCs w:val="20"/>
          <w:color w:val="auto"/>
        </w:rPr>
      </w:pPr>
    </w:p>
    <w:p>
      <w:pPr>
        <w:ind w:left="240" w:right="239" w:hanging="233"/>
        <w:spacing w:after="0"/>
        <w:rPr>
          <w:sz w:val="20"/>
          <w:szCs w:val="20"/>
          <w:color w:val="auto"/>
        </w:rPr>
      </w:pPr>
      <w:r>
        <w:rPr>
          <w:sz w:val="1"/>
          <w:szCs w:val="1"/>
          <w:color w:val="auto"/>
        </w:rPr>
        <w:drawing>
          <wp:inline distT="0" distB="0" distL="0" distR="0">
            <wp:extent cx="77470" cy="9398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annually reviewing and approving the goals, objectives and specific levels of our executive compensation programs</w:t>
      </w:r>
    </w:p>
    <w:p>
      <w:pPr>
        <w:ind w:left="240" w:right="319" w:hanging="233"/>
        <w:spacing w:after="0"/>
        <w:rPr>
          <w:sz w:val="20"/>
          <w:szCs w:val="20"/>
          <w:color w:val="auto"/>
        </w:rPr>
      </w:pPr>
      <w:r>
        <w:rPr>
          <w:sz w:val="1"/>
          <w:szCs w:val="1"/>
          <w:color w:val="auto"/>
        </w:rPr>
        <w:drawing>
          <wp:inline distT="0" distB="0" distL="0" distR="0">
            <wp:extent cx="77470" cy="9461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333333"/>
        </w:rPr>
        <w:t>  reviewing and approving employment, severance and change in control arrangements</w:t>
      </w:r>
    </w:p>
    <w:p>
      <w:pPr>
        <w:spacing w:after="0"/>
        <w:rPr>
          <w:sz w:val="20"/>
          <w:szCs w:val="20"/>
          <w:color w:val="auto"/>
        </w:rPr>
      </w:pPr>
      <w:r>
        <w:rPr>
          <w:sz w:val="1"/>
          <w:szCs w:val="1"/>
          <w:color w:val="auto"/>
        </w:rPr>
        <w:drawing>
          <wp:inline distT="0" distB="0" distL="0" distR="0">
            <wp:extent cx="77470" cy="9398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administering our executive incentive plans</w:t>
      </w:r>
    </w:p>
    <w:p>
      <w:pPr>
        <w:spacing w:after="0" w:line="5" w:lineRule="exact"/>
        <w:rPr>
          <w:sz w:val="20"/>
          <w:szCs w:val="20"/>
          <w:color w:val="auto"/>
        </w:rPr>
      </w:pPr>
    </w:p>
    <w:p>
      <w:pPr>
        <w:jc w:val="both"/>
        <w:ind w:left="240" w:right="379" w:hanging="233"/>
        <w:spacing w:after="0"/>
        <w:rPr>
          <w:sz w:val="20"/>
          <w:szCs w:val="20"/>
          <w:color w:val="auto"/>
        </w:rPr>
      </w:pPr>
      <w:r>
        <w:rPr>
          <w:sz w:val="1"/>
          <w:szCs w:val="1"/>
          <w:color w:val="auto"/>
        </w:rPr>
        <w:drawing>
          <wp:inline distT="0" distB="0" distL="0" distR="0">
            <wp:extent cx="77470" cy="9461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333333"/>
        </w:rPr>
        <w:t>  reviewing and approving policies related to executive compensation, including stock ownership guidelines, clawback policy and hedging/pledging policy</w:t>
      </w:r>
    </w:p>
    <w:p>
      <w:pPr>
        <w:spacing w:after="0"/>
        <w:rPr>
          <w:sz w:val="20"/>
          <w:szCs w:val="20"/>
          <w:color w:val="auto"/>
        </w:rPr>
      </w:pPr>
      <w:r>
        <w:rPr>
          <w:sz w:val="1"/>
          <w:szCs w:val="1"/>
          <w:color w:val="auto"/>
        </w:rPr>
        <w:drawing>
          <wp:inline distT="0" distB="0" distL="0" distR="0">
            <wp:extent cx="77470" cy="9461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333333"/>
        </w:rPr>
        <w:t>  selecting our independent compensation consultant</w:t>
      </w:r>
    </w:p>
    <w:p>
      <w:pPr>
        <w:spacing w:after="0" w:line="166" w:lineRule="exact"/>
        <w:rPr>
          <w:sz w:val="20"/>
          <w:szCs w:val="20"/>
          <w:color w:val="auto"/>
        </w:rPr>
      </w:pPr>
    </w:p>
    <w:p>
      <w:pPr>
        <w:ind w:right="239"/>
        <w:spacing w:after="0" w:line="266" w:lineRule="auto"/>
        <w:rPr>
          <w:sz w:val="20"/>
          <w:szCs w:val="20"/>
          <w:color w:val="auto"/>
        </w:rPr>
      </w:pPr>
      <w:r>
        <w:rPr>
          <w:rFonts w:ascii="Arial" w:cs="Arial" w:eastAsia="Arial" w:hAnsi="Arial"/>
          <w:sz w:val="16"/>
          <w:szCs w:val="16"/>
          <w:color w:val="333333"/>
        </w:rPr>
        <w:t>The compensation committee may from time to time delegate all or a portion of its duties and responsibilities to a subcommittee of the compensation committee.</w:t>
      </w:r>
    </w:p>
    <w:p>
      <w:pPr>
        <w:spacing w:after="0" w:line="214" w:lineRule="exact"/>
        <w:rPr>
          <w:sz w:val="20"/>
          <w:szCs w:val="20"/>
          <w:color w:val="auto"/>
        </w:rPr>
      </w:pPr>
    </w:p>
    <w:p>
      <w:pPr>
        <w:sectPr>
          <w:pgSz w:w="11900" w:h="16838" w:orient="portrait"/>
          <w:cols w:equalWidth="0" w:num="2">
            <w:col w:w="4880" w:space="260"/>
            <w:col w:w="4399"/>
          </w:cols>
          <w:pgMar w:left="920" w:top="114"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b w:val="1"/>
          <w:bCs w:val="1"/>
          <w:color w:val="333333"/>
        </w:rPr>
        <w:t xml:space="preserve">22 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CF1D4C"/>
        </w:rPr>
        <w:t>CORPORATE GOVERNANCE AND BOARD MATTERS</w:t>
      </w:r>
    </w:p>
    <w:p>
      <w:pPr>
        <w:sectPr>
          <w:pgSz w:w="11900" w:h="16838" w:orient="portrait"/>
          <w:cols w:equalWidth="0" w:num="1">
            <w:col w:w="10040"/>
          </w:cols>
          <w:pgMar w:left="920" w:top="114" w:right="9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660" w:right="280"/>
        <w:spacing w:after="0" w:line="253" w:lineRule="auto"/>
        <w:rPr>
          <w:sz w:val="20"/>
          <w:szCs w:val="20"/>
          <w:color w:val="auto"/>
        </w:rPr>
      </w:pPr>
      <w:r>
        <w:rPr>
          <w:rFonts w:ascii="Arial" w:cs="Arial" w:eastAsia="Arial" w:hAnsi="Arial"/>
          <w:sz w:val="16"/>
          <w:szCs w:val="16"/>
          <w:color w:val="auto"/>
        </w:rPr>
        <w:t>See “Compensation Discussion and Analysis” for a description of the processes and procedures of the compensation committee, the committee’s role, and the role of our executive officers and the compensation committee’s independent compensation consultant, in determining or recommending the amount or form of compensation for executive officers and directors.</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Nomination and Governance Committee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The governance committee currently consists of</w:t>
      </w:r>
    </w:p>
    <w:p>
      <w:pPr>
        <w:spacing w:after="0" w:line="21"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color w:val="333333"/>
        </w:rPr>
        <w:t>Messrs. Jones, Gupta and Stull and Ms. Moddelmog and is chaired by Ms. Moddelmog. The governance committee held one meeting in 2023.</w:t>
      </w:r>
    </w:p>
    <w:p>
      <w:pPr>
        <w:spacing w:after="0" w:line="192" w:lineRule="exact"/>
        <w:rPr>
          <w:sz w:val="20"/>
          <w:szCs w:val="20"/>
          <w:color w:val="auto"/>
        </w:rPr>
      </w:pPr>
    </w:p>
    <w:p>
      <w:pPr>
        <w:ind w:left="660" w:right="480"/>
        <w:spacing w:after="0" w:line="286" w:lineRule="auto"/>
        <w:rPr>
          <w:sz w:val="20"/>
          <w:szCs w:val="20"/>
          <w:color w:val="auto"/>
        </w:rPr>
      </w:pPr>
      <w:r>
        <w:rPr>
          <w:rFonts w:ascii="Arial" w:cs="Arial" w:eastAsia="Arial" w:hAnsi="Arial"/>
          <w:sz w:val="16"/>
          <w:szCs w:val="16"/>
          <w:color w:val="333333"/>
        </w:rPr>
        <w:t>The governance committee’s primary responsibilities include:</w:t>
      </w:r>
    </w:p>
    <w:p>
      <w:pPr>
        <w:spacing w:after="0" w:line="115" w:lineRule="exact"/>
        <w:rPr>
          <w:sz w:val="20"/>
          <w:szCs w:val="20"/>
          <w:color w:val="auto"/>
        </w:rPr>
      </w:pPr>
    </w:p>
    <w:p>
      <w:pPr>
        <w:ind w:left="640"/>
        <w:spacing w:after="0"/>
        <w:rPr>
          <w:sz w:val="20"/>
          <w:szCs w:val="20"/>
          <w:color w:val="auto"/>
        </w:rPr>
      </w:pPr>
      <w:r>
        <w:rPr>
          <w:sz w:val="1"/>
          <w:szCs w:val="1"/>
          <w:color w:val="auto"/>
        </w:rPr>
        <w:drawing>
          <wp:inline distT="0" distB="0" distL="0" distR="0">
            <wp:extent cx="76835" cy="9398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overseeing succession planning</w:t>
      </w:r>
    </w:p>
    <w:p>
      <w:pPr>
        <w:spacing w:after="0" w:line="19" w:lineRule="exact"/>
        <w:rPr>
          <w:sz w:val="20"/>
          <w:szCs w:val="20"/>
          <w:color w:val="auto"/>
        </w:rPr>
      </w:pPr>
    </w:p>
    <w:p>
      <w:pPr>
        <w:ind w:left="880" w:right="20" w:hanging="228"/>
        <w:spacing w:after="0"/>
        <w:rPr>
          <w:sz w:val="20"/>
          <w:szCs w:val="20"/>
          <w:color w:val="auto"/>
        </w:rPr>
      </w:pPr>
      <w:r>
        <w:rPr>
          <w:sz w:val="1"/>
          <w:szCs w:val="1"/>
          <w:color w:val="auto"/>
        </w:rPr>
        <w:drawing>
          <wp:inline distT="0" distB="0" distL="0" distR="0">
            <wp:extent cx="76835" cy="9398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developing and recommending criteria for selecting new directors</w:t>
      </w:r>
    </w:p>
    <w:p>
      <w:pPr>
        <w:ind w:left="880" w:right="380" w:hanging="228"/>
        <w:spacing w:after="0"/>
        <w:rPr>
          <w:sz w:val="20"/>
          <w:szCs w:val="20"/>
          <w:color w:val="auto"/>
        </w:rPr>
      </w:pPr>
      <w:r>
        <w:rPr>
          <w:sz w:val="1"/>
          <w:szCs w:val="1"/>
          <w:color w:val="auto"/>
        </w:rPr>
        <w:drawing>
          <wp:inline distT="0" distB="0" distL="0" distR="0">
            <wp:extent cx="76835" cy="9461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94615"/>
                    </a:xfrm>
                    <a:prstGeom prst="rect">
                      <a:avLst/>
                    </a:prstGeom>
                    <a:noFill/>
                    <a:ln>
                      <a:noFill/>
                    </a:ln>
                  </pic:spPr>
                </pic:pic>
              </a:graphicData>
            </a:graphic>
          </wp:inline>
        </w:drawing>
      </w:r>
      <w:r>
        <w:rPr>
          <w:rFonts w:ascii="Arial" w:cs="Arial" w:eastAsia="Arial" w:hAnsi="Arial"/>
          <w:sz w:val="16"/>
          <w:szCs w:val="16"/>
          <w:color w:val="333333"/>
        </w:rPr>
        <w:t>  evaluating individuals and qualifications to become directors</w:t>
      </w:r>
    </w:p>
    <w:p>
      <w:pPr>
        <w:ind w:left="640"/>
        <w:spacing w:after="0"/>
        <w:rPr>
          <w:sz w:val="20"/>
          <w:szCs w:val="20"/>
          <w:color w:val="auto"/>
        </w:rPr>
      </w:pPr>
      <w:r>
        <w:rPr>
          <w:sz w:val="1"/>
          <w:szCs w:val="1"/>
          <w:color w:val="auto"/>
        </w:rPr>
        <w:drawing>
          <wp:inline distT="0" distB="0" distL="0" distR="0">
            <wp:extent cx="76835" cy="9398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recommending nominees for committees of the Board</w:t>
      </w:r>
    </w:p>
    <w:p>
      <w:pPr>
        <w:spacing w:after="0" w:line="5" w:lineRule="exact"/>
        <w:rPr>
          <w:sz w:val="20"/>
          <w:szCs w:val="20"/>
          <w:color w:val="auto"/>
        </w:rPr>
      </w:pPr>
    </w:p>
    <w:p>
      <w:pPr>
        <w:ind w:left="880" w:right="160" w:hanging="228"/>
        <w:spacing w:after="0"/>
        <w:rPr>
          <w:sz w:val="20"/>
          <w:szCs w:val="20"/>
          <w:color w:val="auto"/>
        </w:rPr>
      </w:pPr>
      <w:r>
        <w:rPr>
          <w:sz w:val="1"/>
          <w:szCs w:val="1"/>
          <w:color w:val="auto"/>
        </w:rPr>
        <w:drawing>
          <wp:inline distT="0" distB="0" distL="0" distR="0">
            <wp:extent cx="76835" cy="9398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assisting the Board with matters concerning corporate governance practices</w:t>
      </w:r>
    </w:p>
    <w:p>
      <w:pPr>
        <w:ind w:left="640"/>
        <w:spacing w:after="0"/>
        <w:rPr>
          <w:sz w:val="20"/>
          <w:szCs w:val="20"/>
          <w:color w:val="auto"/>
        </w:rPr>
      </w:pPr>
      <w:r>
        <w:rPr>
          <w:sz w:val="1"/>
          <w:szCs w:val="1"/>
          <w:color w:val="auto"/>
        </w:rPr>
        <w:drawing>
          <wp:inline distT="0" distB="0" distL="0" distR="0">
            <wp:extent cx="76835" cy="9461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94615"/>
                    </a:xfrm>
                    <a:prstGeom prst="rect">
                      <a:avLst/>
                    </a:prstGeom>
                    <a:noFill/>
                    <a:ln>
                      <a:noFill/>
                    </a:ln>
                  </pic:spPr>
                </pic:pic>
              </a:graphicData>
            </a:graphic>
          </wp:inline>
        </w:drawing>
      </w:r>
      <w:r>
        <w:rPr>
          <w:rFonts w:ascii="Arial" w:cs="Arial" w:eastAsia="Arial" w:hAnsi="Arial"/>
          <w:sz w:val="16"/>
          <w:szCs w:val="16"/>
          <w:color w:val="333333"/>
        </w:rPr>
        <w:t>  overseeing ESG initiatives and considerations</w:t>
      </w:r>
    </w:p>
    <w:p>
      <w:pPr>
        <w:spacing w:after="0" w:line="180" w:lineRule="exact"/>
        <w:rPr>
          <w:sz w:val="20"/>
          <w:szCs w:val="20"/>
          <w:color w:val="auto"/>
        </w:rPr>
      </w:pPr>
    </w:p>
    <w:p>
      <w:pPr>
        <w:ind w:left="660" w:right="20"/>
        <w:spacing w:after="0" w:line="266" w:lineRule="auto"/>
        <w:rPr>
          <w:sz w:val="20"/>
          <w:szCs w:val="20"/>
          <w:color w:val="auto"/>
        </w:rPr>
      </w:pPr>
      <w:r>
        <w:rPr>
          <w:rFonts w:ascii="Arial" w:cs="Arial" w:eastAsia="Arial" w:hAnsi="Arial"/>
          <w:sz w:val="16"/>
          <w:szCs w:val="16"/>
          <w:color w:val="333333"/>
        </w:rPr>
        <w:t>The governance committee may from time to time delegate all or a portion of its duties and responsibilities to a subcommittee.</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Executive and Acquisitions Committee</w:t>
      </w:r>
    </w:p>
    <w:p>
      <w:pPr>
        <w:spacing w:after="0" w:line="235" w:lineRule="exact"/>
        <w:rPr>
          <w:sz w:val="20"/>
          <w:szCs w:val="20"/>
          <w:color w:val="auto"/>
        </w:rPr>
      </w:pPr>
    </w:p>
    <w:p>
      <w:pPr>
        <w:ind w:left="660" w:right="100"/>
        <w:spacing w:after="0" w:line="250" w:lineRule="auto"/>
        <w:rPr>
          <w:sz w:val="20"/>
          <w:szCs w:val="20"/>
          <w:color w:val="auto"/>
        </w:rPr>
      </w:pPr>
      <w:r>
        <w:rPr>
          <w:rFonts w:ascii="Arial" w:cs="Arial" w:eastAsia="Arial" w:hAnsi="Arial"/>
          <w:sz w:val="16"/>
          <w:szCs w:val="16"/>
          <w:color w:val="333333"/>
        </w:rPr>
        <w:t>Our executive and acquisitions committee currently consists of Messrs. Clarke, Hagerty, Jones and Sloan and is chaired by Mr. Clarke. The executive and acquisitions committee held no meetings in 2023, as all acquisitions were discussed with the full Board. The executive and acquisitions committee is responsible for addressing important Company matters, including capital expenditures, investments, acquisitions, dispositions and financing activities, that the Chairman of the Board determines should be addressed before the next scheduled meeting of the Board.</w:t>
      </w:r>
    </w:p>
    <w:p>
      <w:pPr>
        <w:spacing w:after="0" w:line="3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Information Technology and Security Committee</w:t>
      </w:r>
    </w:p>
    <w:p>
      <w:pPr>
        <w:spacing w:after="0" w:line="235" w:lineRule="exact"/>
        <w:rPr>
          <w:sz w:val="20"/>
          <w:szCs w:val="20"/>
          <w:color w:val="auto"/>
        </w:rPr>
      </w:pPr>
    </w:p>
    <w:p>
      <w:pPr>
        <w:ind w:left="660" w:right="520"/>
        <w:spacing w:after="0" w:line="256" w:lineRule="auto"/>
        <w:rPr>
          <w:sz w:val="20"/>
          <w:szCs w:val="20"/>
          <w:color w:val="auto"/>
        </w:rPr>
      </w:pPr>
      <w:r>
        <w:rPr>
          <w:rFonts w:ascii="Arial" w:cs="Arial" w:eastAsia="Arial" w:hAnsi="Arial"/>
          <w:sz w:val="16"/>
          <w:szCs w:val="16"/>
          <w:color w:val="333333"/>
        </w:rPr>
        <w:t>Our information technology and security committee consists of Messrs. Farrelly, Macchia and Sloan and</w:t>
      </w:r>
    </w:p>
    <w:p>
      <w:pPr>
        <w:spacing w:after="0" w:line="1" w:lineRule="exact"/>
        <w:rPr>
          <w:sz w:val="20"/>
          <w:szCs w:val="20"/>
          <w:color w:val="auto"/>
        </w:rPr>
      </w:pPr>
    </w:p>
    <w:p>
      <w:pPr>
        <w:ind w:left="660" w:right="80"/>
        <w:spacing w:after="0" w:line="251" w:lineRule="auto"/>
        <w:rPr>
          <w:sz w:val="20"/>
          <w:szCs w:val="20"/>
          <w:color w:val="auto"/>
        </w:rPr>
      </w:pPr>
      <w:r>
        <w:rPr>
          <w:rFonts w:ascii="Arial" w:cs="Arial" w:eastAsia="Arial" w:hAnsi="Arial"/>
          <w:sz w:val="16"/>
          <w:szCs w:val="16"/>
          <w:color w:val="333333"/>
        </w:rPr>
        <w:t>Ms. Bexiga, and is chaired by Mr. Farrelly. The information technology and security committee held four meetings in 2023. The information technology and security committee is responsible for providing oversight and leadership for our information technology security and cybersecurity,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right="700"/>
        <w:spacing w:after="0" w:line="256" w:lineRule="auto"/>
        <w:rPr>
          <w:sz w:val="20"/>
          <w:szCs w:val="20"/>
          <w:color w:val="auto"/>
        </w:rPr>
      </w:pPr>
      <w:r>
        <w:rPr>
          <w:rFonts w:ascii="Arial" w:cs="Arial" w:eastAsia="Arial" w:hAnsi="Arial"/>
          <w:sz w:val="16"/>
          <w:szCs w:val="16"/>
          <w:color w:val="auto"/>
        </w:rPr>
        <w:t>planning processes, policies and objectives. In furtherance of this role, the primary purpose of the committee is to review, assess and make recommendations regarding the long-term strategy for global information security and the evolution of our technology in a competitive environment.</w:t>
      </w:r>
    </w:p>
    <w:p>
      <w:pPr>
        <w:spacing w:after="0" w:line="153" w:lineRule="exact"/>
        <w:rPr>
          <w:sz w:val="20"/>
          <w:szCs w:val="20"/>
          <w:color w:val="auto"/>
        </w:rPr>
      </w:pPr>
    </w:p>
    <w:p>
      <w:pPr>
        <w:ind w:right="880"/>
        <w:spacing w:after="0" w:line="286" w:lineRule="auto"/>
        <w:rPr>
          <w:sz w:val="20"/>
          <w:szCs w:val="20"/>
          <w:color w:val="auto"/>
        </w:rPr>
      </w:pPr>
      <w:r>
        <w:rPr>
          <w:rFonts w:ascii="Arial" w:cs="Arial" w:eastAsia="Arial" w:hAnsi="Arial"/>
          <w:sz w:val="16"/>
          <w:szCs w:val="16"/>
          <w:color w:val="auto"/>
        </w:rPr>
        <w:t>To accomplish this purpose, the information technology and security committee has five primary responsibilities:</w:t>
      </w:r>
    </w:p>
    <w:p>
      <w:pPr>
        <w:spacing w:after="0" w:line="115" w:lineRule="exact"/>
        <w:rPr>
          <w:sz w:val="20"/>
          <w:szCs w:val="20"/>
          <w:color w:val="auto"/>
        </w:rPr>
      </w:pPr>
    </w:p>
    <w:p>
      <w:pPr>
        <w:ind w:left="240" w:right="840" w:hanging="233"/>
        <w:spacing w:after="0"/>
        <w:rPr>
          <w:sz w:val="20"/>
          <w:szCs w:val="20"/>
          <w:color w:val="auto"/>
        </w:rPr>
      </w:pPr>
      <w:r>
        <w:rPr>
          <w:sz w:val="1"/>
          <w:szCs w:val="1"/>
          <w:color w:val="auto"/>
        </w:rPr>
        <w:drawing>
          <wp:inline distT="0" distB="0" distL="0" distR="0">
            <wp:extent cx="77470" cy="9398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understanding the security controls and assessments conducted on our major payment platforms and comparing same to industry best practices</w:t>
      </w:r>
    </w:p>
    <w:p>
      <w:pPr>
        <w:spacing w:after="0"/>
        <w:rPr>
          <w:sz w:val="20"/>
          <w:szCs w:val="20"/>
          <w:color w:val="auto"/>
        </w:rPr>
      </w:pPr>
      <w:r>
        <w:rPr>
          <w:sz w:val="1"/>
          <w:szCs w:val="1"/>
          <w:color w:val="auto"/>
        </w:rPr>
        <w:drawing>
          <wp:inline distT="0" distB="0" distL="0" distR="0">
            <wp:extent cx="77470" cy="9398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evaluating strategies to protect our intellectual property</w:t>
      </w:r>
    </w:p>
    <w:p>
      <w:pPr>
        <w:spacing w:after="0" w:line="5" w:lineRule="exact"/>
        <w:rPr>
          <w:sz w:val="20"/>
          <w:szCs w:val="20"/>
          <w:color w:val="auto"/>
        </w:rPr>
      </w:pPr>
    </w:p>
    <w:p>
      <w:pPr>
        <w:ind w:left="240" w:right="660" w:hanging="233"/>
        <w:spacing w:after="0"/>
        <w:rPr>
          <w:sz w:val="20"/>
          <w:szCs w:val="20"/>
          <w:color w:val="auto"/>
        </w:rPr>
      </w:pPr>
      <w:r>
        <w:rPr>
          <w:sz w:val="1"/>
          <w:szCs w:val="1"/>
          <w:color w:val="auto"/>
        </w:rPr>
        <w:drawing>
          <wp:inline distT="0" distB="0" distL="0" distR="0">
            <wp:extent cx="77470" cy="9461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auto"/>
        </w:rPr>
        <w:t>  assessing opportunities to update our processing platform strategies to ensure the long term effective and efficient use of our resources</w:t>
      </w:r>
    </w:p>
    <w:p>
      <w:pPr>
        <w:ind w:left="240" w:right="820" w:hanging="233"/>
        <w:spacing w:after="0"/>
        <w:rPr>
          <w:sz w:val="20"/>
          <w:szCs w:val="20"/>
          <w:color w:val="auto"/>
        </w:rPr>
      </w:pPr>
      <w:r>
        <w:rPr>
          <w:sz w:val="1"/>
          <w:szCs w:val="1"/>
          <w:color w:val="auto"/>
        </w:rPr>
        <w:drawing>
          <wp:inline distT="0" distB="0" distL="0" distR="0">
            <wp:extent cx="77470" cy="9398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reviewing progress on significant IT security and cybersecurity projects and evaluating effectiveness of projects</w:t>
      </w:r>
    </w:p>
    <w:p>
      <w:pPr>
        <w:ind w:left="240" w:right="1320" w:hanging="233"/>
        <w:spacing w:after="0"/>
        <w:rPr>
          <w:sz w:val="20"/>
          <w:szCs w:val="20"/>
          <w:color w:val="auto"/>
        </w:rPr>
      </w:pPr>
      <w:r>
        <w:rPr>
          <w:sz w:val="1"/>
          <w:szCs w:val="1"/>
          <w:color w:val="auto"/>
        </w:rPr>
        <w:drawing>
          <wp:inline distT="0" distB="0" distL="0" distR="0">
            <wp:extent cx="77470" cy="9398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overseeing our disaster recovery and business continuity plans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Risk Oversight</w:t>
      </w:r>
    </w:p>
    <w:p>
      <w:pPr>
        <w:spacing w:after="0" w:line="216" w:lineRule="exact"/>
        <w:rPr>
          <w:sz w:val="20"/>
          <w:szCs w:val="20"/>
          <w:color w:val="auto"/>
        </w:rPr>
      </w:pPr>
    </w:p>
    <w:p>
      <w:pPr>
        <w:ind w:right="660"/>
        <w:spacing w:after="0" w:line="254" w:lineRule="auto"/>
        <w:rPr>
          <w:sz w:val="20"/>
          <w:szCs w:val="20"/>
          <w:color w:val="auto"/>
        </w:rPr>
      </w:pPr>
      <w:r>
        <w:rPr>
          <w:rFonts w:ascii="Arial" w:cs="Arial" w:eastAsia="Arial" w:hAnsi="Arial"/>
          <w:sz w:val="16"/>
          <w:szCs w:val="16"/>
          <w:color w:val="333333"/>
        </w:rPr>
        <w:t>Our Board, together with its committees, is responsible for overseeing our risk management. The chair of each committee reports to the full Board the significant risks facing the Company, as identified by management, and the measures undertaken by management for controlling and mitigating those risks.</w:t>
      </w:r>
    </w:p>
    <w:p>
      <w:pPr>
        <w:spacing w:after="0" w:line="155" w:lineRule="exact"/>
        <w:rPr>
          <w:sz w:val="20"/>
          <w:szCs w:val="20"/>
          <w:color w:val="auto"/>
        </w:rPr>
      </w:pPr>
    </w:p>
    <w:p>
      <w:pPr>
        <w:ind w:left="240" w:right="700" w:hanging="233"/>
        <w:spacing w:after="0"/>
        <w:rPr>
          <w:sz w:val="20"/>
          <w:szCs w:val="20"/>
          <w:color w:val="auto"/>
        </w:rPr>
      </w:pPr>
      <w:r>
        <w:rPr>
          <w:sz w:val="1"/>
          <w:szCs w:val="1"/>
          <w:color w:val="auto"/>
        </w:rPr>
        <w:drawing>
          <wp:inline distT="0" distB="0" distL="0" distR="0">
            <wp:extent cx="77470" cy="9398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xml:space="preserve">  </w:t>
      </w:r>
      <w:r>
        <w:rPr>
          <w:rFonts w:ascii="Arial" w:cs="Arial" w:eastAsia="Arial" w:hAnsi="Arial"/>
          <w:sz w:val="16"/>
          <w:szCs w:val="16"/>
          <w:b w:val="1"/>
          <w:bCs w:val="1"/>
          <w:color w:val="333333"/>
        </w:rPr>
        <w:t>The audit committee</w:t>
      </w:r>
      <w:r>
        <w:rPr>
          <w:rFonts w:ascii="Arial" w:cs="Arial" w:eastAsia="Arial" w:hAnsi="Arial"/>
          <w:sz w:val="16"/>
          <w:szCs w:val="16"/>
          <w:color w:val="333333"/>
        </w:rPr>
        <w:t xml:space="preserve"> is responsible for reviewing and approving the annual internal audit plan, our major financial and compliance risk exposures, steps taken to monitor and control such exposures, risk management and risk assessment policies, significant findings and recommendations and management’s responses. In addition, our internal audit function routinely performs audits on various aspects of operational risks and reports the results quarterly.</w:t>
      </w:r>
    </w:p>
    <w:p>
      <w:pPr>
        <w:spacing w:after="0" w:line="177"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xml:space="preserve">  </w:t>
      </w:r>
      <w:r>
        <w:rPr>
          <w:rFonts w:ascii="Arial" w:cs="Arial" w:eastAsia="Arial" w:hAnsi="Arial"/>
          <w:sz w:val="16"/>
          <w:szCs w:val="16"/>
          <w:b w:val="1"/>
          <w:bCs w:val="1"/>
          <w:color w:val="333333"/>
        </w:rPr>
        <w:t>The compensation committee</w:t>
      </w:r>
      <w:r>
        <w:rPr>
          <w:rFonts w:ascii="Arial" w:cs="Arial" w:eastAsia="Arial" w:hAnsi="Arial"/>
          <w:sz w:val="16"/>
          <w:szCs w:val="16"/>
          <w:color w:val="333333"/>
        </w:rPr>
        <w:t xml:space="preserve"> considers risks</w:t>
      </w:r>
    </w:p>
    <w:p>
      <w:pPr>
        <w:spacing w:after="0" w:line="35" w:lineRule="exact"/>
        <w:rPr>
          <w:sz w:val="20"/>
          <w:szCs w:val="20"/>
          <w:color w:val="auto"/>
        </w:rPr>
      </w:pPr>
    </w:p>
    <w:p>
      <w:pPr>
        <w:ind w:left="240" w:right="740"/>
        <w:spacing w:after="0" w:line="282" w:lineRule="auto"/>
        <w:rPr>
          <w:sz w:val="20"/>
          <w:szCs w:val="20"/>
          <w:color w:val="auto"/>
        </w:rPr>
      </w:pPr>
      <w:r>
        <w:rPr>
          <w:rFonts w:ascii="Arial" w:cs="Arial" w:eastAsia="Arial" w:hAnsi="Arial"/>
          <w:sz w:val="16"/>
          <w:szCs w:val="16"/>
          <w:color w:val="333333"/>
        </w:rPr>
        <w:t>associated with our compensation policies and practices, with respect to both executive compensation and compensation generally.</w:t>
      </w:r>
    </w:p>
    <w:p>
      <w:pPr>
        <w:spacing w:after="0" w:line="132" w:lineRule="exact"/>
        <w:rPr>
          <w:sz w:val="20"/>
          <w:szCs w:val="20"/>
          <w:color w:val="auto"/>
        </w:rPr>
      </w:pPr>
    </w:p>
    <w:p>
      <w:pPr>
        <w:spacing w:after="0"/>
        <w:rPr>
          <w:sz w:val="20"/>
          <w:szCs w:val="20"/>
          <w:color w:val="auto"/>
        </w:rPr>
      </w:pPr>
      <w:r>
        <w:rPr>
          <w:sz w:val="1"/>
          <w:szCs w:val="1"/>
          <w:color w:val="auto"/>
        </w:rPr>
        <w:drawing>
          <wp:inline distT="0" distB="0" distL="0" distR="0">
            <wp:extent cx="77470" cy="9461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333333"/>
        </w:rPr>
        <w:t xml:space="preserve">  </w:t>
      </w:r>
      <w:r>
        <w:rPr>
          <w:rFonts w:ascii="Arial" w:cs="Arial" w:eastAsia="Arial" w:hAnsi="Arial"/>
          <w:sz w:val="16"/>
          <w:szCs w:val="16"/>
          <w:b w:val="1"/>
          <w:bCs w:val="1"/>
          <w:color w:val="333333"/>
        </w:rPr>
        <w:t>The nomination and governance committee</w:t>
      </w:r>
      <w:r>
        <w:rPr>
          <w:rFonts w:ascii="Arial" w:cs="Arial" w:eastAsia="Arial" w:hAnsi="Arial"/>
          <w:sz w:val="16"/>
          <w:szCs w:val="16"/>
          <w:color w:val="333333"/>
        </w:rPr>
        <w:t xml:space="preserve"> is</w:t>
      </w:r>
    </w:p>
    <w:p>
      <w:pPr>
        <w:spacing w:after="0" w:line="39" w:lineRule="exact"/>
        <w:rPr>
          <w:sz w:val="20"/>
          <w:szCs w:val="20"/>
          <w:color w:val="auto"/>
        </w:rPr>
      </w:pPr>
    </w:p>
    <w:p>
      <w:pPr>
        <w:ind w:left="240" w:right="840"/>
        <w:spacing w:after="0" w:line="276" w:lineRule="auto"/>
        <w:rPr>
          <w:sz w:val="20"/>
          <w:szCs w:val="20"/>
          <w:color w:val="auto"/>
        </w:rPr>
      </w:pPr>
      <w:r>
        <w:rPr>
          <w:rFonts w:ascii="Arial" w:cs="Arial" w:eastAsia="Arial" w:hAnsi="Arial"/>
          <w:sz w:val="16"/>
          <w:szCs w:val="16"/>
          <w:color w:val="333333"/>
        </w:rPr>
        <w:t>responsible for succession planning, governance structure and processes, ESG initiatives and considerations, legal and policy matters with potential significant reputational impact and shareholder concerns.</w:t>
      </w:r>
    </w:p>
    <w:p>
      <w:pPr>
        <w:spacing w:after="0" w:line="150" w:lineRule="exact"/>
        <w:rPr>
          <w:sz w:val="20"/>
          <w:szCs w:val="20"/>
          <w:color w:val="auto"/>
        </w:rPr>
      </w:pPr>
    </w:p>
    <w:p>
      <w:pPr>
        <w:jc w:val="right"/>
        <w:ind w:right="680"/>
        <w:spacing w:after="0" w:line="331" w:lineRule="auto"/>
        <w:rPr>
          <w:sz w:val="20"/>
          <w:szCs w:val="20"/>
          <w:color w:val="auto"/>
        </w:rPr>
      </w:pPr>
      <w:r>
        <w:rPr>
          <w:sz w:val="1"/>
          <w:szCs w:val="1"/>
          <w:color w:val="auto"/>
        </w:rPr>
        <w:drawing>
          <wp:inline distT="0" distB="0" distL="0" distR="0">
            <wp:extent cx="77470" cy="94615"/>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5"/>
          <w:szCs w:val="15"/>
          <w:color w:val="333333"/>
        </w:rPr>
        <w:t xml:space="preserve">  </w:t>
      </w:r>
      <w:r>
        <w:rPr>
          <w:rFonts w:ascii="Arial" w:cs="Arial" w:eastAsia="Arial" w:hAnsi="Arial"/>
          <w:sz w:val="15"/>
          <w:szCs w:val="15"/>
          <w:b w:val="1"/>
          <w:bCs w:val="1"/>
          <w:color w:val="333333"/>
        </w:rPr>
        <w:t>The information technology and security committee</w:t>
      </w:r>
      <w:r>
        <w:rPr>
          <w:rFonts w:ascii="Arial" w:cs="Arial" w:eastAsia="Arial" w:hAnsi="Arial"/>
          <w:sz w:val="15"/>
          <w:szCs w:val="15"/>
          <w:color w:val="333333"/>
        </w:rPr>
        <w:t xml:space="preserve"> focuses on risks associated with information technology</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125095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900" w:space="240"/>
            <w:col w:w="4900"/>
          </w:cols>
          <w:pgMar w:left="920" w:top="114" w:right="9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CF1D4C"/>
        </w:rPr>
        <w:t>CORPORATE GOVERNANCE AND BOARD MATTERS</w:t>
      </w:r>
    </w:p>
    <w:p>
      <w:pPr>
        <w:sectPr>
          <w:pgSz w:w="11900" w:h="16838" w:orient="portrait"/>
          <w:cols w:equalWidth="0" w:num="1">
            <w:col w:w="9539"/>
          </w:cols>
          <w:pgMar w:left="920" w:top="114" w:right="1440"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880" w:right="40"/>
        <w:spacing w:after="0" w:line="249" w:lineRule="auto"/>
        <w:rPr>
          <w:sz w:val="20"/>
          <w:szCs w:val="20"/>
          <w:color w:val="auto"/>
        </w:rPr>
      </w:pPr>
      <w:r>
        <w:rPr>
          <w:rFonts w:ascii="Arial" w:cs="Arial" w:eastAsia="Arial" w:hAnsi="Arial"/>
          <w:sz w:val="16"/>
          <w:szCs w:val="16"/>
          <w:color w:val="auto"/>
        </w:rPr>
        <w:t>and security, such as cybersecurity, security controls, technology initiatives and intellectual property protection. The information technology and security committee conducts reviews at least quarterly to oversee the efficacy of cybersecurity risk initiatives and related controls, policies, procedures, training, preparedness and governance structure. The Board and the information technology and security committee directed the formation of a cross-functional cybersecurity council at the Company, and receive regular cybersecurity reports from the global CIO, the corporate CIO and the chief information security officer, among others.</w:t>
      </w:r>
    </w:p>
    <w:p>
      <w:pPr>
        <w:spacing w:after="0" w:line="164"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Our Board, with input from the various committees and senior management, regularly engages in discussing the most significant risks and how the risks are being managed. Our management team is responsible for identifying and working with the Board to manage business risk and design a risk framework, including setting boundaries and monitoring risk appetite. We believe that our leadership structure, as described above, supports the risk oversight function of the Board.</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Director Independence</w:t>
      </w:r>
    </w:p>
    <w:p>
      <w:pPr>
        <w:spacing w:after="0" w:line="216" w:lineRule="exact"/>
        <w:rPr>
          <w:sz w:val="20"/>
          <w:szCs w:val="20"/>
          <w:color w:val="auto"/>
        </w:rPr>
      </w:pPr>
    </w:p>
    <w:p>
      <w:pPr>
        <w:ind w:left="660" w:right="80"/>
        <w:spacing w:after="0" w:line="249" w:lineRule="auto"/>
        <w:rPr>
          <w:sz w:val="20"/>
          <w:szCs w:val="20"/>
          <w:color w:val="auto"/>
        </w:rPr>
      </w:pPr>
      <w:r>
        <w:rPr>
          <w:rFonts w:ascii="Arial" w:cs="Arial" w:eastAsia="Arial" w:hAnsi="Arial"/>
          <w:sz w:val="16"/>
          <w:szCs w:val="16"/>
          <w:color w:val="333333"/>
        </w:rPr>
        <w:t>Our corporate governance guidelines provide that a majority of our directors will be independent. Our Board has adopted director independence guidelines to assist in determining each director’s independence. These guidelines are included in our corporate governance guidelines available on our website at https://investor.corpay.com. The guidelines exceed the independence requirements of the NYSE. Under the director independence guidelines and NYSE rules, the Board must annually review each director’s independence and affirmatively determine a director has no relationship that would interfere with the exercise of independent judgment in carrying out the responsibilities of a director.</w:t>
      </w:r>
    </w:p>
    <w:p>
      <w:pPr>
        <w:spacing w:after="0" w:line="151" w:lineRule="exact"/>
        <w:rPr>
          <w:sz w:val="20"/>
          <w:szCs w:val="20"/>
          <w:color w:val="auto"/>
        </w:rPr>
      </w:pPr>
    </w:p>
    <w:p>
      <w:pPr>
        <w:ind w:left="660" w:right="240"/>
        <w:spacing w:after="0" w:line="253" w:lineRule="auto"/>
        <w:rPr>
          <w:sz w:val="20"/>
          <w:szCs w:val="20"/>
          <w:color w:val="auto"/>
        </w:rPr>
      </w:pPr>
      <w:r>
        <w:rPr>
          <w:rFonts w:ascii="Arial" w:cs="Arial" w:eastAsia="Arial" w:hAnsi="Arial"/>
          <w:sz w:val="16"/>
          <w:szCs w:val="16"/>
          <w:color w:val="333333"/>
        </w:rPr>
        <w:t>The Board has analyzed the independence of each director and determined that, except for our CEO, they each meet the standards of independence under our director independence standards, and applicable NYSE listing rules, including that each member is free of any relationship that would interfere with their individual exercise of independent judgment.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right="219"/>
        <w:spacing w:after="0" w:line="259" w:lineRule="auto"/>
        <w:rPr>
          <w:sz w:val="20"/>
          <w:szCs w:val="20"/>
          <w:color w:val="auto"/>
        </w:rPr>
      </w:pPr>
      <w:r>
        <w:rPr>
          <w:rFonts w:ascii="Arial" w:cs="Arial" w:eastAsia="Arial" w:hAnsi="Arial"/>
          <w:sz w:val="16"/>
          <w:szCs w:val="16"/>
          <w:color w:val="auto"/>
        </w:rPr>
        <w:t>compensation for our directors because the value of the grants increases as the value of our stock price increases, aligning the interests of these directors with those of our shareholders.</w:t>
      </w:r>
    </w:p>
    <w:p>
      <w:pPr>
        <w:spacing w:after="0" w:line="151" w:lineRule="exact"/>
        <w:rPr>
          <w:sz w:val="20"/>
          <w:szCs w:val="20"/>
          <w:color w:val="auto"/>
        </w:rPr>
      </w:pPr>
    </w:p>
    <w:p>
      <w:pPr>
        <w:ind w:right="219"/>
        <w:spacing w:after="0" w:line="249" w:lineRule="auto"/>
        <w:rPr>
          <w:sz w:val="20"/>
          <w:szCs w:val="20"/>
          <w:color w:val="auto"/>
        </w:rPr>
      </w:pPr>
      <w:r>
        <w:rPr>
          <w:rFonts w:ascii="Arial" w:cs="Arial" w:eastAsia="Arial" w:hAnsi="Arial"/>
          <w:sz w:val="16"/>
          <w:szCs w:val="16"/>
          <w:color w:val="auto"/>
        </w:rPr>
        <w:t>Annual grants for director service for 2023 generally had a target value at grant of approximately $300,000. The amount of these grants was determined based on our Board’s general experience with market levels of director compensation. In addition, the Board approved a cash payment in the amount of $75,000 for each independent committee Chair serving in such capacity in January 2023 (Messrs. Farrelly, Hagerty, Macchia and Stull and</w:t>
      </w:r>
    </w:p>
    <w:p>
      <w:pPr>
        <w:spacing w:after="0" w:line="1" w:lineRule="exact"/>
        <w:rPr>
          <w:sz w:val="20"/>
          <w:szCs w:val="20"/>
          <w:color w:val="auto"/>
        </w:rPr>
      </w:pPr>
    </w:p>
    <w:p>
      <w:pPr>
        <w:ind w:right="199"/>
        <w:spacing w:after="0" w:line="250" w:lineRule="auto"/>
        <w:rPr>
          <w:sz w:val="20"/>
          <w:szCs w:val="20"/>
          <w:color w:val="auto"/>
        </w:rPr>
      </w:pPr>
      <w:r>
        <w:rPr>
          <w:rFonts w:ascii="Arial" w:cs="Arial" w:eastAsia="Arial" w:hAnsi="Arial"/>
          <w:sz w:val="16"/>
          <w:szCs w:val="16"/>
          <w:color w:val="auto"/>
        </w:rPr>
        <w:t>Ms. Moddelmog). The decision to provide cash compensation is reviewed on an annual basis. All members of our Board are reimbursed for actual expenses incurred in connection with attendance at Board meetings. Mr. Clarke does not receive any compensation for service on our Board.</w:t>
      </w:r>
    </w:p>
    <w:p>
      <w:pPr>
        <w:spacing w:after="0" w:line="144" w:lineRule="exact"/>
        <w:rPr>
          <w:sz w:val="20"/>
          <w:szCs w:val="20"/>
          <w:color w:val="auto"/>
        </w:rPr>
      </w:pPr>
    </w:p>
    <w:p>
      <w:pPr>
        <w:ind w:right="159"/>
        <w:spacing w:after="0" w:line="249" w:lineRule="auto"/>
        <w:rPr>
          <w:sz w:val="20"/>
          <w:szCs w:val="20"/>
          <w:color w:val="auto"/>
        </w:rPr>
      </w:pPr>
      <w:r>
        <w:rPr>
          <w:rFonts w:ascii="Arial" w:cs="Arial" w:eastAsia="Arial" w:hAnsi="Arial"/>
          <w:sz w:val="16"/>
          <w:szCs w:val="16"/>
          <w:color w:val="auto"/>
        </w:rPr>
        <w:t>Ms. Bexiga, Mr. Gupta and Mr. Throop each received a new Board member grant of restricted stock when they joined the Board. Each such grant had a target value equal to a pro-rata portion of $300,000 (the value of the regular annual grant), plus an additional value of approximately $200,000 in recognition of their commencement of Board service. These grants generally vest at the same time as regular annual grants. For 2023, each of our directors had the ability to elect to receive a grant of restricted stock or stock options for his or her annual equity compensation award. Mr. Stull opted for his equity compensation award to be in the form of stock options, and each of the remaining non-employee directors opted for an equity compensation award in the form of restricted stock.</w:t>
      </w:r>
    </w:p>
    <w:p>
      <w:pPr>
        <w:spacing w:after="0" w:line="149" w:lineRule="exact"/>
        <w:rPr>
          <w:sz w:val="20"/>
          <w:szCs w:val="20"/>
          <w:color w:val="auto"/>
        </w:rPr>
      </w:pPr>
    </w:p>
    <w:p>
      <w:pPr>
        <w:ind w:right="159"/>
        <w:spacing w:after="0" w:line="250" w:lineRule="auto"/>
        <w:rPr>
          <w:sz w:val="20"/>
          <w:szCs w:val="20"/>
          <w:color w:val="auto"/>
        </w:rPr>
      </w:pPr>
      <w:r>
        <w:rPr>
          <w:rFonts w:ascii="Arial" w:cs="Arial" w:eastAsia="Arial" w:hAnsi="Arial"/>
          <w:sz w:val="16"/>
          <w:szCs w:val="16"/>
          <w:color w:val="auto"/>
        </w:rPr>
        <w:t>Our corporate governance guidelines set forth an expectation that all non-employee directors will hold at least a specified dollar amount of common shares or equity interests within five years of becoming a director. In 2019, our Board increased the stock ownership guideline from $150,000 to $1,250,000. Based on the closing stock price on December 29, 2023, six of our current non-employee directors are in compliance with this guideline and we expect that our four newest directors will meet the guideline within five years, as required by our corporate governance guidelines.</w:t>
      </w:r>
    </w:p>
    <w:p>
      <w:pPr>
        <w:spacing w:after="0" w:line="718" w:lineRule="exact"/>
        <w:rPr>
          <w:sz w:val="20"/>
          <w:szCs w:val="20"/>
          <w:color w:val="auto"/>
        </w:rPr>
      </w:pPr>
    </w:p>
    <w:p>
      <w:pPr>
        <w:sectPr>
          <w:pgSz w:w="11900" w:h="16838" w:orient="portrait"/>
          <w:cols w:equalWidth="0" w:num="2">
            <w:col w:w="4880" w:space="260"/>
            <w:col w:w="4399"/>
          </w:cols>
          <w:pgMar w:left="920" w:top="114" w:right="1440" w:bottom="1440" w:gutter="0" w:footer="0" w:header="0"/>
          <w:type w:val="continuous"/>
        </w:sect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2023 Director Compensation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The non-employee members of our Board receive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compensation for serving as directors. Our Board believes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equity-based awards are appropriate forms of</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w:t>
      </w: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24 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CF1D4C"/>
        </w:rPr>
        <w:t>CORPORATE GOVERNANCE AND BOARD MATTERS</w:t>
      </w:r>
    </w:p>
    <w:p>
      <w:pPr>
        <w:spacing w:after="0" w:line="365" w:lineRule="exact"/>
        <w:rPr>
          <w:sz w:val="20"/>
          <w:szCs w:val="20"/>
          <w:color w:val="auto"/>
        </w:rPr>
      </w:pPr>
    </w:p>
    <w:tbl>
      <w:tblPr>
        <w:tblLayout w:type="fixed"/>
        <w:tblInd w:w="640" w:type="dxa"/>
        <w:tblCellMar>
          <w:top w:w="0" w:type="dxa"/>
          <w:left w:w="0" w:type="dxa"/>
          <w:bottom w:w="0" w:type="dxa"/>
          <w:right w:w="0" w:type="dxa"/>
        </w:tblCellMar>
      </w:tblPr>
      <w:tr>
        <w:trPr>
          <w:trHeight w:val="288"/>
        </w:trPr>
        <w:tc>
          <w:tcPr>
            <w:tcW w:w="2240" w:type="dxa"/>
            <w:vAlign w:val="bottom"/>
            <w:vMerge w:val="restart"/>
            <w:shd w:val="clear" w:color="auto" w:fill="CF1D4C"/>
          </w:tcPr>
          <w:p>
            <w:pPr>
              <w:ind w:left="400"/>
              <w:spacing w:after="0"/>
              <w:rPr>
                <w:sz w:val="20"/>
                <w:szCs w:val="20"/>
                <w:color w:val="auto"/>
              </w:rPr>
            </w:pPr>
            <w:r>
              <w:rPr>
                <w:rFonts w:ascii="Arial" w:cs="Arial" w:eastAsia="Arial" w:hAnsi="Arial"/>
                <w:sz w:val="14"/>
                <w:szCs w:val="14"/>
                <w:b w:val="1"/>
                <w:bCs w:val="1"/>
                <w:color w:val="FFFFFF"/>
              </w:rPr>
              <w:t>Name</w:t>
            </w:r>
          </w:p>
        </w:tc>
        <w:tc>
          <w:tcPr>
            <w:tcW w:w="1620" w:type="dxa"/>
            <w:vAlign w:val="bottom"/>
            <w:shd w:val="clear" w:color="auto" w:fill="CF1D4C"/>
          </w:tcPr>
          <w:p>
            <w:pPr>
              <w:ind w:left="320"/>
              <w:spacing w:after="0"/>
              <w:rPr>
                <w:sz w:val="20"/>
                <w:szCs w:val="20"/>
                <w:color w:val="auto"/>
              </w:rPr>
            </w:pPr>
            <w:r>
              <w:rPr>
                <w:rFonts w:ascii="Arial" w:cs="Arial" w:eastAsia="Arial" w:hAnsi="Arial"/>
                <w:sz w:val="14"/>
                <w:szCs w:val="14"/>
                <w:b w:val="1"/>
                <w:bCs w:val="1"/>
                <w:color w:val="FFFFFF"/>
              </w:rPr>
              <w:t>Fees Earned or</w:t>
            </w:r>
          </w:p>
        </w:tc>
        <w:tc>
          <w:tcPr>
            <w:tcW w:w="1640" w:type="dxa"/>
            <w:vAlign w:val="bottom"/>
            <w:vMerge w:val="restart"/>
            <w:shd w:val="clear" w:color="auto" w:fill="CF1D4C"/>
          </w:tcPr>
          <w:p>
            <w:pPr>
              <w:ind w:left="220"/>
              <w:spacing w:after="0"/>
              <w:rPr>
                <w:sz w:val="20"/>
                <w:szCs w:val="20"/>
                <w:color w:val="auto"/>
              </w:rPr>
            </w:pPr>
            <w:r>
              <w:rPr>
                <w:rFonts w:ascii="Arial" w:cs="Arial" w:eastAsia="Arial" w:hAnsi="Arial"/>
                <w:sz w:val="14"/>
                <w:szCs w:val="14"/>
                <w:b w:val="1"/>
                <w:bCs w:val="1"/>
                <w:color w:val="FFFFFF"/>
              </w:rPr>
              <w:t>Stock Awards ($)</w:t>
            </w:r>
            <w:r>
              <w:rPr>
                <w:rFonts w:ascii="Arial" w:cs="Arial" w:eastAsia="Arial" w:hAnsi="Arial"/>
                <w:sz w:val="23"/>
                <w:szCs w:val="23"/>
                <w:b w:val="1"/>
                <w:bCs w:val="1"/>
                <w:color w:val="FFFFFF"/>
                <w:vertAlign w:val="superscript"/>
              </w:rPr>
              <w:t>(6)</w:t>
            </w:r>
          </w:p>
        </w:tc>
        <w:tc>
          <w:tcPr>
            <w:tcW w:w="1540" w:type="dxa"/>
            <w:vAlign w:val="bottom"/>
            <w:vMerge w:val="restart"/>
            <w:shd w:val="clear" w:color="auto" w:fill="CF1D4C"/>
          </w:tcPr>
          <w:p>
            <w:pPr>
              <w:ind w:left="100"/>
              <w:spacing w:after="0"/>
              <w:rPr>
                <w:sz w:val="20"/>
                <w:szCs w:val="20"/>
                <w:color w:val="auto"/>
              </w:rPr>
            </w:pPr>
            <w:r>
              <w:rPr>
                <w:rFonts w:ascii="Arial" w:cs="Arial" w:eastAsia="Arial" w:hAnsi="Arial"/>
                <w:sz w:val="14"/>
                <w:szCs w:val="14"/>
                <w:b w:val="1"/>
                <w:bCs w:val="1"/>
                <w:color w:val="FFFFFF"/>
              </w:rPr>
              <w:t>Option Awards ($)</w:t>
            </w:r>
            <w:r>
              <w:rPr>
                <w:rFonts w:ascii="Arial" w:cs="Arial" w:eastAsia="Arial" w:hAnsi="Arial"/>
                <w:sz w:val="23"/>
                <w:szCs w:val="23"/>
                <w:b w:val="1"/>
                <w:bCs w:val="1"/>
                <w:color w:val="FFFFFF"/>
                <w:vertAlign w:val="superscript"/>
              </w:rPr>
              <w:t>(7)</w:t>
            </w:r>
          </w:p>
        </w:tc>
        <w:tc>
          <w:tcPr>
            <w:tcW w:w="1720" w:type="dxa"/>
            <w:vAlign w:val="bottom"/>
            <w:vMerge w:val="restart"/>
            <w:shd w:val="clear" w:color="auto" w:fill="CF1D4C"/>
          </w:tcPr>
          <w:p>
            <w:pPr>
              <w:ind w:left="80"/>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144"/>
        </w:trPr>
        <w:tc>
          <w:tcPr>
            <w:tcW w:w="2240" w:type="dxa"/>
            <w:vAlign w:val="bottom"/>
            <w:vMerge w:val="continue"/>
            <w:shd w:val="clear" w:color="auto" w:fill="CF1D4C"/>
          </w:tcPr>
          <w:p>
            <w:pPr>
              <w:spacing w:after="0"/>
              <w:rPr>
                <w:sz w:val="12"/>
                <w:szCs w:val="12"/>
                <w:color w:val="auto"/>
              </w:rPr>
            </w:pPr>
          </w:p>
        </w:tc>
        <w:tc>
          <w:tcPr>
            <w:tcW w:w="1620" w:type="dxa"/>
            <w:vAlign w:val="bottom"/>
            <w:vMerge w:val="restart"/>
            <w:shd w:val="clear" w:color="auto" w:fill="CF1D4C"/>
          </w:tcPr>
          <w:p>
            <w:pPr>
              <w:ind w:left="320"/>
              <w:spacing w:after="0"/>
              <w:rPr>
                <w:sz w:val="20"/>
                <w:szCs w:val="20"/>
                <w:color w:val="auto"/>
              </w:rPr>
            </w:pPr>
            <w:r>
              <w:rPr>
                <w:rFonts w:ascii="Arial" w:cs="Arial" w:eastAsia="Arial" w:hAnsi="Arial"/>
                <w:sz w:val="14"/>
                <w:szCs w:val="14"/>
                <w:b w:val="1"/>
                <w:bCs w:val="1"/>
                <w:color w:val="FFFFFF"/>
              </w:rPr>
              <w:t>Paid in Cash ($)</w:t>
            </w:r>
          </w:p>
        </w:tc>
        <w:tc>
          <w:tcPr>
            <w:tcW w:w="1640" w:type="dxa"/>
            <w:vAlign w:val="bottom"/>
            <w:vMerge w:val="continue"/>
            <w:shd w:val="clear" w:color="auto" w:fill="CF1D4C"/>
          </w:tcPr>
          <w:p>
            <w:pPr>
              <w:spacing w:after="0"/>
              <w:rPr>
                <w:sz w:val="12"/>
                <w:szCs w:val="12"/>
                <w:color w:val="auto"/>
              </w:rPr>
            </w:pPr>
          </w:p>
        </w:tc>
        <w:tc>
          <w:tcPr>
            <w:tcW w:w="1540" w:type="dxa"/>
            <w:vAlign w:val="bottom"/>
            <w:vMerge w:val="continue"/>
            <w:shd w:val="clear" w:color="auto" w:fill="CF1D4C"/>
          </w:tcPr>
          <w:p>
            <w:pPr>
              <w:spacing w:after="0"/>
              <w:rPr>
                <w:sz w:val="12"/>
                <w:szCs w:val="12"/>
                <w:color w:val="auto"/>
              </w:rPr>
            </w:pPr>
          </w:p>
        </w:tc>
        <w:tc>
          <w:tcPr>
            <w:tcW w:w="1720" w:type="dxa"/>
            <w:vAlign w:val="bottom"/>
            <w:vMerge w:val="continue"/>
            <w:shd w:val="clear" w:color="auto" w:fill="CF1D4C"/>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240" w:type="dxa"/>
            <w:vAlign w:val="bottom"/>
            <w:tcBorders>
              <w:bottom w:val="single" w:sz="8" w:color="CF1D4C"/>
            </w:tcBorders>
            <w:shd w:val="clear" w:color="auto" w:fill="CF1D4C"/>
          </w:tcPr>
          <w:p>
            <w:pPr>
              <w:spacing w:after="0"/>
              <w:rPr>
                <w:sz w:val="7"/>
                <w:szCs w:val="7"/>
                <w:color w:val="auto"/>
              </w:rPr>
            </w:pPr>
          </w:p>
        </w:tc>
        <w:tc>
          <w:tcPr>
            <w:tcW w:w="1620" w:type="dxa"/>
            <w:vAlign w:val="bottom"/>
            <w:tcBorders>
              <w:bottom w:val="single" w:sz="8" w:color="CF1D4C"/>
            </w:tcBorders>
            <w:vMerge w:val="continue"/>
            <w:shd w:val="clear" w:color="auto" w:fill="CF1D4C"/>
          </w:tcPr>
          <w:p>
            <w:pPr>
              <w:spacing w:after="0"/>
              <w:rPr>
                <w:sz w:val="7"/>
                <w:szCs w:val="7"/>
                <w:color w:val="auto"/>
              </w:rPr>
            </w:pPr>
          </w:p>
        </w:tc>
        <w:tc>
          <w:tcPr>
            <w:tcW w:w="1640" w:type="dxa"/>
            <w:vAlign w:val="bottom"/>
            <w:tcBorders>
              <w:bottom w:val="single" w:sz="8" w:color="CF1D4C"/>
            </w:tcBorders>
            <w:shd w:val="clear" w:color="auto" w:fill="CF1D4C"/>
          </w:tcPr>
          <w:p>
            <w:pPr>
              <w:spacing w:after="0"/>
              <w:rPr>
                <w:sz w:val="7"/>
                <w:szCs w:val="7"/>
                <w:color w:val="auto"/>
              </w:rPr>
            </w:pPr>
          </w:p>
        </w:tc>
        <w:tc>
          <w:tcPr>
            <w:tcW w:w="1540" w:type="dxa"/>
            <w:vAlign w:val="bottom"/>
            <w:tcBorders>
              <w:bottom w:val="single" w:sz="8" w:color="CF1D4C"/>
            </w:tcBorders>
            <w:shd w:val="clear" w:color="auto" w:fill="CF1D4C"/>
          </w:tcPr>
          <w:p>
            <w:pPr>
              <w:spacing w:after="0"/>
              <w:rPr>
                <w:sz w:val="7"/>
                <w:szCs w:val="7"/>
                <w:color w:val="auto"/>
              </w:rPr>
            </w:pPr>
          </w:p>
        </w:tc>
        <w:tc>
          <w:tcPr>
            <w:tcW w:w="1720" w:type="dxa"/>
            <w:vAlign w:val="bottom"/>
            <w:tcBorders>
              <w:bottom w:val="single" w:sz="8" w:color="CF1D4C"/>
            </w:tcBorders>
            <w:shd w:val="clear" w:color="auto" w:fill="CF1D4C"/>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2240" w:type="dxa"/>
            <w:vAlign w:val="bottom"/>
          </w:tcPr>
          <w:p>
            <w:pPr>
              <w:ind w:left="400"/>
              <w:spacing w:after="0"/>
              <w:rPr>
                <w:sz w:val="20"/>
                <w:szCs w:val="20"/>
                <w:color w:val="auto"/>
              </w:rPr>
            </w:pPr>
            <w:r>
              <w:rPr>
                <w:rFonts w:ascii="Arial" w:cs="Arial" w:eastAsia="Arial" w:hAnsi="Arial"/>
                <w:sz w:val="16"/>
                <w:szCs w:val="16"/>
                <w:b w:val="1"/>
                <w:bCs w:val="1"/>
                <w:color w:val="333333"/>
              </w:rPr>
              <w:t>Annabelle Bexiga</w:t>
            </w:r>
            <w:r>
              <w:rPr>
                <w:rFonts w:ascii="Arial" w:cs="Arial" w:eastAsia="Arial" w:hAnsi="Arial"/>
                <w:sz w:val="26"/>
                <w:szCs w:val="26"/>
                <w:b w:val="1"/>
                <w:bCs w:val="1"/>
                <w:color w:val="333333"/>
                <w:vertAlign w:val="superscript"/>
              </w:rPr>
              <w:t>(1)</w:t>
            </w:r>
          </w:p>
        </w:tc>
        <w:tc>
          <w:tcPr>
            <w:tcW w:w="1620" w:type="dxa"/>
            <w:vAlign w:val="bottom"/>
          </w:tcPr>
          <w:p>
            <w:pPr>
              <w:ind w:left="320"/>
              <w:spacing w:after="0"/>
              <w:rPr>
                <w:sz w:val="20"/>
                <w:szCs w:val="20"/>
                <w:color w:val="auto"/>
              </w:rPr>
            </w:pPr>
            <w:r>
              <w:rPr>
                <w:rFonts w:ascii="Arial" w:cs="Arial" w:eastAsia="Arial" w:hAnsi="Arial"/>
                <w:sz w:val="16"/>
                <w:szCs w:val="16"/>
                <w:color w:val="333333"/>
              </w:rPr>
              <w:t>—</w:t>
            </w:r>
          </w:p>
        </w:tc>
        <w:tc>
          <w:tcPr>
            <w:tcW w:w="1640" w:type="dxa"/>
            <w:vAlign w:val="bottom"/>
          </w:tcPr>
          <w:p>
            <w:pPr>
              <w:ind w:left="220"/>
              <w:spacing w:after="0"/>
              <w:rPr>
                <w:sz w:val="20"/>
                <w:szCs w:val="20"/>
                <w:color w:val="auto"/>
              </w:rPr>
            </w:pPr>
            <w:r>
              <w:rPr>
                <w:rFonts w:ascii="Arial" w:cs="Arial" w:eastAsia="Arial" w:hAnsi="Arial"/>
                <w:sz w:val="16"/>
                <w:szCs w:val="16"/>
                <w:color w:val="333333"/>
              </w:rPr>
              <w:t>$500,023</w:t>
            </w:r>
          </w:p>
        </w:tc>
        <w:tc>
          <w:tcPr>
            <w:tcW w:w="1540" w:type="dxa"/>
            <w:vAlign w:val="bottom"/>
          </w:tcPr>
          <w:p>
            <w:pPr>
              <w:ind w:left="100"/>
              <w:spacing w:after="0"/>
              <w:rPr>
                <w:sz w:val="20"/>
                <w:szCs w:val="20"/>
                <w:color w:val="auto"/>
              </w:rPr>
            </w:pPr>
            <w:r>
              <w:rPr>
                <w:rFonts w:ascii="Arial" w:cs="Arial" w:eastAsia="Arial" w:hAnsi="Arial"/>
                <w:sz w:val="16"/>
                <w:szCs w:val="16"/>
                <w:color w:val="333333"/>
              </w:rPr>
              <w:t>—</w:t>
            </w:r>
          </w:p>
        </w:tc>
        <w:tc>
          <w:tcPr>
            <w:tcW w:w="1720" w:type="dxa"/>
            <w:vAlign w:val="bottom"/>
          </w:tcPr>
          <w:p>
            <w:pPr>
              <w:ind w:left="80"/>
              <w:spacing w:after="0"/>
              <w:rPr>
                <w:sz w:val="20"/>
                <w:szCs w:val="20"/>
                <w:color w:val="auto"/>
              </w:rPr>
            </w:pPr>
            <w:r>
              <w:rPr>
                <w:rFonts w:ascii="Arial" w:cs="Arial" w:eastAsia="Arial" w:hAnsi="Arial"/>
                <w:sz w:val="16"/>
                <w:szCs w:val="16"/>
                <w:color w:val="333333"/>
              </w:rPr>
              <w:t>$500,023</w:t>
            </w:r>
          </w:p>
        </w:tc>
        <w:tc>
          <w:tcPr>
            <w:tcW w:w="0" w:type="dxa"/>
            <w:vAlign w:val="bottom"/>
          </w:tcPr>
          <w:p>
            <w:pPr>
              <w:spacing w:after="0"/>
              <w:rPr>
                <w:sz w:val="1"/>
                <w:szCs w:val="1"/>
                <w:color w:val="auto"/>
              </w:rPr>
            </w:pPr>
          </w:p>
        </w:tc>
      </w:tr>
      <w:tr>
        <w:trPr>
          <w:trHeight w:val="445"/>
        </w:trPr>
        <w:tc>
          <w:tcPr>
            <w:tcW w:w="2240" w:type="dxa"/>
            <w:vAlign w:val="bottom"/>
            <w:shd w:val="clear" w:color="auto" w:fill="D9D9D9"/>
          </w:tcPr>
          <w:p>
            <w:pPr>
              <w:ind w:left="400"/>
              <w:spacing w:after="0"/>
              <w:rPr>
                <w:sz w:val="20"/>
                <w:szCs w:val="20"/>
                <w:color w:val="auto"/>
              </w:rPr>
            </w:pPr>
            <w:r>
              <w:rPr>
                <w:rFonts w:ascii="Arial" w:cs="Arial" w:eastAsia="Arial" w:hAnsi="Arial"/>
                <w:sz w:val="16"/>
                <w:szCs w:val="16"/>
                <w:b w:val="1"/>
                <w:bCs w:val="1"/>
                <w:color w:val="333333"/>
              </w:rPr>
              <w:t>Michael Buckman</w:t>
            </w:r>
            <w:r>
              <w:rPr>
                <w:rFonts w:ascii="Arial" w:cs="Arial" w:eastAsia="Arial" w:hAnsi="Arial"/>
                <w:sz w:val="26"/>
                <w:szCs w:val="26"/>
                <w:b w:val="1"/>
                <w:bCs w:val="1"/>
                <w:color w:val="333333"/>
                <w:vertAlign w:val="superscript"/>
              </w:rPr>
              <w:t>(2)</w:t>
            </w:r>
          </w:p>
        </w:tc>
        <w:tc>
          <w:tcPr>
            <w:tcW w:w="1620" w:type="dxa"/>
            <w:vAlign w:val="bottom"/>
            <w:shd w:val="clear" w:color="auto" w:fill="D9D9D9"/>
          </w:tcPr>
          <w:p>
            <w:pPr>
              <w:ind w:left="320"/>
              <w:spacing w:after="0"/>
              <w:rPr>
                <w:sz w:val="20"/>
                <w:szCs w:val="20"/>
                <w:color w:val="auto"/>
              </w:rPr>
            </w:pPr>
            <w:r>
              <w:rPr>
                <w:rFonts w:ascii="Arial" w:cs="Arial" w:eastAsia="Arial" w:hAnsi="Arial"/>
                <w:sz w:val="16"/>
                <w:szCs w:val="16"/>
                <w:color w:val="333333"/>
              </w:rPr>
              <w:t>—</w:t>
            </w:r>
          </w:p>
        </w:tc>
        <w:tc>
          <w:tcPr>
            <w:tcW w:w="1640" w:type="dxa"/>
            <w:vAlign w:val="bottom"/>
            <w:shd w:val="clear" w:color="auto" w:fill="D9D9D9"/>
          </w:tcPr>
          <w:p>
            <w:pPr>
              <w:ind w:left="220"/>
              <w:spacing w:after="0"/>
              <w:rPr>
                <w:sz w:val="20"/>
                <w:szCs w:val="20"/>
                <w:color w:val="auto"/>
              </w:rPr>
            </w:pPr>
            <w:r>
              <w:rPr>
                <w:rFonts w:ascii="Arial" w:cs="Arial" w:eastAsia="Arial" w:hAnsi="Arial"/>
                <w:sz w:val="16"/>
                <w:szCs w:val="16"/>
                <w:color w:val="333333"/>
              </w:rPr>
              <w:t>$300,014</w:t>
            </w:r>
          </w:p>
        </w:tc>
        <w:tc>
          <w:tcPr>
            <w:tcW w:w="1540" w:type="dxa"/>
            <w:vAlign w:val="bottom"/>
            <w:shd w:val="clear" w:color="auto" w:fill="D9D9D9"/>
          </w:tcPr>
          <w:p>
            <w:pPr>
              <w:ind w:left="100"/>
              <w:spacing w:after="0"/>
              <w:rPr>
                <w:sz w:val="20"/>
                <w:szCs w:val="20"/>
                <w:color w:val="auto"/>
              </w:rPr>
            </w:pPr>
            <w:r>
              <w:rPr>
                <w:rFonts w:ascii="Arial" w:cs="Arial" w:eastAsia="Arial" w:hAnsi="Arial"/>
                <w:sz w:val="16"/>
                <w:szCs w:val="16"/>
                <w:color w:val="333333"/>
              </w:rPr>
              <w:t>—</w:t>
            </w:r>
          </w:p>
        </w:tc>
        <w:tc>
          <w:tcPr>
            <w:tcW w:w="1720" w:type="dxa"/>
            <w:vAlign w:val="bottom"/>
            <w:shd w:val="clear" w:color="auto" w:fill="D9D9D9"/>
          </w:tcPr>
          <w:p>
            <w:pPr>
              <w:ind w:left="80"/>
              <w:spacing w:after="0"/>
              <w:rPr>
                <w:sz w:val="20"/>
                <w:szCs w:val="20"/>
                <w:color w:val="auto"/>
              </w:rPr>
            </w:pPr>
            <w:r>
              <w:rPr>
                <w:rFonts w:ascii="Arial" w:cs="Arial" w:eastAsia="Arial" w:hAnsi="Arial"/>
                <w:sz w:val="16"/>
                <w:szCs w:val="16"/>
                <w:color w:val="333333"/>
              </w:rPr>
              <w:t>$300,014</w:t>
            </w:r>
          </w:p>
        </w:tc>
        <w:tc>
          <w:tcPr>
            <w:tcW w:w="0" w:type="dxa"/>
            <w:vAlign w:val="bottom"/>
          </w:tcPr>
          <w:p>
            <w:pPr>
              <w:spacing w:after="0"/>
              <w:rPr>
                <w:sz w:val="1"/>
                <w:szCs w:val="1"/>
                <w:color w:val="auto"/>
              </w:rPr>
            </w:pPr>
          </w:p>
        </w:tc>
      </w:tr>
      <w:tr>
        <w:trPr>
          <w:trHeight w:val="317"/>
        </w:trPr>
        <w:tc>
          <w:tcPr>
            <w:tcW w:w="2240" w:type="dxa"/>
            <w:vAlign w:val="bottom"/>
          </w:tcPr>
          <w:p>
            <w:pPr>
              <w:ind w:left="400"/>
              <w:spacing w:after="0"/>
              <w:rPr>
                <w:sz w:val="20"/>
                <w:szCs w:val="20"/>
                <w:color w:val="auto"/>
              </w:rPr>
            </w:pPr>
            <w:r>
              <w:rPr>
                <w:rFonts w:ascii="Arial" w:cs="Arial" w:eastAsia="Arial" w:hAnsi="Arial"/>
                <w:sz w:val="16"/>
                <w:szCs w:val="16"/>
                <w:b w:val="1"/>
                <w:bCs w:val="1"/>
                <w:color w:val="333333"/>
              </w:rPr>
              <w:t>Joseph W. Farrelly</w:t>
            </w:r>
          </w:p>
        </w:tc>
        <w:tc>
          <w:tcPr>
            <w:tcW w:w="1620" w:type="dxa"/>
            <w:vAlign w:val="bottom"/>
          </w:tcPr>
          <w:p>
            <w:pPr>
              <w:ind w:left="320"/>
              <w:spacing w:after="0"/>
              <w:rPr>
                <w:sz w:val="20"/>
                <w:szCs w:val="20"/>
                <w:color w:val="auto"/>
              </w:rPr>
            </w:pPr>
            <w:r>
              <w:rPr>
                <w:rFonts w:ascii="Arial" w:cs="Arial" w:eastAsia="Arial" w:hAnsi="Arial"/>
                <w:sz w:val="16"/>
                <w:szCs w:val="16"/>
                <w:color w:val="333333"/>
              </w:rPr>
              <w:t>$75,000</w:t>
            </w:r>
          </w:p>
        </w:tc>
        <w:tc>
          <w:tcPr>
            <w:tcW w:w="1640" w:type="dxa"/>
            <w:vAlign w:val="bottom"/>
          </w:tcPr>
          <w:p>
            <w:pPr>
              <w:ind w:left="220"/>
              <w:spacing w:after="0"/>
              <w:rPr>
                <w:sz w:val="20"/>
                <w:szCs w:val="20"/>
                <w:color w:val="auto"/>
              </w:rPr>
            </w:pPr>
            <w:r>
              <w:rPr>
                <w:rFonts w:ascii="Arial" w:cs="Arial" w:eastAsia="Arial" w:hAnsi="Arial"/>
                <w:sz w:val="16"/>
                <w:szCs w:val="16"/>
                <w:color w:val="333333"/>
              </w:rPr>
              <w:t>$300,014</w:t>
            </w:r>
          </w:p>
        </w:tc>
        <w:tc>
          <w:tcPr>
            <w:tcW w:w="1540" w:type="dxa"/>
            <w:vAlign w:val="bottom"/>
          </w:tcPr>
          <w:p>
            <w:pPr>
              <w:ind w:left="100"/>
              <w:spacing w:after="0"/>
              <w:rPr>
                <w:sz w:val="20"/>
                <w:szCs w:val="20"/>
                <w:color w:val="auto"/>
              </w:rPr>
            </w:pPr>
            <w:r>
              <w:rPr>
                <w:rFonts w:ascii="Arial" w:cs="Arial" w:eastAsia="Arial" w:hAnsi="Arial"/>
                <w:sz w:val="16"/>
                <w:szCs w:val="16"/>
                <w:color w:val="333333"/>
              </w:rPr>
              <w:t>—</w:t>
            </w:r>
          </w:p>
        </w:tc>
        <w:tc>
          <w:tcPr>
            <w:tcW w:w="1720" w:type="dxa"/>
            <w:vAlign w:val="bottom"/>
          </w:tcPr>
          <w:p>
            <w:pPr>
              <w:ind w:left="80"/>
              <w:spacing w:after="0"/>
              <w:rPr>
                <w:sz w:val="20"/>
                <w:szCs w:val="20"/>
                <w:color w:val="auto"/>
              </w:rPr>
            </w:pPr>
            <w:r>
              <w:rPr>
                <w:rFonts w:ascii="Arial" w:cs="Arial" w:eastAsia="Arial" w:hAnsi="Arial"/>
                <w:sz w:val="16"/>
                <w:szCs w:val="16"/>
                <w:color w:val="333333"/>
              </w:rPr>
              <w:t>$375,014</w:t>
            </w:r>
          </w:p>
        </w:tc>
        <w:tc>
          <w:tcPr>
            <w:tcW w:w="0" w:type="dxa"/>
            <w:vAlign w:val="bottom"/>
          </w:tcPr>
          <w:p>
            <w:pPr>
              <w:spacing w:after="0"/>
              <w:rPr>
                <w:sz w:val="1"/>
                <w:szCs w:val="1"/>
                <w:color w:val="auto"/>
              </w:rPr>
            </w:pPr>
          </w:p>
        </w:tc>
      </w:tr>
      <w:tr>
        <w:trPr>
          <w:trHeight w:val="88"/>
        </w:trPr>
        <w:tc>
          <w:tcPr>
            <w:tcW w:w="2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6"/>
        </w:trPr>
        <w:tc>
          <w:tcPr>
            <w:tcW w:w="2240" w:type="dxa"/>
            <w:vAlign w:val="bottom"/>
            <w:shd w:val="clear" w:color="auto" w:fill="D9D9D9"/>
          </w:tcPr>
          <w:p>
            <w:pPr>
              <w:ind w:left="400"/>
              <w:spacing w:after="0"/>
              <w:rPr>
                <w:sz w:val="20"/>
                <w:szCs w:val="20"/>
                <w:color w:val="auto"/>
              </w:rPr>
            </w:pPr>
            <w:r>
              <w:rPr>
                <w:rFonts w:ascii="Arial" w:cs="Arial" w:eastAsia="Arial" w:hAnsi="Arial"/>
                <w:sz w:val="16"/>
                <w:szCs w:val="16"/>
                <w:b w:val="1"/>
                <w:bCs w:val="1"/>
                <w:color w:val="333333"/>
              </w:rPr>
              <w:t>Rahul Gupta</w:t>
            </w:r>
            <w:r>
              <w:rPr>
                <w:rFonts w:ascii="Arial" w:cs="Arial" w:eastAsia="Arial" w:hAnsi="Arial"/>
                <w:sz w:val="26"/>
                <w:szCs w:val="26"/>
                <w:b w:val="1"/>
                <w:bCs w:val="1"/>
                <w:color w:val="333333"/>
                <w:vertAlign w:val="superscript"/>
              </w:rPr>
              <w:t>(3)</w:t>
            </w:r>
          </w:p>
        </w:tc>
        <w:tc>
          <w:tcPr>
            <w:tcW w:w="1620" w:type="dxa"/>
            <w:vAlign w:val="bottom"/>
            <w:shd w:val="clear" w:color="auto" w:fill="D9D9D9"/>
          </w:tcPr>
          <w:p>
            <w:pPr>
              <w:ind w:left="320"/>
              <w:spacing w:after="0"/>
              <w:rPr>
                <w:sz w:val="20"/>
                <w:szCs w:val="20"/>
                <w:color w:val="auto"/>
              </w:rPr>
            </w:pPr>
            <w:r>
              <w:rPr>
                <w:rFonts w:ascii="Arial" w:cs="Arial" w:eastAsia="Arial" w:hAnsi="Arial"/>
                <w:sz w:val="16"/>
                <w:szCs w:val="16"/>
                <w:color w:val="333333"/>
              </w:rPr>
              <w:t>—</w:t>
            </w:r>
          </w:p>
        </w:tc>
        <w:tc>
          <w:tcPr>
            <w:tcW w:w="1640" w:type="dxa"/>
            <w:vAlign w:val="bottom"/>
            <w:shd w:val="clear" w:color="auto" w:fill="D9D9D9"/>
          </w:tcPr>
          <w:p>
            <w:pPr>
              <w:ind w:left="220"/>
              <w:spacing w:after="0"/>
              <w:rPr>
                <w:sz w:val="20"/>
                <w:szCs w:val="20"/>
                <w:color w:val="auto"/>
              </w:rPr>
            </w:pPr>
            <w:r>
              <w:rPr>
                <w:rFonts w:ascii="Arial" w:cs="Arial" w:eastAsia="Arial" w:hAnsi="Arial"/>
                <w:sz w:val="16"/>
                <w:szCs w:val="16"/>
                <w:color w:val="333333"/>
              </w:rPr>
              <w:t>$450,016</w:t>
            </w:r>
          </w:p>
        </w:tc>
        <w:tc>
          <w:tcPr>
            <w:tcW w:w="1540" w:type="dxa"/>
            <w:vAlign w:val="bottom"/>
            <w:shd w:val="clear" w:color="auto" w:fill="D9D9D9"/>
          </w:tcPr>
          <w:p>
            <w:pPr>
              <w:ind w:left="100"/>
              <w:spacing w:after="0"/>
              <w:rPr>
                <w:sz w:val="20"/>
                <w:szCs w:val="20"/>
                <w:color w:val="auto"/>
              </w:rPr>
            </w:pPr>
            <w:r>
              <w:rPr>
                <w:rFonts w:ascii="Arial" w:cs="Arial" w:eastAsia="Arial" w:hAnsi="Arial"/>
                <w:sz w:val="16"/>
                <w:szCs w:val="16"/>
                <w:color w:val="333333"/>
              </w:rPr>
              <w:t>—</w:t>
            </w:r>
          </w:p>
        </w:tc>
        <w:tc>
          <w:tcPr>
            <w:tcW w:w="1720" w:type="dxa"/>
            <w:vAlign w:val="bottom"/>
            <w:shd w:val="clear" w:color="auto" w:fill="D9D9D9"/>
          </w:tcPr>
          <w:p>
            <w:pPr>
              <w:ind w:left="80"/>
              <w:spacing w:after="0"/>
              <w:rPr>
                <w:sz w:val="20"/>
                <w:szCs w:val="20"/>
                <w:color w:val="auto"/>
              </w:rPr>
            </w:pPr>
            <w:r>
              <w:rPr>
                <w:rFonts w:ascii="Arial" w:cs="Arial" w:eastAsia="Arial" w:hAnsi="Arial"/>
                <w:sz w:val="16"/>
                <w:szCs w:val="16"/>
                <w:color w:val="333333"/>
              </w:rPr>
              <w:t>$450,016</w:t>
            </w:r>
          </w:p>
        </w:tc>
        <w:tc>
          <w:tcPr>
            <w:tcW w:w="0" w:type="dxa"/>
            <w:vAlign w:val="bottom"/>
          </w:tcPr>
          <w:p>
            <w:pPr>
              <w:spacing w:after="0"/>
              <w:rPr>
                <w:sz w:val="1"/>
                <w:szCs w:val="1"/>
                <w:color w:val="auto"/>
              </w:rPr>
            </w:pPr>
          </w:p>
        </w:tc>
      </w:tr>
      <w:tr>
        <w:trPr>
          <w:trHeight w:val="317"/>
        </w:trPr>
        <w:tc>
          <w:tcPr>
            <w:tcW w:w="2240" w:type="dxa"/>
            <w:vAlign w:val="bottom"/>
          </w:tcPr>
          <w:p>
            <w:pPr>
              <w:ind w:left="400"/>
              <w:spacing w:after="0"/>
              <w:rPr>
                <w:sz w:val="20"/>
                <w:szCs w:val="20"/>
                <w:color w:val="auto"/>
              </w:rPr>
            </w:pPr>
            <w:r>
              <w:rPr>
                <w:rFonts w:ascii="Arial" w:cs="Arial" w:eastAsia="Arial" w:hAnsi="Arial"/>
                <w:sz w:val="16"/>
                <w:szCs w:val="16"/>
                <w:b w:val="1"/>
                <w:bCs w:val="1"/>
                <w:color w:val="333333"/>
              </w:rPr>
              <w:t>Thomas M. Hagerty</w:t>
            </w:r>
          </w:p>
        </w:tc>
        <w:tc>
          <w:tcPr>
            <w:tcW w:w="1620" w:type="dxa"/>
            <w:vAlign w:val="bottom"/>
          </w:tcPr>
          <w:p>
            <w:pPr>
              <w:ind w:left="320"/>
              <w:spacing w:after="0"/>
              <w:rPr>
                <w:sz w:val="20"/>
                <w:szCs w:val="20"/>
                <w:color w:val="auto"/>
              </w:rPr>
            </w:pPr>
            <w:r>
              <w:rPr>
                <w:rFonts w:ascii="Arial" w:cs="Arial" w:eastAsia="Arial" w:hAnsi="Arial"/>
                <w:sz w:val="16"/>
                <w:szCs w:val="16"/>
                <w:color w:val="333333"/>
              </w:rPr>
              <w:t>$75,000</w:t>
            </w:r>
          </w:p>
        </w:tc>
        <w:tc>
          <w:tcPr>
            <w:tcW w:w="1640" w:type="dxa"/>
            <w:vAlign w:val="bottom"/>
          </w:tcPr>
          <w:p>
            <w:pPr>
              <w:ind w:left="220"/>
              <w:spacing w:after="0"/>
              <w:rPr>
                <w:sz w:val="20"/>
                <w:szCs w:val="20"/>
                <w:color w:val="auto"/>
              </w:rPr>
            </w:pPr>
            <w:r>
              <w:rPr>
                <w:rFonts w:ascii="Arial" w:cs="Arial" w:eastAsia="Arial" w:hAnsi="Arial"/>
                <w:sz w:val="16"/>
                <w:szCs w:val="16"/>
                <w:color w:val="333333"/>
              </w:rPr>
              <w:t>$300,014</w:t>
            </w:r>
          </w:p>
        </w:tc>
        <w:tc>
          <w:tcPr>
            <w:tcW w:w="1540" w:type="dxa"/>
            <w:vAlign w:val="bottom"/>
          </w:tcPr>
          <w:p>
            <w:pPr>
              <w:ind w:left="100"/>
              <w:spacing w:after="0"/>
              <w:rPr>
                <w:sz w:val="20"/>
                <w:szCs w:val="20"/>
                <w:color w:val="auto"/>
              </w:rPr>
            </w:pPr>
            <w:r>
              <w:rPr>
                <w:rFonts w:ascii="Arial" w:cs="Arial" w:eastAsia="Arial" w:hAnsi="Arial"/>
                <w:sz w:val="16"/>
                <w:szCs w:val="16"/>
                <w:color w:val="333333"/>
              </w:rPr>
              <w:t>—</w:t>
            </w:r>
          </w:p>
        </w:tc>
        <w:tc>
          <w:tcPr>
            <w:tcW w:w="1720" w:type="dxa"/>
            <w:vAlign w:val="bottom"/>
          </w:tcPr>
          <w:p>
            <w:pPr>
              <w:ind w:left="80"/>
              <w:spacing w:after="0"/>
              <w:rPr>
                <w:sz w:val="20"/>
                <w:szCs w:val="20"/>
                <w:color w:val="auto"/>
              </w:rPr>
            </w:pPr>
            <w:r>
              <w:rPr>
                <w:rFonts w:ascii="Arial" w:cs="Arial" w:eastAsia="Arial" w:hAnsi="Arial"/>
                <w:sz w:val="16"/>
                <w:szCs w:val="16"/>
                <w:color w:val="333333"/>
              </w:rPr>
              <w:t>$375,014</w:t>
            </w:r>
          </w:p>
        </w:tc>
        <w:tc>
          <w:tcPr>
            <w:tcW w:w="0" w:type="dxa"/>
            <w:vAlign w:val="bottom"/>
          </w:tcPr>
          <w:p>
            <w:pPr>
              <w:spacing w:after="0"/>
              <w:rPr>
                <w:sz w:val="1"/>
                <w:szCs w:val="1"/>
                <w:color w:val="auto"/>
              </w:rPr>
            </w:pPr>
          </w:p>
        </w:tc>
      </w:tr>
      <w:tr>
        <w:trPr>
          <w:trHeight w:val="88"/>
        </w:trPr>
        <w:tc>
          <w:tcPr>
            <w:tcW w:w="2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6"/>
        </w:trPr>
        <w:tc>
          <w:tcPr>
            <w:tcW w:w="2240" w:type="dxa"/>
            <w:vAlign w:val="bottom"/>
            <w:shd w:val="clear" w:color="auto" w:fill="D9D9D9"/>
          </w:tcPr>
          <w:p>
            <w:pPr>
              <w:ind w:left="400"/>
              <w:spacing w:after="0"/>
              <w:rPr>
                <w:sz w:val="20"/>
                <w:szCs w:val="20"/>
                <w:color w:val="auto"/>
              </w:rPr>
            </w:pPr>
            <w:r>
              <w:rPr>
                <w:rFonts w:ascii="Arial" w:cs="Arial" w:eastAsia="Arial" w:hAnsi="Arial"/>
                <w:sz w:val="16"/>
                <w:szCs w:val="16"/>
                <w:b w:val="1"/>
                <w:bCs w:val="1"/>
                <w:color w:val="333333"/>
              </w:rPr>
              <w:t>Mark A. Johnson</w:t>
            </w:r>
            <w:r>
              <w:rPr>
                <w:rFonts w:ascii="Arial" w:cs="Arial" w:eastAsia="Arial" w:hAnsi="Arial"/>
                <w:sz w:val="26"/>
                <w:szCs w:val="26"/>
                <w:b w:val="1"/>
                <w:bCs w:val="1"/>
                <w:color w:val="333333"/>
                <w:vertAlign w:val="superscript"/>
              </w:rPr>
              <w:t>(4)</w:t>
            </w:r>
          </w:p>
        </w:tc>
        <w:tc>
          <w:tcPr>
            <w:tcW w:w="1620" w:type="dxa"/>
            <w:vAlign w:val="bottom"/>
            <w:shd w:val="clear" w:color="auto" w:fill="D9D9D9"/>
          </w:tcPr>
          <w:p>
            <w:pPr>
              <w:ind w:left="320"/>
              <w:spacing w:after="0"/>
              <w:rPr>
                <w:sz w:val="20"/>
                <w:szCs w:val="20"/>
                <w:color w:val="auto"/>
              </w:rPr>
            </w:pPr>
            <w:r>
              <w:rPr>
                <w:rFonts w:ascii="Arial" w:cs="Arial" w:eastAsia="Arial" w:hAnsi="Arial"/>
                <w:sz w:val="16"/>
                <w:szCs w:val="16"/>
                <w:color w:val="333333"/>
              </w:rPr>
              <w:t>—</w:t>
            </w:r>
          </w:p>
        </w:tc>
        <w:tc>
          <w:tcPr>
            <w:tcW w:w="1640" w:type="dxa"/>
            <w:vAlign w:val="bottom"/>
            <w:shd w:val="clear" w:color="auto" w:fill="D9D9D9"/>
          </w:tcPr>
          <w:p>
            <w:pPr>
              <w:ind w:left="220"/>
              <w:spacing w:after="0"/>
              <w:rPr>
                <w:sz w:val="20"/>
                <w:szCs w:val="20"/>
                <w:color w:val="auto"/>
              </w:rPr>
            </w:pPr>
            <w:r>
              <w:rPr>
                <w:rFonts w:ascii="Arial" w:cs="Arial" w:eastAsia="Arial" w:hAnsi="Arial"/>
                <w:sz w:val="16"/>
                <w:szCs w:val="16"/>
                <w:color w:val="333333"/>
              </w:rPr>
              <w:t>—</w:t>
            </w:r>
          </w:p>
        </w:tc>
        <w:tc>
          <w:tcPr>
            <w:tcW w:w="1540" w:type="dxa"/>
            <w:vAlign w:val="bottom"/>
            <w:shd w:val="clear" w:color="auto" w:fill="D9D9D9"/>
          </w:tcPr>
          <w:p>
            <w:pPr>
              <w:ind w:left="100"/>
              <w:spacing w:after="0"/>
              <w:rPr>
                <w:sz w:val="20"/>
                <w:szCs w:val="20"/>
                <w:color w:val="auto"/>
              </w:rPr>
            </w:pPr>
            <w:r>
              <w:rPr>
                <w:rFonts w:ascii="Arial" w:cs="Arial" w:eastAsia="Arial" w:hAnsi="Arial"/>
                <w:sz w:val="16"/>
                <w:szCs w:val="16"/>
                <w:color w:val="333333"/>
              </w:rPr>
              <w:t>—</w:t>
            </w:r>
          </w:p>
        </w:tc>
        <w:tc>
          <w:tcPr>
            <w:tcW w:w="1720" w:type="dxa"/>
            <w:vAlign w:val="bottom"/>
            <w:shd w:val="clear" w:color="auto" w:fill="D9D9D9"/>
          </w:tcPr>
          <w:p>
            <w:pPr>
              <w:ind w:left="8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316"/>
        </w:trPr>
        <w:tc>
          <w:tcPr>
            <w:tcW w:w="2240" w:type="dxa"/>
            <w:vAlign w:val="bottom"/>
          </w:tcPr>
          <w:p>
            <w:pPr>
              <w:ind w:left="400"/>
              <w:spacing w:after="0"/>
              <w:rPr>
                <w:sz w:val="20"/>
                <w:szCs w:val="20"/>
                <w:color w:val="auto"/>
              </w:rPr>
            </w:pPr>
            <w:r>
              <w:rPr>
                <w:rFonts w:ascii="Arial" w:cs="Arial" w:eastAsia="Arial" w:hAnsi="Arial"/>
                <w:sz w:val="16"/>
                <w:szCs w:val="16"/>
                <w:b w:val="1"/>
                <w:bCs w:val="1"/>
                <w:color w:val="333333"/>
              </w:rPr>
              <w:t>Archie L. Jones, Jr.</w:t>
            </w:r>
          </w:p>
        </w:tc>
        <w:tc>
          <w:tcPr>
            <w:tcW w:w="1620" w:type="dxa"/>
            <w:vAlign w:val="bottom"/>
          </w:tcPr>
          <w:p>
            <w:pPr>
              <w:ind w:left="320"/>
              <w:spacing w:after="0"/>
              <w:rPr>
                <w:sz w:val="20"/>
                <w:szCs w:val="20"/>
                <w:color w:val="auto"/>
              </w:rPr>
            </w:pPr>
            <w:r>
              <w:rPr>
                <w:rFonts w:ascii="Arial" w:cs="Arial" w:eastAsia="Arial" w:hAnsi="Arial"/>
                <w:sz w:val="16"/>
                <w:szCs w:val="16"/>
                <w:color w:val="333333"/>
              </w:rPr>
              <w:t>—</w:t>
            </w:r>
          </w:p>
        </w:tc>
        <w:tc>
          <w:tcPr>
            <w:tcW w:w="1640" w:type="dxa"/>
            <w:vAlign w:val="bottom"/>
          </w:tcPr>
          <w:p>
            <w:pPr>
              <w:ind w:left="220"/>
              <w:spacing w:after="0"/>
              <w:rPr>
                <w:sz w:val="20"/>
                <w:szCs w:val="20"/>
                <w:color w:val="auto"/>
              </w:rPr>
            </w:pPr>
            <w:r>
              <w:rPr>
                <w:rFonts w:ascii="Arial" w:cs="Arial" w:eastAsia="Arial" w:hAnsi="Arial"/>
                <w:sz w:val="16"/>
                <w:szCs w:val="16"/>
                <w:color w:val="333333"/>
              </w:rPr>
              <w:t>$300,014</w:t>
            </w:r>
          </w:p>
        </w:tc>
        <w:tc>
          <w:tcPr>
            <w:tcW w:w="1540" w:type="dxa"/>
            <w:vAlign w:val="bottom"/>
          </w:tcPr>
          <w:p>
            <w:pPr>
              <w:ind w:left="100"/>
              <w:spacing w:after="0"/>
              <w:rPr>
                <w:sz w:val="20"/>
                <w:szCs w:val="20"/>
                <w:color w:val="auto"/>
              </w:rPr>
            </w:pPr>
            <w:r>
              <w:rPr>
                <w:rFonts w:ascii="Arial" w:cs="Arial" w:eastAsia="Arial" w:hAnsi="Arial"/>
                <w:sz w:val="16"/>
                <w:szCs w:val="16"/>
                <w:color w:val="333333"/>
              </w:rPr>
              <w:t>—</w:t>
            </w:r>
          </w:p>
        </w:tc>
        <w:tc>
          <w:tcPr>
            <w:tcW w:w="1720" w:type="dxa"/>
            <w:vAlign w:val="bottom"/>
          </w:tcPr>
          <w:p>
            <w:pPr>
              <w:ind w:left="80"/>
              <w:spacing w:after="0"/>
              <w:rPr>
                <w:sz w:val="20"/>
                <w:szCs w:val="20"/>
                <w:color w:val="auto"/>
              </w:rPr>
            </w:pPr>
            <w:r>
              <w:rPr>
                <w:rFonts w:ascii="Arial" w:cs="Arial" w:eastAsia="Arial" w:hAnsi="Arial"/>
                <w:sz w:val="16"/>
                <w:szCs w:val="16"/>
                <w:color w:val="333333"/>
              </w:rPr>
              <w:t>$300,014</w:t>
            </w:r>
          </w:p>
        </w:tc>
        <w:tc>
          <w:tcPr>
            <w:tcW w:w="0" w:type="dxa"/>
            <w:vAlign w:val="bottom"/>
          </w:tcPr>
          <w:p>
            <w:pPr>
              <w:spacing w:after="0"/>
              <w:rPr>
                <w:sz w:val="1"/>
                <w:szCs w:val="1"/>
                <w:color w:val="auto"/>
              </w:rPr>
            </w:pPr>
          </w:p>
        </w:tc>
      </w:tr>
      <w:tr>
        <w:trPr>
          <w:trHeight w:val="88"/>
        </w:trPr>
        <w:tc>
          <w:tcPr>
            <w:tcW w:w="2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2240" w:type="dxa"/>
            <w:vAlign w:val="bottom"/>
            <w:shd w:val="clear" w:color="auto" w:fill="D9D9D9"/>
          </w:tcPr>
          <w:p>
            <w:pPr>
              <w:ind w:left="400"/>
              <w:spacing w:after="0"/>
              <w:rPr>
                <w:sz w:val="20"/>
                <w:szCs w:val="20"/>
                <w:color w:val="auto"/>
              </w:rPr>
            </w:pPr>
            <w:r>
              <w:rPr>
                <w:rFonts w:ascii="Arial" w:cs="Arial" w:eastAsia="Arial" w:hAnsi="Arial"/>
                <w:sz w:val="16"/>
                <w:szCs w:val="16"/>
                <w:b w:val="1"/>
                <w:bCs w:val="1"/>
                <w:color w:val="333333"/>
              </w:rPr>
              <w:t>Richard Macchia</w:t>
            </w:r>
          </w:p>
        </w:tc>
        <w:tc>
          <w:tcPr>
            <w:tcW w:w="1620" w:type="dxa"/>
            <w:vAlign w:val="bottom"/>
            <w:shd w:val="clear" w:color="auto" w:fill="D9D9D9"/>
          </w:tcPr>
          <w:p>
            <w:pPr>
              <w:ind w:left="320"/>
              <w:spacing w:after="0"/>
              <w:rPr>
                <w:sz w:val="20"/>
                <w:szCs w:val="20"/>
                <w:color w:val="auto"/>
              </w:rPr>
            </w:pPr>
            <w:r>
              <w:rPr>
                <w:rFonts w:ascii="Arial" w:cs="Arial" w:eastAsia="Arial" w:hAnsi="Arial"/>
                <w:sz w:val="16"/>
                <w:szCs w:val="16"/>
                <w:color w:val="333333"/>
              </w:rPr>
              <w:t>$75,000</w:t>
            </w:r>
          </w:p>
        </w:tc>
        <w:tc>
          <w:tcPr>
            <w:tcW w:w="1640" w:type="dxa"/>
            <w:vAlign w:val="bottom"/>
            <w:shd w:val="clear" w:color="auto" w:fill="D9D9D9"/>
          </w:tcPr>
          <w:p>
            <w:pPr>
              <w:ind w:left="220"/>
              <w:spacing w:after="0"/>
              <w:rPr>
                <w:sz w:val="20"/>
                <w:szCs w:val="20"/>
                <w:color w:val="auto"/>
              </w:rPr>
            </w:pPr>
            <w:r>
              <w:rPr>
                <w:rFonts w:ascii="Arial" w:cs="Arial" w:eastAsia="Arial" w:hAnsi="Arial"/>
                <w:sz w:val="16"/>
                <w:szCs w:val="16"/>
                <w:color w:val="333333"/>
              </w:rPr>
              <w:t>$300,014</w:t>
            </w:r>
          </w:p>
        </w:tc>
        <w:tc>
          <w:tcPr>
            <w:tcW w:w="1540" w:type="dxa"/>
            <w:vAlign w:val="bottom"/>
            <w:shd w:val="clear" w:color="auto" w:fill="D9D9D9"/>
          </w:tcPr>
          <w:p>
            <w:pPr>
              <w:ind w:left="100"/>
              <w:spacing w:after="0"/>
              <w:rPr>
                <w:sz w:val="20"/>
                <w:szCs w:val="20"/>
                <w:color w:val="auto"/>
              </w:rPr>
            </w:pPr>
            <w:r>
              <w:rPr>
                <w:rFonts w:ascii="Arial" w:cs="Arial" w:eastAsia="Arial" w:hAnsi="Arial"/>
                <w:sz w:val="16"/>
                <w:szCs w:val="16"/>
                <w:color w:val="333333"/>
              </w:rPr>
              <w:t>—</w:t>
            </w:r>
          </w:p>
        </w:tc>
        <w:tc>
          <w:tcPr>
            <w:tcW w:w="1720" w:type="dxa"/>
            <w:vAlign w:val="bottom"/>
            <w:shd w:val="clear" w:color="auto" w:fill="D9D9D9"/>
          </w:tcPr>
          <w:p>
            <w:pPr>
              <w:ind w:left="80"/>
              <w:spacing w:after="0"/>
              <w:rPr>
                <w:sz w:val="20"/>
                <w:szCs w:val="20"/>
                <w:color w:val="auto"/>
              </w:rPr>
            </w:pPr>
            <w:r>
              <w:rPr>
                <w:rFonts w:ascii="Arial" w:cs="Arial" w:eastAsia="Arial" w:hAnsi="Arial"/>
                <w:sz w:val="16"/>
                <w:szCs w:val="16"/>
                <w:color w:val="333333"/>
              </w:rPr>
              <w:t>$375,014</w:t>
            </w:r>
          </w:p>
        </w:tc>
        <w:tc>
          <w:tcPr>
            <w:tcW w:w="0" w:type="dxa"/>
            <w:vAlign w:val="bottom"/>
          </w:tcPr>
          <w:p>
            <w:pPr>
              <w:spacing w:after="0"/>
              <w:rPr>
                <w:sz w:val="1"/>
                <w:szCs w:val="1"/>
                <w:color w:val="auto"/>
              </w:rPr>
            </w:pPr>
          </w:p>
        </w:tc>
      </w:tr>
      <w:tr>
        <w:trPr>
          <w:trHeight w:val="88"/>
        </w:trPr>
        <w:tc>
          <w:tcPr>
            <w:tcW w:w="2240" w:type="dxa"/>
            <w:vAlign w:val="bottom"/>
            <w:shd w:val="clear" w:color="auto" w:fill="D9D9D9"/>
          </w:tcPr>
          <w:p>
            <w:pPr>
              <w:spacing w:after="0"/>
              <w:rPr>
                <w:sz w:val="7"/>
                <w:szCs w:val="7"/>
                <w:color w:val="auto"/>
              </w:rPr>
            </w:pPr>
          </w:p>
        </w:tc>
        <w:tc>
          <w:tcPr>
            <w:tcW w:w="1620" w:type="dxa"/>
            <w:vAlign w:val="bottom"/>
            <w:shd w:val="clear" w:color="auto" w:fill="D9D9D9"/>
          </w:tcPr>
          <w:p>
            <w:pPr>
              <w:spacing w:after="0"/>
              <w:rPr>
                <w:sz w:val="7"/>
                <w:szCs w:val="7"/>
                <w:color w:val="auto"/>
              </w:rPr>
            </w:pPr>
          </w:p>
        </w:tc>
        <w:tc>
          <w:tcPr>
            <w:tcW w:w="1640" w:type="dxa"/>
            <w:vAlign w:val="bottom"/>
            <w:shd w:val="clear" w:color="auto" w:fill="D9D9D9"/>
          </w:tcPr>
          <w:p>
            <w:pPr>
              <w:spacing w:after="0"/>
              <w:rPr>
                <w:sz w:val="7"/>
                <w:szCs w:val="7"/>
                <w:color w:val="auto"/>
              </w:rPr>
            </w:pPr>
          </w:p>
        </w:tc>
        <w:tc>
          <w:tcPr>
            <w:tcW w:w="1540" w:type="dxa"/>
            <w:vAlign w:val="bottom"/>
            <w:shd w:val="clear" w:color="auto" w:fill="D9D9D9"/>
          </w:tcPr>
          <w:p>
            <w:pPr>
              <w:spacing w:after="0"/>
              <w:rPr>
                <w:sz w:val="7"/>
                <w:szCs w:val="7"/>
                <w:color w:val="auto"/>
              </w:rPr>
            </w:pPr>
          </w:p>
        </w:tc>
        <w:tc>
          <w:tcPr>
            <w:tcW w:w="172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2240" w:type="dxa"/>
            <w:vAlign w:val="bottom"/>
          </w:tcPr>
          <w:p>
            <w:pPr>
              <w:ind w:left="400"/>
              <w:spacing w:after="0"/>
              <w:rPr>
                <w:sz w:val="20"/>
                <w:szCs w:val="20"/>
                <w:color w:val="auto"/>
              </w:rPr>
            </w:pPr>
            <w:r>
              <w:rPr>
                <w:rFonts w:ascii="Arial" w:cs="Arial" w:eastAsia="Arial" w:hAnsi="Arial"/>
                <w:sz w:val="16"/>
                <w:szCs w:val="16"/>
                <w:b w:val="1"/>
                <w:bCs w:val="1"/>
                <w:color w:val="333333"/>
              </w:rPr>
              <w:t>Hala G. Moddelmog</w:t>
            </w:r>
          </w:p>
        </w:tc>
        <w:tc>
          <w:tcPr>
            <w:tcW w:w="1620" w:type="dxa"/>
            <w:vAlign w:val="bottom"/>
          </w:tcPr>
          <w:p>
            <w:pPr>
              <w:ind w:left="320"/>
              <w:spacing w:after="0"/>
              <w:rPr>
                <w:sz w:val="20"/>
                <w:szCs w:val="20"/>
                <w:color w:val="auto"/>
              </w:rPr>
            </w:pPr>
            <w:r>
              <w:rPr>
                <w:rFonts w:ascii="Arial" w:cs="Arial" w:eastAsia="Arial" w:hAnsi="Arial"/>
                <w:sz w:val="16"/>
                <w:szCs w:val="16"/>
                <w:color w:val="333333"/>
              </w:rPr>
              <w:t>$75,000</w:t>
            </w:r>
          </w:p>
        </w:tc>
        <w:tc>
          <w:tcPr>
            <w:tcW w:w="1640" w:type="dxa"/>
            <w:vAlign w:val="bottom"/>
          </w:tcPr>
          <w:p>
            <w:pPr>
              <w:ind w:left="220"/>
              <w:spacing w:after="0"/>
              <w:rPr>
                <w:sz w:val="20"/>
                <w:szCs w:val="20"/>
                <w:color w:val="auto"/>
              </w:rPr>
            </w:pPr>
            <w:r>
              <w:rPr>
                <w:rFonts w:ascii="Arial" w:cs="Arial" w:eastAsia="Arial" w:hAnsi="Arial"/>
                <w:sz w:val="16"/>
                <w:szCs w:val="16"/>
                <w:color w:val="333333"/>
              </w:rPr>
              <w:t>$300,014</w:t>
            </w:r>
          </w:p>
        </w:tc>
        <w:tc>
          <w:tcPr>
            <w:tcW w:w="1540" w:type="dxa"/>
            <w:vAlign w:val="bottom"/>
          </w:tcPr>
          <w:p>
            <w:pPr>
              <w:ind w:left="100"/>
              <w:spacing w:after="0"/>
              <w:rPr>
                <w:sz w:val="20"/>
                <w:szCs w:val="20"/>
                <w:color w:val="auto"/>
              </w:rPr>
            </w:pPr>
            <w:r>
              <w:rPr>
                <w:rFonts w:ascii="Arial" w:cs="Arial" w:eastAsia="Arial" w:hAnsi="Arial"/>
                <w:sz w:val="16"/>
                <w:szCs w:val="16"/>
                <w:color w:val="333333"/>
              </w:rPr>
              <w:t>—</w:t>
            </w:r>
          </w:p>
        </w:tc>
        <w:tc>
          <w:tcPr>
            <w:tcW w:w="1720" w:type="dxa"/>
            <w:vAlign w:val="bottom"/>
          </w:tcPr>
          <w:p>
            <w:pPr>
              <w:ind w:left="80"/>
              <w:spacing w:after="0"/>
              <w:rPr>
                <w:sz w:val="20"/>
                <w:szCs w:val="20"/>
                <w:color w:val="auto"/>
              </w:rPr>
            </w:pPr>
            <w:r>
              <w:rPr>
                <w:rFonts w:ascii="Arial" w:cs="Arial" w:eastAsia="Arial" w:hAnsi="Arial"/>
                <w:sz w:val="16"/>
                <w:szCs w:val="16"/>
                <w:color w:val="333333"/>
              </w:rPr>
              <w:t>$375,014</w:t>
            </w:r>
          </w:p>
        </w:tc>
        <w:tc>
          <w:tcPr>
            <w:tcW w:w="0" w:type="dxa"/>
            <w:vAlign w:val="bottom"/>
          </w:tcPr>
          <w:p>
            <w:pPr>
              <w:spacing w:after="0"/>
              <w:rPr>
                <w:sz w:val="1"/>
                <w:szCs w:val="1"/>
                <w:color w:val="auto"/>
              </w:rPr>
            </w:pPr>
          </w:p>
        </w:tc>
      </w:tr>
      <w:tr>
        <w:trPr>
          <w:trHeight w:val="88"/>
        </w:trPr>
        <w:tc>
          <w:tcPr>
            <w:tcW w:w="2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2240" w:type="dxa"/>
            <w:vAlign w:val="bottom"/>
            <w:shd w:val="clear" w:color="auto" w:fill="D9D9D9"/>
          </w:tcPr>
          <w:p>
            <w:pPr>
              <w:ind w:left="400"/>
              <w:spacing w:after="0"/>
              <w:rPr>
                <w:sz w:val="20"/>
                <w:szCs w:val="20"/>
                <w:color w:val="auto"/>
              </w:rPr>
            </w:pPr>
            <w:r>
              <w:rPr>
                <w:rFonts w:ascii="Arial" w:cs="Arial" w:eastAsia="Arial" w:hAnsi="Arial"/>
                <w:sz w:val="16"/>
                <w:szCs w:val="16"/>
                <w:b w:val="1"/>
                <w:bCs w:val="1"/>
                <w:color w:val="333333"/>
              </w:rPr>
              <w:t>Jeffrey S. Sloan</w:t>
            </w:r>
          </w:p>
        </w:tc>
        <w:tc>
          <w:tcPr>
            <w:tcW w:w="1620" w:type="dxa"/>
            <w:vAlign w:val="bottom"/>
            <w:shd w:val="clear" w:color="auto" w:fill="D9D9D9"/>
          </w:tcPr>
          <w:p>
            <w:pPr>
              <w:ind w:left="320"/>
              <w:spacing w:after="0"/>
              <w:rPr>
                <w:sz w:val="20"/>
                <w:szCs w:val="20"/>
                <w:color w:val="auto"/>
              </w:rPr>
            </w:pPr>
            <w:r>
              <w:rPr>
                <w:rFonts w:ascii="Arial" w:cs="Arial" w:eastAsia="Arial" w:hAnsi="Arial"/>
                <w:sz w:val="16"/>
                <w:szCs w:val="16"/>
                <w:color w:val="333333"/>
              </w:rPr>
              <w:t>—</w:t>
            </w:r>
          </w:p>
        </w:tc>
        <w:tc>
          <w:tcPr>
            <w:tcW w:w="1640" w:type="dxa"/>
            <w:vAlign w:val="bottom"/>
            <w:shd w:val="clear" w:color="auto" w:fill="D9D9D9"/>
          </w:tcPr>
          <w:p>
            <w:pPr>
              <w:ind w:left="220"/>
              <w:spacing w:after="0"/>
              <w:rPr>
                <w:sz w:val="20"/>
                <w:szCs w:val="20"/>
                <w:color w:val="auto"/>
              </w:rPr>
            </w:pPr>
            <w:r>
              <w:rPr>
                <w:rFonts w:ascii="Arial" w:cs="Arial" w:eastAsia="Arial" w:hAnsi="Arial"/>
                <w:sz w:val="16"/>
                <w:szCs w:val="16"/>
                <w:color w:val="333333"/>
              </w:rPr>
              <w:t>$300,014</w:t>
            </w:r>
          </w:p>
        </w:tc>
        <w:tc>
          <w:tcPr>
            <w:tcW w:w="1540" w:type="dxa"/>
            <w:vAlign w:val="bottom"/>
            <w:shd w:val="clear" w:color="auto" w:fill="D9D9D9"/>
          </w:tcPr>
          <w:p>
            <w:pPr>
              <w:ind w:left="100"/>
              <w:spacing w:after="0"/>
              <w:rPr>
                <w:sz w:val="20"/>
                <w:szCs w:val="20"/>
                <w:color w:val="auto"/>
              </w:rPr>
            </w:pPr>
            <w:r>
              <w:rPr>
                <w:rFonts w:ascii="Arial" w:cs="Arial" w:eastAsia="Arial" w:hAnsi="Arial"/>
                <w:sz w:val="16"/>
                <w:szCs w:val="16"/>
                <w:color w:val="333333"/>
              </w:rPr>
              <w:t>—</w:t>
            </w:r>
          </w:p>
        </w:tc>
        <w:tc>
          <w:tcPr>
            <w:tcW w:w="1720" w:type="dxa"/>
            <w:vAlign w:val="bottom"/>
            <w:shd w:val="clear" w:color="auto" w:fill="D9D9D9"/>
          </w:tcPr>
          <w:p>
            <w:pPr>
              <w:ind w:left="80"/>
              <w:spacing w:after="0"/>
              <w:rPr>
                <w:sz w:val="20"/>
                <w:szCs w:val="20"/>
                <w:color w:val="auto"/>
              </w:rPr>
            </w:pPr>
            <w:r>
              <w:rPr>
                <w:rFonts w:ascii="Arial" w:cs="Arial" w:eastAsia="Arial" w:hAnsi="Arial"/>
                <w:sz w:val="16"/>
                <w:szCs w:val="16"/>
                <w:color w:val="333333"/>
              </w:rPr>
              <w:t>$300,014</w:t>
            </w:r>
          </w:p>
        </w:tc>
        <w:tc>
          <w:tcPr>
            <w:tcW w:w="0" w:type="dxa"/>
            <w:vAlign w:val="bottom"/>
          </w:tcPr>
          <w:p>
            <w:pPr>
              <w:spacing w:after="0"/>
              <w:rPr>
                <w:sz w:val="1"/>
                <w:szCs w:val="1"/>
                <w:color w:val="auto"/>
              </w:rPr>
            </w:pPr>
          </w:p>
        </w:tc>
      </w:tr>
      <w:tr>
        <w:trPr>
          <w:trHeight w:val="88"/>
        </w:trPr>
        <w:tc>
          <w:tcPr>
            <w:tcW w:w="2240" w:type="dxa"/>
            <w:vAlign w:val="bottom"/>
            <w:shd w:val="clear" w:color="auto" w:fill="D9D9D9"/>
          </w:tcPr>
          <w:p>
            <w:pPr>
              <w:spacing w:after="0"/>
              <w:rPr>
                <w:sz w:val="7"/>
                <w:szCs w:val="7"/>
                <w:color w:val="auto"/>
              </w:rPr>
            </w:pPr>
          </w:p>
        </w:tc>
        <w:tc>
          <w:tcPr>
            <w:tcW w:w="1620" w:type="dxa"/>
            <w:vAlign w:val="bottom"/>
            <w:shd w:val="clear" w:color="auto" w:fill="D9D9D9"/>
          </w:tcPr>
          <w:p>
            <w:pPr>
              <w:spacing w:after="0"/>
              <w:rPr>
                <w:sz w:val="7"/>
                <w:szCs w:val="7"/>
                <w:color w:val="auto"/>
              </w:rPr>
            </w:pPr>
          </w:p>
        </w:tc>
        <w:tc>
          <w:tcPr>
            <w:tcW w:w="1640" w:type="dxa"/>
            <w:vAlign w:val="bottom"/>
            <w:shd w:val="clear" w:color="auto" w:fill="D9D9D9"/>
          </w:tcPr>
          <w:p>
            <w:pPr>
              <w:spacing w:after="0"/>
              <w:rPr>
                <w:sz w:val="7"/>
                <w:szCs w:val="7"/>
                <w:color w:val="auto"/>
              </w:rPr>
            </w:pPr>
          </w:p>
        </w:tc>
        <w:tc>
          <w:tcPr>
            <w:tcW w:w="1540" w:type="dxa"/>
            <w:vAlign w:val="bottom"/>
            <w:shd w:val="clear" w:color="auto" w:fill="D9D9D9"/>
          </w:tcPr>
          <w:p>
            <w:pPr>
              <w:spacing w:after="0"/>
              <w:rPr>
                <w:sz w:val="7"/>
                <w:szCs w:val="7"/>
                <w:color w:val="auto"/>
              </w:rPr>
            </w:pPr>
          </w:p>
        </w:tc>
        <w:tc>
          <w:tcPr>
            <w:tcW w:w="172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2240" w:type="dxa"/>
            <w:vAlign w:val="bottom"/>
          </w:tcPr>
          <w:p>
            <w:pPr>
              <w:ind w:left="400"/>
              <w:spacing w:after="0"/>
              <w:rPr>
                <w:sz w:val="20"/>
                <w:szCs w:val="20"/>
                <w:color w:val="auto"/>
              </w:rPr>
            </w:pPr>
            <w:r>
              <w:rPr>
                <w:rFonts w:ascii="Arial" w:cs="Arial" w:eastAsia="Arial" w:hAnsi="Arial"/>
                <w:sz w:val="16"/>
                <w:szCs w:val="16"/>
                <w:b w:val="1"/>
                <w:bCs w:val="1"/>
                <w:color w:val="333333"/>
              </w:rPr>
              <w:t>Steven T. Stull</w:t>
            </w:r>
          </w:p>
        </w:tc>
        <w:tc>
          <w:tcPr>
            <w:tcW w:w="1620" w:type="dxa"/>
            <w:vAlign w:val="bottom"/>
          </w:tcPr>
          <w:p>
            <w:pPr>
              <w:ind w:left="320"/>
              <w:spacing w:after="0"/>
              <w:rPr>
                <w:sz w:val="20"/>
                <w:szCs w:val="20"/>
                <w:color w:val="auto"/>
              </w:rPr>
            </w:pPr>
            <w:r>
              <w:rPr>
                <w:rFonts w:ascii="Arial" w:cs="Arial" w:eastAsia="Arial" w:hAnsi="Arial"/>
                <w:sz w:val="16"/>
                <w:szCs w:val="16"/>
                <w:color w:val="333333"/>
              </w:rPr>
              <w:t>$75,000</w:t>
            </w:r>
          </w:p>
        </w:tc>
        <w:tc>
          <w:tcPr>
            <w:tcW w:w="1640" w:type="dxa"/>
            <w:vAlign w:val="bottom"/>
          </w:tcPr>
          <w:p>
            <w:pPr>
              <w:ind w:left="220"/>
              <w:spacing w:after="0"/>
              <w:rPr>
                <w:sz w:val="20"/>
                <w:szCs w:val="20"/>
                <w:color w:val="auto"/>
              </w:rPr>
            </w:pPr>
            <w:r>
              <w:rPr>
                <w:rFonts w:ascii="Arial" w:cs="Arial" w:eastAsia="Arial" w:hAnsi="Arial"/>
                <w:sz w:val="16"/>
                <w:szCs w:val="16"/>
                <w:color w:val="333333"/>
              </w:rPr>
              <w:t>—</w:t>
            </w:r>
          </w:p>
        </w:tc>
        <w:tc>
          <w:tcPr>
            <w:tcW w:w="1540" w:type="dxa"/>
            <w:vAlign w:val="bottom"/>
          </w:tcPr>
          <w:p>
            <w:pPr>
              <w:ind w:left="100"/>
              <w:spacing w:after="0"/>
              <w:rPr>
                <w:sz w:val="20"/>
                <w:szCs w:val="20"/>
                <w:color w:val="auto"/>
              </w:rPr>
            </w:pPr>
            <w:r>
              <w:rPr>
                <w:rFonts w:ascii="Arial" w:cs="Arial" w:eastAsia="Arial" w:hAnsi="Arial"/>
                <w:sz w:val="16"/>
                <w:szCs w:val="16"/>
                <w:color w:val="333333"/>
              </w:rPr>
              <w:t>​$300,006</w:t>
            </w:r>
          </w:p>
        </w:tc>
        <w:tc>
          <w:tcPr>
            <w:tcW w:w="1720" w:type="dxa"/>
            <w:vAlign w:val="bottom"/>
          </w:tcPr>
          <w:p>
            <w:pPr>
              <w:ind w:left="80"/>
              <w:spacing w:after="0"/>
              <w:rPr>
                <w:sz w:val="20"/>
                <w:szCs w:val="20"/>
                <w:color w:val="auto"/>
              </w:rPr>
            </w:pPr>
            <w:r>
              <w:rPr>
                <w:rFonts w:ascii="Arial" w:cs="Arial" w:eastAsia="Arial" w:hAnsi="Arial"/>
                <w:sz w:val="16"/>
                <w:szCs w:val="16"/>
                <w:color w:val="333333"/>
              </w:rPr>
              <w:t>$​375,006</w:t>
            </w:r>
          </w:p>
        </w:tc>
        <w:tc>
          <w:tcPr>
            <w:tcW w:w="0" w:type="dxa"/>
            <w:vAlign w:val="bottom"/>
          </w:tcPr>
          <w:p>
            <w:pPr>
              <w:spacing w:after="0"/>
              <w:rPr>
                <w:sz w:val="1"/>
                <w:szCs w:val="1"/>
                <w:color w:val="auto"/>
              </w:rPr>
            </w:pPr>
          </w:p>
        </w:tc>
      </w:tr>
      <w:tr>
        <w:trPr>
          <w:trHeight w:val="88"/>
        </w:trPr>
        <w:tc>
          <w:tcPr>
            <w:tcW w:w="2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2"/>
        </w:trPr>
        <w:tc>
          <w:tcPr>
            <w:tcW w:w="2240" w:type="dxa"/>
            <w:vAlign w:val="bottom"/>
            <w:shd w:val="clear" w:color="auto" w:fill="D9D9D9"/>
          </w:tcPr>
          <w:p>
            <w:pPr>
              <w:ind w:left="400"/>
              <w:spacing w:after="0"/>
              <w:rPr>
                <w:sz w:val="20"/>
                <w:szCs w:val="20"/>
                <w:color w:val="auto"/>
              </w:rPr>
            </w:pPr>
            <w:r>
              <w:rPr>
                <w:rFonts w:ascii="Arial" w:cs="Arial" w:eastAsia="Arial" w:hAnsi="Arial"/>
                <w:sz w:val="16"/>
                <w:szCs w:val="16"/>
                <w:b w:val="1"/>
                <w:bCs w:val="1"/>
                <w:color w:val="333333"/>
              </w:rPr>
              <w:t>Gerald C. Throop</w:t>
            </w:r>
            <w:r>
              <w:rPr>
                <w:rFonts w:ascii="Arial" w:cs="Arial" w:eastAsia="Arial" w:hAnsi="Arial"/>
                <w:sz w:val="26"/>
                <w:szCs w:val="26"/>
                <w:b w:val="1"/>
                <w:bCs w:val="1"/>
                <w:color w:val="333333"/>
                <w:vertAlign w:val="superscript"/>
              </w:rPr>
              <w:t>(5)</w:t>
            </w:r>
          </w:p>
        </w:tc>
        <w:tc>
          <w:tcPr>
            <w:tcW w:w="1620" w:type="dxa"/>
            <w:vAlign w:val="bottom"/>
            <w:shd w:val="clear" w:color="auto" w:fill="D9D9D9"/>
          </w:tcPr>
          <w:p>
            <w:pPr>
              <w:ind w:left="320"/>
              <w:spacing w:after="0"/>
              <w:rPr>
                <w:sz w:val="20"/>
                <w:szCs w:val="20"/>
                <w:color w:val="auto"/>
              </w:rPr>
            </w:pPr>
            <w:r>
              <w:rPr>
                <w:rFonts w:ascii="Arial" w:cs="Arial" w:eastAsia="Arial" w:hAnsi="Arial"/>
                <w:sz w:val="16"/>
                <w:szCs w:val="16"/>
                <w:color w:val="333333"/>
              </w:rPr>
              <w:t>—</w:t>
            </w:r>
          </w:p>
        </w:tc>
        <w:tc>
          <w:tcPr>
            <w:tcW w:w="1640" w:type="dxa"/>
            <w:vAlign w:val="bottom"/>
            <w:shd w:val="clear" w:color="auto" w:fill="D9D9D9"/>
          </w:tcPr>
          <w:p>
            <w:pPr>
              <w:ind w:left="220"/>
              <w:spacing w:after="0"/>
              <w:rPr>
                <w:sz w:val="20"/>
                <w:szCs w:val="20"/>
                <w:color w:val="auto"/>
              </w:rPr>
            </w:pPr>
            <w:r>
              <w:rPr>
                <w:rFonts w:ascii="Arial" w:cs="Arial" w:eastAsia="Arial" w:hAnsi="Arial"/>
                <w:sz w:val="16"/>
                <w:szCs w:val="16"/>
                <w:color w:val="333333"/>
              </w:rPr>
              <w:t>$350,007</w:t>
            </w:r>
          </w:p>
        </w:tc>
        <w:tc>
          <w:tcPr>
            <w:tcW w:w="1540" w:type="dxa"/>
            <w:vAlign w:val="bottom"/>
            <w:shd w:val="clear" w:color="auto" w:fill="D9D9D9"/>
          </w:tcPr>
          <w:p>
            <w:pPr>
              <w:ind w:left="100"/>
              <w:spacing w:after="0"/>
              <w:rPr>
                <w:sz w:val="20"/>
                <w:szCs w:val="20"/>
                <w:color w:val="auto"/>
              </w:rPr>
            </w:pPr>
            <w:r>
              <w:rPr>
                <w:rFonts w:ascii="Arial" w:cs="Arial" w:eastAsia="Arial" w:hAnsi="Arial"/>
                <w:sz w:val="16"/>
                <w:szCs w:val="16"/>
                <w:color w:val="333333"/>
              </w:rPr>
              <w:t>—</w:t>
            </w:r>
          </w:p>
        </w:tc>
        <w:tc>
          <w:tcPr>
            <w:tcW w:w="1720" w:type="dxa"/>
            <w:vAlign w:val="bottom"/>
            <w:shd w:val="clear" w:color="auto" w:fill="D9D9D9"/>
          </w:tcPr>
          <w:p>
            <w:pPr>
              <w:ind w:left="80"/>
              <w:spacing w:after="0"/>
              <w:rPr>
                <w:sz w:val="20"/>
                <w:szCs w:val="20"/>
                <w:color w:val="auto"/>
              </w:rPr>
            </w:pPr>
            <w:r>
              <w:rPr>
                <w:rFonts w:ascii="Arial" w:cs="Arial" w:eastAsia="Arial" w:hAnsi="Arial"/>
                <w:sz w:val="16"/>
                <w:szCs w:val="16"/>
                <w:color w:val="333333"/>
              </w:rPr>
              <w:t>$350,007</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840" w:hanging="190"/>
        <w:spacing w:after="0"/>
        <w:tabs>
          <w:tab w:leader="none" w:pos="840" w:val="left"/>
        </w:tabs>
        <w:numPr>
          <w:ilvl w:val="0"/>
          <w:numId w:val="41"/>
        </w:numPr>
        <w:rPr>
          <w:rFonts w:ascii="Arial" w:cs="Arial" w:eastAsia="Arial" w:hAnsi="Arial"/>
          <w:sz w:val="13"/>
          <w:szCs w:val="13"/>
          <w:i w:val="1"/>
          <w:iCs w:val="1"/>
          <w:color w:val="333333"/>
        </w:rPr>
      </w:pPr>
      <w:r>
        <w:rPr>
          <w:rFonts w:ascii="Arial" w:cs="Arial" w:eastAsia="Arial" w:hAnsi="Arial"/>
          <w:sz w:val="13"/>
          <w:szCs w:val="13"/>
          <w:i w:val="1"/>
          <w:iCs w:val="1"/>
          <w:color w:val="333333"/>
        </w:rPr>
        <w:t>Ms. Bexiga was appointed to the Board on January 27, 2023.</w:t>
      </w:r>
    </w:p>
    <w:p>
      <w:pPr>
        <w:spacing w:after="0" w:line="26" w:lineRule="exact"/>
        <w:rPr>
          <w:rFonts w:ascii="Arial" w:cs="Arial" w:eastAsia="Arial" w:hAnsi="Arial"/>
          <w:sz w:val="13"/>
          <w:szCs w:val="13"/>
          <w:i w:val="1"/>
          <w:iCs w:val="1"/>
          <w:color w:val="333333"/>
        </w:rPr>
      </w:pPr>
    </w:p>
    <w:p>
      <w:pPr>
        <w:ind w:left="840" w:hanging="190"/>
        <w:spacing w:after="0"/>
        <w:tabs>
          <w:tab w:leader="none" w:pos="840" w:val="left"/>
        </w:tabs>
        <w:numPr>
          <w:ilvl w:val="0"/>
          <w:numId w:val="41"/>
        </w:numPr>
        <w:rPr>
          <w:rFonts w:ascii="Arial" w:cs="Arial" w:eastAsia="Arial" w:hAnsi="Arial"/>
          <w:sz w:val="13"/>
          <w:szCs w:val="13"/>
          <w:i w:val="1"/>
          <w:iCs w:val="1"/>
          <w:color w:val="333333"/>
        </w:rPr>
      </w:pPr>
      <w:r>
        <w:rPr>
          <w:rFonts w:ascii="Arial" w:cs="Arial" w:eastAsia="Arial" w:hAnsi="Arial"/>
          <w:sz w:val="13"/>
          <w:szCs w:val="13"/>
          <w:i w:val="1"/>
          <w:iCs w:val="1"/>
          <w:color w:val="333333"/>
        </w:rPr>
        <w:t>Mr. Buckman retired from Board effective July 28, 2023.</w:t>
      </w:r>
    </w:p>
    <w:p>
      <w:pPr>
        <w:spacing w:after="0" w:line="26" w:lineRule="exact"/>
        <w:rPr>
          <w:rFonts w:ascii="Arial" w:cs="Arial" w:eastAsia="Arial" w:hAnsi="Arial"/>
          <w:sz w:val="13"/>
          <w:szCs w:val="13"/>
          <w:i w:val="1"/>
          <w:iCs w:val="1"/>
          <w:color w:val="333333"/>
        </w:rPr>
      </w:pPr>
    </w:p>
    <w:p>
      <w:pPr>
        <w:ind w:left="840" w:hanging="190"/>
        <w:spacing w:after="0"/>
        <w:tabs>
          <w:tab w:leader="none" w:pos="840" w:val="left"/>
        </w:tabs>
        <w:numPr>
          <w:ilvl w:val="0"/>
          <w:numId w:val="41"/>
        </w:numPr>
        <w:rPr>
          <w:rFonts w:ascii="Arial" w:cs="Arial" w:eastAsia="Arial" w:hAnsi="Arial"/>
          <w:sz w:val="13"/>
          <w:szCs w:val="13"/>
          <w:i w:val="1"/>
          <w:iCs w:val="1"/>
          <w:color w:val="333333"/>
        </w:rPr>
      </w:pPr>
      <w:r>
        <w:rPr>
          <w:rFonts w:ascii="Arial" w:cs="Arial" w:eastAsia="Arial" w:hAnsi="Arial"/>
          <w:sz w:val="13"/>
          <w:szCs w:val="13"/>
          <w:i w:val="1"/>
          <w:iCs w:val="1"/>
          <w:color w:val="333333"/>
        </w:rPr>
        <w:t>Mr. Gupta was appointed to the Board on March 15, 2023.</w:t>
      </w:r>
    </w:p>
    <w:p>
      <w:pPr>
        <w:spacing w:after="0" w:line="14" w:lineRule="exact"/>
        <w:rPr>
          <w:rFonts w:ascii="Arial" w:cs="Arial" w:eastAsia="Arial" w:hAnsi="Arial"/>
          <w:sz w:val="13"/>
          <w:szCs w:val="13"/>
          <w:i w:val="1"/>
          <w:iCs w:val="1"/>
          <w:color w:val="333333"/>
        </w:rPr>
      </w:pPr>
    </w:p>
    <w:p>
      <w:pPr>
        <w:ind w:left="840" w:hanging="190"/>
        <w:spacing w:after="0"/>
        <w:tabs>
          <w:tab w:leader="none" w:pos="840" w:val="left"/>
        </w:tabs>
        <w:numPr>
          <w:ilvl w:val="0"/>
          <w:numId w:val="41"/>
        </w:numPr>
        <w:rPr>
          <w:rFonts w:ascii="Arial" w:cs="Arial" w:eastAsia="Arial" w:hAnsi="Arial"/>
          <w:sz w:val="13"/>
          <w:szCs w:val="13"/>
          <w:i w:val="1"/>
          <w:iCs w:val="1"/>
          <w:color w:val="333333"/>
        </w:rPr>
      </w:pPr>
      <w:r>
        <w:rPr>
          <w:rFonts w:ascii="Arial" w:cs="Arial" w:eastAsia="Arial" w:hAnsi="Arial"/>
          <w:sz w:val="13"/>
          <w:szCs w:val="13"/>
          <w:i w:val="1"/>
          <w:iCs w:val="1"/>
          <w:color w:val="333333"/>
        </w:rPr>
        <w:t>Mr. Johnson retired from Board effective January 27, 2023.</w:t>
      </w:r>
    </w:p>
    <w:p>
      <w:pPr>
        <w:spacing w:after="0" w:line="24" w:lineRule="exact"/>
        <w:rPr>
          <w:rFonts w:ascii="Arial" w:cs="Arial" w:eastAsia="Arial" w:hAnsi="Arial"/>
          <w:sz w:val="13"/>
          <w:szCs w:val="13"/>
          <w:i w:val="1"/>
          <w:iCs w:val="1"/>
          <w:color w:val="333333"/>
        </w:rPr>
      </w:pPr>
    </w:p>
    <w:p>
      <w:pPr>
        <w:ind w:left="840" w:hanging="190"/>
        <w:spacing w:after="0"/>
        <w:tabs>
          <w:tab w:leader="none" w:pos="840" w:val="left"/>
        </w:tabs>
        <w:numPr>
          <w:ilvl w:val="0"/>
          <w:numId w:val="41"/>
        </w:numPr>
        <w:rPr>
          <w:rFonts w:ascii="Arial" w:cs="Arial" w:eastAsia="Arial" w:hAnsi="Arial"/>
          <w:sz w:val="13"/>
          <w:szCs w:val="13"/>
          <w:i w:val="1"/>
          <w:iCs w:val="1"/>
          <w:color w:val="333333"/>
        </w:rPr>
      </w:pPr>
      <w:r>
        <w:rPr>
          <w:rFonts w:ascii="Arial" w:cs="Arial" w:eastAsia="Arial" w:hAnsi="Arial"/>
          <w:sz w:val="13"/>
          <w:szCs w:val="13"/>
          <w:i w:val="1"/>
          <w:iCs w:val="1"/>
          <w:color w:val="333333"/>
        </w:rPr>
        <w:t>Mr. Throop was appointed to the Board on July 28, 2023.</w:t>
      </w:r>
    </w:p>
    <w:p>
      <w:pPr>
        <w:spacing w:after="0" w:line="9" w:lineRule="exact"/>
        <w:rPr>
          <w:rFonts w:ascii="Arial" w:cs="Arial" w:eastAsia="Arial" w:hAnsi="Arial"/>
          <w:sz w:val="13"/>
          <w:szCs w:val="13"/>
          <w:i w:val="1"/>
          <w:iCs w:val="1"/>
          <w:color w:val="333333"/>
        </w:rPr>
      </w:pPr>
    </w:p>
    <w:p>
      <w:pPr>
        <w:jc w:val="both"/>
        <w:ind w:left="660" w:right="640" w:hanging="10"/>
        <w:spacing w:after="0" w:line="241" w:lineRule="auto"/>
        <w:tabs>
          <w:tab w:leader="none" w:pos="849" w:val="left"/>
        </w:tabs>
        <w:numPr>
          <w:ilvl w:val="0"/>
          <w:numId w:val="41"/>
        </w:numPr>
        <w:rPr>
          <w:rFonts w:ascii="Arial" w:cs="Arial" w:eastAsia="Arial" w:hAnsi="Arial"/>
          <w:sz w:val="12"/>
          <w:szCs w:val="12"/>
          <w:i w:val="1"/>
          <w:iCs w:val="1"/>
          <w:color w:val="333333"/>
        </w:rPr>
      </w:pPr>
      <w:r>
        <w:rPr>
          <w:rFonts w:ascii="Arial" w:cs="Arial" w:eastAsia="Arial" w:hAnsi="Arial"/>
          <w:sz w:val="12"/>
          <w:szCs w:val="12"/>
          <w:i w:val="1"/>
          <w:iCs w:val="1"/>
          <w:color w:val="333333"/>
        </w:rPr>
        <w:t>Consisted of shares of restricted stock, which vested on January 23, 2024. The value for stock awards in this column represents the grant date fair value, computed in accordance with Financial Accounting Standards Board (“FASB”) Accounting Standards Codification (“ASC”) Topic 718. On December 31, 2023, each non-employee director other than Ms. Bexiga, Mr. Gupta, Mr. Johnson, Mr. Throop and Mr. Stull had 1,497 shares of restricted stock outstanding. On December 31, 2023, Ms. Bexiga had 2,495 shares of restricted stock outstanding, Mr. Gupta had 2,081 shares of restricted stock outstanding, Mr. Throop had 1,416 shares of restricted stock outstanding, and Mr. Stull and Mr. Johnson had no shares of restricted stock outstanding.</w:t>
      </w:r>
    </w:p>
    <w:p>
      <w:pPr>
        <w:spacing w:after="0" w:line="1" w:lineRule="exact"/>
        <w:rPr>
          <w:rFonts w:ascii="Arial" w:cs="Arial" w:eastAsia="Arial" w:hAnsi="Arial"/>
          <w:sz w:val="12"/>
          <w:szCs w:val="12"/>
          <w:i w:val="1"/>
          <w:iCs w:val="1"/>
          <w:color w:val="333333"/>
        </w:rPr>
      </w:pPr>
    </w:p>
    <w:p>
      <w:pPr>
        <w:jc w:val="both"/>
        <w:ind w:left="660" w:right="1260" w:hanging="10"/>
        <w:spacing w:after="0" w:line="231" w:lineRule="auto"/>
        <w:tabs>
          <w:tab w:leader="none" w:pos="849" w:val="left"/>
        </w:tabs>
        <w:numPr>
          <w:ilvl w:val="0"/>
          <w:numId w:val="41"/>
        </w:numPr>
        <w:rPr>
          <w:rFonts w:ascii="Arial" w:cs="Arial" w:eastAsia="Arial" w:hAnsi="Arial"/>
          <w:sz w:val="13"/>
          <w:szCs w:val="13"/>
          <w:i w:val="1"/>
          <w:iCs w:val="1"/>
          <w:color w:val="333333"/>
        </w:rPr>
      </w:pPr>
      <w:r>
        <w:rPr>
          <w:rFonts w:ascii="Arial" w:cs="Arial" w:eastAsia="Arial" w:hAnsi="Arial"/>
          <w:sz w:val="13"/>
          <w:szCs w:val="13"/>
          <w:i w:val="1"/>
          <w:iCs w:val="1"/>
          <w:color w:val="333333"/>
        </w:rPr>
        <w:t>Consisted of a grant of nonqualified stock options, which will generally vest on January 23, 2024. The value for the stock options in this column represents the grant date fair value computed in accordance with FASB ASC Topic 718. On December 31, 2023, Mr. Stull had 9,449 stock options outstanding, and none of the other non-employee directors held any stock options.</w:t>
      </w:r>
    </w:p>
    <w:p>
      <w:pPr>
        <w:sectPr>
          <w:pgSz w:w="11900" w:h="16838" w:orient="portrait"/>
          <w:cols w:equalWidth="0" w:num="1">
            <w:col w:w="10040"/>
          </w:cols>
          <w:pgMar w:left="920" w:top="114" w:right="9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Director Qualifications</w:t>
      </w:r>
    </w:p>
    <w:p>
      <w:pPr>
        <w:spacing w:after="0" w:line="216"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333333"/>
        </w:rPr>
        <w:t>The qualifications for directors are described in our corporate governance guidelines, which is available on our website.</w:t>
      </w:r>
    </w:p>
    <w:p>
      <w:pPr>
        <w:spacing w:after="0" w:line="144"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333333"/>
        </w:rPr>
        <w:t>The Board does not currently apply any minimum qualifications or require that a director have specified qualities or skills in order to be considered for a position as a director. The Board recognizes the value of diversity among its members and the impact it can have on the performance of the Board. In addition to a director’s professional experience that will benefit our business, we seek to have a Board which represents diversity in professional experiences, viewpoints, gender, age, race, ethnicity, sexual orientation, nationality and cultural background.</w:t>
      </w:r>
    </w:p>
    <w:p>
      <w:pPr>
        <w:spacing w:after="0" w:line="146" w:lineRule="exact"/>
        <w:rPr>
          <w:sz w:val="20"/>
          <w:szCs w:val="20"/>
          <w:color w:val="auto"/>
        </w:rPr>
      </w:pPr>
    </w:p>
    <w:p>
      <w:pPr>
        <w:jc w:val="both"/>
        <w:ind w:left="660" w:right="420"/>
        <w:spacing w:after="0" w:line="259" w:lineRule="auto"/>
        <w:rPr>
          <w:sz w:val="20"/>
          <w:szCs w:val="20"/>
          <w:color w:val="auto"/>
        </w:rPr>
      </w:pPr>
      <w:r>
        <w:rPr>
          <w:rFonts w:ascii="Arial" w:cs="Arial" w:eastAsia="Arial" w:hAnsi="Arial"/>
          <w:sz w:val="16"/>
          <w:szCs w:val="16"/>
          <w:color w:val="333333"/>
        </w:rPr>
        <w:t>Our corporate governance guidelines provide that no director should serve on more than four other public company boards, unless the governance committee determines otherwise.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740"/>
        <w:spacing w:after="0" w:line="259" w:lineRule="auto"/>
        <w:rPr>
          <w:sz w:val="20"/>
          <w:szCs w:val="20"/>
          <w:color w:val="auto"/>
        </w:rPr>
      </w:pPr>
      <w:r>
        <w:rPr>
          <w:rFonts w:ascii="Arial" w:cs="Arial" w:eastAsia="Arial" w:hAnsi="Arial"/>
          <w:sz w:val="16"/>
          <w:szCs w:val="16"/>
          <w:color w:val="auto"/>
        </w:rPr>
        <w:t>Directors are expected to advise the Chairman of the Board and the governance committee Chair in advance of accepting an invitation to serve on another public company board.</w:t>
      </w:r>
    </w:p>
    <w:p>
      <w:pPr>
        <w:spacing w:after="0" w:line="151" w:lineRule="exact"/>
        <w:rPr>
          <w:sz w:val="20"/>
          <w:szCs w:val="20"/>
          <w:color w:val="auto"/>
        </w:rPr>
      </w:pPr>
    </w:p>
    <w:p>
      <w:pPr>
        <w:ind w:right="660"/>
        <w:spacing w:after="0" w:line="256" w:lineRule="auto"/>
        <w:rPr>
          <w:sz w:val="20"/>
          <w:szCs w:val="20"/>
          <w:color w:val="auto"/>
        </w:rPr>
      </w:pPr>
      <w:r>
        <w:rPr>
          <w:rFonts w:ascii="Arial" w:cs="Arial" w:eastAsia="Arial" w:hAnsi="Arial"/>
          <w:sz w:val="16"/>
          <w:szCs w:val="16"/>
          <w:color w:val="auto"/>
        </w:rPr>
        <w:t>The Board has not limited the number of years for which a person may serve as a director or require a mandatory retirement age, because such limits could deprive us of the valuable contributions made by a director who develops, over time, significant insights into us and our operations.</w:t>
      </w:r>
    </w:p>
    <w:p>
      <w:pPr>
        <w:spacing w:after="0" w:line="139" w:lineRule="exact"/>
        <w:rPr>
          <w:sz w:val="20"/>
          <w:szCs w:val="20"/>
          <w:color w:val="auto"/>
        </w:rPr>
      </w:pPr>
    </w:p>
    <w:p>
      <w:pPr>
        <w:ind w:right="700"/>
        <w:spacing w:after="0" w:line="256" w:lineRule="auto"/>
        <w:rPr>
          <w:sz w:val="20"/>
          <w:szCs w:val="20"/>
          <w:color w:val="auto"/>
        </w:rPr>
      </w:pPr>
      <w:r>
        <w:rPr>
          <w:rFonts w:ascii="Arial" w:cs="Arial" w:eastAsia="Arial" w:hAnsi="Arial"/>
          <w:sz w:val="16"/>
          <w:szCs w:val="16"/>
          <w:color w:val="auto"/>
        </w:rPr>
        <w:t>The re-nomination of existing directors is not viewed as automatic, but is based on continuing qualification under the criteria stated above. In addition, the committee considers the existing directors’ performance on the Board and any committee.</w:t>
      </w:r>
    </w:p>
    <w:p>
      <w:pPr>
        <w:spacing w:after="0" w:line="1368" w:lineRule="exact"/>
        <w:rPr>
          <w:sz w:val="20"/>
          <w:szCs w:val="20"/>
          <w:color w:val="auto"/>
        </w:rPr>
      </w:pPr>
    </w:p>
    <w:p>
      <w:pPr>
        <w:sectPr>
          <w:pgSz w:w="11900" w:h="16838" w:orient="portrait"/>
          <w:cols w:equalWidth="0" w:num="2">
            <w:col w:w="4860" w:space="280"/>
            <w:col w:w="4900"/>
          </w:cols>
          <w:pgMar w:left="920" w:top="114" w:right="939" w:bottom="1440" w:gutter="0" w:footer="0" w:header="0"/>
          <w:type w:val="continuous"/>
        </w:sectPr>
      </w:pPr>
    </w:p>
    <w:p>
      <w:pPr>
        <w:ind w:left="7300"/>
        <w:spacing w:after="0"/>
        <w:rPr>
          <w:sz w:val="20"/>
          <w:szCs w:val="20"/>
          <w:color w:val="auto"/>
        </w:rPr>
      </w:pPr>
      <w:r>
        <w:rPr>
          <w:rFonts w:ascii="Arial" w:cs="Arial" w:eastAsia="Arial" w:hAnsi="Arial"/>
          <w:sz w:val="10"/>
          <w:szCs w:val="10"/>
          <w:color w:val="333333"/>
        </w:rPr>
        <w:t xml:space="preserve">2024 Notice of Annual Meeting &amp; Proxy Statement      </w:t>
      </w:r>
      <w:r>
        <w:rPr>
          <w:rFonts w:ascii="Arial" w:cs="Arial" w:eastAsia="Arial" w:hAnsi="Arial"/>
          <w:sz w:val="10"/>
          <w:szCs w:val="10"/>
          <w:b w:val="1"/>
          <w:bCs w:val="1"/>
          <w:color w:val="333333"/>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42"/>
        </w:numPr>
        <w:rPr>
          <w:rFonts w:ascii="Arial" w:cs="Arial" w:eastAsia="Arial" w:hAnsi="Arial"/>
          <w:sz w:val="17"/>
          <w:szCs w:val="17"/>
          <w:b w:val="1"/>
          <w:bCs w:val="1"/>
          <w:color w:val="auto"/>
        </w:rPr>
      </w:pPr>
      <w:r>
        <w:rPr>
          <w:rFonts w:ascii="Arial" w:cs="Arial" w:eastAsia="Arial" w:hAnsi="Arial"/>
          <w:sz w:val="17"/>
          <w:szCs w:val="17"/>
          <w:color w:val="CF1D4C"/>
        </w:rPr>
        <w:t>CORPORATE GOVERNANCE AND BOARD MATTERS</w:t>
      </w:r>
    </w:p>
    <w:p>
      <w:pPr>
        <w:sectPr>
          <w:pgSz w:w="11900" w:h="16838" w:orient="portrait"/>
          <w:cols w:equalWidth="0" w:num="1">
            <w:col w:w="9539"/>
          </w:cols>
          <w:pgMar w:left="920" w:top="114"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Director Nomination Process</w:t>
      </w:r>
    </w:p>
    <w:p>
      <w:pPr>
        <w:spacing w:after="0" w:line="216" w:lineRule="exact"/>
        <w:rPr>
          <w:sz w:val="20"/>
          <w:szCs w:val="20"/>
          <w:color w:val="auto"/>
        </w:rPr>
      </w:pPr>
    </w:p>
    <w:p>
      <w:pPr>
        <w:ind w:left="660" w:right="100"/>
        <w:spacing w:after="0" w:line="250" w:lineRule="auto"/>
        <w:rPr>
          <w:sz w:val="20"/>
          <w:szCs w:val="20"/>
          <w:color w:val="auto"/>
        </w:rPr>
      </w:pPr>
      <w:r>
        <w:rPr>
          <w:rFonts w:ascii="Arial" w:cs="Arial" w:eastAsia="Arial" w:hAnsi="Arial"/>
          <w:sz w:val="16"/>
          <w:szCs w:val="16"/>
          <w:b w:val="1"/>
          <w:bCs w:val="1"/>
          <w:color w:val="auto"/>
        </w:rPr>
        <w:t xml:space="preserve">Selection of Director Nominees: </w:t>
      </w:r>
      <w:r>
        <w:rPr>
          <w:rFonts w:ascii="Arial" w:cs="Arial" w:eastAsia="Arial" w:hAnsi="Arial"/>
          <w:sz w:val="16"/>
          <w:szCs w:val="16"/>
          <w:color w:val="333333"/>
        </w:rPr>
        <w:t>Our governance</w:t>
      </w:r>
      <w:r>
        <w:rPr>
          <w:rFonts w:ascii="Arial" w:cs="Arial" w:eastAsia="Arial" w:hAnsi="Arial"/>
          <w:sz w:val="16"/>
          <w:szCs w:val="16"/>
          <w:b w:val="1"/>
          <w:bCs w:val="1"/>
          <w:color w:val="auto"/>
        </w:rPr>
        <w:t xml:space="preserve"> </w:t>
      </w:r>
      <w:r>
        <w:rPr>
          <w:rFonts w:ascii="Arial" w:cs="Arial" w:eastAsia="Arial" w:hAnsi="Arial"/>
          <w:sz w:val="16"/>
          <w:szCs w:val="16"/>
          <w:color w:val="333333"/>
        </w:rPr>
        <w:t>committee is responsible for evaluating candidates for election or appointment to our Board based on the criteria discussed above. The governance committee considers candidates identified by it, other directors, executive officers and shareholders, and, if desired, a third-party search firm. The committee selects nominees to recommend to the Board, which considers and makes the final selection of director nominees and directors to serve on its committees.</w:t>
      </w:r>
    </w:p>
    <w:p>
      <w:pPr>
        <w:spacing w:after="0" w:line="162" w:lineRule="exact"/>
        <w:rPr>
          <w:sz w:val="20"/>
          <w:szCs w:val="20"/>
          <w:color w:val="auto"/>
        </w:rPr>
      </w:pPr>
    </w:p>
    <w:p>
      <w:pPr>
        <w:ind w:left="660" w:right="60"/>
        <w:spacing w:after="0" w:line="259" w:lineRule="auto"/>
        <w:rPr>
          <w:sz w:val="20"/>
          <w:szCs w:val="20"/>
          <w:color w:val="auto"/>
        </w:rPr>
      </w:pPr>
      <w:r>
        <w:rPr>
          <w:rFonts w:ascii="Arial" w:cs="Arial" w:eastAsia="Arial" w:hAnsi="Arial"/>
          <w:sz w:val="16"/>
          <w:szCs w:val="16"/>
          <w:color w:val="333333"/>
        </w:rPr>
        <w:t>In addition, as outlined above, pursuant to the terms of the Cooperation Agreement, in March 2023 we agreed to nominate Mr. Gupta and in August 2023 we agreed to nominate Mr. Throop.</w:t>
      </w:r>
    </w:p>
    <w:p>
      <w:pPr>
        <w:spacing w:after="0" w:line="286" w:lineRule="exact"/>
        <w:rPr>
          <w:sz w:val="20"/>
          <w:szCs w:val="20"/>
          <w:color w:val="auto"/>
        </w:rPr>
      </w:pPr>
    </w:p>
    <w:p>
      <w:pPr>
        <w:ind w:left="660" w:right="20"/>
        <w:spacing w:after="0" w:line="250" w:lineRule="auto"/>
        <w:rPr>
          <w:sz w:val="20"/>
          <w:szCs w:val="20"/>
          <w:color w:val="auto"/>
        </w:rPr>
      </w:pPr>
      <w:r>
        <w:rPr>
          <w:rFonts w:ascii="Arial" w:cs="Arial" w:eastAsia="Arial" w:hAnsi="Arial"/>
          <w:sz w:val="16"/>
          <w:szCs w:val="16"/>
          <w:b w:val="1"/>
          <w:bCs w:val="1"/>
          <w:color w:val="auto"/>
        </w:rPr>
        <w:t xml:space="preserve">Shareholder Recommendations of Nominees: </w:t>
      </w:r>
      <w:r>
        <w:rPr>
          <w:rFonts w:ascii="Arial" w:cs="Arial" w:eastAsia="Arial" w:hAnsi="Arial"/>
          <w:sz w:val="16"/>
          <w:szCs w:val="16"/>
          <w:color w:val="333333"/>
        </w:rPr>
        <w:t>The governance committee of the Board considers recommendations for candidates for nomination to the Board by shareholders. The governance committee will consider and evaluate candidates recommended by shareholders in the same manner as candidates recommended from other sources. If the Board determines to nominate a shareholder-recommended candidate and recommends his or her election, then that nominee will be named in the proxy statement for the next annual meeting.</w:t>
      </w:r>
    </w:p>
    <w:p>
      <w:pPr>
        <w:spacing w:after="0" w:line="243"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333333"/>
        </w:rPr>
        <w:t>Shareholder recommendations must be addressed to:</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Corpay, Inc.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Attention: Corporate Secretary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DIRECTOR CANDIDATE RECOMMENDATION</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3280 Peachtree Road, Suite 2400</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Atlanta, Georgia 30305</w:t>
      </w:r>
    </w:p>
    <w:p>
      <w:pPr>
        <w:spacing w:after="0" w:line="165"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b w:val="1"/>
          <w:bCs w:val="1"/>
          <w:color w:val="auto"/>
        </w:rPr>
        <w:t xml:space="preserve">Proxy Access Nominations: </w:t>
      </w:r>
      <w:r>
        <w:rPr>
          <w:rFonts w:ascii="Arial" w:cs="Arial" w:eastAsia="Arial" w:hAnsi="Arial"/>
          <w:sz w:val="16"/>
          <w:szCs w:val="16"/>
          <w:color w:val="333333"/>
        </w:rPr>
        <w:t>Our Bylaws establish</w:t>
      </w:r>
      <w:r>
        <w:rPr>
          <w:rFonts w:ascii="Arial" w:cs="Arial" w:eastAsia="Arial" w:hAnsi="Arial"/>
          <w:sz w:val="16"/>
          <w:szCs w:val="16"/>
          <w:b w:val="1"/>
          <w:bCs w:val="1"/>
          <w:color w:val="auto"/>
        </w:rPr>
        <w:t xml:space="preserve"> </w:t>
      </w:r>
      <w:r>
        <w:rPr>
          <w:rFonts w:ascii="Arial" w:cs="Arial" w:eastAsia="Arial" w:hAnsi="Arial"/>
          <w:sz w:val="16"/>
          <w:szCs w:val="16"/>
          <w:color w:val="333333"/>
        </w:rPr>
        <w:t>procedures for nominations by eligible shareholders of candidates for election as directors at an annual meeting and to have those nominees included in our proxy materials. To be timely for consideration at our 2025 annual meeting, a shareholder’s proxy access notice to the corporate secretary regarding a proxy access director nomination must be received no earlier than November 27, 2024, and no later than December 27, 2024. However, in the event that the 2025 annual meeting is called for a date that is not within thirty days of June 6, 2025, notice by the shareholder must be received by no later than the</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tenth day following the date of the public announcement.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right="179"/>
        <w:spacing w:after="0" w:line="286" w:lineRule="auto"/>
        <w:rPr>
          <w:sz w:val="20"/>
          <w:szCs w:val="20"/>
          <w:color w:val="auto"/>
        </w:rPr>
      </w:pPr>
      <w:r>
        <w:rPr>
          <w:rFonts w:ascii="Arial" w:cs="Arial" w:eastAsia="Arial" w:hAnsi="Arial"/>
          <w:sz w:val="16"/>
          <w:szCs w:val="16"/>
          <w:color w:val="auto"/>
        </w:rPr>
        <w:t>Shareholder proxy access nominations must be addressed to:</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Corpay,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PROXY ACCESS DIRECTOR NOMINEE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3280 Peachtree Road, Suite 2400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 30305</w:t>
      </w:r>
    </w:p>
    <w:p>
      <w:pPr>
        <w:spacing w:after="0" w:line="165" w:lineRule="exact"/>
        <w:rPr>
          <w:sz w:val="20"/>
          <w:szCs w:val="20"/>
          <w:color w:val="auto"/>
        </w:rPr>
      </w:pPr>
    </w:p>
    <w:p>
      <w:pPr>
        <w:ind w:right="199"/>
        <w:spacing w:after="0" w:line="266" w:lineRule="auto"/>
        <w:rPr>
          <w:sz w:val="20"/>
          <w:szCs w:val="20"/>
          <w:color w:val="auto"/>
        </w:rPr>
      </w:pPr>
      <w:r>
        <w:rPr>
          <w:rFonts w:ascii="Arial" w:cs="Arial" w:eastAsia="Arial" w:hAnsi="Arial"/>
          <w:sz w:val="16"/>
          <w:szCs w:val="16"/>
          <w:b w:val="1"/>
          <w:bCs w:val="1"/>
          <w:color w:val="auto"/>
        </w:rPr>
        <w:t xml:space="preserve">Contacting the Board: </w:t>
      </w:r>
      <w:r>
        <w:rPr>
          <w:rFonts w:ascii="Arial" w:cs="Arial" w:eastAsia="Arial" w:hAnsi="Arial"/>
          <w:sz w:val="16"/>
          <w:szCs w:val="16"/>
          <w:color w:val="333333"/>
        </w:rPr>
        <w:t>Shareholders and other interested</w:t>
      </w:r>
      <w:r>
        <w:rPr>
          <w:rFonts w:ascii="Arial" w:cs="Arial" w:eastAsia="Arial" w:hAnsi="Arial"/>
          <w:sz w:val="16"/>
          <w:szCs w:val="16"/>
          <w:b w:val="1"/>
          <w:bCs w:val="1"/>
          <w:color w:val="auto"/>
        </w:rPr>
        <w:t xml:space="preserve"> </w:t>
      </w:r>
      <w:r>
        <w:rPr>
          <w:rFonts w:ascii="Arial" w:cs="Arial" w:eastAsia="Arial" w:hAnsi="Arial"/>
          <w:sz w:val="16"/>
          <w:szCs w:val="16"/>
          <w:color w:val="333333"/>
        </w:rPr>
        <w:t>parties can contact the Board as a group or the non-management directors as a group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333333"/>
        </w:rPr>
        <w:t>For the Board as a whole: CorpayBoard@corpay.com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333333"/>
        </w:rPr>
        <w:t>For the non-management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CorpayNonManagementDirectors@corpay.com</w:t>
      </w:r>
    </w:p>
    <w:p>
      <w:pPr>
        <w:spacing w:after="0" w:line="178" w:lineRule="exact"/>
        <w:rPr>
          <w:sz w:val="20"/>
          <w:szCs w:val="20"/>
          <w:color w:val="auto"/>
        </w:rPr>
      </w:pPr>
    </w:p>
    <w:p>
      <w:pPr>
        <w:ind w:right="199"/>
        <w:spacing w:after="0" w:line="254" w:lineRule="auto"/>
        <w:rPr>
          <w:sz w:val="20"/>
          <w:szCs w:val="20"/>
          <w:color w:val="auto"/>
        </w:rPr>
      </w:pPr>
      <w:r>
        <w:rPr>
          <w:rFonts w:ascii="Arial" w:cs="Arial" w:eastAsia="Arial" w:hAnsi="Arial"/>
          <w:sz w:val="16"/>
          <w:szCs w:val="16"/>
          <w:color w:val="333333"/>
        </w:rPr>
        <w:t>The Corporate Secretary reviews all written and emailed correspondence received from shareholders and other interested parties and forwards such correspondence periodically to the directors if and as appropriate. Shareholders can submit communications anonymously or by identifying themselves.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Governance Policies</w:t>
      </w:r>
    </w:p>
    <w:p>
      <w:pPr>
        <w:spacing w:after="0" w:line="216" w:lineRule="exact"/>
        <w:rPr>
          <w:sz w:val="20"/>
          <w:szCs w:val="20"/>
          <w:color w:val="auto"/>
        </w:rPr>
      </w:pPr>
    </w:p>
    <w:p>
      <w:pPr>
        <w:ind w:right="199"/>
        <w:spacing w:after="0" w:line="254" w:lineRule="auto"/>
        <w:rPr>
          <w:sz w:val="20"/>
          <w:szCs w:val="20"/>
          <w:color w:val="auto"/>
        </w:rPr>
      </w:pPr>
      <w:r>
        <w:rPr>
          <w:rFonts w:ascii="Arial" w:cs="Arial" w:eastAsia="Arial" w:hAnsi="Arial"/>
          <w:sz w:val="16"/>
          <w:szCs w:val="16"/>
          <w:color w:val="333333"/>
        </w:rPr>
        <w:t>Complete copies of our corporate governance guidelines, committee charters and code of conduct are available on the Corporate Governance section of our website, at https:// investor.corpay.com. In accordance with NYSE rules, we may also make disclosure of the following on our website:</w:t>
      </w:r>
    </w:p>
    <w:p>
      <w:pPr>
        <w:spacing w:after="0" w:line="141" w:lineRule="exact"/>
        <w:rPr>
          <w:sz w:val="20"/>
          <w:szCs w:val="20"/>
          <w:color w:val="auto"/>
        </w:rPr>
      </w:pPr>
    </w:p>
    <w:p>
      <w:pPr>
        <w:ind w:left="240" w:right="639" w:hanging="233"/>
        <w:spacing w:after="0"/>
        <w:rPr>
          <w:sz w:val="20"/>
          <w:szCs w:val="20"/>
          <w:color w:val="auto"/>
        </w:rPr>
      </w:pPr>
      <w:r>
        <w:rPr>
          <w:sz w:val="1"/>
          <w:szCs w:val="1"/>
          <w:color w:val="auto"/>
        </w:rPr>
        <w:drawing>
          <wp:inline distT="0" distB="0" distL="0" distR="0">
            <wp:extent cx="77470" cy="9398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the method for interested parties to communicate directly with the presiding director or with the independent directors as a group</w:t>
      </w:r>
    </w:p>
    <w:p>
      <w:pPr>
        <w:spacing w:after="0" w:line="163" w:lineRule="exact"/>
        <w:rPr>
          <w:sz w:val="20"/>
          <w:szCs w:val="20"/>
          <w:color w:val="auto"/>
        </w:rPr>
      </w:pPr>
    </w:p>
    <w:p>
      <w:pPr>
        <w:ind w:left="240" w:right="199" w:hanging="233"/>
        <w:spacing w:after="0"/>
        <w:rPr>
          <w:sz w:val="20"/>
          <w:szCs w:val="20"/>
          <w:color w:val="auto"/>
        </w:rPr>
      </w:pPr>
      <w:r>
        <w:rPr>
          <w:sz w:val="1"/>
          <w:szCs w:val="1"/>
          <w:color w:val="auto"/>
        </w:rPr>
        <w:drawing>
          <wp:inline distT="0" distB="0" distL="0" distR="0">
            <wp:extent cx="77470" cy="9461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333333"/>
        </w:rPr>
        <w:t>  the identity of any member of our audit committee who also serves on the audit committees of more than three public companies and a determination by our Board that such simultaneous service will not impair the ability of such member to effectively serve on our audit committee</w:t>
      </w:r>
    </w:p>
    <w:p>
      <w:pPr>
        <w:spacing w:after="0" w:line="150" w:lineRule="exact"/>
        <w:rPr>
          <w:sz w:val="20"/>
          <w:szCs w:val="20"/>
          <w:color w:val="auto"/>
        </w:rPr>
      </w:pPr>
    </w:p>
    <w:p>
      <w:pPr>
        <w:ind w:left="240" w:right="199" w:hanging="233"/>
        <w:spacing w:after="0"/>
        <w:rPr>
          <w:sz w:val="20"/>
          <w:szCs w:val="20"/>
          <w:color w:val="auto"/>
        </w:rPr>
      </w:pPr>
      <w:r>
        <w:rPr>
          <w:sz w:val="1"/>
          <w:szCs w:val="1"/>
          <w:color w:val="auto"/>
        </w:rPr>
        <w:drawing>
          <wp:inline distT="0" distB="0" distL="0" distR="0">
            <wp:extent cx="77470" cy="9398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contributions by us to a tax exempt organization in which any independent director serves as an executive officer if, within the preceding three years, contributions in any single fiscal year exceeded the greater of</w:t>
      </w:r>
    </w:p>
    <w:p>
      <w:pPr>
        <w:ind w:left="240" w:right="559"/>
        <w:spacing w:after="0" w:line="265" w:lineRule="auto"/>
        <w:rPr>
          <w:sz w:val="20"/>
          <w:szCs w:val="20"/>
          <w:color w:val="auto"/>
        </w:rPr>
      </w:pPr>
      <w:r>
        <w:rPr>
          <w:rFonts w:ascii="Arial" w:cs="Arial" w:eastAsia="Arial" w:hAnsi="Arial"/>
          <w:sz w:val="16"/>
          <w:szCs w:val="16"/>
          <w:color w:val="333333"/>
        </w:rPr>
        <w:t>$1 million or 2% of such tax exempt organization’s consolidated gross revenues</w:t>
      </w:r>
    </w:p>
    <w:p>
      <w:pPr>
        <w:spacing w:after="0" w:line="131" w:lineRule="exact"/>
        <w:rPr>
          <w:sz w:val="20"/>
          <w:szCs w:val="20"/>
          <w:color w:val="auto"/>
        </w:rPr>
      </w:pPr>
    </w:p>
    <w:p>
      <w:pPr>
        <w:ind w:right="279"/>
        <w:spacing w:after="0" w:line="286" w:lineRule="auto"/>
        <w:rPr>
          <w:sz w:val="20"/>
          <w:szCs w:val="20"/>
          <w:color w:val="auto"/>
        </w:rPr>
      </w:pPr>
      <w:r>
        <w:rPr>
          <w:rFonts w:ascii="Arial" w:cs="Arial" w:eastAsia="Arial" w:hAnsi="Arial"/>
          <w:sz w:val="16"/>
          <w:szCs w:val="16"/>
          <w:color w:val="333333"/>
        </w:rPr>
        <w:t>We will provide copies of any of the foregoing information without charge upon written request to:</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333333"/>
        </w:rPr>
        <w:t>Corpay,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Attention: Corporate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3280 Peachtree Road, Suite 2400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Atlanta, Georgia 30305</w:t>
      </w:r>
    </w:p>
    <w:p>
      <w:pPr>
        <w:spacing w:after="0" w:line="200" w:lineRule="exact"/>
        <w:rPr>
          <w:sz w:val="20"/>
          <w:szCs w:val="20"/>
          <w:color w:val="auto"/>
        </w:rPr>
      </w:pPr>
    </w:p>
    <w:p>
      <w:pPr>
        <w:sectPr>
          <w:pgSz w:w="11900" w:h="16838" w:orient="portrait"/>
          <w:cols w:equalWidth="0" w:num="2">
            <w:col w:w="4880" w:space="260"/>
            <w:col w:w="4399"/>
          </w:cols>
          <w:pgMar w:left="920" w:top="114"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0"/>
          <w:szCs w:val="10"/>
          <w:b w:val="1"/>
          <w:bCs w:val="1"/>
          <w:color w:val="333333"/>
        </w:rPr>
        <w:t xml:space="preserve">26 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1000" w:right="1560" w:hanging="350"/>
        <w:spacing w:after="0" w:line="271" w:lineRule="auto"/>
        <w:tabs>
          <w:tab w:leader="none" w:pos="958"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CF1D4C"/>
        </w:rPr>
        <w:t>INFORMATION REGARDING BENEFICIAL OWNERSHIP OF PRINCIPAL SHAREHOLDERS, DIRECTORS, AND MANAGEMENT</w:t>
      </w:r>
    </w:p>
    <w:p>
      <w:pPr>
        <w:spacing w:after="0" w:line="158" w:lineRule="exact"/>
        <w:rPr>
          <w:sz w:val="20"/>
          <w:szCs w:val="20"/>
          <w:color w:val="auto"/>
        </w:rPr>
      </w:pPr>
    </w:p>
    <w:p>
      <w:pPr>
        <w:ind w:left="660" w:right="740"/>
        <w:spacing w:after="0" w:line="259" w:lineRule="auto"/>
        <w:rPr>
          <w:sz w:val="20"/>
          <w:szCs w:val="20"/>
          <w:color w:val="auto"/>
        </w:rPr>
      </w:pPr>
      <w:r>
        <w:rPr>
          <w:rFonts w:ascii="Arial" w:cs="Arial" w:eastAsia="Arial" w:hAnsi="Arial"/>
          <w:sz w:val="16"/>
          <w:szCs w:val="16"/>
          <w:color w:val="333333"/>
        </w:rPr>
        <w:t>The following table sets forth the common shares beneficially owned by our directors, our Chief Executive Officer, our Chief Financial Officer and our next three most highly compensated executive officers, whom we refer to as our “named executive officers” or NEOS, and all persons known to us to own more than 5% of our outstanding common shares, as of February 17, 2024. Percentages are based on 71,853,599 shares outstanding as of February 17, 2024.</w:t>
      </w:r>
    </w:p>
    <w:p>
      <w:pPr>
        <w:spacing w:after="0" w:line="43" w:lineRule="exact"/>
        <w:rPr>
          <w:sz w:val="20"/>
          <w:szCs w:val="20"/>
          <w:color w:val="auto"/>
        </w:rPr>
      </w:pPr>
    </w:p>
    <w:tbl>
      <w:tblPr>
        <w:tblLayout w:type="fixed"/>
        <w:tblInd w:w="640" w:type="dxa"/>
        <w:tblCellMar>
          <w:top w:w="0" w:type="dxa"/>
          <w:left w:w="0" w:type="dxa"/>
          <w:bottom w:w="0" w:type="dxa"/>
          <w:right w:w="0" w:type="dxa"/>
        </w:tblCellMar>
      </w:tblPr>
      <w:tr>
        <w:trPr>
          <w:trHeight w:val="382"/>
        </w:trPr>
        <w:tc>
          <w:tcPr>
            <w:tcW w:w="2460" w:type="dxa"/>
            <w:vAlign w:val="bottom"/>
            <w:vMerge w:val="restart"/>
            <w:shd w:val="clear" w:color="auto" w:fill="CF1D4C"/>
          </w:tcPr>
          <w:p>
            <w:pPr>
              <w:ind w:left="340"/>
              <w:spacing w:after="0"/>
              <w:rPr>
                <w:sz w:val="20"/>
                <w:szCs w:val="20"/>
                <w:color w:val="auto"/>
              </w:rPr>
            </w:pPr>
            <w:r>
              <w:rPr>
                <w:rFonts w:ascii="Arial" w:cs="Arial" w:eastAsia="Arial" w:hAnsi="Arial"/>
                <w:sz w:val="14"/>
                <w:szCs w:val="14"/>
                <w:b w:val="1"/>
                <w:bCs w:val="1"/>
                <w:color w:val="FFFFFF"/>
              </w:rPr>
              <w:t>Name and Address</w:t>
            </w:r>
            <w:r>
              <w:rPr>
                <w:rFonts w:ascii="Arial" w:cs="Arial" w:eastAsia="Arial" w:hAnsi="Arial"/>
                <w:sz w:val="23"/>
                <w:szCs w:val="23"/>
                <w:b w:val="1"/>
                <w:bCs w:val="1"/>
                <w:color w:val="FFFFFF"/>
                <w:vertAlign w:val="superscript"/>
              </w:rPr>
              <w:t>(1)</w:t>
            </w:r>
          </w:p>
        </w:tc>
        <w:tc>
          <w:tcPr>
            <w:tcW w:w="2160" w:type="dxa"/>
            <w:vAlign w:val="bottom"/>
            <w:shd w:val="clear" w:color="auto" w:fill="CF1D4C"/>
          </w:tcPr>
          <w:p>
            <w:pPr>
              <w:ind w:left="700"/>
              <w:spacing w:after="0"/>
              <w:rPr>
                <w:sz w:val="20"/>
                <w:szCs w:val="20"/>
                <w:color w:val="auto"/>
              </w:rPr>
            </w:pPr>
            <w:r>
              <w:rPr>
                <w:rFonts w:ascii="Arial" w:cs="Arial" w:eastAsia="Arial" w:hAnsi="Arial"/>
                <w:sz w:val="14"/>
                <w:szCs w:val="14"/>
                <w:b w:val="1"/>
                <w:bCs w:val="1"/>
                <w:color w:val="FFFFFF"/>
              </w:rPr>
              <w:t>Common Shares</w:t>
            </w:r>
          </w:p>
        </w:tc>
        <w:tc>
          <w:tcPr>
            <w:tcW w:w="1320" w:type="dxa"/>
            <w:vAlign w:val="bottom"/>
            <w:vMerge w:val="restart"/>
            <w:shd w:val="clear" w:color="auto" w:fill="CF1D4C"/>
          </w:tcPr>
          <w:p>
            <w:pPr>
              <w:ind w:left="340"/>
              <w:spacing w:after="0"/>
              <w:rPr>
                <w:sz w:val="20"/>
                <w:szCs w:val="20"/>
                <w:color w:val="auto"/>
              </w:rPr>
            </w:pPr>
            <w:r>
              <w:rPr>
                <w:rFonts w:ascii="Arial" w:cs="Arial" w:eastAsia="Arial" w:hAnsi="Arial"/>
                <w:sz w:val="14"/>
                <w:szCs w:val="14"/>
                <w:b w:val="1"/>
                <w:bCs w:val="1"/>
                <w:color w:val="FFFFFF"/>
              </w:rPr>
              <w:t>Right to</w:t>
            </w:r>
          </w:p>
        </w:tc>
        <w:tc>
          <w:tcPr>
            <w:tcW w:w="1180" w:type="dxa"/>
            <w:vAlign w:val="bottom"/>
            <w:vMerge w:val="restart"/>
            <w:shd w:val="clear" w:color="auto" w:fill="CF1D4C"/>
          </w:tcPr>
          <w:p>
            <w:pPr>
              <w:ind w:left="300"/>
              <w:spacing w:after="0"/>
              <w:rPr>
                <w:sz w:val="20"/>
                <w:szCs w:val="20"/>
                <w:color w:val="auto"/>
              </w:rPr>
            </w:pPr>
            <w:r>
              <w:rPr>
                <w:rFonts w:ascii="Arial" w:cs="Arial" w:eastAsia="Arial" w:hAnsi="Arial"/>
                <w:sz w:val="14"/>
                <w:szCs w:val="14"/>
                <w:b w:val="1"/>
                <w:bCs w:val="1"/>
                <w:color w:val="FFFFFF"/>
              </w:rPr>
              <w:t>Total</w:t>
            </w:r>
            <w:r>
              <w:rPr>
                <w:rFonts w:ascii="Arial" w:cs="Arial" w:eastAsia="Arial" w:hAnsi="Arial"/>
                <w:sz w:val="23"/>
                <w:szCs w:val="23"/>
                <w:b w:val="1"/>
                <w:bCs w:val="1"/>
                <w:color w:val="FFFFFF"/>
                <w:vertAlign w:val="superscript"/>
              </w:rPr>
              <w:t>(4)</w:t>
            </w:r>
          </w:p>
        </w:tc>
        <w:tc>
          <w:tcPr>
            <w:tcW w:w="1640" w:type="dxa"/>
            <w:vAlign w:val="bottom"/>
            <w:shd w:val="clear" w:color="auto" w:fill="CF1D4C"/>
          </w:tcPr>
          <w:p>
            <w:pPr>
              <w:ind w:left="400"/>
              <w:spacing w:after="0"/>
              <w:rPr>
                <w:sz w:val="20"/>
                <w:szCs w:val="20"/>
                <w:color w:val="auto"/>
              </w:rPr>
            </w:pPr>
            <w:r>
              <w:rPr>
                <w:rFonts w:ascii="Arial" w:cs="Arial" w:eastAsia="Arial" w:hAnsi="Arial"/>
                <w:sz w:val="14"/>
                <w:szCs w:val="14"/>
                <w:b w:val="1"/>
                <w:bCs w:val="1"/>
                <w:color w:val="FFFFFF"/>
              </w:rPr>
              <w:t>Percent</w:t>
            </w:r>
            <w:r>
              <w:rPr>
                <w:rFonts w:ascii="Arial" w:cs="Arial" w:eastAsia="Arial" w:hAnsi="Arial"/>
                <w:sz w:val="23"/>
                <w:szCs w:val="23"/>
                <w:b w:val="1"/>
                <w:bCs w:val="1"/>
                <w:color w:val="FFFFFF"/>
                <w:vertAlign w:val="superscript"/>
              </w:rPr>
              <w:t>(4)</w:t>
            </w:r>
            <w:r>
              <w:rPr>
                <w:rFonts w:ascii="Arial" w:cs="Arial" w:eastAsia="Arial" w:hAnsi="Arial"/>
                <w:sz w:val="14"/>
                <w:szCs w:val="14"/>
                <w:b w:val="1"/>
                <w:bCs w:val="1"/>
                <w:color w:val="FFFFFF"/>
              </w:rPr>
              <w:t xml:space="preserve"> of</w:t>
            </w:r>
          </w:p>
        </w:tc>
        <w:tc>
          <w:tcPr>
            <w:tcW w:w="0" w:type="dxa"/>
            <w:vAlign w:val="bottom"/>
          </w:tcPr>
          <w:p>
            <w:pPr>
              <w:spacing w:after="0"/>
              <w:rPr>
                <w:sz w:val="1"/>
                <w:szCs w:val="1"/>
                <w:color w:val="auto"/>
              </w:rPr>
            </w:pPr>
          </w:p>
        </w:tc>
      </w:tr>
      <w:tr>
        <w:trPr>
          <w:trHeight w:val="78"/>
        </w:trPr>
        <w:tc>
          <w:tcPr>
            <w:tcW w:w="2460" w:type="dxa"/>
            <w:vAlign w:val="bottom"/>
            <w:vMerge w:val="continue"/>
            <w:shd w:val="clear" w:color="auto" w:fill="CF1D4C"/>
          </w:tcPr>
          <w:p>
            <w:pPr>
              <w:spacing w:after="0"/>
              <w:rPr>
                <w:sz w:val="6"/>
                <w:szCs w:val="6"/>
                <w:color w:val="auto"/>
              </w:rPr>
            </w:pPr>
          </w:p>
        </w:tc>
        <w:tc>
          <w:tcPr>
            <w:tcW w:w="2160" w:type="dxa"/>
            <w:vAlign w:val="bottom"/>
            <w:vMerge w:val="restart"/>
            <w:shd w:val="clear" w:color="auto" w:fill="CF1D4C"/>
          </w:tcPr>
          <w:p>
            <w:pPr>
              <w:ind w:left="700"/>
              <w:spacing w:after="0"/>
              <w:rPr>
                <w:sz w:val="20"/>
                <w:szCs w:val="20"/>
                <w:color w:val="auto"/>
              </w:rPr>
            </w:pPr>
            <w:r>
              <w:rPr>
                <w:rFonts w:ascii="Arial" w:cs="Arial" w:eastAsia="Arial" w:hAnsi="Arial"/>
                <w:sz w:val="14"/>
                <w:szCs w:val="14"/>
                <w:b w:val="1"/>
                <w:bCs w:val="1"/>
                <w:color w:val="FFFFFF"/>
              </w:rPr>
              <w:t>Beneficially</w:t>
            </w:r>
          </w:p>
        </w:tc>
        <w:tc>
          <w:tcPr>
            <w:tcW w:w="1320" w:type="dxa"/>
            <w:vAlign w:val="bottom"/>
            <w:vMerge w:val="continue"/>
            <w:shd w:val="clear" w:color="auto" w:fill="CF1D4C"/>
          </w:tcPr>
          <w:p>
            <w:pPr>
              <w:spacing w:after="0"/>
              <w:rPr>
                <w:sz w:val="6"/>
                <w:szCs w:val="6"/>
                <w:color w:val="auto"/>
              </w:rPr>
            </w:pPr>
          </w:p>
        </w:tc>
        <w:tc>
          <w:tcPr>
            <w:tcW w:w="1180" w:type="dxa"/>
            <w:vAlign w:val="bottom"/>
            <w:vMerge w:val="continue"/>
            <w:shd w:val="clear" w:color="auto" w:fill="CF1D4C"/>
          </w:tcPr>
          <w:p>
            <w:pPr>
              <w:spacing w:after="0"/>
              <w:rPr>
                <w:sz w:val="6"/>
                <w:szCs w:val="6"/>
                <w:color w:val="auto"/>
              </w:rPr>
            </w:pPr>
          </w:p>
        </w:tc>
        <w:tc>
          <w:tcPr>
            <w:tcW w:w="1640" w:type="dxa"/>
            <w:vAlign w:val="bottom"/>
            <w:vMerge w:val="restart"/>
            <w:shd w:val="clear" w:color="auto" w:fill="CF1D4C"/>
          </w:tcPr>
          <w:p>
            <w:pPr>
              <w:ind w:left="400"/>
              <w:spacing w:after="0"/>
              <w:rPr>
                <w:sz w:val="20"/>
                <w:szCs w:val="20"/>
                <w:color w:val="auto"/>
              </w:rPr>
            </w:pPr>
            <w:r>
              <w:rPr>
                <w:rFonts w:ascii="Arial" w:cs="Arial" w:eastAsia="Arial" w:hAnsi="Arial"/>
                <w:sz w:val="14"/>
                <w:szCs w:val="14"/>
                <w:b w:val="1"/>
                <w:bCs w:val="1"/>
                <w:color w:val="FFFFFF"/>
              </w:rPr>
              <w:t>Outstanding</w:t>
            </w:r>
          </w:p>
        </w:tc>
        <w:tc>
          <w:tcPr>
            <w:tcW w:w="0" w:type="dxa"/>
            <w:vAlign w:val="bottom"/>
          </w:tcPr>
          <w:p>
            <w:pPr>
              <w:spacing w:after="0"/>
              <w:rPr>
                <w:sz w:val="1"/>
                <w:szCs w:val="1"/>
                <w:color w:val="auto"/>
              </w:rPr>
            </w:pPr>
          </w:p>
        </w:tc>
      </w:tr>
      <w:tr>
        <w:trPr>
          <w:trHeight w:val="174"/>
        </w:trPr>
        <w:tc>
          <w:tcPr>
            <w:tcW w:w="2460" w:type="dxa"/>
            <w:vAlign w:val="bottom"/>
            <w:vMerge w:val="continue"/>
            <w:shd w:val="clear" w:color="auto" w:fill="CF1D4C"/>
          </w:tcPr>
          <w:p>
            <w:pPr>
              <w:spacing w:after="0"/>
              <w:rPr>
                <w:sz w:val="15"/>
                <w:szCs w:val="15"/>
                <w:color w:val="auto"/>
              </w:rPr>
            </w:pPr>
          </w:p>
        </w:tc>
        <w:tc>
          <w:tcPr>
            <w:tcW w:w="2160" w:type="dxa"/>
            <w:vAlign w:val="bottom"/>
            <w:vMerge w:val="continue"/>
            <w:shd w:val="clear" w:color="auto" w:fill="CF1D4C"/>
          </w:tcPr>
          <w:p>
            <w:pPr>
              <w:spacing w:after="0"/>
              <w:rPr>
                <w:sz w:val="15"/>
                <w:szCs w:val="15"/>
                <w:color w:val="auto"/>
              </w:rPr>
            </w:pPr>
          </w:p>
        </w:tc>
        <w:tc>
          <w:tcPr>
            <w:tcW w:w="1320" w:type="dxa"/>
            <w:vAlign w:val="bottom"/>
            <w:shd w:val="clear" w:color="auto" w:fill="CF1D4C"/>
          </w:tcPr>
          <w:p>
            <w:pPr>
              <w:ind w:left="340"/>
              <w:spacing w:after="0" w:line="175" w:lineRule="exact"/>
              <w:rPr>
                <w:sz w:val="20"/>
                <w:szCs w:val="20"/>
                <w:color w:val="auto"/>
              </w:rPr>
            </w:pPr>
            <w:r>
              <w:rPr>
                <w:rFonts w:ascii="Arial" w:cs="Arial" w:eastAsia="Arial" w:hAnsi="Arial"/>
                <w:sz w:val="13"/>
                <w:szCs w:val="13"/>
                <w:b w:val="1"/>
                <w:bCs w:val="1"/>
                <w:color w:val="FFFFFF"/>
              </w:rPr>
              <w:t>Acquire</w:t>
            </w:r>
            <w:r>
              <w:rPr>
                <w:rFonts w:ascii="Arial" w:cs="Arial" w:eastAsia="Arial" w:hAnsi="Arial"/>
                <w:sz w:val="20"/>
                <w:szCs w:val="20"/>
                <w:b w:val="1"/>
                <w:bCs w:val="1"/>
                <w:color w:val="FFFFFF"/>
                <w:vertAlign w:val="superscript"/>
              </w:rPr>
              <w:t>(3)</w:t>
            </w:r>
          </w:p>
        </w:tc>
        <w:tc>
          <w:tcPr>
            <w:tcW w:w="1180" w:type="dxa"/>
            <w:vAlign w:val="bottom"/>
            <w:vMerge w:val="continue"/>
            <w:shd w:val="clear" w:color="auto" w:fill="CF1D4C"/>
          </w:tcPr>
          <w:p>
            <w:pPr>
              <w:spacing w:after="0"/>
              <w:rPr>
                <w:sz w:val="15"/>
                <w:szCs w:val="15"/>
                <w:color w:val="auto"/>
              </w:rPr>
            </w:pPr>
          </w:p>
        </w:tc>
        <w:tc>
          <w:tcPr>
            <w:tcW w:w="1640" w:type="dxa"/>
            <w:vAlign w:val="bottom"/>
            <w:vMerge w:val="continue"/>
            <w:shd w:val="clear" w:color="auto" w:fill="CF1D4C"/>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460" w:type="dxa"/>
            <w:vAlign w:val="bottom"/>
            <w:shd w:val="clear" w:color="auto" w:fill="CF1D4C"/>
          </w:tcPr>
          <w:p>
            <w:pPr>
              <w:spacing w:after="0"/>
              <w:rPr>
                <w:sz w:val="24"/>
                <w:szCs w:val="24"/>
                <w:color w:val="auto"/>
              </w:rPr>
            </w:pPr>
          </w:p>
        </w:tc>
        <w:tc>
          <w:tcPr>
            <w:tcW w:w="2160" w:type="dxa"/>
            <w:vAlign w:val="bottom"/>
            <w:shd w:val="clear" w:color="auto" w:fill="CF1D4C"/>
          </w:tcPr>
          <w:p>
            <w:pPr>
              <w:ind w:left="700"/>
              <w:spacing w:after="0"/>
              <w:rPr>
                <w:sz w:val="20"/>
                <w:szCs w:val="20"/>
                <w:color w:val="auto"/>
              </w:rPr>
            </w:pPr>
            <w:r>
              <w:rPr>
                <w:rFonts w:ascii="Arial" w:cs="Arial" w:eastAsia="Arial" w:hAnsi="Arial"/>
                <w:sz w:val="14"/>
                <w:szCs w:val="14"/>
                <w:b w:val="1"/>
                <w:bCs w:val="1"/>
                <w:color w:val="FFFFFF"/>
              </w:rPr>
              <w:t>Owned</w:t>
            </w:r>
            <w:r>
              <w:rPr>
                <w:rFonts w:ascii="Arial" w:cs="Arial" w:eastAsia="Arial" w:hAnsi="Arial"/>
                <w:sz w:val="23"/>
                <w:szCs w:val="23"/>
                <w:b w:val="1"/>
                <w:bCs w:val="1"/>
                <w:color w:val="FFFFFF"/>
                <w:vertAlign w:val="superscript"/>
              </w:rPr>
              <w:t>(2)</w:t>
            </w:r>
          </w:p>
        </w:tc>
        <w:tc>
          <w:tcPr>
            <w:tcW w:w="1320" w:type="dxa"/>
            <w:vAlign w:val="bottom"/>
            <w:shd w:val="clear" w:color="auto" w:fill="CF1D4C"/>
          </w:tcPr>
          <w:p>
            <w:pPr>
              <w:spacing w:after="0"/>
              <w:rPr>
                <w:sz w:val="24"/>
                <w:szCs w:val="24"/>
                <w:color w:val="auto"/>
              </w:rPr>
            </w:pPr>
          </w:p>
        </w:tc>
        <w:tc>
          <w:tcPr>
            <w:tcW w:w="1180" w:type="dxa"/>
            <w:vAlign w:val="bottom"/>
            <w:shd w:val="clear" w:color="auto" w:fill="CF1D4C"/>
          </w:tcPr>
          <w:p>
            <w:pPr>
              <w:spacing w:after="0"/>
              <w:rPr>
                <w:sz w:val="24"/>
                <w:szCs w:val="24"/>
                <w:color w:val="auto"/>
              </w:rPr>
            </w:pPr>
          </w:p>
        </w:tc>
        <w:tc>
          <w:tcPr>
            <w:tcW w:w="1640" w:type="dxa"/>
            <w:vAlign w:val="bottom"/>
            <w:shd w:val="clear" w:color="auto" w:fill="CF1D4C"/>
          </w:tcPr>
          <w:p>
            <w:pPr>
              <w:ind w:left="400"/>
              <w:spacing w:after="0"/>
              <w:rPr>
                <w:sz w:val="20"/>
                <w:szCs w:val="20"/>
                <w:color w:val="auto"/>
              </w:rPr>
            </w:pPr>
            <w:r>
              <w:rPr>
                <w:rFonts w:ascii="Arial" w:cs="Arial" w:eastAsia="Arial" w:hAnsi="Arial"/>
                <w:sz w:val="14"/>
                <w:szCs w:val="14"/>
                <w:b w:val="1"/>
                <w:bCs w:val="1"/>
                <w:color w:val="FFFFFF"/>
              </w:rPr>
              <w:t>Shares</w:t>
            </w:r>
            <w:r>
              <w:rPr>
                <w:rFonts w:ascii="Arial" w:cs="Arial" w:eastAsia="Arial" w:hAnsi="Arial"/>
                <w:sz w:val="23"/>
                <w:szCs w:val="23"/>
                <w:b w:val="1"/>
                <w:bCs w:val="1"/>
                <w:color w:val="FFFFFF"/>
                <w:vertAlign w:val="superscript"/>
              </w:rPr>
              <w:t>(5)</w:t>
            </w:r>
          </w:p>
        </w:tc>
        <w:tc>
          <w:tcPr>
            <w:tcW w:w="0" w:type="dxa"/>
            <w:vAlign w:val="bottom"/>
          </w:tcPr>
          <w:p>
            <w:pPr>
              <w:spacing w:after="0"/>
              <w:rPr>
                <w:sz w:val="1"/>
                <w:szCs w:val="1"/>
                <w:color w:val="auto"/>
              </w:rPr>
            </w:pPr>
          </w:p>
        </w:tc>
      </w:tr>
    </w:tbl>
    <w:p>
      <w:pPr>
        <w:spacing w:after="0" w:line="108" w:lineRule="exact"/>
        <w:rPr>
          <w:sz w:val="20"/>
          <w:szCs w:val="20"/>
          <w:color w:val="auto"/>
        </w:rPr>
      </w:pPr>
    </w:p>
    <w:p>
      <w:pPr>
        <w:sectPr>
          <w:pgSz w:w="11900" w:h="16838" w:orient="portrait"/>
          <w:cols w:equalWidth="0" w:num="1">
            <w:col w:w="10040"/>
          </w:cols>
          <w:pgMar w:left="920" w:top="114" w:right="939" w:bottom="1440" w:gutter="0" w:footer="0" w:header="0"/>
        </w:sectPr>
      </w:pPr>
    </w:p>
    <w:p>
      <w:pPr>
        <w:ind w:left="980"/>
        <w:spacing w:after="0"/>
        <w:rPr>
          <w:sz w:val="20"/>
          <w:szCs w:val="20"/>
          <w:color w:val="auto"/>
        </w:rPr>
      </w:pPr>
      <w:r>
        <w:rPr>
          <w:rFonts w:ascii="Arial" w:cs="Arial" w:eastAsia="Arial" w:hAnsi="Arial"/>
          <w:sz w:val="16"/>
          <w:szCs w:val="16"/>
          <w:color w:val="333333"/>
        </w:rPr>
        <w:t>The Vanguard Group</w:t>
      </w:r>
      <w:r>
        <w:rPr>
          <w:rFonts w:ascii="Arial" w:cs="Arial" w:eastAsia="Arial" w:hAnsi="Arial"/>
          <w:sz w:val="26"/>
          <w:szCs w:val="26"/>
          <w:color w:val="333333"/>
          <w:vertAlign w:val="superscript"/>
        </w:rPr>
        <w:t>(6)</w:t>
      </w:r>
    </w:p>
    <w:p>
      <w:pPr>
        <w:ind w:left="980"/>
        <w:spacing w:after="0"/>
        <w:rPr>
          <w:sz w:val="20"/>
          <w:szCs w:val="20"/>
          <w:color w:val="auto"/>
        </w:rPr>
      </w:pPr>
      <w:r>
        <w:rPr>
          <w:rFonts w:ascii="Arial" w:cs="Arial" w:eastAsia="Arial" w:hAnsi="Arial"/>
          <w:sz w:val="16"/>
          <w:szCs w:val="16"/>
          <w:color w:val="333333"/>
        </w:rPr>
        <w:t>100 Vanguard Boulevard</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Malvern, PA 19355</w:t>
      </w:r>
    </w:p>
    <w:p>
      <w:pPr>
        <w:spacing w:after="0" w:line="287"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Blackrock, Inc.</w:t>
      </w:r>
      <w:r>
        <w:rPr>
          <w:rFonts w:ascii="Arial" w:cs="Arial" w:eastAsia="Arial" w:hAnsi="Arial"/>
          <w:sz w:val="26"/>
          <w:szCs w:val="26"/>
          <w:color w:val="333333"/>
          <w:vertAlign w:val="superscript"/>
        </w:rPr>
        <w:t>(7)</w:t>
      </w:r>
    </w:p>
    <w:p>
      <w:pPr>
        <w:ind w:left="980"/>
        <w:spacing w:after="0"/>
        <w:rPr>
          <w:sz w:val="20"/>
          <w:szCs w:val="20"/>
          <w:color w:val="auto"/>
        </w:rPr>
      </w:pPr>
      <w:r>
        <w:rPr>
          <w:rFonts w:ascii="Arial" w:cs="Arial" w:eastAsia="Arial" w:hAnsi="Arial"/>
          <w:sz w:val="16"/>
          <w:szCs w:val="16"/>
          <w:color w:val="333333"/>
        </w:rPr>
        <w:t>55 East 52nd Street</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New York, NY 10055</w:t>
      </w:r>
    </w:p>
    <w:p>
      <w:pPr>
        <w:spacing w:after="0" w:line="287"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Orbis Investments</w:t>
      </w:r>
      <w:r>
        <w:rPr>
          <w:rFonts w:ascii="Arial" w:cs="Arial" w:eastAsia="Arial" w:hAnsi="Arial"/>
          <w:sz w:val="26"/>
          <w:szCs w:val="26"/>
          <w:color w:val="333333"/>
          <w:vertAlign w:val="superscript"/>
        </w:rPr>
        <w:t>(8)</w:t>
      </w:r>
    </w:p>
    <w:p>
      <w:pPr>
        <w:ind w:left="980"/>
        <w:spacing w:after="0"/>
        <w:rPr>
          <w:sz w:val="20"/>
          <w:szCs w:val="20"/>
          <w:color w:val="auto"/>
        </w:rPr>
      </w:pPr>
      <w:r>
        <w:rPr>
          <w:rFonts w:ascii="Arial" w:cs="Arial" w:eastAsia="Arial" w:hAnsi="Arial"/>
          <w:sz w:val="16"/>
          <w:szCs w:val="16"/>
          <w:color w:val="333333"/>
        </w:rPr>
        <w:t>Orbis House, 25 Front Street,</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Hamilton, Bermuda HM11</w:t>
      </w:r>
    </w:p>
    <w:p>
      <w:pPr>
        <w:spacing w:after="0" w:line="340"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Wellington Management</w:t>
      </w:r>
    </w:p>
    <w:p>
      <w:pPr>
        <w:ind w:left="980"/>
        <w:spacing w:after="0" w:line="201" w:lineRule="auto"/>
        <w:rPr>
          <w:sz w:val="20"/>
          <w:szCs w:val="20"/>
          <w:color w:val="auto"/>
        </w:rPr>
      </w:pPr>
      <w:r>
        <w:rPr>
          <w:rFonts w:ascii="Arial" w:cs="Arial" w:eastAsia="Arial" w:hAnsi="Arial"/>
          <w:sz w:val="16"/>
          <w:szCs w:val="16"/>
          <w:color w:val="333333"/>
        </w:rPr>
        <w:t>Company LLP</w:t>
      </w:r>
      <w:r>
        <w:rPr>
          <w:rFonts w:ascii="Arial" w:cs="Arial" w:eastAsia="Arial" w:hAnsi="Arial"/>
          <w:sz w:val="26"/>
          <w:szCs w:val="26"/>
          <w:color w:val="333333"/>
          <w:vertAlign w:val="superscript"/>
        </w:rPr>
        <w:t>(9)</w:t>
      </w:r>
    </w:p>
    <w:p>
      <w:pPr>
        <w:ind w:left="980"/>
        <w:spacing w:after="0"/>
        <w:rPr>
          <w:sz w:val="20"/>
          <w:szCs w:val="20"/>
          <w:color w:val="auto"/>
        </w:rPr>
      </w:pPr>
      <w:r>
        <w:rPr>
          <w:rFonts w:ascii="Arial" w:cs="Arial" w:eastAsia="Arial" w:hAnsi="Arial"/>
          <w:sz w:val="16"/>
          <w:szCs w:val="16"/>
          <w:color w:val="333333"/>
        </w:rPr>
        <w:t>280 Congress Street</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Boston, MA 02210</w:t>
      </w:r>
    </w:p>
    <w:p>
      <w:pPr>
        <w:spacing w:after="0" w:line="340"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T. Rowe Price Associates, Inc.</w:t>
      </w:r>
    </w:p>
    <w:p>
      <w:pPr>
        <w:spacing w:after="0" w:line="18" w:lineRule="exact"/>
        <w:rPr>
          <w:sz w:val="20"/>
          <w:szCs w:val="20"/>
          <w:color w:val="auto"/>
        </w:rPr>
      </w:pPr>
    </w:p>
    <w:p>
      <w:pPr>
        <w:ind w:left="980"/>
        <w:spacing w:after="0"/>
        <w:rPr>
          <w:sz w:val="20"/>
          <w:szCs w:val="20"/>
          <w:color w:val="auto"/>
        </w:rPr>
      </w:pPr>
      <w:r>
        <w:rPr>
          <w:rFonts w:ascii="Arial" w:cs="Arial" w:eastAsia="Arial" w:hAnsi="Arial"/>
          <w:sz w:val="13"/>
          <w:szCs w:val="13"/>
          <w:color w:val="333333"/>
        </w:rPr>
        <w:t>(10)</w:t>
      </w:r>
    </w:p>
    <w:p>
      <w:pPr>
        <w:spacing w:after="0" w:line="26"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100 E. Pratt Street</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Baltimore, MD 21202</w:t>
      </w:r>
    </w:p>
    <w:p>
      <w:pPr>
        <w:spacing w:after="0" w:line="341" w:lineRule="exact"/>
        <w:rPr>
          <w:sz w:val="20"/>
          <w:szCs w:val="20"/>
          <w:color w:val="auto"/>
        </w:rPr>
      </w:pPr>
    </w:p>
    <w:p>
      <w:pPr>
        <w:ind w:left="980"/>
        <w:spacing w:after="0" w:line="227" w:lineRule="auto"/>
        <w:rPr>
          <w:sz w:val="20"/>
          <w:szCs w:val="20"/>
          <w:color w:val="auto"/>
        </w:rPr>
      </w:pPr>
      <w:r>
        <w:rPr>
          <w:rFonts w:ascii="Arial" w:cs="Arial" w:eastAsia="Arial" w:hAnsi="Arial"/>
          <w:sz w:val="16"/>
          <w:szCs w:val="16"/>
          <w:color w:val="333333"/>
        </w:rPr>
        <w:t>JPMORGAN CHASE &amp; CO.</w:t>
      </w:r>
      <w:r>
        <w:rPr>
          <w:rFonts w:ascii="Arial" w:cs="Arial" w:eastAsia="Arial" w:hAnsi="Arial"/>
          <w:sz w:val="26"/>
          <w:szCs w:val="26"/>
          <w:color w:val="333333"/>
          <w:vertAlign w:val="superscript"/>
        </w:rPr>
        <w:t>(11)</w:t>
      </w:r>
      <w:r>
        <w:rPr>
          <w:rFonts w:ascii="Arial" w:cs="Arial" w:eastAsia="Arial" w:hAnsi="Arial"/>
          <w:sz w:val="16"/>
          <w:szCs w:val="16"/>
          <w:color w:val="333333"/>
        </w:rPr>
        <w:t xml:space="preserve"> 383 Madison Avenue New York, NY 10179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333333"/>
        </w:rPr>
        <w:t>Directors and NEOs:</w:t>
      </w:r>
    </w:p>
    <w:p>
      <w:pPr>
        <w:spacing w:after="0" w:line="276"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Ronald F. Clarke</w:t>
      </w:r>
      <w:r>
        <w:rPr>
          <w:rFonts w:ascii="Arial" w:cs="Arial" w:eastAsia="Arial" w:hAnsi="Arial"/>
          <w:sz w:val="26"/>
          <w:szCs w:val="26"/>
          <w:color w:val="333333"/>
          <w:vertAlign w:val="superscript"/>
        </w:rPr>
        <w:t>(12)</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Tom Panther</w:t>
      </w:r>
      <w:r>
        <w:rPr>
          <w:rFonts w:ascii="Arial" w:cs="Arial" w:eastAsia="Arial" w:hAnsi="Arial"/>
          <w:sz w:val="26"/>
          <w:szCs w:val="26"/>
          <w:color w:val="333333"/>
          <w:vertAlign w:val="superscript"/>
        </w:rPr>
        <w:t>(13)</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Alissa B. Vickery</w:t>
      </w:r>
      <w:r>
        <w:rPr>
          <w:rFonts w:ascii="Arial" w:cs="Arial" w:eastAsia="Arial" w:hAnsi="Arial"/>
          <w:sz w:val="26"/>
          <w:szCs w:val="26"/>
          <w:color w:val="333333"/>
          <w:vertAlign w:val="superscript"/>
        </w:rPr>
        <w:t>(14)</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Alan King</w:t>
      </w:r>
      <w:r>
        <w:rPr>
          <w:rFonts w:ascii="Arial" w:cs="Arial" w:eastAsia="Arial" w:hAnsi="Arial"/>
          <w:sz w:val="26"/>
          <w:szCs w:val="26"/>
          <w:color w:val="333333"/>
          <w:vertAlign w:val="superscript"/>
        </w:rPr>
        <w:t>(15)</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Armando L. Netto</w:t>
      </w:r>
      <w:r>
        <w:rPr>
          <w:rFonts w:ascii="Arial" w:cs="Arial" w:eastAsia="Arial" w:hAnsi="Arial"/>
          <w:sz w:val="26"/>
          <w:szCs w:val="26"/>
          <w:color w:val="333333"/>
          <w:vertAlign w:val="superscript"/>
        </w:rPr>
        <w:t>(16)</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Annabelle Bexiga</w:t>
      </w:r>
      <w:r>
        <w:rPr>
          <w:rFonts w:ascii="Arial" w:cs="Arial" w:eastAsia="Arial" w:hAnsi="Arial"/>
          <w:sz w:val="26"/>
          <w:szCs w:val="26"/>
          <w:color w:val="333333"/>
          <w:vertAlign w:val="superscript"/>
        </w:rPr>
        <w:t>(17)</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Joseph W. Farrelly</w:t>
      </w:r>
      <w:r>
        <w:rPr>
          <w:rFonts w:ascii="Arial" w:cs="Arial" w:eastAsia="Arial" w:hAnsi="Arial"/>
          <w:sz w:val="26"/>
          <w:szCs w:val="26"/>
          <w:color w:val="333333"/>
          <w:vertAlign w:val="superscript"/>
        </w:rPr>
        <w:t>(18)</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Rahul Gupta</w:t>
      </w:r>
      <w:r>
        <w:rPr>
          <w:rFonts w:ascii="Arial" w:cs="Arial" w:eastAsia="Arial" w:hAnsi="Arial"/>
          <w:sz w:val="26"/>
          <w:szCs w:val="26"/>
          <w:color w:val="333333"/>
          <w:vertAlign w:val="superscript"/>
        </w:rPr>
        <w:t>(19)</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6"/>
          <w:szCs w:val="16"/>
          <w:color w:val="333333"/>
        </w:rPr>
        <w:t>Thomas M. Hagerty</w:t>
      </w:r>
      <w:r>
        <w:rPr>
          <w:rFonts w:ascii="Arial" w:cs="Arial" w:eastAsia="Arial" w:hAnsi="Arial"/>
          <w:sz w:val="26"/>
          <w:szCs w:val="26"/>
          <w:color w:val="333333"/>
          <w:vertAlign w:val="superscript"/>
        </w:rPr>
        <w:t>(20)</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tabs>
          <w:tab w:leader="none" w:pos="1780" w:val="left"/>
          <w:tab w:leader="none" w:pos="3060" w:val="left"/>
          <w:tab w:leader="none" w:pos="4340" w:val="left"/>
        </w:tabs>
        <w:rPr>
          <w:sz w:val="20"/>
          <w:szCs w:val="20"/>
          <w:color w:val="auto"/>
        </w:rPr>
      </w:pPr>
      <w:r>
        <w:rPr>
          <w:rFonts w:ascii="Arial" w:cs="Arial" w:eastAsia="Arial" w:hAnsi="Arial"/>
          <w:sz w:val="16"/>
          <w:szCs w:val="16"/>
          <w:color w:val="333333"/>
        </w:rPr>
        <w:t>7,867,186​</w:t>
      </w:r>
      <w:r>
        <w:rPr>
          <w:sz w:val="20"/>
          <w:szCs w:val="20"/>
          <w:color w:val="auto"/>
        </w:rPr>
        <w:tab/>
      </w:r>
      <w:r>
        <w:rPr>
          <w:rFonts w:ascii="Arial" w:cs="Arial" w:eastAsia="Arial" w:hAnsi="Arial"/>
          <w:sz w:val="16"/>
          <w:szCs w:val="16"/>
          <w:color w:val="333333"/>
        </w:rPr>
        <w:t>—</w:t>
      </w:r>
      <w:r>
        <w:rPr>
          <w:sz w:val="20"/>
          <w:szCs w:val="20"/>
          <w:color w:val="auto"/>
        </w:rPr>
        <w:tab/>
      </w:r>
      <w:r>
        <w:rPr>
          <w:rFonts w:ascii="Arial" w:cs="Arial" w:eastAsia="Arial" w:hAnsi="Arial"/>
          <w:sz w:val="16"/>
          <w:szCs w:val="16"/>
          <w:color w:val="333333"/>
        </w:rPr>
        <w:t>​7,867,186</w:t>
      </w:r>
      <w:r>
        <w:rPr>
          <w:sz w:val="20"/>
          <w:szCs w:val="20"/>
          <w:color w:val="auto"/>
        </w:rPr>
        <w:tab/>
      </w:r>
      <w:r>
        <w:rPr>
          <w:rFonts w:ascii="Arial" w:cs="Arial" w:eastAsia="Arial" w:hAnsi="Arial"/>
          <w:sz w:val="15"/>
          <w:szCs w:val="15"/>
          <w:color w:val="333333"/>
        </w:rPr>
        <w:t>​10.95%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-1999615</wp:posOffset>
            </wp:positionH>
            <wp:positionV relativeFrom="paragraph">
              <wp:posOffset>260985</wp:posOffset>
            </wp:positionV>
            <wp:extent cx="5554980" cy="6083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5498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780" w:val="left"/>
          <w:tab w:leader="none" w:pos="3060" w:val="left"/>
          <w:tab w:leader="none" w:pos="4340" w:val="left"/>
        </w:tabs>
        <w:rPr>
          <w:sz w:val="20"/>
          <w:szCs w:val="20"/>
          <w:color w:val="auto"/>
        </w:rPr>
      </w:pPr>
      <w:r>
        <w:rPr>
          <w:rFonts w:ascii="Arial" w:cs="Arial" w:eastAsia="Arial" w:hAnsi="Arial"/>
          <w:sz w:val="16"/>
          <w:szCs w:val="16"/>
          <w:color w:val="333333"/>
        </w:rPr>
        <w:t>5,012,282​</w:t>
      </w:r>
      <w:r>
        <w:rPr>
          <w:sz w:val="20"/>
          <w:szCs w:val="20"/>
          <w:color w:val="auto"/>
        </w:rPr>
        <w:tab/>
      </w:r>
      <w:r>
        <w:rPr>
          <w:rFonts w:ascii="Arial" w:cs="Arial" w:eastAsia="Arial" w:hAnsi="Arial"/>
          <w:sz w:val="16"/>
          <w:szCs w:val="16"/>
          <w:color w:val="333333"/>
        </w:rPr>
        <w:t>—</w:t>
      </w:r>
      <w:r>
        <w:rPr>
          <w:sz w:val="20"/>
          <w:szCs w:val="20"/>
          <w:color w:val="auto"/>
        </w:rPr>
        <w:tab/>
      </w:r>
      <w:r>
        <w:rPr>
          <w:rFonts w:ascii="Arial" w:cs="Arial" w:eastAsia="Arial" w:hAnsi="Arial"/>
          <w:sz w:val="16"/>
          <w:szCs w:val="16"/>
          <w:color w:val="333333"/>
        </w:rPr>
        <w:t>​5,012,282</w:t>
      </w:r>
      <w:r>
        <w:rPr>
          <w:sz w:val="20"/>
          <w:szCs w:val="20"/>
          <w:color w:val="auto"/>
        </w:rPr>
        <w:tab/>
      </w:r>
      <w:r>
        <w:rPr>
          <w:rFonts w:ascii="Arial" w:cs="Arial" w:eastAsia="Arial" w:hAnsi="Arial"/>
          <w:sz w:val="16"/>
          <w:szCs w:val="16"/>
          <w:color w:val="333333"/>
        </w:rPr>
        <w:t>​6.98%</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780" w:val="left"/>
          <w:tab w:leader="none" w:pos="3060" w:val="left"/>
          <w:tab w:leader="none" w:pos="4340" w:val="left"/>
        </w:tabs>
        <w:rPr>
          <w:sz w:val="20"/>
          <w:szCs w:val="20"/>
          <w:color w:val="auto"/>
        </w:rPr>
      </w:pPr>
      <w:r>
        <w:rPr>
          <w:rFonts w:ascii="Arial" w:cs="Arial" w:eastAsia="Arial" w:hAnsi="Arial"/>
          <w:sz w:val="16"/>
          <w:szCs w:val="16"/>
          <w:color w:val="333333"/>
        </w:rPr>
        <w:t>4,942,982​</w:t>
      </w:r>
      <w:r>
        <w:rPr>
          <w:sz w:val="20"/>
          <w:szCs w:val="20"/>
          <w:color w:val="auto"/>
        </w:rPr>
        <w:tab/>
      </w:r>
      <w:r>
        <w:rPr>
          <w:rFonts w:ascii="Arial" w:cs="Arial" w:eastAsia="Arial" w:hAnsi="Arial"/>
          <w:sz w:val="16"/>
          <w:szCs w:val="16"/>
          <w:color w:val="333333"/>
        </w:rPr>
        <w:t>—</w:t>
      </w:r>
      <w:r>
        <w:rPr>
          <w:sz w:val="20"/>
          <w:szCs w:val="20"/>
          <w:color w:val="auto"/>
        </w:rPr>
        <w:tab/>
      </w:r>
      <w:r>
        <w:rPr>
          <w:rFonts w:ascii="Arial" w:cs="Arial" w:eastAsia="Arial" w:hAnsi="Arial"/>
          <w:sz w:val="16"/>
          <w:szCs w:val="16"/>
          <w:color w:val="333333"/>
        </w:rPr>
        <w:t>​4,942,982</w:t>
      </w:r>
      <w:r>
        <w:rPr>
          <w:sz w:val="20"/>
          <w:szCs w:val="20"/>
          <w:color w:val="auto"/>
        </w:rPr>
        <w:tab/>
      </w:r>
      <w:r>
        <w:rPr>
          <w:rFonts w:ascii="Arial" w:cs="Arial" w:eastAsia="Arial" w:hAnsi="Arial"/>
          <w:sz w:val="16"/>
          <w:szCs w:val="16"/>
          <w:color w:val="333333"/>
        </w:rPr>
        <w:t>​6.88%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-1999615</wp:posOffset>
            </wp:positionH>
            <wp:positionV relativeFrom="paragraph">
              <wp:posOffset>260985</wp:posOffset>
            </wp:positionV>
            <wp:extent cx="5554980" cy="7289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55498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780" w:val="left"/>
          <w:tab w:leader="none" w:pos="3060" w:val="left"/>
          <w:tab w:leader="none" w:pos="4340" w:val="left"/>
        </w:tabs>
        <w:rPr>
          <w:sz w:val="20"/>
          <w:szCs w:val="20"/>
          <w:color w:val="auto"/>
        </w:rPr>
      </w:pPr>
      <w:r>
        <w:rPr>
          <w:rFonts w:ascii="Arial" w:cs="Arial" w:eastAsia="Arial" w:hAnsi="Arial"/>
          <w:sz w:val="16"/>
          <w:szCs w:val="16"/>
          <w:color w:val="333333"/>
        </w:rPr>
        <w:t>4,683,613​</w:t>
      </w:r>
      <w:r>
        <w:rPr>
          <w:sz w:val="20"/>
          <w:szCs w:val="20"/>
          <w:color w:val="auto"/>
        </w:rPr>
        <w:tab/>
      </w:r>
      <w:r>
        <w:rPr>
          <w:rFonts w:ascii="Arial" w:cs="Arial" w:eastAsia="Arial" w:hAnsi="Arial"/>
          <w:sz w:val="16"/>
          <w:szCs w:val="16"/>
          <w:color w:val="333333"/>
        </w:rPr>
        <w:t>—</w:t>
      </w:r>
      <w:r>
        <w:rPr>
          <w:sz w:val="20"/>
          <w:szCs w:val="20"/>
          <w:color w:val="auto"/>
        </w:rPr>
        <w:tab/>
      </w:r>
      <w:r>
        <w:rPr>
          <w:rFonts w:ascii="Arial" w:cs="Arial" w:eastAsia="Arial" w:hAnsi="Arial"/>
          <w:sz w:val="16"/>
          <w:szCs w:val="16"/>
          <w:color w:val="333333"/>
        </w:rPr>
        <w:t>​4,683,613</w:t>
      </w:r>
      <w:r>
        <w:rPr>
          <w:sz w:val="20"/>
          <w:szCs w:val="20"/>
          <w:color w:val="auto"/>
        </w:rPr>
        <w:tab/>
      </w:r>
      <w:r>
        <w:rPr>
          <w:rFonts w:ascii="Arial" w:cs="Arial" w:eastAsia="Arial" w:hAnsi="Arial"/>
          <w:sz w:val="16"/>
          <w:szCs w:val="16"/>
          <w:color w:val="333333"/>
        </w:rPr>
        <w:t>​6.52%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1780" w:val="left"/>
          <w:tab w:leader="none" w:pos="3060" w:val="left"/>
          <w:tab w:leader="none" w:pos="4340" w:val="left"/>
        </w:tabs>
        <w:rPr>
          <w:sz w:val="20"/>
          <w:szCs w:val="20"/>
          <w:color w:val="auto"/>
        </w:rPr>
      </w:pPr>
      <w:r>
        <w:rPr>
          <w:rFonts w:ascii="Arial" w:cs="Arial" w:eastAsia="Arial" w:hAnsi="Arial"/>
          <w:sz w:val="16"/>
          <w:szCs w:val="16"/>
          <w:color w:val="333333"/>
        </w:rPr>
        <w:t>4,219,826</w:t>
      </w:r>
      <w:r>
        <w:rPr>
          <w:sz w:val="20"/>
          <w:szCs w:val="20"/>
          <w:color w:val="auto"/>
        </w:rPr>
        <w:tab/>
      </w:r>
      <w:r>
        <w:rPr>
          <w:rFonts w:ascii="Arial" w:cs="Arial" w:eastAsia="Arial" w:hAnsi="Arial"/>
          <w:sz w:val="16"/>
          <w:szCs w:val="16"/>
          <w:color w:val="333333"/>
        </w:rPr>
        <w:t>—</w:t>
      </w:r>
      <w:r>
        <w:rPr>
          <w:sz w:val="20"/>
          <w:szCs w:val="20"/>
          <w:color w:val="auto"/>
        </w:rPr>
        <w:tab/>
      </w:r>
      <w:r>
        <w:rPr>
          <w:rFonts w:ascii="Arial" w:cs="Arial" w:eastAsia="Arial" w:hAnsi="Arial"/>
          <w:sz w:val="16"/>
          <w:szCs w:val="16"/>
          <w:color w:val="333333"/>
        </w:rPr>
        <w:t>4,219,826</w:t>
      </w:r>
      <w:r>
        <w:rPr>
          <w:sz w:val="20"/>
          <w:szCs w:val="20"/>
          <w:color w:val="auto"/>
        </w:rPr>
        <w:tab/>
      </w:r>
      <w:r>
        <w:rPr>
          <w:rFonts w:ascii="Arial" w:cs="Arial" w:eastAsia="Arial" w:hAnsi="Arial"/>
          <w:sz w:val="16"/>
          <w:szCs w:val="16"/>
          <w:color w:val="333333"/>
        </w:rPr>
        <w:t>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-1999615</wp:posOffset>
            </wp:positionH>
            <wp:positionV relativeFrom="paragraph">
              <wp:posOffset>303530</wp:posOffset>
            </wp:positionV>
            <wp:extent cx="5554980" cy="6083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55498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780" w:val="left"/>
          <w:tab w:leader="none" w:pos="3060" w:val="left"/>
          <w:tab w:leader="none" w:pos="4340" w:val="left"/>
        </w:tabs>
        <w:rPr>
          <w:sz w:val="20"/>
          <w:szCs w:val="20"/>
          <w:color w:val="auto"/>
        </w:rPr>
      </w:pPr>
      <w:r>
        <w:rPr>
          <w:rFonts w:ascii="Arial" w:cs="Arial" w:eastAsia="Arial" w:hAnsi="Arial"/>
          <w:sz w:val="16"/>
          <w:szCs w:val="16"/>
          <w:color w:val="333333"/>
        </w:rPr>
        <w:t>3,831,619</w:t>
      </w:r>
      <w:r>
        <w:rPr>
          <w:sz w:val="20"/>
          <w:szCs w:val="20"/>
          <w:color w:val="auto"/>
        </w:rPr>
        <w:tab/>
      </w:r>
      <w:r>
        <w:rPr>
          <w:rFonts w:ascii="Arial" w:cs="Arial" w:eastAsia="Arial" w:hAnsi="Arial"/>
          <w:sz w:val="16"/>
          <w:szCs w:val="16"/>
          <w:color w:val="333333"/>
        </w:rPr>
        <w:t>—</w:t>
      </w:r>
      <w:r>
        <w:rPr>
          <w:sz w:val="20"/>
          <w:szCs w:val="20"/>
          <w:color w:val="auto"/>
        </w:rPr>
        <w:tab/>
      </w:r>
      <w:r>
        <w:rPr>
          <w:rFonts w:ascii="Arial" w:cs="Arial" w:eastAsia="Arial" w:hAnsi="Arial"/>
          <w:sz w:val="16"/>
          <w:szCs w:val="16"/>
          <w:color w:val="333333"/>
        </w:rPr>
        <w:t>3,831,619</w:t>
      </w:r>
      <w:r>
        <w:rPr>
          <w:sz w:val="20"/>
          <w:szCs w:val="20"/>
          <w:color w:val="auto"/>
        </w:rPr>
        <w:tab/>
      </w:r>
      <w:r>
        <w:rPr>
          <w:rFonts w:ascii="Arial" w:cs="Arial" w:eastAsia="Arial" w:hAnsi="Arial"/>
          <w:sz w:val="16"/>
          <w:szCs w:val="16"/>
          <w:color w:val="333333"/>
        </w:rPr>
        <w:t>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-1999615</wp:posOffset>
            </wp:positionH>
            <wp:positionV relativeFrom="paragraph">
              <wp:posOffset>775335</wp:posOffset>
            </wp:positionV>
            <wp:extent cx="5554980" cy="3168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55498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60" w:type="dxa"/>
            <w:vAlign w:val="bottom"/>
          </w:tcPr>
          <w:p>
            <w:pPr>
              <w:spacing w:after="0"/>
              <w:rPr>
                <w:sz w:val="20"/>
                <w:szCs w:val="20"/>
                <w:color w:val="auto"/>
              </w:rPr>
            </w:pPr>
            <w:r>
              <w:rPr>
                <w:rFonts w:ascii="Arial" w:cs="Arial" w:eastAsia="Arial" w:hAnsi="Arial"/>
                <w:sz w:val="16"/>
                <w:szCs w:val="16"/>
                <w:color w:val="333333"/>
              </w:rPr>
              <w:t>1,980,695</w:t>
            </w:r>
          </w:p>
        </w:tc>
        <w:tc>
          <w:tcPr>
            <w:tcW w:w="1540" w:type="dxa"/>
            <w:vAlign w:val="bottom"/>
          </w:tcPr>
          <w:p>
            <w:pPr>
              <w:ind w:left="540"/>
              <w:spacing w:after="0"/>
              <w:rPr>
                <w:sz w:val="20"/>
                <w:szCs w:val="20"/>
                <w:color w:val="auto"/>
              </w:rPr>
            </w:pPr>
            <w:r>
              <w:rPr>
                <w:rFonts w:ascii="Arial" w:cs="Arial" w:eastAsia="Arial" w:hAnsi="Arial"/>
                <w:sz w:val="16"/>
                <w:szCs w:val="16"/>
                <w:color w:val="333333"/>
              </w:rPr>
              <w:t>2,125,000</w:t>
            </w:r>
          </w:p>
        </w:tc>
        <w:tc>
          <w:tcPr>
            <w:tcW w:w="1280" w:type="dxa"/>
            <w:vAlign w:val="bottom"/>
          </w:tcPr>
          <w:p>
            <w:pPr>
              <w:ind w:left="280"/>
              <w:spacing w:after="0"/>
              <w:rPr>
                <w:sz w:val="20"/>
                <w:szCs w:val="20"/>
                <w:color w:val="auto"/>
              </w:rPr>
            </w:pPr>
            <w:r>
              <w:rPr>
                <w:rFonts w:ascii="Arial" w:cs="Arial" w:eastAsia="Arial" w:hAnsi="Arial"/>
                <w:sz w:val="16"/>
                <w:szCs w:val="16"/>
                <w:color w:val="333333"/>
              </w:rPr>
              <w:t>4,105,695</w:t>
            </w:r>
          </w:p>
        </w:tc>
        <w:tc>
          <w:tcPr>
            <w:tcW w:w="640" w:type="dxa"/>
            <w:vAlign w:val="bottom"/>
          </w:tcPr>
          <w:p>
            <w:pPr>
              <w:ind w:left="280"/>
              <w:spacing w:after="0"/>
              <w:rPr>
                <w:sz w:val="20"/>
                <w:szCs w:val="20"/>
                <w:color w:val="auto"/>
              </w:rPr>
            </w:pPr>
            <w:r>
              <w:rPr>
                <w:rFonts w:ascii="Arial" w:cs="Arial" w:eastAsia="Arial" w:hAnsi="Arial"/>
                <w:sz w:val="16"/>
                <w:szCs w:val="16"/>
                <w:color w:val="333333"/>
                <w:w w:val="93"/>
              </w:rPr>
              <w:t>5.6%</w:t>
            </w:r>
          </w:p>
        </w:tc>
      </w:tr>
      <w:tr>
        <w:trPr>
          <w:trHeight w:val="500"/>
        </w:trPr>
        <w:tc>
          <w:tcPr>
            <w:tcW w:w="1260" w:type="dxa"/>
            <w:vAlign w:val="bottom"/>
          </w:tcPr>
          <w:p>
            <w:pPr>
              <w:spacing w:after="0"/>
              <w:rPr>
                <w:sz w:val="20"/>
                <w:szCs w:val="20"/>
                <w:color w:val="auto"/>
              </w:rPr>
            </w:pPr>
            <w:r>
              <w:rPr>
                <w:rFonts w:ascii="Arial" w:cs="Arial" w:eastAsia="Arial" w:hAnsi="Arial"/>
                <w:sz w:val="16"/>
                <w:szCs w:val="16"/>
                <w:color w:val="333333"/>
              </w:rPr>
              <w:t>5,193</w:t>
            </w:r>
          </w:p>
        </w:tc>
        <w:tc>
          <w:tcPr>
            <w:tcW w:w="1540" w:type="dxa"/>
            <w:vAlign w:val="bottom"/>
          </w:tcPr>
          <w:p>
            <w:pPr>
              <w:ind w:left="540"/>
              <w:spacing w:after="0"/>
              <w:rPr>
                <w:sz w:val="20"/>
                <w:szCs w:val="20"/>
                <w:color w:val="auto"/>
              </w:rPr>
            </w:pPr>
            <w:r>
              <w:rPr>
                <w:rFonts w:ascii="Arial" w:cs="Arial" w:eastAsia="Arial" w:hAnsi="Arial"/>
                <w:sz w:val="16"/>
                <w:szCs w:val="16"/>
                <w:color w:val="333333"/>
              </w:rPr>
              <w:t>—</w:t>
            </w:r>
          </w:p>
        </w:tc>
        <w:tc>
          <w:tcPr>
            <w:tcW w:w="1280" w:type="dxa"/>
            <w:vAlign w:val="bottom"/>
          </w:tcPr>
          <w:p>
            <w:pPr>
              <w:ind w:left="280"/>
              <w:spacing w:after="0"/>
              <w:rPr>
                <w:sz w:val="20"/>
                <w:szCs w:val="20"/>
                <w:color w:val="auto"/>
              </w:rPr>
            </w:pPr>
            <w:r>
              <w:rPr>
                <w:rFonts w:ascii="Arial" w:cs="Arial" w:eastAsia="Arial" w:hAnsi="Arial"/>
                <w:sz w:val="16"/>
                <w:szCs w:val="16"/>
                <w:color w:val="333333"/>
              </w:rPr>
              <w:t>5,193</w:t>
            </w:r>
          </w:p>
        </w:tc>
        <w:tc>
          <w:tcPr>
            <w:tcW w:w="640" w:type="dxa"/>
            <w:vAlign w:val="bottom"/>
          </w:tcPr>
          <w:p>
            <w:pPr>
              <w:ind w:left="280"/>
              <w:spacing w:after="0"/>
              <w:rPr>
                <w:sz w:val="20"/>
                <w:szCs w:val="20"/>
                <w:color w:val="auto"/>
              </w:rPr>
            </w:pPr>
            <w:r>
              <w:rPr>
                <w:rFonts w:ascii="Arial" w:cs="Arial" w:eastAsia="Arial" w:hAnsi="Arial"/>
                <w:sz w:val="16"/>
                <w:szCs w:val="16"/>
                <w:color w:val="333333"/>
              </w:rPr>
              <w:t>*</w:t>
            </w:r>
          </w:p>
        </w:tc>
      </w:tr>
      <w:tr>
        <w:trPr>
          <w:trHeight w:val="500"/>
        </w:trPr>
        <w:tc>
          <w:tcPr>
            <w:tcW w:w="1260" w:type="dxa"/>
            <w:vAlign w:val="bottom"/>
          </w:tcPr>
          <w:p>
            <w:pPr>
              <w:spacing w:after="0"/>
              <w:rPr>
                <w:sz w:val="20"/>
                <w:szCs w:val="20"/>
                <w:color w:val="auto"/>
              </w:rPr>
            </w:pPr>
            <w:r>
              <w:rPr>
                <w:rFonts w:ascii="Arial" w:cs="Arial" w:eastAsia="Arial" w:hAnsi="Arial"/>
                <w:sz w:val="16"/>
                <w:szCs w:val="16"/>
                <w:color w:val="333333"/>
              </w:rPr>
              <w:t>3,717</w:t>
            </w:r>
          </w:p>
        </w:tc>
        <w:tc>
          <w:tcPr>
            <w:tcW w:w="1540" w:type="dxa"/>
            <w:vAlign w:val="bottom"/>
          </w:tcPr>
          <w:p>
            <w:pPr>
              <w:ind w:left="540"/>
              <w:spacing w:after="0"/>
              <w:rPr>
                <w:sz w:val="20"/>
                <w:szCs w:val="20"/>
                <w:color w:val="auto"/>
              </w:rPr>
            </w:pPr>
            <w:r>
              <w:rPr>
                <w:rFonts w:ascii="Arial" w:cs="Arial" w:eastAsia="Arial" w:hAnsi="Arial"/>
                <w:sz w:val="16"/>
                <w:szCs w:val="16"/>
                <w:color w:val="333333"/>
              </w:rPr>
              <w:t>29,994</w:t>
            </w:r>
          </w:p>
        </w:tc>
        <w:tc>
          <w:tcPr>
            <w:tcW w:w="1280" w:type="dxa"/>
            <w:vAlign w:val="bottom"/>
          </w:tcPr>
          <w:p>
            <w:pPr>
              <w:ind w:left="280"/>
              <w:spacing w:after="0"/>
              <w:rPr>
                <w:sz w:val="20"/>
                <w:szCs w:val="20"/>
                <w:color w:val="auto"/>
              </w:rPr>
            </w:pPr>
            <w:r>
              <w:rPr>
                <w:rFonts w:ascii="Arial" w:cs="Arial" w:eastAsia="Arial" w:hAnsi="Arial"/>
                <w:sz w:val="16"/>
                <w:szCs w:val="16"/>
                <w:color w:val="333333"/>
              </w:rPr>
              <w:t>33,711</w:t>
            </w:r>
          </w:p>
        </w:tc>
        <w:tc>
          <w:tcPr>
            <w:tcW w:w="640" w:type="dxa"/>
            <w:vAlign w:val="bottom"/>
          </w:tcPr>
          <w:p>
            <w:pPr>
              <w:ind w:left="280"/>
              <w:spacing w:after="0"/>
              <w:rPr>
                <w:sz w:val="20"/>
                <w:szCs w:val="20"/>
                <w:color w:val="auto"/>
              </w:rPr>
            </w:pPr>
            <w:r>
              <w:rPr>
                <w:rFonts w:ascii="Arial" w:cs="Arial" w:eastAsia="Arial" w:hAnsi="Arial"/>
                <w:sz w:val="16"/>
                <w:szCs w:val="16"/>
                <w:color w:val="333333"/>
              </w:rPr>
              <w:t>*</w:t>
            </w:r>
          </w:p>
        </w:tc>
      </w:tr>
      <w:tr>
        <w:trPr>
          <w:trHeight w:val="499"/>
        </w:trPr>
        <w:tc>
          <w:tcPr>
            <w:tcW w:w="1260" w:type="dxa"/>
            <w:vAlign w:val="bottom"/>
          </w:tcPr>
          <w:p>
            <w:pPr>
              <w:spacing w:after="0"/>
              <w:rPr>
                <w:sz w:val="20"/>
                <w:szCs w:val="20"/>
                <w:color w:val="auto"/>
              </w:rPr>
            </w:pPr>
            <w:r>
              <w:rPr>
                <w:rFonts w:ascii="Arial" w:cs="Arial" w:eastAsia="Arial" w:hAnsi="Arial"/>
                <w:sz w:val="16"/>
                <w:szCs w:val="16"/>
                <w:color w:val="333333"/>
              </w:rPr>
              <w:t>17,711</w:t>
            </w:r>
          </w:p>
        </w:tc>
        <w:tc>
          <w:tcPr>
            <w:tcW w:w="1540" w:type="dxa"/>
            <w:vAlign w:val="bottom"/>
          </w:tcPr>
          <w:p>
            <w:pPr>
              <w:ind w:left="540"/>
              <w:spacing w:after="0"/>
              <w:rPr>
                <w:sz w:val="20"/>
                <w:szCs w:val="20"/>
                <w:color w:val="auto"/>
              </w:rPr>
            </w:pPr>
            <w:r>
              <w:rPr>
                <w:rFonts w:ascii="Arial" w:cs="Arial" w:eastAsia="Arial" w:hAnsi="Arial"/>
                <w:sz w:val="16"/>
                <w:szCs w:val="16"/>
                <w:color w:val="333333"/>
              </w:rPr>
              <w:t>89,820</w:t>
            </w:r>
          </w:p>
        </w:tc>
        <w:tc>
          <w:tcPr>
            <w:tcW w:w="1280" w:type="dxa"/>
            <w:vAlign w:val="bottom"/>
          </w:tcPr>
          <w:p>
            <w:pPr>
              <w:ind w:left="280"/>
              <w:spacing w:after="0"/>
              <w:rPr>
                <w:sz w:val="20"/>
                <w:szCs w:val="20"/>
                <w:color w:val="auto"/>
              </w:rPr>
            </w:pPr>
            <w:r>
              <w:rPr>
                <w:rFonts w:ascii="Arial" w:cs="Arial" w:eastAsia="Arial" w:hAnsi="Arial"/>
                <w:sz w:val="16"/>
                <w:szCs w:val="16"/>
                <w:color w:val="333333"/>
              </w:rPr>
              <w:t>107,531</w:t>
            </w:r>
          </w:p>
        </w:tc>
        <w:tc>
          <w:tcPr>
            <w:tcW w:w="640" w:type="dxa"/>
            <w:vAlign w:val="bottom"/>
          </w:tcPr>
          <w:p>
            <w:pPr>
              <w:ind w:left="280"/>
              <w:spacing w:after="0"/>
              <w:rPr>
                <w:sz w:val="20"/>
                <w:szCs w:val="20"/>
                <w:color w:val="auto"/>
              </w:rPr>
            </w:pPr>
            <w:r>
              <w:rPr>
                <w:rFonts w:ascii="Arial" w:cs="Arial" w:eastAsia="Arial" w:hAnsi="Arial"/>
                <w:sz w:val="16"/>
                <w:szCs w:val="16"/>
                <w:color w:val="333333"/>
              </w:rPr>
              <w:t>*</w:t>
            </w:r>
          </w:p>
        </w:tc>
      </w:tr>
      <w:tr>
        <w:trPr>
          <w:trHeight w:val="500"/>
        </w:trPr>
        <w:tc>
          <w:tcPr>
            <w:tcW w:w="1260" w:type="dxa"/>
            <w:vAlign w:val="bottom"/>
          </w:tcPr>
          <w:p>
            <w:pPr>
              <w:spacing w:after="0"/>
              <w:rPr>
                <w:sz w:val="20"/>
                <w:szCs w:val="20"/>
                <w:color w:val="auto"/>
              </w:rPr>
            </w:pPr>
            <w:r>
              <w:rPr>
                <w:rFonts w:ascii="Arial" w:cs="Arial" w:eastAsia="Arial" w:hAnsi="Arial"/>
                <w:sz w:val="16"/>
                <w:szCs w:val="16"/>
                <w:color w:val="333333"/>
              </w:rPr>
              <w:t>31,783</w:t>
            </w:r>
          </w:p>
        </w:tc>
        <w:tc>
          <w:tcPr>
            <w:tcW w:w="1540" w:type="dxa"/>
            <w:vAlign w:val="bottom"/>
          </w:tcPr>
          <w:p>
            <w:pPr>
              <w:ind w:left="540"/>
              <w:spacing w:after="0"/>
              <w:rPr>
                <w:sz w:val="20"/>
                <w:szCs w:val="20"/>
                <w:color w:val="auto"/>
              </w:rPr>
            </w:pPr>
            <w:r>
              <w:rPr>
                <w:rFonts w:ascii="Arial" w:cs="Arial" w:eastAsia="Arial" w:hAnsi="Arial"/>
                <w:sz w:val="16"/>
                <w:szCs w:val="16"/>
                <w:color w:val="333333"/>
              </w:rPr>
              <w:t>174,308</w:t>
            </w:r>
          </w:p>
        </w:tc>
        <w:tc>
          <w:tcPr>
            <w:tcW w:w="1280" w:type="dxa"/>
            <w:vAlign w:val="bottom"/>
          </w:tcPr>
          <w:p>
            <w:pPr>
              <w:ind w:left="280"/>
              <w:spacing w:after="0"/>
              <w:rPr>
                <w:sz w:val="20"/>
                <w:szCs w:val="20"/>
                <w:color w:val="auto"/>
              </w:rPr>
            </w:pPr>
            <w:r>
              <w:rPr>
                <w:rFonts w:ascii="Arial" w:cs="Arial" w:eastAsia="Arial" w:hAnsi="Arial"/>
                <w:sz w:val="16"/>
                <w:szCs w:val="16"/>
                <w:color w:val="333333"/>
              </w:rPr>
              <w:t>206,091</w:t>
            </w:r>
          </w:p>
        </w:tc>
        <w:tc>
          <w:tcPr>
            <w:tcW w:w="640" w:type="dxa"/>
            <w:vAlign w:val="bottom"/>
          </w:tcPr>
          <w:p>
            <w:pPr>
              <w:ind w:left="280"/>
              <w:spacing w:after="0"/>
              <w:rPr>
                <w:sz w:val="20"/>
                <w:szCs w:val="20"/>
                <w:color w:val="auto"/>
              </w:rPr>
            </w:pPr>
            <w:r>
              <w:rPr>
                <w:rFonts w:ascii="Arial" w:cs="Arial" w:eastAsia="Arial" w:hAnsi="Arial"/>
                <w:sz w:val="16"/>
                <w:szCs w:val="16"/>
                <w:color w:val="333333"/>
              </w:rPr>
              <w:t>*</w:t>
            </w:r>
          </w:p>
        </w:tc>
      </w:tr>
      <w:tr>
        <w:trPr>
          <w:trHeight w:val="500"/>
        </w:trPr>
        <w:tc>
          <w:tcPr>
            <w:tcW w:w="1260" w:type="dxa"/>
            <w:vAlign w:val="bottom"/>
          </w:tcPr>
          <w:p>
            <w:pPr>
              <w:spacing w:after="0"/>
              <w:rPr>
                <w:sz w:val="20"/>
                <w:szCs w:val="20"/>
                <w:color w:val="auto"/>
              </w:rPr>
            </w:pPr>
            <w:r>
              <w:rPr>
                <w:rFonts w:ascii="Arial" w:cs="Arial" w:eastAsia="Arial" w:hAnsi="Arial"/>
                <w:sz w:val="16"/>
                <w:szCs w:val="16"/>
                <w:color w:val="333333"/>
              </w:rPr>
              <w:t>3,061</w:t>
            </w:r>
          </w:p>
        </w:tc>
        <w:tc>
          <w:tcPr>
            <w:tcW w:w="1540" w:type="dxa"/>
            <w:vAlign w:val="bottom"/>
          </w:tcPr>
          <w:p>
            <w:pPr>
              <w:ind w:left="540"/>
              <w:spacing w:after="0"/>
              <w:rPr>
                <w:sz w:val="20"/>
                <w:szCs w:val="20"/>
                <w:color w:val="auto"/>
              </w:rPr>
            </w:pPr>
            <w:r>
              <w:rPr>
                <w:rFonts w:ascii="Arial" w:cs="Arial" w:eastAsia="Arial" w:hAnsi="Arial"/>
                <w:sz w:val="16"/>
                <w:szCs w:val="16"/>
                <w:color w:val="333333"/>
              </w:rPr>
              <w:t>—</w:t>
            </w:r>
          </w:p>
        </w:tc>
        <w:tc>
          <w:tcPr>
            <w:tcW w:w="1280" w:type="dxa"/>
            <w:vAlign w:val="bottom"/>
          </w:tcPr>
          <w:p>
            <w:pPr>
              <w:ind w:left="280"/>
              <w:spacing w:after="0"/>
              <w:rPr>
                <w:sz w:val="20"/>
                <w:szCs w:val="20"/>
                <w:color w:val="auto"/>
              </w:rPr>
            </w:pPr>
            <w:r>
              <w:rPr>
                <w:rFonts w:ascii="Arial" w:cs="Arial" w:eastAsia="Arial" w:hAnsi="Arial"/>
                <w:sz w:val="16"/>
                <w:szCs w:val="16"/>
                <w:color w:val="333333"/>
              </w:rPr>
              <w:t>3,061</w:t>
            </w:r>
          </w:p>
        </w:tc>
        <w:tc>
          <w:tcPr>
            <w:tcW w:w="640" w:type="dxa"/>
            <w:vAlign w:val="bottom"/>
          </w:tcPr>
          <w:p>
            <w:pPr>
              <w:ind w:left="280"/>
              <w:spacing w:after="0"/>
              <w:rPr>
                <w:sz w:val="20"/>
                <w:szCs w:val="20"/>
                <w:color w:val="auto"/>
              </w:rPr>
            </w:pPr>
            <w:r>
              <w:rPr>
                <w:rFonts w:ascii="Arial" w:cs="Arial" w:eastAsia="Arial" w:hAnsi="Arial"/>
                <w:sz w:val="16"/>
                <w:szCs w:val="16"/>
                <w:color w:val="333333"/>
              </w:rPr>
              <w:t>*</w:t>
            </w:r>
          </w:p>
        </w:tc>
      </w:tr>
      <w:tr>
        <w:trPr>
          <w:trHeight w:val="499"/>
        </w:trPr>
        <w:tc>
          <w:tcPr>
            <w:tcW w:w="1260" w:type="dxa"/>
            <w:vAlign w:val="bottom"/>
          </w:tcPr>
          <w:p>
            <w:pPr>
              <w:spacing w:after="0"/>
              <w:rPr>
                <w:sz w:val="20"/>
                <w:szCs w:val="20"/>
                <w:color w:val="auto"/>
              </w:rPr>
            </w:pPr>
            <w:r>
              <w:rPr>
                <w:rFonts w:ascii="Arial" w:cs="Arial" w:eastAsia="Arial" w:hAnsi="Arial"/>
                <w:sz w:val="16"/>
                <w:szCs w:val="16"/>
                <w:color w:val="333333"/>
              </w:rPr>
              <w:t>16,730</w:t>
            </w:r>
          </w:p>
        </w:tc>
        <w:tc>
          <w:tcPr>
            <w:tcW w:w="1540" w:type="dxa"/>
            <w:vAlign w:val="bottom"/>
          </w:tcPr>
          <w:p>
            <w:pPr>
              <w:ind w:left="540"/>
              <w:spacing w:after="0"/>
              <w:rPr>
                <w:sz w:val="20"/>
                <w:szCs w:val="20"/>
                <w:color w:val="auto"/>
              </w:rPr>
            </w:pPr>
            <w:r>
              <w:rPr>
                <w:rFonts w:ascii="Arial" w:cs="Arial" w:eastAsia="Arial" w:hAnsi="Arial"/>
                <w:sz w:val="16"/>
                <w:szCs w:val="16"/>
                <w:color w:val="333333"/>
              </w:rPr>
              <w:t>—</w:t>
            </w:r>
          </w:p>
        </w:tc>
        <w:tc>
          <w:tcPr>
            <w:tcW w:w="1280" w:type="dxa"/>
            <w:vAlign w:val="bottom"/>
          </w:tcPr>
          <w:p>
            <w:pPr>
              <w:ind w:left="280"/>
              <w:spacing w:after="0"/>
              <w:rPr>
                <w:sz w:val="20"/>
                <w:szCs w:val="20"/>
                <w:color w:val="auto"/>
              </w:rPr>
            </w:pPr>
            <w:r>
              <w:rPr>
                <w:rFonts w:ascii="Arial" w:cs="Arial" w:eastAsia="Arial" w:hAnsi="Arial"/>
                <w:sz w:val="16"/>
                <w:szCs w:val="16"/>
                <w:color w:val="333333"/>
              </w:rPr>
              <w:t>16,730</w:t>
            </w:r>
          </w:p>
        </w:tc>
        <w:tc>
          <w:tcPr>
            <w:tcW w:w="640" w:type="dxa"/>
            <w:vAlign w:val="bottom"/>
          </w:tcPr>
          <w:p>
            <w:pPr>
              <w:ind w:left="280"/>
              <w:spacing w:after="0"/>
              <w:rPr>
                <w:sz w:val="20"/>
                <w:szCs w:val="20"/>
                <w:color w:val="auto"/>
              </w:rPr>
            </w:pPr>
            <w:r>
              <w:rPr>
                <w:rFonts w:ascii="Arial" w:cs="Arial" w:eastAsia="Arial" w:hAnsi="Arial"/>
                <w:sz w:val="16"/>
                <w:szCs w:val="16"/>
                <w:color w:val="333333"/>
              </w:rPr>
              <w:t>*</w:t>
            </w:r>
          </w:p>
        </w:tc>
      </w:tr>
      <w:tr>
        <w:trPr>
          <w:trHeight w:val="500"/>
        </w:trPr>
        <w:tc>
          <w:tcPr>
            <w:tcW w:w="1260" w:type="dxa"/>
            <w:vAlign w:val="bottom"/>
          </w:tcPr>
          <w:p>
            <w:pPr>
              <w:spacing w:after="0"/>
              <w:rPr>
                <w:sz w:val="20"/>
                <w:szCs w:val="20"/>
                <w:color w:val="auto"/>
              </w:rPr>
            </w:pPr>
            <w:r>
              <w:rPr>
                <w:rFonts w:ascii="Arial" w:cs="Arial" w:eastAsia="Arial" w:hAnsi="Arial"/>
                <w:sz w:val="16"/>
                <w:szCs w:val="16"/>
                <w:color w:val="333333"/>
              </w:rPr>
              <w:t>2,528​</w:t>
            </w:r>
          </w:p>
        </w:tc>
        <w:tc>
          <w:tcPr>
            <w:tcW w:w="1540" w:type="dxa"/>
            <w:vAlign w:val="bottom"/>
          </w:tcPr>
          <w:p>
            <w:pPr>
              <w:ind w:left="540"/>
              <w:spacing w:after="0"/>
              <w:rPr>
                <w:sz w:val="20"/>
                <w:szCs w:val="20"/>
                <w:color w:val="auto"/>
              </w:rPr>
            </w:pPr>
            <w:r>
              <w:rPr>
                <w:rFonts w:ascii="Arial" w:cs="Arial" w:eastAsia="Arial" w:hAnsi="Arial"/>
                <w:sz w:val="16"/>
                <w:szCs w:val="16"/>
                <w:color w:val="333333"/>
              </w:rPr>
              <w:t>—</w:t>
            </w:r>
          </w:p>
        </w:tc>
        <w:tc>
          <w:tcPr>
            <w:tcW w:w="1280" w:type="dxa"/>
            <w:vAlign w:val="bottom"/>
          </w:tcPr>
          <w:p>
            <w:pPr>
              <w:ind w:left="280"/>
              <w:spacing w:after="0"/>
              <w:rPr>
                <w:sz w:val="20"/>
                <w:szCs w:val="20"/>
                <w:color w:val="auto"/>
              </w:rPr>
            </w:pPr>
            <w:r>
              <w:rPr>
                <w:rFonts w:ascii="Arial" w:cs="Arial" w:eastAsia="Arial" w:hAnsi="Arial"/>
                <w:sz w:val="16"/>
                <w:szCs w:val="16"/>
                <w:color w:val="333333"/>
              </w:rPr>
              <w:t>2,528​</w:t>
            </w:r>
          </w:p>
        </w:tc>
        <w:tc>
          <w:tcPr>
            <w:tcW w:w="640" w:type="dxa"/>
            <w:vAlign w:val="bottom"/>
          </w:tcPr>
          <w:p>
            <w:pPr>
              <w:ind w:left="280"/>
              <w:spacing w:after="0"/>
              <w:rPr>
                <w:sz w:val="20"/>
                <w:szCs w:val="20"/>
                <w:color w:val="auto"/>
              </w:rPr>
            </w:pPr>
            <w:r>
              <w:rPr>
                <w:rFonts w:ascii="Arial" w:cs="Arial" w:eastAsia="Arial" w:hAnsi="Arial"/>
                <w:sz w:val="16"/>
                <w:szCs w:val="16"/>
                <w:color w:val="333333"/>
              </w:rPr>
              <w:t>*</w:t>
            </w:r>
          </w:p>
        </w:tc>
      </w:tr>
      <w:tr>
        <w:trPr>
          <w:trHeight w:val="499"/>
        </w:trPr>
        <w:tc>
          <w:tcPr>
            <w:tcW w:w="1260" w:type="dxa"/>
            <w:vAlign w:val="bottom"/>
          </w:tcPr>
          <w:p>
            <w:pPr>
              <w:spacing w:after="0"/>
              <w:rPr>
                <w:sz w:val="20"/>
                <w:szCs w:val="20"/>
                <w:color w:val="auto"/>
              </w:rPr>
            </w:pPr>
            <w:r>
              <w:rPr>
                <w:rFonts w:ascii="Arial" w:cs="Arial" w:eastAsia="Arial" w:hAnsi="Arial"/>
                <w:sz w:val="16"/>
                <w:szCs w:val="16"/>
                <w:color w:val="333333"/>
              </w:rPr>
              <w:t>9,519</w:t>
            </w:r>
          </w:p>
        </w:tc>
        <w:tc>
          <w:tcPr>
            <w:tcW w:w="1540" w:type="dxa"/>
            <w:vAlign w:val="bottom"/>
          </w:tcPr>
          <w:p>
            <w:pPr>
              <w:ind w:left="540"/>
              <w:spacing w:after="0"/>
              <w:rPr>
                <w:sz w:val="20"/>
                <w:szCs w:val="20"/>
                <w:color w:val="auto"/>
              </w:rPr>
            </w:pPr>
            <w:r>
              <w:rPr>
                <w:rFonts w:ascii="Arial" w:cs="Arial" w:eastAsia="Arial" w:hAnsi="Arial"/>
                <w:sz w:val="16"/>
                <w:szCs w:val="16"/>
                <w:color w:val="333333"/>
              </w:rPr>
              <w:t>—</w:t>
            </w:r>
          </w:p>
        </w:tc>
        <w:tc>
          <w:tcPr>
            <w:tcW w:w="1280" w:type="dxa"/>
            <w:vAlign w:val="bottom"/>
          </w:tcPr>
          <w:p>
            <w:pPr>
              <w:ind w:left="280"/>
              <w:spacing w:after="0"/>
              <w:rPr>
                <w:sz w:val="20"/>
                <w:szCs w:val="20"/>
                <w:color w:val="auto"/>
              </w:rPr>
            </w:pPr>
            <w:r>
              <w:rPr>
                <w:rFonts w:ascii="Arial" w:cs="Arial" w:eastAsia="Arial" w:hAnsi="Arial"/>
                <w:sz w:val="16"/>
                <w:szCs w:val="16"/>
                <w:color w:val="333333"/>
              </w:rPr>
              <w:t>9,519</w:t>
            </w:r>
          </w:p>
        </w:tc>
        <w:tc>
          <w:tcPr>
            <w:tcW w:w="640" w:type="dxa"/>
            <w:vAlign w:val="bottom"/>
          </w:tcPr>
          <w:p>
            <w:pPr>
              <w:ind w:left="280"/>
              <w:spacing w:after="0"/>
              <w:rPr>
                <w:sz w:val="20"/>
                <w:szCs w:val="20"/>
                <w:color w:val="auto"/>
              </w:rPr>
            </w:pPr>
            <w:r>
              <w:rPr>
                <w:rFonts w:ascii="Arial" w:cs="Arial" w:eastAsia="Arial" w:hAnsi="Arial"/>
                <w:sz w:val="16"/>
                <w:szCs w:val="16"/>
                <w:color w:val="33333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-1999615</wp:posOffset>
            </wp:positionH>
            <wp:positionV relativeFrom="paragraph">
              <wp:posOffset>-2124075</wp:posOffset>
            </wp:positionV>
            <wp:extent cx="5554980" cy="3175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54980" cy="317500"/>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-1489710</wp:posOffset>
            </wp:positionV>
            <wp:extent cx="5554980" cy="3168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54980" cy="316865"/>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-855345</wp:posOffset>
            </wp:positionV>
            <wp:extent cx="5554980" cy="3168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554980" cy="316865"/>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-220980</wp:posOffset>
            </wp:positionV>
            <wp:extent cx="5554980" cy="283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54980" cy="283210"/>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3220" w:space="580"/>
            <w:col w:w="6240"/>
          </w:cols>
          <w:pgMar w:left="920" w:top="114" w:right="939" w:bottom="1440" w:gutter="0" w:footer="0" w:header="0"/>
          <w:type w:val="continuous"/>
        </w:sectPr>
      </w:pPr>
    </w:p>
    <w:p>
      <w:pPr>
        <w:spacing w:after="0" w:line="27" w:lineRule="exact"/>
        <w:rPr>
          <w:sz w:val="20"/>
          <w:szCs w:val="20"/>
          <w:color w:val="auto"/>
        </w:rPr>
      </w:pPr>
    </w:p>
    <w:p>
      <w:pPr>
        <w:ind w:left="7300"/>
        <w:spacing w:after="0"/>
        <w:rPr>
          <w:sz w:val="20"/>
          <w:szCs w:val="20"/>
          <w:color w:val="auto"/>
        </w:rPr>
      </w:pPr>
      <w:r>
        <w:rPr>
          <w:rFonts w:ascii="Arial" w:cs="Arial" w:eastAsia="Arial" w:hAnsi="Arial"/>
          <w:sz w:val="10"/>
          <w:szCs w:val="10"/>
          <w:color w:val="333333"/>
        </w:rPr>
        <w:t xml:space="preserve">2024 Notice of Annual Meeting &amp; Proxy Statement      </w:t>
      </w:r>
      <w:r>
        <w:rPr>
          <w:rFonts w:ascii="Arial" w:cs="Arial" w:eastAsia="Arial" w:hAnsi="Arial"/>
          <w:sz w:val="10"/>
          <w:szCs w:val="10"/>
          <w:b w:val="1"/>
          <w:bCs w:val="1"/>
          <w:color w:val="333333"/>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1000" w:right="1059" w:hanging="350"/>
        <w:spacing w:after="0" w:line="271" w:lineRule="auto"/>
        <w:tabs>
          <w:tab w:leader="none" w:pos="958"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CF1D4C"/>
        </w:rPr>
        <w:t>INFORMATION REGARDING BENEFICIAL OWNERSHIP OF PRINCIPAL SHAREHOLDERS, DIRECTORS, AND MANAGEMENT</w:t>
      </w:r>
    </w:p>
    <w:p>
      <w:pPr>
        <w:spacing w:after="0" w:line="24" w:lineRule="exact"/>
        <w:rPr>
          <w:sz w:val="20"/>
          <w:szCs w:val="20"/>
          <w:color w:val="auto"/>
        </w:rPr>
      </w:pPr>
    </w:p>
    <w:tbl>
      <w:tblPr>
        <w:tblLayout w:type="fixed"/>
        <w:tblInd w:w="640" w:type="dxa"/>
        <w:tblCellMar>
          <w:top w:w="0" w:type="dxa"/>
          <w:left w:w="0" w:type="dxa"/>
          <w:bottom w:w="0" w:type="dxa"/>
          <w:right w:w="0" w:type="dxa"/>
        </w:tblCellMar>
      </w:tblPr>
      <w:tr>
        <w:trPr>
          <w:trHeight w:val="382"/>
        </w:trPr>
        <w:tc>
          <w:tcPr>
            <w:tcW w:w="3040" w:type="dxa"/>
            <w:vAlign w:val="bottom"/>
            <w:vMerge w:val="restart"/>
            <w:shd w:val="clear" w:color="auto" w:fill="CF1D4C"/>
          </w:tcPr>
          <w:p>
            <w:pPr>
              <w:ind w:left="300"/>
              <w:spacing w:after="0"/>
              <w:rPr>
                <w:sz w:val="20"/>
                <w:szCs w:val="20"/>
                <w:color w:val="auto"/>
              </w:rPr>
            </w:pPr>
            <w:r>
              <w:rPr>
                <w:rFonts w:ascii="Arial" w:cs="Arial" w:eastAsia="Arial" w:hAnsi="Arial"/>
                <w:sz w:val="14"/>
                <w:szCs w:val="14"/>
                <w:b w:val="1"/>
                <w:bCs w:val="1"/>
                <w:color w:val="FFFFFF"/>
              </w:rPr>
              <w:t>Name and Address</w:t>
            </w:r>
            <w:r>
              <w:rPr>
                <w:rFonts w:ascii="Arial" w:cs="Arial" w:eastAsia="Arial" w:hAnsi="Arial"/>
                <w:sz w:val="23"/>
                <w:szCs w:val="23"/>
                <w:b w:val="1"/>
                <w:bCs w:val="1"/>
                <w:color w:val="FFFFFF"/>
                <w:vertAlign w:val="superscript"/>
              </w:rPr>
              <w:t>(1)</w:t>
            </w:r>
          </w:p>
        </w:tc>
        <w:tc>
          <w:tcPr>
            <w:tcW w:w="1740" w:type="dxa"/>
            <w:vAlign w:val="bottom"/>
            <w:shd w:val="clear" w:color="auto" w:fill="CF1D4C"/>
          </w:tcPr>
          <w:p>
            <w:pPr>
              <w:ind w:left="300"/>
              <w:spacing w:after="0"/>
              <w:rPr>
                <w:sz w:val="20"/>
                <w:szCs w:val="20"/>
                <w:color w:val="auto"/>
              </w:rPr>
            </w:pPr>
            <w:r>
              <w:rPr>
                <w:rFonts w:ascii="Arial" w:cs="Arial" w:eastAsia="Arial" w:hAnsi="Arial"/>
                <w:sz w:val="14"/>
                <w:szCs w:val="14"/>
                <w:b w:val="1"/>
                <w:bCs w:val="1"/>
                <w:color w:val="FFFFFF"/>
              </w:rPr>
              <w:t>Common Shares</w:t>
            </w:r>
          </w:p>
        </w:tc>
        <w:tc>
          <w:tcPr>
            <w:tcW w:w="1280" w:type="dxa"/>
            <w:vAlign w:val="bottom"/>
            <w:vMerge w:val="restart"/>
            <w:shd w:val="clear" w:color="auto" w:fill="CF1D4C"/>
          </w:tcPr>
          <w:p>
            <w:pPr>
              <w:ind w:left="300"/>
              <w:spacing w:after="0"/>
              <w:rPr>
                <w:sz w:val="20"/>
                <w:szCs w:val="20"/>
                <w:color w:val="auto"/>
              </w:rPr>
            </w:pPr>
            <w:r>
              <w:rPr>
                <w:rFonts w:ascii="Arial" w:cs="Arial" w:eastAsia="Arial" w:hAnsi="Arial"/>
                <w:sz w:val="14"/>
                <w:szCs w:val="14"/>
                <w:b w:val="1"/>
                <w:bCs w:val="1"/>
                <w:color w:val="FFFFFF"/>
              </w:rPr>
              <w:t>Right to</w:t>
            </w:r>
          </w:p>
        </w:tc>
        <w:tc>
          <w:tcPr>
            <w:tcW w:w="1240" w:type="dxa"/>
            <w:vAlign w:val="bottom"/>
            <w:vMerge w:val="restart"/>
            <w:shd w:val="clear" w:color="auto" w:fill="CF1D4C"/>
          </w:tcPr>
          <w:p>
            <w:pPr>
              <w:ind w:left="260"/>
              <w:spacing w:after="0"/>
              <w:rPr>
                <w:sz w:val="20"/>
                <w:szCs w:val="20"/>
                <w:color w:val="auto"/>
              </w:rPr>
            </w:pPr>
            <w:r>
              <w:rPr>
                <w:rFonts w:ascii="Arial" w:cs="Arial" w:eastAsia="Arial" w:hAnsi="Arial"/>
                <w:sz w:val="14"/>
                <w:szCs w:val="14"/>
                <w:b w:val="1"/>
                <w:bCs w:val="1"/>
                <w:color w:val="FFFFFF"/>
              </w:rPr>
              <w:t>Total</w:t>
            </w:r>
            <w:r>
              <w:rPr>
                <w:rFonts w:ascii="Arial" w:cs="Arial" w:eastAsia="Arial" w:hAnsi="Arial"/>
                <w:sz w:val="23"/>
                <w:szCs w:val="23"/>
                <w:b w:val="1"/>
                <w:bCs w:val="1"/>
                <w:color w:val="FFFFFF"/>
                <w:vertAlign w:val="superscript"/>
              </w:rPr>
              <w:t>(4)</w:t>
            </w:r>
          </w:p>
        </w:tc>
        <w:tc>
          <w:tcPr>
            <w:tcW w:w="1460" w:type="dxa"/>
            <w:vAlign w:val="bottom"/>
            <w:shd w:val="clear" w:color="auto" w:fill="CF1D4C"/>
          </w:tcPr>
          <w:p>
            <w:pPr>
              <w:ind w:left="280"/>
              <w:spacing w:after="0"/>
              <w:rPr>
                <w:sz w:val="20"/>
                <w:szCs w:val="20"/>
                <w:color w:val="auto"/>
              </w:rPr>
            </w:pPr>
            <w:r>
              <w:rPr>
                <w:rFonts w:ascii="Arial" w:cs="Arial" w:eastAsia="Arial" w:hAnsi="Arial"/>
                <w:sz w:val="14"/>
                <w:szCs w:val="14"/>
                <w:b w:val="1"/>
                <w:bCs w:val="1"/>
                <w:color w:val="FFFFFF"/>
              </w:rPr>
              <w:t>Percent</w:t>
            </w:r>
            <w:r>
              <w:rPr>
                <w:rFonts w:ascii="Arial" w:cs="Arial" w:eastAsia="Arial" w:hAnsi="Arial"/>
                <w:sz w:val="23"/>
                <w:szCs w:val="23"/>
                <w:b w:val="1"/>
                <w:bCs w:val="1"/>
                <w:color w:val="FFFFFF"/>
                <w:vertAlign w:val="superscript"/>
              </w:rPr>
              <w:t>(4)</w:t>
            </w:r>
            <w:r>
              <w:rPr>
                <w:rFonts w:ascii="Arial" w:cs="Arial" w:eastAsia="Arial" w:hAnsi="Arial"/>
                <w:sz w:val="14"/>
                <w:szCs w:val="14"/>
                <w:b w:val="1"/>
                <w:bCs w:val="1"/>
                <w:color w:val="FFFFFF"/>
              </w:rPr>
              <w:t xml:space="preserve"> of</w:t>
            </w:r>
          </w:p>
        </w:tc>
        <w:tc>
          <w:tcPr>
            <w:tcW w:w="0" w:type="dxa"/>
            <w:vAlign w:val="bottom"/>
          </w:tcPr>
          <w:p>
            <w:pPr>
              <w:spacing w:after="0"/>
              <w:rPr>
                <w:sz w:val="1"/>
                <w:szCs w:val="1"/>
                <w:color w:val="auto"/>
              </w:rPr>
            </w:pPr>
          </w:p>
        </w:tc>
      </w:tr>
      <w:tr>
        <w:trPr>
          <w:trHeight w:val="78"/>
        </w:trPr>
        <w:tc>
          <w:tcPr>
            <w:tcW w:w="3040" w:type="dxa"/>
            <w:vAlign w:val="bottom"/>
            <w:vMerge w:val="continue"/>
            <w:shd w:val="clear" w:color="auto" w:fill="CF1D4C"/>
          </w:tcPr>
          <w:p>
            <w:pPr>
              <w:spacing w:after="0"/>
              <w:rPr>
                <w:sz w:val="6"/>
                <w:szCs w:val="6"/>
                <w:color w:val="auto"/>
              </w:rPr>
            </w:pPr>
          </w:p>
        </w:tc>
        <w:tc>
          <w:tcPr>
            <w:tcW w:w="1740" w:type="dxa"/>
            <w:vAlign w:val="bottom"/>
            <w:vMerge w:val="restart"/>
            <w:shd w:val="clear" w:color="auto" w:fill="CF1D4C"/>
          </w:tcPr>
          <w:p>
            <w:pPr>
              <w:ind w:left="300"/>
              <w:spacing w:after="0"/>
              <w:rPr>
                <w:sz w:val="20"/>
                <w:szCs w:val="20"/>
                <w:color w:val="auto"/>
              </w:rPr>
            </w:pPr>
            <w:r>
              <w:rPr>
                <w:rFonts w:ascii="Arial" w:cs="Arial" w:eastAsia="Arial" w:hAnsi="Arial"/>
                <w:sz w:val="14"/>
                <w:szCs w:val="14"/>
                <w:b w:val="1"/>
                <w:bCs w:val="1"/>
                <w:color w:val="FFFFFF"/>
              </w:rPr>
              <w:t>Beneficially</w:t>
            </w:r>
          </w:p>
        </w:tc>
        <w:tc>
          <w:tcPr>
            <w:tcW w:w="1280" w:type="dxa"/>
            <w:vAlign w:val="bottom"/>
            <w:vMerge w:val="continue"/>
            <w:shd w:val="clear" w:color="auto" w:fill="CF1D4C"/>
          </w:tcPr>
          <w:p>
            <w:pPr>
              <w:spacing w:after="0"/>
              <w:rPr>
                <w:sz w:val="6"/>
                <w:szCs w:val="6"/>
                <w:color w:val="auto"/>
              </w:rPr>
            </w:pPr>
          </w:p>
        </w:tc>
        <w:tc>
          <w:tcPr>
            <w:tcW w:w="1240" w:type="dxa"/>
            <w:vAlign w:val="bottom"/>
            <w:vMerge w:val="continue"/>
            <w:shd w:val="clear" w:color="auto" w:fill="CF1D4C"/>
          </w:tcPr>
          <w:p>
            <w:pPr>
              <w:spacing w:after="0"/>
              <w:rPr>
                <w:sz w:val="6"/>
                <w:szCs w:val="6"/>
                <w:color w:val="auto"/>
              </w:rPr>
            </w:pPr>
          </w:p>
        </w:tc>
        <w:tc>
          <w:tcPr>
            <w:tcW w:w="1460" w:type="dxa"/>
            <w:vAlign w:val="bottom"/>
            <w:vMerge w:val="restart"/>
            <w:shd w:val="clear" w:color="auto" w:fill="CF1D4C"/>
          </w:tcPr>
          <w:p>
            <w:pPr>
              <w:ind w:left="280"/>
              <w:spacing w:after="0"/>
              <w:rPr>
                <w:sz w:val="20"/>
                <w:szCs w:val="20"/>
                <w:color w:val="auto"/>
              </w:rPr>
            </w:pPr>
            <w:r>
              <w:rPr>
                <w:rFonts w:ascii="Arial" w:cs="Arial" w:eastAsia="Arial" w:hAnsi="Arial"/>
                <w:sz w:val="14"/>
                <w:szCs w:val="14"/>
                <w:b w:val="1"/>
                <w:bCs w:val="1"/>
                <w:color w:val="FFFFFF"/>
              </w:rPr>
              <w:t>Outstanding</w:t>
            </w:r>
          </w:p>
        </w:tc>
        <w:tc>
          <w:tcPr>
            <w:tcW w:w="0" w:type="dxa"/>
            <w:vAlign w:val="bottom"/>
          </w:tcPr>
          <w:p>
            <w:pPr>
              <w:spacing w:after="0"/>
              <w:rPr>
                <w:sz w:val="1"/>
                <w:szCs w:val="1"/>
                <w:color w:val="auto"/>
              </w:rPr>
            </w:pPr>
          </w:p>
        </w:tc>
      </w:tr>
      <w:tr>
        <w:trPr>
          <w:trHeight w:val="174"/>
        </w:trPr>
        <w:tc>
          <w:tcPr>
            <w:tcW w:w="3040" w:type="dxa"/>
            <w:vAlign w:val="bottom"/>
            <w:vMerge w:val="continue"/>
            <w:shd w:val="clear" w:color="auto" w:fill="CF1D4C"/>
          </w:tcPr>
          <w:p>
            <w:pPr>
              <w:spacing w:after="0"/>
              <w:rPr>
                <w:sz w:val="15"/>
                <w:szCs w:val="15"/>
                <w:color w:val="auto"/>
              </w:rPr>
            </w:pPr>
          </w:p>
        </w:tc>
        <w:tc>
          <w:tcPr>
            <w:tcW w:w="1740" w:type="dxa"/>
            <w:vAlign w:val="bottom"/>
            <w:vMerge w:val="continue"/>
            <w:shd w:val="clear" w:color="auto" w:fill="CF1D4C"/>
          </w:tcPr>
          <w:p>
            <w:pPr>
              <w:spacing w:after="0"/>
              <w:rPr>
                <w:sz w:val="15"/>
                <w:szCs w:val="15"/>
                <w:color w:val="auto"/>
              </w:rPr>
            </w:pPr>
          </w:p>
        </w:tc>
        <w:tc>
          <w:tcPr>
            <w:tcW w:w="1280" w:type="dxa"/>
            <w:vAlign w:val="bottom"/>
            <w:shd w:val="clear" w:color="auto" w:fill="CF1D4C"/>
          </w:tcPr>
          <w:p>
            <w:pPr>
              <w:ind w:left="300"/>
              <w:spacing w:after="0" w:line="175" w:lineRule="exact"/>
              <w:rPr>
                <w:sz w:val="20"/>
                <w:szCs w:val="20"/>
                <w:color w:val="auto"/>
              </w:rPr>
            </w:pPr>
            <w:r>
              <w:rPr>
                <w:rFonts w:ascii="Arial" w:cs="Arial" w:eastAsia="Arial" w:hAnsi="Arial"/>
                <w:sz w:val="13"/>
                <w:szCs w:val="13"/>
                <w:b w:val="1"/>
                <w:bCs w:val="1"/>
                <w:color w:val="FFFFFF"/>
              </w:rPr>
              <w:t>Acquire</w:t>
            </w:r>
            <w:r>
              <w:rPr>
                <w:rFonts w:ascii="Arial" w:cs="Arial" w:eastAsia="Arial" w:hAnsi="Arial"/>
                <w:sz w:val="20"/>
                <w:szCs w:val="20"/>
                <w:b w:val="1"/>
                <w:bCs w:val="1"/>
                <w:color w:val="FFFFFF"/>
                <w:vertAlign w:val="superscript"/>
              </w:rPr>
              <w:t>(3)</w:t>
            </w:r>
          </w:p>
        </w:tc>
        <w:tc>
          <w:tcPr>
            <w:tcW w:w="1240" w:type="dxa"/>
            <w:vAlign w:val="bottom"/>
            <w:vMerge w:val="continue"/>
            <w:shd w:val="clear" w:color="auto" w:fill="CF1D4C"/>
          </w:tcPr>
          <w:p>
            <w:pPr>
              <w:spacing w:after="0"/>
              <w:rPr>
                <w:sz w:val="15"/>
                <w:szCs w:val="15"/>
                <w:color w:val="auto"/>
              </w:rPr>
            </w:pPr>
          </w:p>
        </w:tc>
        <w:tc>
          <w:tcPr>
            <w:tcW w:w="1460" w:type="dxa"/>
            <w:vAlign w:val="bottom"/>
            <w:vMerge w:val="continue"/>
            <w:shd w:val="clear" w:color="auto" w:fill="CF1D4C"/>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3040" w:type="dxa"/>
            <w:vAlign w:val="bottom"/>
            <w:shd w:val="clear" w:color="auto" w:fill="CF1D4C"/>
          </w:tcPr>
          <w:p>
            <w:pPr>
              <w:spacing w:after="0"/>
              <w:rPr>
                <w:sz w:val="24"/>
                <w:szCs w:val="24"/>
                <w:color w:val="auto"/>
              </w:rPr>
            </w:pPr>
          </w:p>
        </w:tc>
        <w:tc>
          <w:tcPr>
            <w:tcW w:w="1740" w:type="dxa"/>
            <w:vAlign w:val="bottom"/>
            <w:shd w:val="clear" w:color="auto" w:fill="CF1D4C"/>
          </w:tcPr>
          <w:p>
            <w:pPr>
              <w:ind w:left="300"/>
              <w:spacing w:after="0"/>
              <w:rPr>
                <w:sz w:val="20"/>
                <w:szCs w:val="20"/>
                <w:color w:val="auto"/>
              </w:rPr>
            </w:pPr>
            <w:r>
              <w:rPr>
                <w:rFonts w:ascii="Arial" w:cs="Arial" w:eastAsia="Arial" w:hAnsi="Arial"/>
                <w:sz w:val="14"/>
                <w:szCs w:val="14"/>
                <w:b w:val="1"/>
                <w:bCs w:val="1"/>
                <w:color w:val="FFFFFF"/>
              </w:rPr>
              <w:t>Owned</w:t>
            </w:r>
            <w:r>
              <w:rPr>
                <w:rFonts w:ascii="Arial" w:cs="Arial" w:eastAsia="Arial" w:hAnsi="Arial"/>
                <w:sz w:val="23"/>
                <w:szCs w:val="23"/>
                <w:b w:val="1"/>
                <w:bCs w:val="1"/>
                <w:color w:val="FFFFFF"/>
                <w:vertAlign w:val="superscript"/>
              </w:rPr>
              <w:t>(2)</w:t>
            </w:r>
          </w:p>
        </w:tc>
        <w:tc>
          <w:tcPr>
            <w:tcW w:w="1280" w:type="dxa"/>
            <w:vAlign w:val="bottom"/>
            <w:shd w:val="clear" w:color="auto" w:fill="CF1D4C"/>
          </w:tcPr>
          <w:p>
            <w:pPr>
              <w:spacing w:after="0"/>
              <w:rPr>
                <w:sz w:val="24"/>
                <w:szCs w:val="24"/>
                <w:color w:val="auto"/>
              </w:rPr>
            </w:pPr>
          </w:p>
        </w:tc>
        <w:tc>
          <w:tcPr>
            <w:tcW w:w="1240" w:type="dxa"/>
            <w:vAlign w:val="bottom"/>
            <w:shd w:val="clear" w:color="auto" w:fill="CF1D4C"/>
          </w:tcPr>
          <w:p>
            <w:pPr>
              <w:spacing w:after="0"/>
              <w:rPr>
                <w:sz w:val="24"/>
                <w:szCs w:val="24"/>
                <w:color w:val="auto"/>
              </w:rPr>
            </w:pPr>
          </w:p>
        </w:tc>
        <w:tc>
          <w:tcPr>
            <w:tcW w:w="1460" w:type="dxa"/>
            <w:vAlign w:val="bottom"/>
            <w:shd w:val="clear" w:color="auto" w:fill="CF1D4C"/>
          </w:tcPr>
          <w:p>
            <w:pPr>
              <w:ind w:left="280"/>
              <w:spacing w:after="0"/>
              <w:rPr>
                <w:sz w:val="20"/>
                <w:szCs w:val="20"/>
                <w:color w:val="auto"/>
              </w:rPr>
            </w:pPr>
            <w:r>
              <w:rPr>
                <w:rFonts w:ascii="Arial" w:cs="Arial" w:eastAsia="Arial" w:hAnsi="Arial"/>
                <w:sz w:val="14"/>
                <w:szCs w:val="14"/>
                <w:b w:val="1"/>
                <w:bCs w:val="1"/>
                <w:color w:val="FFFFFF"/>
              </w:rPr>
              <w:t>Shares</w:t>
            </w:r>
            <w:r>
              <w:rPr>
                <w:rFonts w:ascii="Arial" w:cs="Arial" w:eastAsia="Arial" w:hAnsi="Arial"/>
                <w:sz w:val="23"/>
                <w:szCs w:val="23"/>
                <w:b w:val="1"/>
                <w:bCs w:val="1"/>
                <w:color w:val="FFFFFF"/>
                <w:vertAlign w:val="superscript"/>
              </w:rPr>
              <w:t>(5)</w:t>
            </w:r>
          </w:p>
        </w:tc>
        <w:tc>
          <w:tcPr>
            <w:tcW w:w="0" w:type="dxa"/>
            <w:vAlign w:val="bottom"/>
          </w:tcPr>
          <w:p>
            <w:pPr>
              <w:spacing w:after="0"/>
              <w:rPr>
                <w:sz w:val="1"/>
                <w:szCs w:val="1"/>
                <w:color w:val="auto"/>
              </w:rPr>
            </w:pPr>
          </w:p>
        </w:tc>
      </w:tr>
      <w:tr>
        <w:trPr>
          <w:trHeight w:val="531"/>
        </w:trPr>
        <w:tc>
          <w:tcPr>
            <w:tcW w:w="3040" w:type="dxa"/>
            <w:vAlign w:val="bottom"/>
          </w:tcPr>
          <w:p>
            <w:pPr>
              <w:ind w:left="300"/>
              <w:spacing w:after="0"/>
              <w:rPr>
                <w:sz w:val="20"/>
                <w:szCs w:val="20"/>
                <w:color w:val="auto"/>
              </w:rPr>
            </w:pPr>
            <w:r>
              <w:rPr>
                <w:rFonts w:ascii="Arial" w:cs="Arial" w:eastAsia="Arial" w:hAnsi="Arial"/>
                <w:sz w:val="16"/>
                <w:szCs w:val="16"/>
                <w:color w:val="333333"/>
              </w:rPr>
              <w:t>Archie L. Jones, Jr.</w:t>
            </w:r>
            <w:r>
              <w:rPr>
                <w:rFonts w:ascii="Arial" w:cs="Arial" w:eastAsia="Arial" w:hAnsi="Arial"/>
                <w:sz w:val="26"/>
                <w:szCs w:val="26"/>
                <w:color w:val="333333"/>
                <w:vertAlign w:val="superscript"/>
              </w:rPr>
              <w:t>(21)</w:t>
            </w:r>
          </w:p>
        </w:tc>
        <w:tc>
          <w:tcPr>
            <w:tcW w:w="1740" w:type="dxa"/>
            <w:vAlign w:val="bottom"/>
          </w:tcPr>
          <w:p>
            <w:pPr>
              <w:ind w:left="300"/>
              <w:spacing w:after="0"/>
              <w:rPr>
                <w:sz w:val="20"/>
                <w:szCs w:val="20"/>
                <w:color w:val="auto"/>
              </w:rPr>
            </w:pPr>
            <w:r>
              <w:rPr>
                <w:rFonts w:ascii="Arial" w:cs="Arial" w:eastAsia="Arial" w:hAnsi="Arial"/>
                <w:sz w:val="16"/>
                <w:szCs w:val="16"/>
                <w:color w:val="333333"/>
              </w:rPr>
              <w:t>3,665</w:t>
            </w:r>
          </w:p>
        </w:tc>
        <w:tc>
          <w:tcPr>
            <w:tcW w:w="1280" w:type="dxa"/>
            <w:vAlign w:val="bottom"/>
          </w:tcPr>
          <w:p>
            <w:pPr>
              <w:ind w:left="300"/>
              <w:spacing w:after="0"/>
              <w:rPr>
                <w:sz w:val="20"/>
                <w:szCs w:val="20"/>
                <w:color w:val="auto"/>
              </w:rPr>
            </w:pPr>
            <w:r>
              <w:rPr>
                <w:rFonts w:ascii="Arial" w:cs="Arial" w:eastAsia="Arial" w:hAnsi="Arial"/>
                <w:sz w:val="16"/>
                <w:szCs w:val="16"/>
                <w:color w:val="333333"/>
              </w:rPr>
              <w:t>—</w:t>
            </w:r>
          </w:p>
        </w:tc>
        <w:tc>
          <w:tcPr>
            <w:tcW w:w="1240" w:type="dxa"/>
            <w:vAlign w:val="bottom"/>
          </w:tcPr>
          <w:p>
            <w:pPr>
              <w:ind w:left="260"/>
              <w:spacing w:after="0"/>
              <w:rPr>
                <w:sz w:val="20"/>
                <w:szCs w:val="20"/>
                <w:color w:val="auto"/>
              </w:rPr>
            </w:pPr>
            <w:r>
              <w:rPr>
                <w:rFonts w:ascii="Arial" w:cs="Arial" w:eastAsia="Arial" w:hAnsi="Arial"/>
                <w:sz w:val="16"/>
                <w:szCs w:val="16"/>
                <w:color w:val="333333"/>
              </w:rPr>
              <w:t>3,665</w:t>
            </w:r>
          </w:p>
        </w:tc>
        <w:tc>
          <w:tcPr>
            <w:tcW w:w="1460" w:type="dxa"/>
            <w:vAlign w:val="bottom"/>
          </w:tcPr>
          <w:p>
            <w:pPr>
              <w:ind w:left="28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508"/>
        </w:trPr>
        <w:tc>
          <w:tcPr>
            <w:tcW w:w="304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Richard Macchia</w:t>
            </w:r>
            <w:r>
              <w:rPr>
                <w:rFonts w:ascii="Arial" w:cs="Arial" w:eastAsia="Arial" w:hAnsi="Arial"/>
                <w:sz w:val="26"/>
                <w:szCs w:val="26"/>
                <w:color w:val="333333"/>
                <w:vertAlign w:val="superscript"/>
              </w:rPr>
              <w:t>(22)</w:t>
            </w:r>
          </w:p>
        </w:tc>
        <w:tc>
          <w:tcPr>
            <w:tcW w:w="174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14,943</w:t>
            </w:r>
          </w:p>
        </w:tc>
        <w:tc>
          <w:tcPr>
            <w:tcW w:w="128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w:t>
            </w:r>
          </w:p>
        </w:tc>
        <w:tc>
          <w:tcPr>
            <w:tcW w:w="1240" w:type="dxa"/>
            <w:vAlign w:val="bottom"/>
            <w:shd w:val="clear" w:color="auto" w:fill="D9D9D9"/>
          </w:tcPr>
          <w:p>
            <w:pPr>
              <w:ind w:left="260"/>
              <w:spacing w:after="0"/>
              <w:rPr>
                <w:sz w:val="20"/>
                <w:szCs w:val="20"/>
                <w:color w:val="auto"/>
              </w:rPr>
            </w:pPr>
            <w:r>
              <w:rPr>
                <w:rFonts w:ascii="Arial" w:cs="Arial" w:eastAsia="Arial" w:hAnsi="Arial"/>
                <w:sz w:val="16"/>
                <w:szCs w:val="16"/>
                <w:color w:val="333333"/>
              </w:rPr>
              <w:t>14,943</w:t>
            </w:r>
          </w:p>
        </w:tc>
        <w:tc>
          <w:tcPr>
            <w:tcW w:w="1460" w:type="dxa"/>
            <w:vAlign w:val="bottom"/>
            <w:shd w:val="clear" w:color="auto" w:fill="D9D9D9"/>
          </w:tcPr>
          <w:p>
            <w:pPr>
              <w:ind w:left="28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491"/>
        </w:trPr>
        <w:tc>
          <w:tcPr>
            <w:tcW w:w="3040" w:type="dxa"/>
            <w:vAlign w:val="bottom"/>
          </w:tcPr>
          <w:p>
            <w:pPr>
              <w:ind w:left="300"/>
              <w:spacing w:after="0"/>
              <w:rPr>
                <w:sz w:val="20"/>
                <w:szCs w:val="20"/>
                <w:color w:val="auto"/>
              </w:rPr>
            </w:pPr>
            <w:r>
              <w:rPr>
                <w:rFonts w:ascii="Arial" w:cs="Arial" w:eastAsia="Arial" w:hAnsi="Arial"/>
                <w:sz w:val="16"/>
                <w:szCs w:val="16"/>
                <w:color w:val="333333"/>
              </w:rPr>
              <w:t>Hala G. Moddelmog</w:t>
            </w:r>
            <w:r>
              <w:rPr>
                <w:rFonts w:ascii="Arial" w:cs="Arial" w:eastAsia="Arial" w:hAnsi="Arial"/>
                <w:sz w:val="26"/>
                <w:szCs w:val="26"/>
                <w:color w:val="333333"/>
                <w:vertAlign w:val="superscript"/>
              </w:rPr>
              <w:t>(23)</w:t>
            </w:r>
          </w:p>
        </w:tc>
        <w:tc>
          <w:tcPr>
            <w:tcW w:w="1740" w:type="dxa"/>
            <w:vAlign w:val="bottom"/>
          </w:tcPr>
          <w:p>
            <w:pPr>
              <w:ind w:left="300"/>
              <w:spacing w:after="0"/>
              <w:rPr>
                <w:sz w:val="20"/>
                <w:szCs w:val="20"/>
                <w:color w:val="auto"/>
              </w:rPr>
            </w:pPr>
            <w:r>
              <w:rPr>
                <w:rFonts w:ascii="Arial" w:cs="Arial" w:eastAsia="Arial" w:hAnsi="Arial"/>
                <w:sz w:val="16"/>
                <w:szCs w:val="16"/>
                <w:color w:val="333333"/>
              </w:rPr>
              <w:t>7,335</w:t>
            </w:r>
          </w:p>
        </w:tc>
        <w:tc>
          <w:tcPr>
            <w:tcW w:w="1280" w:type="dxa"/>
            <w:vAlign w:val="bottom"/>
          </w:tcPr>
          <w:p>
            <w:pPr>
              <w:ind w:left="300"/>
              <w:spacing w:after="0"/>
              <w:rPr>
                <w:sz w:val="20"/>
                <w:szCs w:val="20"/>
                <w:color w:val="auto"/>
              </w:rPr>
            </w:pPr>
            <w:r>
              <w:rPr>
                <w:rFonts w:ascii="Arial" w:cs="Arial" w:eastAsia="Arial" w:hAnsi="Arial"/>
                <w:sz w:val="16"/>
                <w:szCs w:val="16"/>
                <w:color w:val="333333"/>
              </w:rPr>
              <w:t>—</w:t>
            </w:r>
          </w:p>
        </w:tc>
        <w:tc>
          <w:tcPr>
            <w:tcW w:w="1240" w:type="dxa"/>
            <w:vAlign w:val="bottom"/>
          </w:tcPr>
          <w:p>
            <w:pPr>
              <w:ind w:left="260"/>
              <w:spacing w:after="0"/>
              <w:rPr>
                <w:sz w:val="20"/>
                <w:szCs w:val="20"/>
                <w:color w:val="auto"/>
              </w:rPr>
            </w:pPr>
            <w:r>
              <w:rPr>
                <w:rFonts w:ascii="Arial" w:cs="Arial" w:eastAsia="Arial" w:hAnsi="Arial"/>
                <w:sz w:val="16"/>
                <w:szCs w:val="16"/>
                <w:color w:val="333333"/>
              </w:rPr>
              <w:t>7,335</w:t>
            </w:r>
          </w:p>
        </w:tc>
        <w:tc>
          <w:tcPr>
            <w:tcW w:w="1460" w:type="dxa"/>
            <w:vAlign w:val="bottom"/>
          </w:tcPr>
          <w:p>
            <w:pPr>
              <w:ind w:left="28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508"/>
        </w:trPr>
        <w:tc>
          <w:tcPr>
            <w:tcW w:w="304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Jeffrey S. Sloan</w:t>
            </w:r>
            <w:r>
              <w:rPr>
                <w:rFonts w:ascii="Arial" w:cs="Arial" w:eastAsia="Arial" w:hAnsi="Arial"/>
                <w:sz w:val="26"/>
                <w:szCs w:val="26"/>
                <w:color w:val="333333"/>
                <w:vertAlign w:val="superscript"/>
              </w:rPr>
              <w:t>(24)</w:t>
            </w:r>
          </w:p>
        </w:tc>
        <w:tc>
          <w:tcPr>
            <w:tcW w:w="174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15,278</w:t>
            </w:r>
          </w:p>
        </w:tc>
        <w:tc>
          <w:tcPr>
            <w:tcW w:w="128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w:t>
            </w:r>
          </w:p>
        </w:tc>
        <w:tc>
          <w:tcPr>
            <w:tcW w:w="1240" w:type="dxa"/>
            <w:vAlign w:val="bottom"/>
            <w:shd w:val="clear" w:color="auto" w:fill="D9D9D9"/>
          </w:tcPr>
          <w:p>
            <w:pPr>
              <w:ind w:left="260"/>
              <w:spacing w:after="0"/>
              <w:rPr>
                <w:sz w:val="20"/>
                <w:szCs w:val="20"/>
                <w:color w:val="auto"/>
              </w:rPr>
            </w:pPr>
            <w:r>
              <w:rPr>
                <w:rFonts w:ascii="Arial" w:cs="Arial" w:eastAsia="Arial" w:hAnsi="Arial"/>
                <w:sz w:val="16"/>
                <w:szCs w:val="16"/>
                <w:color w:val="333333"/>
              </w:rPr>
              <w:t>15,278</w:t>
            </w:r>
          </w:p>
        </w:tc>
        <w:tc>
          <w:tcPr>
            <w:tcW w:w="1460" w:type="dxa"/>
            <w:vAlign w:val="bottom"/>
            <w:shd w:val="clear" w:color="auto" w:fill="D9D9D9"/>
          </w:tcPr>
          <w:p>
            <w:pPr>
              <w:ind w:left="28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491"/>
        </w:trPr>
        <w:tc>
          <w:tcPr>
            <w:tcW w:w="3040" w:type="dxa"/>
            <w:vAlign w:val="bottom"/>
          </w:tcPr>
          <w:p>
            <w:pPr>
              <w:ind w:left="300"/>
              <w:spacing w:after="0"/>
              <w:rPr>
                <w:sz w:val="20"/>
                <w:szCs w:val="20"/>
                <w:color w:val="auto"/>
              </w:rPr>
            </w:pPr>
            <w:r>
              <w:rPr>
                <w:rFonts w:ascii="Arial" w:cs="Arial" w:eastAsia="Arial" w:hAnsi="Arial"/>
                <w:sz w:val="16"/>
                <w:szCs w:val="16"/>
                <w:color w:val="333333"/>
              </w:rPr>
              <w:t>Steven T. Stull</w:t>
            </w:r>
            <w:r>
              <w:rPr>
                <w:rFonts w:ascii="Arial" w:cs="Arial" w:eastAsia="Arial" w:hAnsi="Arial"/>
                <w:sz w:val="26"/>
                <w:szCs w:val="26"/>
                <w:color w:val="333333"/>
                <w:vertAlign w:val="superscript"/>
              </w:rPr>
              <w:t>(25)</w:t>
            </w:r>
          </w:p>
        </w:tc>
        <w:tc>
          <w:tcPr>
            <w:tcW w:w="1740" w:type="dxa"/>
            <w:vAlign w:val="bottom"/>
          </w:tcPr>
          <w:p>
            <w:pPr>
              <w:ind w:left="300"/>
              <w:spacing w:after="0"/>
              <w:rPr>
                <w:sz w:val="20"/>
                <w:szCs w:val="20"/>
                <w:color w:val="auto"/>
              </w:rPr>
            </w:pPr>
            <w:r>
              <w:rPr>
                <w:rFonts w:ascii="Arial" w:cs="Arial" w:eastAsia="Arial" w:hAnsi="Arial"/>
                <w:sz w:val="16"/>
                <w:szCs w:val="16"/>
                <w:color w:val="333333"/>
              </w:rPr>
              <w:t>27,488</w:t>
            </w:r>
          </w:p>
        </w:tc>
        <w:tc>
          <w:tcPr>
            <w:tcW w:w="1280" w:type="dxa"/>
            <w:vAlign w:val="bottom"/>
          </w:tcPr>
          <w:p>
            <w:pPr>
              <w:ind w:left="300"/>
              <w:spacing w:after="0"/>
              <w:rPr>
                <w:sz w:val="20"/>
                <w:szCs w:val="20"/>
                <w:color w:val="auto"/>
              </w:rPr>
            </w:pPr>
            <w:r>
              <w:rPr>
                <w:rFonts w:ascii="Arial" w:cs="Arial" w:eastAsia="Arial" w:hAnsi="Arial"/>
                <w:sz w:val="16"/>
                <w:szCs w:val="16"/>
                <w:color w:val="333333"/>
              </w:rPr>
              <w:t>9,449​</w:t>
            </w:r>
          </w:p>
        </w:tc>
        <w:tc>
          <w:tcPr>
            <w:tcW w:w="1240" w:type="dxa"/>
            <w:vAlign w:val="bottom"/>
          </w:tcPr>
          <w:p>
            <w:pPr>
              <w:ind w:left="260"/>
              <w:spacing w:after="0"/>
              <w:rPr>
                <w:sz w:val="20"/>
                <w:szCs w:val="20"/>
                <w:color w:val="auto"/>
              </w:rPr>
            </w:pPr>
            <w:r>
              <w:rPr>
                <w:rFonts w:ascii="Arial" w:cs="Arial" w:eastAsia="Arial" w:hAnsi="Arial"/>
                <w:sz w:val="16"/>
                <w:szCs w:val="16"/>
                <w:color w:val="333333"/>
              </w:rPr>
              <w:t>36,937​</w:t>
            </w:r>
          </w:p>
        </w:tc>
        <w:tc>
          <w:tcPr>
            <w:tcW w:w="1460" w:type="dxa"/>
            <w:vAlign w:val="bottom"/>
          </w:tcPr>
          <w:p>
            <w:pPr>
              <w:ind w:left="28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508"/>
        </w:trPr>
        <w:tc>
          <w:tcPr>
            <w:tcW w:w="304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Gerald Throop</w:t>
            </w:r>
            <w:r>
              <w:rPr>
                <w:rFonts w:ascii="Arial" w:cs="Arial" w:eastAsia="Arial" w:hAnsi="Arial"/>
                <w:sz w:val="26"/>
                <w:szCs w:val="26"/>
                <w:color w:val="333333"/>
                <w:vertAlign w:val="superscript"/>
              </w:rPr>
              <w:t>(26)</w:t>
            </w:r>
          </w:p>
        </w:tc>
        <w:tc>
          <w:tcPr>
            <w:tcW w:w="174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676​</w:t>
            </w:r>
          </w:p>
        </w:tc>
        <w:tc>
          <w:tcPr>
            <w:tcW w:w="1280" w:type="dxa"/>
            <w:vAlign w:val="bottom"/>
            <w:shd w:val="clear" w:color="auto" w:fill="D9D9D9"/>
          </w:tcPr>
          <w:p>
            <w:pPr>
              <w:ind w:left="300"/>
              <w:spacing w:after="0"/>
              <w:rPr>
                <w:sz w:val="20"/>
                <w:szCs w:val="20"/>
                <w:color w:val="auto"/>
              </w:rPr>
            </w:pPr>
            <w:r>
              <w:rPr>
                <w:rFonts w:ascii="Arial" w:cs="Arial" w:eastAsia="Arial" w:hAnsi="Arial"/>
                <w:sz w:val="16"/>
                <w:szCs w:val="16"/>
                <w:color w:val="333333"/>
              </w:rPr>
              <w:t>—</w:t>
            </w:r>
          </w:p>
        </w:tc>
        <w:tc>
          <w:tcPr>
            <w:tcW w:w="1240" w:type="dxa"/>
            <w:vAlign w:val="bottom"/>
            <w:shd w:val="clear" w:color="auto" w:fill="D9D9D9"/>
          </w:tcPr>
          <w:p>
            <w:pPr>
              <w:ind w:left="260"/>
              <w:spacing w:after="0"/>
              <w:rPr>
                <w:sz w:val="20"/>
                <w:szCs w:val="20"/>
                <w:color w:val="auto"/>
              </w:rPr>
            </w:pPr>
            <w:r>
              <w:rPr>
                <w:rFonts w:ascii="Arial" w:cs="Arial" w:eastAsia="Arial" w:hAnsi="Arial"/>
                <w:sz w:val="16"/>
                <w:szCs w:val="16"/>
                <w:color w:val="333333"/>
              </w:rPr>
              <w:t>676​</w:t>
            </w:r>
          </w:p>
        </w:tc>
        <w:tc>
          <w:tcPr>
            <w:tcW w:w="1460" w:type="dxa"/>
            <w:vAlign w:val="bottom"/>
            <w:shd w:val="clear" w:color="auto" w:fill="D9D9D9"/>
          </w:tcPr>
          <w:p>
            <w:pPr>
              <w:ind w:left="28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310"/>
        </w:trPr>
        <w:tc>
          <w:tcPr>
            <w:tcW w:w="3040" w:type="dxa"/>
            <w:vAlign w:val="bottom"/>
          </w:tcPr>
          <w:p>
            <w:pPr>
              <w:ind w:left="300"/>
              <w:spacing w:after="0"/>
              <w:rPr>
                <w:sz w:val="20"/>
                <w:szCs w:val="20"/>
                <w:color w:val="auto"/>
              </w:rPr>
            </w:pPr>
            <w:r>
              <w:rPr>
                <w:rFonts w:ascii="Arial" w:cs="Arial" w:eastAsia="Arial" w:hAnsi="Arial"/>
                <w:sz w:val="16"/>
                <w:szCs w:val="16"/>
                <w:b w:val="1"/>
                <w:bCs w:val="1"/>
                <w:color w:val="333333"/>
              </w:rPr>
              <w:t>Directors and executive officers</w:t>
            </w:r>
          </w:p>
        </w:tc>
        <w:tc>
          <w:tcPr>
            <w:tcW w:w="1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300"/>
              <w:spacing w:after="0"/>
              <w:rPr>
                <w:sz w:val="20"/>
                <w:szCs w:val="20"/>
                <w:color w:val="auto"/>
              </w:rPr>
            </w:pPr>
            <w:r>
              <w:rPr>
                <w:rFonts w:ascii="Arial" w:cs="Arial" w:eastAsia="Arial" w:hAnsi="Arial"/>
                <w:sz w:val="16"/>
                <w:szCs w:val="16"/>
                <w:b w:val="1"/>
                <w:bCs w:val="1"/>
                <w:color w:val="333333"/>
              </w:rPr>
              <w:t>as a group</w:t>
            </w:r>
          </w:p>
        </w:tc>
        <w:tc>
          <w:tcPr>
            <w:tcW w:w="1740" w:type="dxa"/>
            <w:vAlign w:val="bottom"/>
          </w:tcPr>
          <w:p>
            <w:pPr>
              <w:ind w:left="300"/>
              <w:spacing w:after="0"/>
              <w:rPr>
                <w:sz w:val="20"/>
                <w:szCs w:val="20"/>
                <w:color w:val="auto"/>
              </w:rPr>
            </w:pPr>
            <w:r>
              <w:rPr>
                <w:rFonts w:ascii="Arial" w:cs="Arial" w:eastAsia="Arial" w:hAnsi="Arial"/>
                <w:sz w:val="16"/>
                <w:szCs w:val="16"/>
                <w:color w:val="333333"/>
              </w:rPr>
              <w:t>2,140,322</w:t>
            </w:r>
          </w:p>
        </w:tc>
        <w:tc>
          <w:tcPr>
            <w:tcW w:w="1280" w:type="dxa"/>
            <w:vAlign w:val="bottom"/>
          </w:tcPr>
          <w:p>
            <w:pPr>
              <w:ind w:left="300"/>
              <w:spacing w:after="0"/>
              <w:rPr>
                <w:sz w:val="20"/>
                <w:szCs w:val="20"/>
                <w:color w:val="auto"/>
              </w:rPr>
            </w:pPr>
            <w:r>
              <w:rPr>
                <w:rFonts w:ascii="Arial" w:cs="Arial" w:eastAsia="Arial" w:hAnsi="Arial"/>
                <w:sz w:val="16"/>
                <w:szCs w:val="16"/>
                <w:color w:val="333333"/>
              </w:rPr>
              <w:t>2,428,571​</w:t>
            </w:r>
          </w:p>
        </w:tc>
        <w:tc>
          <w:tcPr>
            <w:tcW w:w="1240" w:type="dxa"/>
            <w:vAlign w:val="bottom"/>
          </w:tcPr>
          <w:p>
            <w:pPr>
              <w:ind w:left="260"/>
              <w:spacing w:after="0"/>
              <w:rPr>
                <w:sz w:val="20"/>
                <w:szCs w:val="20"/>
                <w:color w:val="auto"/>
              </w:rPr>
            </w:pPr>
            <w:r>
              <w:rPr>
                <w:rFonts w:ascii="Arial" w:cs="Arial" w:eastAsia="Arial" w:hAnsi="Arial"/>
                <w:sz w:val="16"/>
                <w:szCs w:val="16"/>
                <w:color w:val="333333"/>
              </w:rPr>
              <w:t>4,568,893​</w:t>
            </w:r>
          </w:p>
        </w:tc>
        <w:tc>
          <w:tcPr>
            <w:tcW w:w="1460" w:type="dxa"/>
            <w:vAlign w:val="bottom"/>
          </w:tcPr>
          <w:p>
            <w:pPr>
              <w:ind w:left="280"/>
              <w:spacing w:after="0"/>
              <w:rPr>
                <w:sz w:val="20"/>
                <w:szCs w:val="20"/>
                <w:color w:val="auto"/>
              </w:rPr>
            </w:pPr>
            <w:r>
              <w:rPr>
                <w:rFonts w:ascii="Arial" w:cs="Arial" w:eastAsia="Arial" w:hAnsi="Arial"/>
                <w:sz w:val="16"/>
                <w:szCs w:val="16"/>
                <w:color w:val="333333"/>
              </w:rPr>
              <w:t>6.1%</w:t>
            </w:r>
          </w:p>
        </w:tc>
        <w:tc>
          <w:tcPr>
            <w:tcW w:w="0" w:type="dxa"/>
            <w:vAlign w:val="bottom"/>
          </w:tcPr>
          <w:p>
            <w:pPr>
              <w:spacing w:after="0"/>
              <w:rPr>
                <w:sz w:val="1"/>
                <w:szCs w:val="1"/>
                <w:color w:val="auto"/>
              </w:rPr>
            </w:pPr>
          </w:p>
        </w:tc>
      </w:tr>
      <w:tr>
        <w:trPr>
          <w:trHeight w:val="223"/>
        </w:trPr>
        <w:tc>
          <w:tcPr>
            <w:tcW w:w="3040" w:type="dxa"/>
            <w:vAlign w:val="bottom"/>
          </w:tcPr>
          <w:p>
            <w:pPr>
              <w:ind w:left="300"/>
              <w:spacing w:after="0"/>
              <w:rPr>
                <w:sz w:val="20"/>
                <w:szCs w:val="20"/>
                <w:color w:val="auto"/>
              </w:rPr>
            </w:pPr>
            <w:r>
              <w:rPr>
                <w:rFonts w:ascii="Arial" w:cs="Arial" w:eastAsia="Arial" w:hAnsi="Arial"/>
                <w:sz w:val="16"/>
                <w:szCs w:val="16"/>
                <w:b w:val="1"/>
                <w:bCs w:val="1"/>
                <w:color w:val="333333"/>
              </w:rPr>
              <w:t>(15 Persons)</w:t>
            </w:r>
          </w:p>
        </w:tc>
        <w:tc>
          <w:tcPr>
            <w:tcW w:w="17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840" w:hanging="190"/>
        <w:spacing w:after="0"/>
        <w:tabs>
          <w:tab w:leader="none" w:pos="840"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The business address for each individual listed is 3280 Peachtree Road, Suite 2400, Atlanta, Georgia 30305.</w:t>
      </w:r>
    </w:p>
    <w:p>
      <w:pPr>
        <w:spacing w:after="0" w:line="9" w:lineRule="exact"/>
        <w:rPr>
          <w:rFonts w:ascii="Arial" w:cs="Arial" w:eastAsia="Arial" w:hAnsi="Arial"/>
          <w:sz w:val="13"/>
          <w:szCs w:val="13"/>
          <w:i w:val="1"/>
          <w:iCs w:val="1"/>
          <w:color w:val="333333"/>
        </w:rPr>
      </w:pPr>
    </w:p>
    <w:p>
      <w:pPr>
        <w:ind w:left="660" w:right="279" w:hanging="10"/>
        <w:spacing w:after="0" w:line="231" w:lineRule="auto"/>
        <w:tabs>
          <w:tab w:leader="none" w:pos="84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Unless otherwise noted, includes shares for which the named person has sole voting and investment power or has shared voting and investment power with his or her spouse. This column excludes shares that may be acquired through stock option exercises.</w:t>
      </w:r>
    </w:p>
    <w:p>
      <w:pPr>
        <w:spacing w:after="0" w:line="12" w:lineRule="exact"/>
        <w:rPr>
          <w:rFonts w:ascii="Arial" w:cs="Arial" w:eastAsia="Arial" w:hAnsi="Arial"/>
          <w:sz w:val="13"/>
          <w:szCs w:val="13"/>
          <w:i w:val="1"/>
          <w:iCs w:val="1"/>
          <w:color w:val="333333"/>
        </w:rPr>
      </w:pPr>
    </w:p>
    <w:p>
      <w:pPr>
        <w:ind w:left="840" w:hanging="190"/>
        <w:spacing w:after="0"/>
        <w:tabs>
          <w:tab w:leader="none" w:pos="840"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This column includes shares that can be acquired through stock option exercises through April 17, 2024.</w:t>
      </w:r>
    </w:p>
    <w:p>
      <w:pPr>
        <w:spacing w:after="0" w:line="26" w:lineRule="exact"/>
        <w:rPr>
          <w:rFonts w:ascii="Arial" w:cs="Arial" w:eastAsia="Arial" w:hAnsi="Arial"/>
          <w:sz w:val="13"/>
          <w:szCs w:val="13"/>
          <w:i w:val="1"/>
          <w:iCs w:val="1"/>
          <w:color w:val="333333"/>
        </w:rPr>
      </w:pPr>
    </w:p>
    <w:p>
      <w:pPr>
        <w:ind w:left="840" w:hanging="190"/>
        <w:spacing w:after="0"/>
        <w:tabs>
          <w:tab w:leader="none" w:pos="840"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This column includes common shares, restricted shares, and shares that can be acquired through stock option exercises through April 17, 2024.</w:t>
      </w:r>
    </w:p>
    <w:p>
      <w:pPr>
        <w:spacing w:after="0" w:line="14" w:lineRule="exact"/>
        <w:rPr>
          <w:rFonts w:ascii="Arial" w:cs="Arial" w:eastAsia="Arial" w:hAnsi="Arial"/>
          <w:sz w:val="13"/>
          <w:szCs w:val="13"/>
          <w:i w:val="1"/>
          <w:iCs w:val="1"/>
          <w:color w:val="333333"/>
        </w:rPr>
      </w:pPr>
    </w:p>
    <w:p>
      <w:pPr>
        <w:ind w:left="840" w:hanging="190"/>
        <w:spacing w:after="0"/>
        <w:tabs>
          <w:tab w:leader="none" w:pos="840"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*Less than 1%</w:t>
      </w:r>
    </w:p>
    <w:p>
      <w:pPr>
        <w:spacing w:after="0" w:line="24" w:lineRule="exact"/>
        <w:rPr>
          <w:rFonts w:ascii="Arial" w:cs="Arial" w:eastAsia="Arial" w:hAnsi="Arial"/>
          <w:sz w:val="13"/>
          <w:szCs w:val="13"/>
          <w:i w:val="1"/>
          <w:iCs w:val="1"/>
          <w:color w:val="333333"/>
        </w:rPr>
      </w:pPr>
    </w:p>
    <w:p>
      <w:pPr>
        <w:ind w:left="660" w:right="699" w:hanging="10"/>
        <w:spacing w:after="0"/>
        <w:tabs>
          <w:tab w:leader="none" w:pos="84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This information was reported on a Schedule 13G/A filed by The Vanguard Group with the SEC on February 13, 2024 on behalf of nine affiliated Vanguard entities.</w:t>
      </w:r>
    </w:p>
    <w:p>
      <w:pPr>
        <w:spacing w:after="0" w:line="11" w:lineRule="exact"/>
        <w:rPr>
          <w:rFonts w:ascii="Arial" w:cs="Arial" w:eastAsia="Arial" w:hAnsi="Arial"/>
          <w:sz w:val="13"/>
          <w:szCs w:val="13"/>
          <w:i w:val="1"/>
          <w:iCs w:val="1"/>
          <w:color w:val="333333"/>
        </w:rPr>
      </w:pPr>
    </w:p>
    <w:p>
      <w:pPr>
        <w:ind w:left="840" w:hanging="190"/>
        <w:spacing w:after="0"/>
        <w:tabs>
          <w:tab w:leader="none" w:pos="840" w:val="left"/>
        </w:tabs>
        <w:numPr>
          <w:ilvl w:val="0"/>
          <w:numId w:val="45"/>
        </w:numPr>
        <w:rPr>
          <w:rFonts w:ascii="Arial" w:cs="Arial" w:eastAsia="Arial" w:hAnsi="Arial"/>
          <w:sz w:val="12"/>
          <w:szCs w:val="12"/>
          <w:i w:val="1"/>
          <w:iCs w:val="1"/>
          <w:color w:val="333333"/>
        </w:rPr>
      </w:pPr>
      <w:r>
        <w:rPr>
          <w:rFonts w:ascii="Arial" w:cs="Arial" w:eastAsia="Arial" w:hAnsi="Arial"/>
          <w:sz w:val="12"/>
          <w:szCs w:val="12"/>
          <w:i w:val="1"/>
          <w:iCs w:val="1"/>
          <w:color w:val="333333"/>
        </w:rPr>
        <w:t>This information was reported on a Schedule 13G/A filed by Blackrock, Inc. with the SEC on January 26, 2024 on behalf of 19 affiliated Blackrock entities.</w:t>
      </w:r>
    </w:p>
    <w:p>
      <w:pPr>
        <w:spacing w:after="0" w:line="20" w:lineRule="exact"/>
        <w:rPr>
          <w:rFonts w:ascii="Arial" w:cs="Arial" w:eastAsia="Arial" w:hAnsi="Arial"/>
          <w:sz w:val="12"/>
          <w:szCs w:val="12"/>
          <w:i w:val="1"/>
          <w:iCs w:val="1"/>
          <w:color w:val="333333"/>
        </w:rPr>
      </w:pPr>
    </w:p>
    <w:p>
      <w:pPr>
        <w:ind w:left="660" w:right="239" w:hanging="10"/>
        <w:spacing w:after="0" w:line="227" w:lineRule="auto"/>
        <w:tabs>
          <w:tab w:leader="none" w:pos="84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This information was reported on a Schedule 13G/A filed by Orbis Investment Management Limited (“OIML”); Orbis Investment Management (U.S.), L.P. (“OIMUS”) and Allan Gray Australia Pty Limited (“AGAPL”), with the SEC on February 14, 2024, on behalf of 3 affiliated Orbis entities.</w:t>
      </w:r>
    </w:p>
    <w:p>
      <w:pPr>
        <w:ind w:left="660" w:right="399" w:hanging="10"/>
        <w:spacing w:after="0" w:line="231" w:lineRule="auto"/>
        <w:tabs>
          <w:tab w:leader="none" w:pos="84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This information was reported on a Schedule 13G/A filed by Wellington Management Group LLP with the SEC on February 14, 2024 on behalf of four affiliated Wellington entities.</w:t>
      </w:r>
    </w:p>
    <w:p>
      <w:pPr>
        <w:spacing w:after="0" w:line="12" w:lineRule="exact"/>
        <w:rPr>
          <w:rFonts w:ascii="Arial" w:cs="Arial" w:eastAsia="Arial" w:hAnsi="Arial"/>
          <w:sz w:val="13"/>
          <w:szCs w:val="13"/>
          <w:i w:val="1"/>
          <w:iCs w:val="1"/>
          <w:color w:val="333333"/>
        </w:rPr>
      </w:pPr>
    </w:p>
    <w:p>
      <w:pPr>
        <w:ind w:left="900" w:hanging="250"/>
        <w:spacing w:after="0"/>
        <w:tabs>
          <w:tab w:leader="none" w:pos="900"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This information was reported on a Schedule 13G filed by T. Rowe Price Associates, Inc. with the SEC on February 14, 2024.</w:t>
      </w:r>
    </w:p>
    <w:p>
      <w:pPr>
        <w:spacing w:after="0" w:line="26" w:lineRule="exact"/>
        <w:rPr>
          <w:rFonts w:ascii="Arial" w:cs="Arial" w:eastAsia="Arial" w:hAnsi="Arial"/>
          <w:sz w:val="13"/>
          <w:szCs w:val="13"/>
          <w:i w:val="1"/>
          <w:iCs w:val="1"/>
          <w:color w:val="333333"/>
        </w:rPr>
      </w:pPr>
    </w:p>
    <w:p>
      <w:pPr>
        <w:ind w:left="660" w:right="519" w:hanging="10"/>
        <w:spacing w:after="0" w:line="235" w:lineRule="auto"/>
        <w:tabs>
          <w:tab w:leader="none" w:pos="910"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This information was reported on a Schedule 13G filed by JP Morgan Chase &amp; Co. with the SEC on January 8, 2024 on behalf of nine affiliated JP Morgan entities.</w:t>
      </w:r>
    </w:p>
    <w:p>
      <w:pPr>
        <w:ind w:left="660" w:right="499" w:hanging="10"/>
        <w:spacing w:after="0" w:line="227" w:lineRule="auto"/>
        <w:tabs>
          <w:tab w:leader="none" w:pos="91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Includes 1,973,950 common shares, 6,745 restricted shares subject to vesting requirements, as to which the individual currently has voting but not dispositive power, all of which vest within 60 days, and vested options to purchase 2,125,000 shares.</w:t>
      </w:r>
    </w:p>
    <w:p>
      <w:pPr>
        <w:ind w:left="660" w:right="739" w:hanging="10"/>
        <w:spacing w:after="0" w:line="231" w:lineRule="auto"/>
        <w:tabs>
          <w:tab w:leader="none" w:pos="91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Includes 1,860 common shares, 3,333 restricted shares subject to vesting requirements, as to which the individual currently has voting but not dispositive power, of which 870 restricted shares vest within 60 days.</w:t>
      </w:r>
    </w:p>
    <w:p>
      <w:pPr>
        <w:spacing w:after="0" w:line="1" w:lineRule="exact"/>
        <w:rPr>
          <w:rFonts w:ascii="Arial" w:cs="Arial" w:eastAsia="Arial" w:hAnsi="Arial"/>
          <w:sz w:val="13"/>
          <w:szCs w:val="13"/>
          <w:i w:val="1"/>
          <w:iCs w:val="1"/>
          <w:color w:val="333333"/>
        </w:rPr>
      </w:pPr>
    </w:p>
    <w:p>
      <w:pPr>
        <w:jc w:val="both"/>
        <w:ind w:left="660" w:right="739" w:hanging="10"/>
        <w:spacing w:after="0" w:line="253" w:lineRule="auto"/>
        <w:tabs>
          <w:tab w:leader="none" w:pos="919" w:val="left"/>
        </w:tabs>
        <w:numPr>
          <w:ilvl w:val="0"/>
          <w:numId w:val="45"/>
        </w:numPr>
        <w:rPr>
          <w:rFonts w:ascii="Arial" w:cs="Arial" w:eastAsia="Arial" w:hAnsi="Arial"/>
          <w:sz w:val="12"/>
          <w:szCs w:val="12"/>
          <w:i w:val="1"/>
          <w:iCs w:val="1"/>
          <w:color w:val="333333"/>
        </w:rPr>
      </w:pPr>
      <w:r>
        <w:rPr>
          <w:rFonts w:ascii="Arial" w:cs="Arial" w:eastAsia="Arial" w:hAnsi="Arial"/>
          <w:sz w:val="12"/>
          <w:szCs w:val="12"/>
          <w:i w:val="1"/>
          <w:iCs w:val="1"/>
          <w:color w:val="333333"/>
        </w:rPr>
        <w:t>Includes 1,462 common shares, 2,255 restricted shares subject to vesting requirements, as to which the individual currently has voting but not dispositive power, of which 1,156 vest within 60 days, 28,888 vested options to purchase 28,888 shares, and 1,106 options vesting within 60 days.</w:t>
      </w:r>
    </w:p>
    <w:p>
      <w:pPr>
        <w:ind w:left="660" w:right="659" w:hanging="10"/>
        <w:spacing w:after="0" w:line="246" w:lineRule="auto"/>
        <w:tabs>
          <w:tab w:leader="none" w:pos="919" w:val="left"/>
        </w:tabs>
        <w:numPr>
          <w:ilvl w:val="0"/>
          <w:numId w:val="45"/>
        </w:numPr>
        <w:rPr>
          <w:rFonts w:ascii="Arial" w:cs="Arial" w:eastAsia="Arial" w:hAnsi="Arial"/>
          <w:sz w:val="12"/>
          <w:szCs w:val="12"/>
          <w:i w:val="1"/>
          <w:iCs w:val="1"/>
          <w:color w:val="333333"/>
        </w:rPr>
      </w:pPr>
      <w:r>
        <w:rPr>
          <w:rFonts w:ascii="Arial" w:cs="Arial" w:eastAsia="Arial" w:hAnsi="Arial"/>
          <w:sz w:val="12"/>
          <w:szCs w:val="12"/>
          <w:i w:val="1"/>
          <w:iCs w:val="1"/>
          <w:color w:val="333333"/>
        </w:rPr>
        <w:t>Includes 13,053 common shares, 4,658 restricted shares subject to vesting requirements, as to which the individual currently has voting but not dispositive power, of which 1,265 vest within 60 days, vested options to purchase 84,598 shares and 5,222 options vesting within 60 days.</w:t>
      </w:r>
    </w:p>
    <w:p>
      <w:pPr>
        <w:ind w:left="660" w:right="239" w:hanging="10"/>
        <w:spacing w:after="0" w:line="231" w:lineRule="auto"/>
        <w:tabs>
          <w:tab w:leader="none" w:pos="91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Includes 30,421 common shares, vested options to purchase 168,042 shares, 1,362 restricted shares vesting within 60 days and 6,266 options vesting within 60 days.</w:t>
      </w:r>
    </w:p>
    <w:p>
      <w:pPr>
        <w:spacing w:after="0" w:line="1" w:lineRule="exact"/>
        <w:rPr>
          <w:rFonts w:ascii="Arial" w:cs="Arial" w:eastAsia="Arial" w:hAnsi="Arial"/>
          <w:sz w:val="13"/>
          <w:szCs w:val="13"/>
          <w:i w:val="1"/>
          <w:iCs w:val="1"/>
          <w:color w:val="333333"/>
        </w:rPr>
      </w:pPr>
    </w:p>
    <w:p>
      <w:pPr>
        <w:ind w:left="660" w:right="519" w:hanging="10"/>
        <w:spacing w:after="0" w:line="233" w:lineRule="auto"/>
        <w:tabs>
          <w:tab w:leader="none" w:pos="91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Includes 1,959 common shares and 1,102 restricted shares subject to vesting requirements, as to which the individual currently has voting but not dispositive power.</w:t>
      </w:r>
    </w:p>
    <w:p>
      <w:pPr>
        <w:spacing w:after="0" w:line="1" w:lineRule="exact"/>
        <w:rPr>
          <w:rFonts w:ascii="Arial" w:cs="Arial" w:eastAsia="Arial" w:hAnsi="Arial"/>
          <w:sz w:val="13"/>
          <w:szCs w:val="13"/>
          <w:i w:val="1"/>
          <w:iCs w:val="1"/>
          <w:color w:val="333333"/>
        </w:rPr>
      </w:pPr>
    </w:p>
    <w:p>
      <w:pPr>
        <w:ind w:left="660" w:right="459" w:hanging="10"/>
        <w:spacing w:after="0" w:line="227" w:lineRule="auto"/>
        <w:tabs>
          <w:tab w:leader="none" w:pos="91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Includes 15,628 common shares and 1,102 restricted shares subject to vesting requirements, as to which the individual currently has voting but not dispositive power.</w:t>
      </w:r>
    </w:p>
    <w:p>
      <w:pPr>
        <w:ind w:left="660" w:right="519" w:hanging="10"/>
        <w:spacing w:after="0" w:line="227" w:lineRule="auto"/>
        <w:tabs>
          <w:tab w:leader="none" w:pos="91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Includes 1,426 common shares and 1,102 restricted shares subject to vesting requirements, as to which the individual currently has voting but not dispositive power.</w:t>
      </w:r>
    </w:p>
    <w:p>
      <w:pPr>
        <w:ind w:left="660" w:right="519" w:hanging="10"/>
        <w:spacing w:after="0" w:line="231" w:lineRule="auto"/>
        <w:tabs>
          <w:tab w:leader="none" w:pos="91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Includes 8,417 common shares and 1,102 restricted shares subject to vesting requirements, as to which the individual currently has voting but not dispositive power.</w:t>
      </w:r>
    </w:p>
    <w:p>
      <w:pPr>
        <w:spacing w:after="0" w:line="1" w:lineRule="exact"/>
        <w:rPr>
          <w:rFonts w:ascii="Arial" w:cs="Arial" w:eastAsia="Arial" w:hAnsi="Arial"/>
          <w:sz w:val="13"/>
          <w:szCs w:val="13"/>
          <w:i w:val="1"/>
          <w:iCs w:val="1"/>
          <w:color w:val="333333"/>
        </w:rPr>
      </w:pPr>
    </w:p>
    <w:p>
      <w:pPr>
        <w:ind w:left="660" w:right="519" w:hanging="10"/>
        <w:spacing w:after="0" w:line="233" w:lineRule="auto"/>
        <w:tabs>
          <w:tab w:leader="none" w:pos="91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Includes 2,563 common shares and 1,102 restricted shares subject to vesting requirements, as to which the individual currently has voting but not dispositive power.</w:t>
      </w:r>
    </w:p>
    <w:p>
      <w:pPr>
        <w:spacing w:after="0" w:line="1" w:lineRule="exact"/>
        <w:rPr>
          <w:rFonts w:ascii="Arial" w:cs="Arial" w:eastAsia="Arial" w:hAnsi="Arial"/>
          <w:sz w:val="13"/>
          <w:szCs w:val="13"/>
          <w:i w:val="1"/>
          <w:iCs w:val="1"/>
          <w:color w:val="333333"/>
        </w:rPr>
      </w:pPr>
    </w:p>
    <w:p>
      <w:pPr>
        <w:ind w:left="660" w:right="459" w:hanging="10"/>
        <w:spacing w:after="0" w:line="227" w:lineRule="auto"/>
        <w:tabs>
          <w:tab w:leader="none" w:pos="91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Includes 13,841 common shares and 1,102 restricted shares subject to vesting requirements, as to which the individual currently has voting but not dispositive power.</w:t>
      </w:r>
    </w:p>
    <w:p>
      <w:pPr>
        <w:ind w:left="660" w:right="519" w:hanging="10"/>
        <w:spacing w:after="0" w:line="231" w:lineRule="auto"/>
        <w:tabs>
          <w:tab w:leader="none" w:pos="91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Includes 6,233 common shares and 1,102 restricted shares subject to vesting requirements, as to which the individual currently has voting but not dispositive power.</w:t>
      </w:r>
    </w:p>
    <w:p>
      <w:pPr>
        <w:spacing w:after="0" w:line="1" w:lineRule="exact"/>
        <w:rPr>
          <w:rFonts w:ascii="Arial" w:cs="Arial" w:eastAsia="Arial" w:hAnsi="Arial"/>
          <w:sz w:val="13"/>
          <w:szCs w:val="13"/>
          <w:i w:val="1"/>
          <w:iCs w:val="1"/>
          <w:color w:val="333333"/>
        </w:rPr>
      </w:pPr>
    </w:p>
    <w:p>
      <w:pPr>
        <w:ind w:left="660" w:right="459" w:hanging="10"/>
        <w:spacing w:after="0" w:line="233" w:lineRule="auto"/>
        <w:tabs>
          <w:tab w:leader="none" w:pos="91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Includes 14,176 common shares and 1,102 restricted shares subject to vesting requirements, as to which the individual currently has voting but not dispositive power.</w:t>
      </w:r>
    </w:p>
    <w:p>
      <w:pPr>
        <w:spacing w:after="0" w:line="1" w:lineRule="exact"/>
        <w:rPr>
          <w:rFonts w:ascii="Arial" w:cs="Arial" w:eastAsia="Arial" w:hAnsi="Arial"/>
          <w:sz w:val="13"/>
          <w:szCs w:val="13"/>
          <w:i w:val="1"/>
          <w:iCs w:val="1"/>
          <w:color w:val="333333"/>
        </w:rPr>
      </w:pPr>
    </w:p>
    <w:p>
      <w:pPr>
        <w:ind w:left="660" w:right="159" w:hanging="10"/>
        <w:spacing w:after="0" w:line="221" w:lineRule="auto"/>
        <w:tabs>
          <w:tab w:leader="none" w:pos="91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Represents 6,247 common shares held by Advantage Capital Financial Company, LLC (“Advantage Capital”) and related entities, 20,139 common shares held by Mr. Stull, 1,102 restricted shares subject to vesting requirements, as to which the individual currently has voting but not dispositive power, and vested options to purchase 9,449 shares. Mr. Stull has shared voting power with respect to the shares held by Advantage Capital and as a result may be deemed to beneficially own such shares. Mr. Stull disclaims ownership of the shares held by the Advantage Capital entities except to the extent of his pecuniary interest in them. Advantage Capital is a private equity firm.</w:t>
      </w:r>
    </w:p>
    <w:p>
      <w:pPr>
        <w:ind w:left="660" w:right="419" w:hanging="10"/>
        <w:spacing w:after="0" w:line="231" w:lineRule="auto"/>
        <w:tabs>
          <w:tab w:leader="none" w:pos="919" w:val="left"/>
        </w:tabs>
        <w:numPr>
          <w:ilvl w:val="0"/>
          <w:numId w:val="45"/>
        </w:numPr>
        <w:rPr>
          <w:rFonts w:ascii="Arial" w:cs="Arial" w:eastAsia="Arial" w:hAnsi="Arial"/>
          <w:sz w:val="13"/>
          <w:szCs w:val="13"/>
          <w:i w:val="1"/>
          <w:iCs w:val="1"/>
          <w:color w:val="333333"/>
        </w:rPr>
      </w:pPr>
      <w:r>
        <w:rPr>
          <w:rFonts w:ascii="Arial" w:cs="Arial" w:eastAsia="Arial" w:hAnsi="Arial"/>
          <w:sz w:val="13"/>
          <w:szCs w:val="13"/>
          <w:i w:val="1"/>
          <w:iCs w:val="1"/>
          <w:color w:val="333333"/>
        </w:rPr>
        <w:t>Includes 676 common shares. As Mr. Throop is Canadian, he is granted restricted stock units. Mr. Throop has received 1,102 incremental restricted units subject to vesting requirements, as to which he does not have voting rights or dispositive power.</w:t>
      </w:r>
    </w:p>
    <w:p>
      <w:pPr>
        <w:sectPr>
          <w:pgSz w:w="11900" w:h="16838" w:orient="portrait"/>
          <w:cols w:equalWidth="0" w:num="1">
            <w:col w:w="9539"/>
          </w:cols>
          <w:pgMar w:left="920" w:top="114" w:right="1440"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0"/>
          <w:szCs w:val="10"/>
          <w:b w:val="1"/>
          <w:bCs w:val="1"/>
          <w:color w:val="333333"/>
        </w:rPr>
        <w:t xml:space="preserve">28 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132715</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CF1D4C"/>
        </w:rPr>
        <w:t>COMPENSATION DISCUSSION AND ANALYSIS</w:t>
      </w:r>
    </w:p>
    <w:p>
      <w:pPr>
        <w:spacing w:after="0" w:line="351" w:lineRule="exact"/>
        <w:rPr>
          <w:sz w:val="20"/>
          <w:szCs w:val="20"/>
          <w:color w:val="auto"/>
        </w:rPr>
      </w:pPr>
    </w:p>
    <w:p>
      <w:pPr>
        <w:ind w:left="660" w:right="700"/>
        <w:spacing w:after="0" w:line="252" w:lineRule="auto"/>
        <w:rPr>
          <w:sz w:val="20"/>
          <w:szCs w:val="20"/>
          <w:color w:val="auto"/>
        </w:rPr>
      </w:pPr>
      <w:r>
        <w:rPr>
          <w:rFonts w:ascii="Arial" w:cs="Arial" w:eastAsia="Arial" w:hAnsi="Arial"/>
          <w:sz w:val="16"/>
          <w:szCs w:val="16"/>
          <w:color w:val="333333"/>
        </w:rPr>
        <w:t>Our compensation policies and programs, the material compensation decisions we have made under those policies and programs, and the material factors that we have considered in making those decisions are described in this section. Following this section is a series of tables containing specific information about the compensation earned or paid in 2023 to the individuals we refer to as our “named executive officers” or “NEOs” for purposes of this proxy statement, who are our Chief Executive Officer (“CEO”), each individual who served as our Chief Financial Officer (“CFO”) during 2023, and certain other highly paid executive officers, in accordance with SEC rules. The discussion below is intended to explain the detailed information provided in the executive compensation tables and to put that information into context within our overall compensation program.</w:t>
      </w:r>
    </w:p>
    <w:p>
      <w:pPr>
        <w:sectPr>
          <w:pgSz w:w="11900" w:h="16838" w:orient="portrait"/>
          <w:cols w:equalWidth="0" w:num="1">
            <w:col w:w="10040"/>
          </w:cols>
          <w:pgMar w:left="920" w:top="114" w:right="9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left="660"/>
        <w:spacing w:after="0"/>
        <w:rPr>
          <w:sz w:val="20"/>
          <w:szCs w:val="20"/>
          <w:color w:val="auto"/>
        </w:rPr>
      </w:pPr>
      <w:r>
        <w:rPr>
          <w:rFonts w:ascii="Arial" w:cs="Arial" w:eastAsia="Arial" w:hAnsi="Arial"/>
          <w:sz w:val="16"/>
          <w:szCs w:val="16"/>
          <w:b w:val="1"/>
          <w:bCs w:val="1"/>
          <w:color w:val="auto"/>
        </w:rPr>
        <w:t>Our NEOs for 2023 were:</w:t>
      </w:r>
    </w:p>
    <w:p>
      <w:pPr>
        <w:spacing w:after="0" w:line="307"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FFFFFF"/>
        </w:rPr>
        <w:t>Name</w:t>
      </w:r>
    </w:p>
    <w:p>
      <w:pPr>
        <w:spacing w:after="0" w:line="266" w:lineRule="exact"/>
        <w:rPr>
          <w:sz w:val="20"/>
          <w:szCs w:val="20"/>
          <w:color w:val="auto"/>
        </w:rPr>
      </w:pPr>
    </w:p>
    <w:p>
      <w:pPr>
        <w:jc w:val="center"/>
        <w:ind w:left="660"/>
        <w:spacing w:after="0"/>
        <w:rPr>
          <w:sz w:val="20"/>
          <w:szCs w:val="20"/>
          <w:color w:val="auto"/>
        </w:rPr>
      </w:pPr>
      <w:r>
        <w:rPr>
          <w:rFonts w:ascii="Arial" w:cs="Arial" w:eastAsia="Arial" w:hAnsi="Arial"/>
          <w:sz w:val="16"/>
          <w:szCs w:val="16"/>
          <w:b w:val="1"/>
          <w:bCs w:val="1"/>
          <w:color w:val="333333"/>
        </w:rPr>
        <w:t>Ronald F. Clarke</w:t>
      </w:r>
    </w:p>
    <w:p>
      <w:pPr>
        <w:spacing w:after="0" w:line="275"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333333"/>
        </w:rPr>
        <w:t>Tom Panther</w:t>
      </w:r>
    </w:p>
    <w:p>
      <w:pPr>
        <w:spacing w:after="0" w:line="316" w:lineRule="exact"/>
        <w:rPr>
          <w:sz w:val="20"/>
          <w:szCs w:val="20"/>
          <w:color w:val="auto"/>
        </w:rPr>
      </w:pPr>
    </w:p>
    <w:p>
      <w:pPr>
        <w:jc w:val="center"/>
        <w:ind w:left="700"/>
        <w:spacing w:after="0"/>
        <w:rPr>
          <w:sz w:val="20"/>
          <w:szCs w:val="20"/>
          <w:color w:val="auto"/>
        </w:rPr>
      </w:pPr>
      <w:r>
        <w:rPr>
          <w:rFonts w:ascii="Arial" w:cs="Arial" w:eastAsia="Arial" w:hAnsi="Arial"/>
          <w:sz w:val="16"/>
          <w:szCs w:val="16"/>
          <w:b w:val="1"/>
          <w:bCs w:val="1"/>
          <w:color w:val="333333"/>
        </w:rPr>
        <w:t>Alissa B. Vickery</w:t>
      </w:r>
    </w:p>
    <w:p>
      <w:pPr>
        <w:spacing w:after="0" w:line="316" w:lineRule="exact"/>
        <w:rPr>
          <w:sz w:val="20"/>
          <w:szCs w:val="20"/>
          <w:color w:val="auto"/>
        </w:rPr>
      </w:pPr>
    </w:p>
    <w:p>
      <w:pPr>
        <w:jc w:val="center"/>
        <w:ind w:left="740"/>
        <w:spacing w:after="0"/>
        <w:rPr>
          <w:sz w:val="20"/>
          <w:szCs w:val="20"/>
          <w:color w:val="auto"/>
        </w:rPr>
      </w:pPr>
      <w:r>
        <w:rPr>
          <w:rFonts w:ascii="Arial" w:cs="Arial" w:eastAsia="Arial" w:hAnsi="Arial"/>
          <w:sz w:val="16"/>
          <w:szCs w:val="16"/>
          <w:b w:val="1"/>
          <w:bCs w:val="1"/>
          <w:color w:val="333333"/>
        </w:rPr>
        <w:t>Armando L. Netto</w:t>
      </w:r>
    </w:p>
    <w:p>
      <w:pPr>
        <w:spacing w:after="0" w:line="316"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333333"/>
        </w:rPr>
        <w:t>Alan 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-233045</wp:posOffset>
            </wp:positionV>
            <wp:extent cx="5554980" cy="3257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333333"/>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97790</wp:posOffset>
            </wp:positionV>
            <wp:extent cx="5554980" cy="3175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54980" cy="3175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333333"/>
        </w:rPr>
        <w:t>Chief Financial Officer</w:t>
      </w:r>
      <w:r>
        <w:rPr>
          <w:rFonts w:ascii="Arial" w:cs="Arial" w:eastAsia="Arial" w:hAnsi="Arial"/>
          <w:sz w:val="26"/>
          <w:szCs w:val="26"/>
          <w:color w:val="333333"/>
          <w:vertAlign w:val="superscript"/>
        </w:rPr>
        <w:t>(1)</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333333"/>
        </w:rPr>
        <w:t>Chief Accounting Officer and Former Interim Chief Financial Officer</w:t>
      </w:r>
      <w:r>
        <w:rPr>
          <w:rFonts w:ascii="Arial" w:cs="Arial" w:eastAsia="Arial" w:hAnsi="Arial"/>
          <w:sz w:val="25"/>
          <w:szCs w:val="25"/>
          <w:color w:val="333333"/>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57150</wp:posOffset>
            </wp:positionV>
            <wp:extent cx="5554980" cy="3168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554980" cy="31686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333333"/>
        </w:rPr>
        <w:t>Group President, Vehicle Payments in Brazil and North America</w:t>
      </w:r>
      <w:r>
        <w:rPr>
          <w:rFonts w:ascii="Arial" w:cs="Arial" w:eastAsia="Arial" w:hAnsi="Arial"/>
          <w:sz w:val="26"/>
          <w:szCs w:val="26"/>
          <w:color w:val="333333"/>
          <w:vertAlign w:val="superscript"/>
        </w:rPr>
        <w:t>(3)</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333333"/>
        </w:rPr>
        <w:t>Group President, Vehicle Payments in Europe and Australia</w:t>
      </w:r>
      <w:r>
        <w:rPr>
          <w:rFonts w:ascii="Arial" w:cs="Arial" w:eastAsia="Arial" w:hAnsi="Arial"/>
          <w:sz w:val="26"/>
          <w:szCs w:val="26"/>
          <w:color w:val="333333"/>
          <w:vertAlign w:val="superscript"/>
        </w:rPr>
        <w:t>(3)</w:t>
      </w:r>
    </w:p>
    <w:p>
      <w:pPr>
        <w:spacing w:after="0" w:line="200" w:lineRule="exact"/>
        <w:rPr>
          <w:sz w:val="20"/>
          <w:szCs w:val="20"/>
          <w:color w:val="auto"/>
        </w:rPr>
      </w:pPr>
    </w:p>
    <w:p>
      <w:pPr>
        <w:sectPr>
          <w:pgSz w:w="11900" w:h="16838" w:orient="portrait"/>
          <w:cols w:equalWidth="0" w:num="2">
            <w:col w:w="2560" w:space="660"/>
            <w:col w:w="6820"/>
          </w:cols>
          <w:pgMar w:left="920" w:top="114" w:right="939" w:bottom="1440" w:gutter="0" w:footer="0" w:header="0"/>
          <w:type w:val="continuous"/>
        </w:sectPr>
      </w:pPr>
    </w:p>
    <w:p>
      <w:pPr>
        <w:spacing w:after="0" w:line="51" w:lineRule="exact"/>
        <w:rPr>
          <w:sz w:val="20"/>
          <w:szCs w:val="20"/>
          <w:color w:val="auto"/>
        </w:rPr>
      </w:pPr>
    </w:p>
    <w:p>
      <w:pPr>
        <w:ind w:left="840" w:hanging="190"/>
        <w:spacing w:after="0"/>
        <w:tabs>
          <w:tab w:leader="none" w:pos="840" w:val="left"/>
        </w:tabs>
        <w:numPr>
          <w:ilvl w:val="0"/>
          <w:numId w:val="47"/>
        </w:numPr>
        <w:rPr>
          <w:rFonts w:ascii="Arial" w:cs="Arial" w:eastAsia="Arial" w:hAnsi="Arial"/>
          <w:sz w:val="13"/>
          <w:szCs w:val="13"/>
          <w:i w:val="1"/>
          <w:iCs w:val="1"/>
          <w:color w:val="333333"/>
        </w:rPr>
      </w:pPr>
      <w:r>
        <w:rPr>
          <w:rFonts w:ascii="Arial" w:cs="Arial" w:eastAsia="Arial" w:hAnsi="Arial"/>
          <w:sz w:val="13"/>
          <w:szCs w:val="13"/>
          <w:i w:val="1"/>
          <w:iCs w:val="1"/>
          <w:color w:val="333333"/>
        </w:rPr>
        <w:t>Mr. Panther started his position as Chief Financial Officer effective May 2, 2023.</w:t>
      </w:r>
    </w:p>
    <w:p>
      <w:pPr>
        <w:spacing w:after="0" w:line="14" w:lineRule="exact"/>
        <w:rPr>
          <w:rFonts w:ascii="Arial" w:cs="Arial" w:eastAsia="Arial" w:hAnsi="Arial"/>
          <w:sz w:val="13"/>
          <w:szCs w:val="13"/>
          <w:i w:val="1"/>
          <w:iCs w:val="1"/>
          <w:color w:val="333333"/>
        </w:rPr>
      </w:pPr>
    </w:p>
    <w:p>
      <w:pPr>
        <w:ind w:left="660" w:right="900" w:hanging="10"/>
        <w:spacing w:after="0" w:line="238" w:lineRule="auto"/>
        <w:tabs>
          <w:tab w:leader="none" w:pos="849" w:val="left"/>
        </w:tabs>
        <w:numPr>
          <w:ilvl w:val="0"/>
          <w:numId w:val="47"/>
        </w:numPr>
        <w:rPr>
          <w:rFonts w:ascii="Arial" w:cs="Arial" w:eastAsia="Arial" w:hAnsi="Arial"/>
          <w:sz w:val="13"/>
          <w:szCs w:val="13"/>
          <w:i w:val="1"/>
          <w:iCs w:val="1"/>
          <w:color w:val="333333"/>
        </w:rPr>
      </w:pPr>
      <w:r>
        <w:rPr>
          <w:rFonts w:ascii="Arial" w:cs="Arial" w:eastAsia="Arial" w:hAnsi="Arial"/>
          <w:sz w:val="13"/>
          <w:szCs w:val="13"/>
          <w:i w:val="1"/>
          <w:iCs w:val="1"/>
          <w:color w:val="333333"/>
        </w:rPr>
        <w:t>Ms. Vickery served as Chief Accounting Officer and Interim Chief Financial Officer until May 2, 2023, at which point she continued in her role as Chief Accounting Officer.</w:t>
      </w:r>
    </w:p>
    <w:p>
      <w:pPr>
        <w:spacing w:after="0" w:line="12" w:lineRule="exact"/>
        <w:rPr>
          <w:rFonts w:ascii="Arial" w:cs="Arial" w:eastAsia="Arial" w:hAnsi="Arial"/>
          <w:sz w:val="13"/>
          <w:szCs w:val="13"/>
          <w:i w:val="1"/>
          <w:iCs w:val="1"/>
          <w:color w:val="333333"/>
        </w:rPr>
      </w:pPr>
    </w:p>
    <w:p>
      <w:pPr>
        <w:ind w:left="840" w:hanging="190"/>
        <w:spacing w:after="0"/>
        <w:tabs>
          <w:tab w:leader="none" w:pos="840" w:val="left"/>
        </w:tabs>
        <w:numPr>
          <w:ilvl w:val="0"/>
          <w:numId w:val="47"/>
        </w:numPr>
        <w:rPr>
          <w:rFonts w:ascii="Arial" w:cs="Arial" w:eastAsia="Arial" w:hAnsi="Arial"/>
          <w:sz w:val="13"/>
          <w:szCs w:val="13"/>
          <w:i w:val="1"/>
          <w:iCs w:val="1"/>
          <w:color w:val="333333"/>
        </w:rPr>
      </w:pPr>
      <w:r>
        <w:rPr>
          <w:rFonts w:ascii="Arial" w:cs="Arial" w:eastAsia="Arial" w:hAnsi="Arial"/>
          <w:sz w:val="13"/>
          <w:szCs w:val="13"/>
          <w:i w:val="1"/>
          <w:iCs w:val="1"/>
          <w:color w:val="333333"/>
        </w:rPr>
        <w:t>Corpay created three segments, including Vehicle Payments, and appointed Messrs. Netto and King to lead Vehicle Payments.</w:t>
      </w: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Leadership Transitions in 2023</w:t>
      </w:r>
    </w:p>
    <w:p>
      <w:pPr>
        <w:sectPr>
          <w:pgSz w:w="11900" w:h="16838" w:orient="portrait"/>
          <w:cols w:equalWidth="0" w:num="1">
            <w:col w:w="10040"/>
          </w:cols>
          <w:pgMar w:left="920" w:top="114" w:right="9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333333"/>
        </w:rPr>
        <w:t>On March 28, 2023, we announced the appointment of Tom Panther as our Chief Financial Officer effective May 2, 2023. Ms. Vickery, our Chief Accounting Officer, served as our interim Chief Financial Officer from October 3, 2022 through May 2, 2023. In connection with his appointment, the compensation committee determined that Mr. Panther’s compensation package would include an annual base salary of $400,000 and a target annual incentive award equal to 75% of his base salary. In addition, Mr. Panther received certain equity compensation awards upon his hire, which awards are described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right="780"/>
        <w:spacing w:after="0" w:line="256" w:lineRule="auto"/>
        <w:rPr>
          <w:sz w:val="20"/>
          <w:szCs w:val="20"/>
          <w:color w:val="auto"/>
        </w:rPr>
      </w:pPr>
      <w:r>
        <w:rPr>
          <w:rFonts w:ascii="Arial" w:cs="Arial" w:eastAsia="Arial" w:hAnsi="Arial"/>
          <w:sz w:val="16"/>
          <w:szCs w:val="16"/>
          <w:color w:val="auto"/>
        </w:rPr>
        <w:t>We determined Ms. Vickery’s compensation for 2023 with the expectation that we would hire a permanent Chief Financial Officer. Therefore, certain elements of her 2023 compensation differ in design and magnitude from the compensation of our other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116840</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900" w:space="240"/>
            <w:col w:w="4900"/>
          </w:cols>
          <w:pgMar w:left="920" w:top="114" w:right="9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CF1D4C"/>
        </w:rPr>
        <w:t>COMPENSATION DISCUSSION AND ANALYSIS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Navigating the Opportunities of 2023</w:t>
      </w:r>
    </w:p>
    <w:p>
      <w:pPr>
        <w:spacing w:after="0" w:line="216" w:lineRule="exact"/>
        <w:rPr>
          <w:sz w:val="20"/>
          <w:szCs w:val="20"/>
          <w:color w:val="auto"/>
        </w:rPr>
      </w:pPr>
    </w:p>
    <w:p>
      <w:pPr>
        <w:ind w:left="660" w:right="100"/>
        <w:spacing w:after="0" w:line="252" w:lineRule="auto"/>
        <w:rPr>
          <w:sz w:val="20"/>
          <w:szCs w:val="20"/>
          <w:color w:val="auto"/>
        </w:rPr>
      </w:pPr>
      <w:r>
        <w:rPr>
          <w:rFonts w:ascii="Arial" w:cs="Arial" w:eastAsia="Arial" w:hAnsi="Arial"/>
          <w:sz w:val="16"/>
          <w:szCs w:val="16"/>
          <w:color w:val="333333"/>
        </w:rPr>
        <w:t xml:space="preserve">Corpay is a leading global payments company that helps businesses spend less by enabling them to better manage their expense-related purchasing and vendor payments processes. Corpay’s smarter payment and spend management solutions are delivered in a variety of ways depending on the needs of the customer. From physical payment cards to software that includes customizable controls and robust payment capabilities, we provide businesses with a </w:t>
      </w:r>
      <w:r>
        <w:rPr>
          <w:rFonts w:ascii="Arial" w:cs="Arial" w:eastAsia="Arial" w:hAnsi="Arial"/>
          <w:sz w:val="16"/>
          <w:szCs w:val="16"/>
          <w:b w:val="1"/>
          <w:bCs w:val="1"/>
          <w:color w:val="E13279"/>
        </w:rPr>
        <w:t>Better Way to Pay</w:t>
      </w:r>
      <w:r>
        <w:rPr>
          <w:rFonts w:ascii="Arial" w:cs="Arial" w:eastAsia="Arial" w:hAnsi="Arial"/>
          <w:sz w:val="16"/>
          <w:szCs w:val="16"/>
          <w:color w:val="333333"/>
        </w:rPr>
        <w:t>.</w:t>
      </w:r>
    </w:p>
    <w:p>
      <w:pPr>
        <w:spacing w:after="0" w:line="151" w:lineRule="exact"/>
        <w:rPr>
          <w:sz w:val="20"/>
          <w:szCs w:val="20"/>
          <w:color w:val="auto"/>
        </w:rPr>
      </w:pPr>
    </w:p>
    <w:p>
      <w:pPr>
        <w:ind w:left="660" w:right="180"/>
        <w:spacing w:after="0" w:line="286" w:lineRule="auto"/>
        <w:rPr>
          <w:sz w:val="20"/>
          <w:szCs w:val="20"/>
          <w:color w:val="auto"/>
        </w:rPr>
      </w:pPr>
      <w:r>
        <w:rPr>
          <w:rFonts w:ascii="Arial" w:cs="Arial" w:eastAsia="Arial" w:hAnsi="Arial"/>
          <w:sz w:val="16"/>
          <w:szCs w:val="16"/>
          <w:color w:val="333333"/>
        </w:rPr>
        <w:t>Our unique positioning and focus on performance drove our results in 2023. We realized impressive performance:</w:t>
      </w:r>
    </w:p>
    <w:p>
      <w:pPr>
        <w:spacing w:after="0" w:line="115" w:lineRule="exact"/>
        <w:rPr>
          <w:sz w:val="20"/>
          <w:szCs w:val="20"/>
          <w:color w:val="auto"/>
        </w:rPr>
      </w:pPr>
    </w:p>
    <w:p>
      <w:pPr>
        <w:ind w:left="880" w:right="280" w:hanging="228"/>
        <w:spacing w:after="0"/>
        <w:rPr>
          <w:sz w:val="20"/>
          <w:szCs w:val="20"/>
          <w:color w:val="auto"/>
        </w:rPr>
      </w:pPr>
      <w:r>
        <w:rPr>
          <w:sz w:val="1"/>
          <w:szCs w:val="1"/>
          <w:color w:val="auto"/>
        </w:rPr>
        <w:drawing>
          <wp:inline distT="0" distB="0" distL="0" distR="0">
            <wp:extent cx="76835" cy="9398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Record highs of revenue of $3.8 billion, up 10%, and Adjusted EPS of $16.92, up 5%*</w:t>
      </w:r>
    </w:p>
    <w:p>
      <w:pPr>
        <w:ind w:left="880" w:right="180" w:hanging="228"/>
        <w:spacing w:after="0"/>
        <w:rPr>
          <w:sz w:val="20"/>
          <w:szCs w:val="20"/>
          <w:color w:val="auto"/>
        </w:rPr>
      </w:pPr>
      <w:r>
        <w:rPr>
          <w:sz w:val="1"/>
          <w:szCs w:val="1"/>
          <w:color w:val="auto"/>
        </w:rPr>
        <w:drawing>
          <wp:inline distT="0" distB="0" distL="0" distR="0">
            <wp:extent cx="76835" cy="9398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32"/>
          <w:szCs w:val="32"/>
          <w:color w:val="333333"/>
          <w:vertAlign w:val="superscript"/>
        </w:rPr>
        <w:t xml:space="preserve">  </w:t>
      </w:r>
      <w:r>
        <w:rPr>
          <w:rFonts w:ascii="Arial" w:cs="Arial" w:eastAsia="Arial" w:hAnsi="Arial"/>
          <w:sz w:val="32"/>
          <w:szCs w:val="32"/>
          <w:color w:val="333333"/>
        </w:rPr>
        <w:t>Organic revenue growth for 2023 was up 10%, the 3</w:t>
      </w:r>
      <w:r>
        <w:rPr>
          <w:rFonts w:ascii="Arial" w:cs="Arial" w:eastAsia="Arial" w:hAnsi="Arial"/>
          <w:sz w:val="26"/>
          <w:szCs w:val="26"/>
          <w:color w:val="333333"/>
          <w:vertAlign w:val="superscript"/>
        </w:rPr>
        <w:t>rd</w:t>
      </w:r>
      <w:r>
        <w:rPr>
          <w:rFonts w:ascii="Arial" w:cs="Arial" w:eastAsia="Arial" w:hAnsi="Arial"/>
          <w:sz w:val="32"/>
          <w:szCs w:val="32"/>
          <w:color w:val="333333"/>
        </w:rPr>
        <w:t xml:space="preserve"> </w:t>
      </w:r>
      <w:r>
        <w:rPr>
          <w:rFonts w:ascii="Arial" w:cs="Arial" w:eastAsia="Arial" w:hAnsi="Arial"/>
          <w:sz w:val="16"/>
          <w:szCs w:val="16"/>
          <w:color w:val="333333"/>
        </w:rPr>
        <w:t>consecutive year of at least 10% growth*</w:t>
      </w:r>
    </w:p>
    <w:p>
      <w:pPr>
        <w:ind w:left="640"/>
        <w:spacing w:after="0"/>
        <w:rPr>
          <w:sz w:val="20"/>
          <w:szCs w:val="20"/>
          <w:color w:val="auto"/>
        </w:rPr>
      </w:pPr>
      <w:r>
        <w:rPr>
          <w:sz w:val="1"/>
          <w:szCs w:val="1"/>
          <w:color w:val="auto"/>
        </w:rPr>
        <w:drawing>
          <wp:inline distT="0" distB="0" distL="0" distR="0">
            <wp:extent cx="76835" cy="9461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94615"/>
                    </a:xfrm>
                    <a:prstGeom prst="rect">
                      <a:avLst/>
                    </a:prstGeom>
                    <a:noFill/>
                    <a:ln>
                      <a:noFill/>
                    </a:ln>
                  </pic:spPr>
                </pic:pic>
              </a:graphicData>
            </a:graphic>
          </wp:inline>
        </w:drawing>
      </w:r>
      <w:r>
        <w:rPr>
          <w:rFonts w:ascii="Arial" w:cs="Arial" w:eastAsia="Arial" w:hAnsi="Arial"/>
          <w:sz w:val="16"/>
          <w:szCs w:val="16"/>
          <w:color w:val="333333"/>
        </w:rPr>
        <w:t>  2023 sales were up 20%*</w:t>
      </w:r>
    </w:p>
    <w:p>
      <w:pPr>
        <w:spacing w:after="0" w:line="5" w:lineRule="exact"/>
        <w:rPr>
          <w:sz w:val="20"/>
          <w:szCs w:val="20"/>
          <w:color w:val="auto"/>
        </w:rPr>
      </w:pPr>
    </w:p>
    <w:p>
      <w:pPr>
        <w:ind w:left="880" w:right="280" w:hanging="228"/>
        <w:spacing w:after="0"/>
        <w:rPr>
          <w:sz w:val="20"/>
          <w:szCs w:val="20"/>
          <w:color w:val="auto"/>
        </w:rPr>
      </w:pPr>
      <w:r>
        <w:rPr>
          <w:sz w:val="1"/>
          <w:szCs w:val="1"/>
          <w:color w:val="auto"/>
        </w:rPr>
        <w:drawing>
          <wp:inline distT="0" distB="0" distL="0" distR="0">
            <wp:extent cx="76835" cy="9398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$1.6 billion of capital deployed for acquisitions, stock buybacks and debt paydown</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*as compared to prior year</w:t>
      </w:r>
    </w:p>
    <w:p>
      <w:pPr>
        <w:spacing w:after="0" w:line="181" w:lineRule="exact"/>
        <w:rPr>
          <w:sz w:val="20"/>
          <w:szCs w:val="20"/>
          <w:color w:val="auto"/>
        </w:rPr>
      </w:pPr>
    </w:p>
    <w:p>
      <w:pPr>
        <w:ind w:left="660" w:right="60"/>
        <w:spacing w:after="0" w:line="253" w:lineRule="auto"/>
        <w:rPr>
          <w:sz w:val="20"/>
          <w:szCs w:val="20"/>
          <w:color w:val="auto"/>
        </w:rPr>
      </w:pPr>
      <w:r>
        <w:rPr>
          <w:rFonts w:ascii="Arial" w:cs="Arial" w:eastAsia="Arial" w:hAnsi="Arial"/>
          <w:sz w:val="16"/>
          <w:szCs w:val="16"/>
          <w:color w:val="333333"/>
        </w:rPr>
        <w:t>We meaningfully improved our positioning in 2023, extending both the product set and customer segments in each of our major businesses. These efforts increase our target sales audience, which positions us to continue our historically consistent organic and non-organic growth, and potentially supports even higher growth due to a larger addressable market. Some highlights from 2023 include:</w:t>
      </w:r>
    </w:p>
    <w:p>
      <w:pPr>
        <w:spacing w:after="0" w:line="154" w:lineRule="exact"/>
        <w:rPr>
          <w:sz w:val="20"/>
          <w:szCs w:val="20"/>
          <w:color w:val="auto"/>
        </w:rPr>
      </w:pPr>
    </w:p>
    <w:p>
      <w:pPr>
        <w:jc w:val="both"/>
        <w:ind w:left="880" w:right="280" w:hanging="228"/>
        <w:spacing w:after="0"/>
        <w:rPr>
          <w:sz w:val="20"/>
          <w:szCs w:val="20"/>
          <w:color w:val="auto"/>
        </w:rPr>
      </w:pPr>
      <w:r>
        <w:rPr>
          <w:sz w:val="1"/>
          <w:szCs w:val="1"/>
          <w:color w:val="auto"/>
        </w:rPr>
        <w:drawing>
          <wp:inline distT="0" distB="0" distL="0" distR="0">
            <wp:extent cx="76835" cy="9461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94615"/>
                    </a:xfrm>
                    <a:prstGeom prst="rect">
                      <a:avLst/>
                    </a:prstGeom>
                    <a:noFill/>
                    <a:ln>
                      <a:noFill/>
                    </a:ln>
                  </pic:spPr>
                </pic:pic>
              </a:graphicData>
            </a:graphic>
          </wp:inline>
        </w:drawing>
      </w:r>
      <w:r>
        <w:rPr>
          <w:rFonts w:ascii="Arial" w:cs="Arial" w:eastAsia="Arial" w:hAnsi="Arial"/>
          <w:sz w:val="16"/>
          <w:szCs w:val="16"/>
          <w:color w:val="333333"/>
        </w:rPr>
        <w:t>  In Vehicle Payments, we purchased a global parking company as we build out our new consumer vehicle opportunity</w:t>
      </w:r>
    </w:p>
    <w:p>
      <w:pPr>
        <w:jc w:val="both"/>
        <w:ind w:left="880" w:right="140" w:hanging="228"/>
        <w:spacing w:after="0"/>
        <w:rPr>
          <w:sz w:val="20"/>
          <w:szCs w:val="20"/>
          <w:color w:val="auto"/>
        </w:rPr>
      </w:pPr>
      <w:r>
        <w:rPr>
          <w:sz w:val="1"/>
          <w:szCs w:val="1"/>
          <w:color w:val="auto"/>
        </w:rPr>
        <w:drawing>
          <wp:inline distT="0" distB="0" distL="0" distR="0">
            <wp:extent cx="76835" cy="9398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In Corporate Payments, we launched a new all-in-one payments platform and further scaled our cross-border footprint globally</w:t>
      </w:r>
    </w:p>
    <w:p>
      <w:pPr>
        <w:ind w:left="880" w:right="200" w:hanging="228"/>
        <w:spacing w:after="0"/>
        <w:rPr>
          <w:sz w:val="20"/>
          <w:szCs w:val="20"/>
          <w:color w:val="auto"/>
        </w:rPr>
      </w:pPr>
      <w:r>
        <w:rPr>
          <w:sz w:val="1"/>
          <w:szCs w:val="1"/>
          <w:color w:val="auto"/>
        </w:rPr>
        <w:drawing>
          <wp:inline distT="0" distB="0" distL="0" distR="0">
            <wp:extent cx="76835" cy="9461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94615"/>
                    </a:xfrm>
                    <a:prstGeom prst="rect">
                      <a:avLst/>
                    </a:prstGeom>
                    <a:noFill/>
                    <a:ln>
                      <a:noFill/>
                    </a:ln>
                  </pic:spPr>
                </pic:pic>
              </a:graphicData>
            </a:graphic>
          </wp:inline>
        </w:drawing>
      </w:r>
      <w:r>
        <w:rPr>
          <w:rFonts w:ascii="Arial" w:cs="Arial" w:eastAsia="Arial" w:hAnsi="Arial"/>
          <w:sz w:val="16"/>
          <w:szCs w:val="16"/>
          <w:color w:val="333333"/>
        </w:rPr>
        <w:t>  In Lodging Payments, we introduced a new employee friendly solution</w:t>
      </w:r>
    </w:p>
    <w:p>
      <w:pPr>
        <w:spacing w:after="0" w:line="150" w:lineRule="exact"/>
        <w:rPr>
          <w:sz w:val="20"/>
          <w:szCs w:val="20"/>
          <w:color w:val="auto"/>
        </w:rPr>
      </w:pPr>
    </w:p>
    <w:p>
      <w:pPr>
        <w:ind w:left="660" w:right="120"/>
        <w:spacing w:after="0" w:line="251" w:lineRule="auto"/>
        <w:rPr>
          <w:sz w:val="20"/>
          <w:szCs w:val="20"/>
          <w:color w:val="auto"/>
        </w:rPr>
      </w:pPr>
      <w:r>
        <w:rPr>
          <w:rFonts w:ascii="Arial" w:cs="Arial" w:eastAsia="Arial" w:hAnsi="Arial"/>
          <w:sz w:val="16"/>
          <w:szCs w:val="16"/>
          <w:color w:val="333333"/>
        </w:rPr>
        <w:t>We are focused on the future, as we continue to capture and drive scale in our corporate payments business, while looking for both organic and inorganic opportunities to supplement our current growth. Today, Corporate Payments segment revenue represents more than 25% of the Company and is growing approximately 20% annually. It is our fastest growing business, and we expect to capture much more business as the transition to newer, improved AP Automation processes gains steam.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30 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Responsiveness to 2023 Say-On-Pay Vote</w:t>
      </w:r>
    </w:p>
    <w:p>
      <w:pPr>
        <w:spacing w:after="0" w:line="216" w:lineRule="exact"/>
        <w:rPr>
          <w:sz w:val="20"/>
          <w:szCs w:val="20"/>
          <w:color w:val="auto"/>
        </w:rPr>
      </w:pPr>
    </w:p>
    <w:p>
      <w:pPr>
        <w:ind w:right="239"/>
        <w:spacing w:after="0" w:line="250" w:lineRule="auto"/>
        <w:rPr>
          <w:sz w:val="20"/>
          <w:szCs w:val="20"/>
          <w:color w:val="auto"/>
        </w:rPr>
      </w:pPr>
      <w:r>
        <w:rPr>
          <w:rFonts w:ascii="Arial" w:cs="Arial" w:eastAsia="Arial" w:hAnsi="Arial"/>
          <w:sz w:val="16"/>
          <w:szCs w:val="16"/>
          <w:color w:val="333333"/>
        </w:rPr>
        <w:t>Our say-on-pay proposal at our 2023 annual meeting of shareholders received greater than 60% approval. As we continue to seek improved feedback from our shareholders, we increased our shareholder outreach efforts throughout 2023. Our engagement process invited discussion with representatives of our executive team and the Board, including our compensation committee Chair. Feedback received was shared regularly with the Board, including the compensation committee, for review and discussion in anticipation of establishing 2024 compensation.</w:t>
      </w:r>
    </w:p>
    <w:p>
      <w:pPr>
        <w:spacing w:after="0" w:line="160" w:lineRule="exact"/>
        <w:rPr>
          <w:sz w:val="20"/>
          <w:szCs w:val="20"/>
          <w:color w:val="auto"/>
        </w:rPr>
      </w:pPr>
    </w:p>
    <w:p>
      <w:pPr>
        <w:ind w:right="279"/>
        <w:spacing w:after="0" w:line="253" w:lineRule="auto"/>
        <w:rPr>
          <w:sz w:val="20"/>
          <w:szCs w:val="20"/>
          <w:color w:val="auto"/>
        </w:rPr>
      </w:pPr>
      <w:r>
        <w:rPr>
          <w:rFonts w:ascii="Arial" w:cs="Arial" w:eastAsia="Arial" w:hAnsi="Arial"/>
          <w:sz w:val="16"/>
          <w:szCs w:val="16"/>
          <w:color w:val="333333"/>
        </w:rPr>
        <w:t>Importantly, the changes to our 2023 compensation practices reflect shareholder feedback received from our 2022 say-on-pay process, some of which was similar to input provided by shareholders from our 2023 say-on-pay process. As such, our remediation efforts in response to the pay program issues raised by shareholders in both 2023 and 2024 are reflected in the table below.</w:t>
      </w:r>
    </w:p>
    <w:p>
      <w:pPr>
        <w:spacing w:after="0" w:line="141" w:lineRule="exact"/>
        <w:rPr>
          <w:sz w:val="20"/>
          <w:szCs w:val="20"/>
          <w:color w:val="auto"/>
        </w:rPr>
      </w:pPr>
    </w:p>
    <w:p>
      <w:pPr>
        <w:ind w:right="199"/>
        <w:spacing w:after="0" w:line="248" w:lineRule="auto"/>
        <w:rPr>
          <w:sz w:val="20"/>
          <w:szCs w:val="20"/>
          <w:color w:val="auto"/>
        </w:rPr>
      </w:pPr>
      <w:r>
        <w:rPr>
          <w:rFonts w:ascii="Arial" w:cs="Arial" w:eastAsia="Arial" w:hAnsi="Arial"/>
          <w:sz w:val="16"/>
          <w:szCs w:val="16"/>
          <w:i w:val="1"/>
          <w:iCs w:val="1"/>
          <w:color w:val="333333"/>
        </w:rPr>
        <w:t>Scope of Our Outreach</w:t>
      </w:r>
      <w:r>
        <w:rPr>
          <w:rFonts w:ascii="Arial" w:cs="Arial" w:eastAsia="Arial" w:hAnsi="Arial"/>
          <w:sz w:val="16"/>
          <w:szCs w:val="16"/>
          <w:color w:val="333333"/>
        </w:rPr>
        <w:t>: Since we mailed our Proxy</w:t>
      </w:r>
      <w:r>
        <w:rPr>
          <w:rFonts w:ascii="Arial" w:cs="Arial" w:eastAsia="Arial" w:hAnsi="Arial"/>
          <w:sz w:val="16"/>
          <w:szCs w:val="16"/>
          <w:i w:val="1"/>
          <w:iCs w:val="1"/>
          <w:color w:val="333333"/>
        </w:rPr>
        <w:t xml:space="preserve"> </w:t>
      </w:r>
      <w:r>
        <w:rPr>
          <w:rFonts w:ascii="Arial" w:cs="Arial" w:eastAsia="Arial" w:hAnsi="Arial"/>
          <w:sz w:val="16"/>
          <w:szCs w:val="16"/>
          <w:color w:val="333333"/>
        </w:rPr>
        <w:t>Statement for the 2023 annual meeting, we contacted our 10 largest shareholders (excluding our CEO), and select others from the next 15 largest shareholders who voted against say-on-pay and/or against certain directors at the 2023 annual meeting. These shareholders held approximately 64.3% of our common shares (as of December 31, 2023). Of those we attempted to engage, 50% of those shares accepted our invitation and attended video or telephonic meetings. A majority of these meetings were attended by the Chair of the compensation committee, and remaining meetings were attended by the Lead Independent Director, Chair of the nomination and governance committee, or Chair of the information technology and security committee. These meetings occurred periodically in 2023. During the meetings, we requested specific feedback on our 2023 say-on-pay vote and any issues shareholders had with our compensation program or our governance practices, and solicited their thoughts on how we might address these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208915</wp:posOffset>
            </wp:positionV>
            <wp:extent cx="2623185" cy="1680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2318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ectPr>
          <w:pgSz w:w="11900" w:h="16838" w:orient="portrait"/>
          <w:cols w:equalWidth="0" w:num="2">
            <w:col w:w="4920" w:space="220"/>
            <w:col w:w="4399"/>
          </w:cols>
          <w:pgMar w:left="920" w:top="114"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CF1D4C"/>
        </w:rPr>
        <w:t>COMPENSATION DISCUSSION AND ANALYSIS</w:t>
      </w:r>
    </w:p>
    <w:p>
      <w:pPr>
        <w:spacing w:after="0" w:line="351" w:lineRule="exact"/>
        <w:rPr>
          <w:sz w:val="20"/>
          <w:szCs w:val="20"/>
          <w:color w:val="auto"/>
        </w:rPr>
      </w:pPr>
    </w:p>
    <w:p>
      <w:pPr>
        <w:ind w:left="660" w:right="1520"/>
        <w:spacing w:after="0" w:line="286" w:lineRule="auto"/>
        <w:rPr>
          <w:sz w:val="20"/>
          <w:szCs w:val="20"/>
          <w:color w:val="auto"/>
        </w:rPr>
      </w:pPr>
      <w:r>
        <w:rPr>
          <w:rFonts w:ascii="Arial" w:cs="Arial" w:eastAsia="Arial" w:hAnsi="Arial"/>
          <w:sz w:val="16"/>
          <w:szCs w:val="16"/>
          <w:color w:val="auto"/>
        </w:rPr>
        <w:t>Based on our outreach efforts and our review of the recommendations of proxy advisory firms, the table below summarizes what we heard and how we responded in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5554980" cy="4457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554980" cy="445770"/>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sectPr>
      </w:pPr>
    </w:p>
    <w:p>
      <w:pPr>
        <w:spacing w:after="0" w:line="34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FFFFF"/>
        </w:rPr>
        <w:t>What we heard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20" w:right="260"/>
        <w:spacing w:after="0" w:line="256" w:lineRule="auto"/>
        <w:rPr>
          <w:sz w:val="20"/>
          <w:szCs w:val="20"/>
          <w:color w:val="auto"/>
        </w:rPr>
      </w:pPr>
      <w:r>
        <w:rPr>
          <w:rFonts w:ascii="Arial" w:cs="Arial" w:eastAsia="Arial" w:hAnsi="Arial"/>
          <w:sz w:val="16"/>
          <w:szCs w:val="16"/>
          <w:color w:val="333333"/>
        </w:rPr>
        <w:t>Interest in the direction of CEO compensation, including metrics used for CEO’s incentive-based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820"/>
        <w:spacing w:after="0" w:line="266" w:lineRule="auto"/>
        <w:rPr>
          <w:sz w:val="20"/>
          <w:szCs w:val="20"/>
          <w:color w:val="auto"/>
        </w:rPr>
      </w:pPr>
      <w:r>
        <w:rPr>
          <w:rFonts w:ascii="Arial" w:cs="Arial" w:eastAsia="Arial" w:hAnsi="Arial"/>
          <w:sz w:val="16"/>
          <w:szCs w:val="16"/>
          <w:color w:val="333333"/>
        </w:rPr>
        <w:t>CEO compensation structure should help ensure long-term retention</w:t>
      </w:r>
    </w:p>
    <w:p>
      <w:pPr>
        <w:spacing w:after="0" w:line="158" w:lineRule="exact"/>
        <w:rPr>
          <w:sz w:val="20"/>
          <w:szCs w:val="20"/>
          <w:color w:val="auto"/>
        </w:rPr>
      </w:pPr>
    </w:p>
    <w:p>
      <w:pPr>
        <w:ind w:left="820" w:right="340"/>
        <w:spacing w:after="0" w:line="266" w:lineRule="auto"/>
        <w:rPr>
          <w:sz w:val="20"/>
          <w:szCs w:val="20"/>
          <w:color w:val="auto"/>
        </w:rPr>
      </w:pPr>
      <w:r>
        <w:rPr>
          <w:rFonts w:ascii="Arial" w:cs="Arial" w:eastAsia="Arial" w:hAnsi="Arial"/>
          <w:sz w:val="16"/>
          <w:szCs w:val="16"/>
          <w:color w:val="333333"/>
        </w:rPr>
        <w:t>The majority of NEO compensation should be performance-based</w:t>
      </w:r>
    </w:p>
    <w:p>
      <w:pPr>
        <w:spacing w:after="0" w:line="158" w:lineRule="exact"/>
        <w:rPr>
          <w:sz w:val="20"/>
          <w:szCs w:val="20"/>
          <w:color w:val="auto"/>
        </w:rPr>
      </w:pPr>
    </w:p>
    <w:p>
      <w:pPr>
        <w:ind w:left="820" w:right="300"/>
        <w:spacing w:after="0" w:line="266" w:lineRule="auto"/>
        <w:rPr>
          <w:sz w:val="20"/>
          <w:szCs w:val="20"/>
          <w:color w:val="auto"/>
        </w:rPr>
      </w:pPr>
      <w:r>
        <w:rPr>
          <w:rFonts w:ascii="Arial" w:cs="Arial" w:eastAsia="Arial" w:hAnsi="Arial"/>
          <w:sz w:val="16"/>
          <w:szCs w:val="16"/>
          <w:color w:val="333333"/>
        </w:rPr>
        <w:t>Long-term compensation should have longer measurement periods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right="280"/>
        <w:spacing w:after="0" w:line="266" w:lineRule="auto"/>
        <w:rPr>
          <w:sz w:val="20"/>
          <w:szCs w:val="20"/>
          <w:color w:val="auto"/>
        </w:rPr>
      </w:pPr>
      <w:r>
        <w:rPr>
          <w:rFonts w:ascii="Arial" w:cs="Arial" w:eastAsia="Arial" w:hAnsi="Arial"/>
          <w:sz w:val="16"/>
          <w:szCs w:val="16"/>
          <w:color w:val="333333"/>
        </w:rPr>
        <w:t>Compensation structures should align with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20" w:right="340"/>
        <w:spacing w:after="0" w:line="259" w:lineRule="auto"/>
        <w:rPr>
          <w:sz w:val="20"/>
          <w:szCs w:val="20"/>
          <w:color w:val="auto"/>
        </w:rPr>
      </w:pPr>
      <w:r>
        <w:rPr>
          <w:rFonts w:ascii="Arial" w:cs="Arial" w:eastAsia="Arial" w:hAnsi="Arial"/>
          <w:sz w:val="16"/>
          <w:szCs w:val="16"/>
          <w:color w:val="333333"/>
        </w:rPr>
        <w:t>Compensation for NEOs should have a total shareholder return component</w:t>
      </w:r>
    </w:p>
    <w:p>
      <w:pPr>
        <w:spacing w:after="0" w:line="200" w:lineRule="exact"/>
        <w:rPr>
          <w:sz w:val="20"/>
          <w:szCs w:val="20"/>
          <w:color w:val="auto"/>
        </w:rPr>
      </w:pPr>
    </w:p>
    <w:p>
      <w:pPr>
        <w:spacing w:after="0" w:line="342" w:lineRule="exact"/>
        <w:rPr>
          <w:sz w:val="20"/>
          <w:szCs w:val="20"/>
          <w:color w:val="auto"/>
        </w:rPr>
      </w:pPr>
    </w:p>
    <w:p>
      <w:pPr>
        <w:ind w:left="820"/>
        <w:spacing w:after="0" w:line="254" w:lineRule="auto"/>
        <w:rPr>
          <w:sz w:val="20"/>
          <w:szCs w:val="20"/>
          <w:color w:val="auto"/>
        </w:rPr>
      </w:pPr>
      <w:r>
        <w:rPr>
          <w:rFonts w:ascii="Arial" w:cs="Arial" w:eastAsia="Arial" w:hAnsi="Arial"/>
          <w:sz w:val="16"/>
          <w:szCs w:val="16"/>
          <w:color w:val="333333"/>
        </w:rPr>
        <w:t>Disclosure should provide context for why the Company selects particular performance metrics for incentive-based compensation</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What we have done in response</w:t>
      </w:r>
    </w:p>
    <w:p>
      <w:pPr>
        <w:spacing w:after="0" w:line="200" w:lineRule="exact"/>
        <w:rPr>
          <w:sz w:val="20"/>
          <w:szCs w:val="20"/>
          <w:color w:val="auto"/>
        </w:rPr>
      </w:pPr>
    </w:p>
    <w:p>
      <w:pPr>
        <w:spacing w:after="0" w:line="345" w:lineRule="exact"/>
        <w:rPr>
          <w:sz w:val="20"/>
          <w:szCs w:val="20"/>
          <w:color w:val="auto"/>
        </w:rPr>
      </w:pPr>
    </w:p>
    <w:p>
      <w:pPr>
        <w:ind w:right="920"/>
        <w:spacing w:after="0" w:line="266" w:lineRule="auto"/>
        <w:rPr>
          <w:sz w:val="20"/>
          <w:szCs w:val="20"/>
          <w:color w:val="auto"/>
        </w:rPr>
      </w:pPr>
      <w:r>
        <w:rPr>
          <w:rFonts w:ascii="Arial" w:cs="Arial" w:eastAsia="Arial" w:hAnsi="Arial"/>
          <w:sz w:val="16"/>
          <w:szCs w:val="16"/>
          <w:u w:val="single" w:color="auto"/>
          <w:color w:val="auto"/>
        </w:rPr>
        <w:t>CEO Pay Level</w:t>
      </w:r>
      <w:r>
        <w:rPr>
          <w:rFonts w:ascii="Arial" w:cs="Arial" w:eastAsia="Arial" w:hAnsi="Arial"/>
          <w:sz w:val="16"/>
          <w:szCs w:val="16"/>
          <w:color w:val="333333"/>
        </w:rPr>
        <w:t>: CEO pay for 2023 was lower than CEO pay for 2022, which in turn,</w:t>
      </w:r>
      <w:r>
        <w:rPr>
          <w:rFonts w:ascii="Arial" w:cs="Arial" w:eastAsia="Arial" w:hAnsi="Arial"/>
          <w:sz w:val="16"/>
          <w:szCs w:val="16"/>
          <w:color w:val="auto"/>
        </w:rPr>
        <w:t xml:space="preserve"> </w:t>
      </w:r>
      <w:r>
        <w:rPr>
          <w:rFonts w:ascii="Arial" w:cs="Arial" w:eastAsia="Arial" w:hAnsi="Arial"/>
          <w:sz w:val="16"/>
          <w:szCs w:val="16"/>
          <w:color w:val="333333"/>
        </w:rPr>
        <w:t>was substantially lower than CEO pay in 2021.  </w:t>
      </w:r>
    </w:p>
    <w:p>
      <w:pPr>
        <w:spacing w:after="0" w:line="175" w:lineRule="exact"/>
        <w:rPr>
          <w:sz w:val="20"/>
          <w:szCs w:val="20"/>
          <w:color w:val="auto"/>
        </w:rPr>
      </w:pPr>
    </w:p>
    <w:p>
      <w:pPr>
        <w:ind w:right="900"/>
        <w:spacing w:after="0" w:line="248" w:lineRule="auto"/>
        <w:rPr>
          <w:sz w:val="20"/>
          <w:szCs w:val="20"/>
          <w:color w:val="auto"/>
        </w:rPr>
      </w:pPr>
      <w:r>
        <w:rPr>
          <w:rFonts w:ascii="Arial" w:cs="Arial" w:eastAsia="Arial" w:hAnsi="Arial"/>
          <w:sz w:val="16"/>
          <w:szCs w:val="16"/>
          <w:u w:val="single" w:color="auto"/>
          <w:color w:val="auto"/>
        </w:rPr>
        <w:t>Annual Incentive Performance Metrics</w:t>
      </w:r>
      <w:r>
        <w:rPr>
          <w:rFonts w:ascii="Arial" w:cs="Arial" w:eastAsia="Arial" w:hAnsi="Arial"/>
          <w:sz w:val="16"/>
          <w:szCs w:val="16"/>
          <w:color w:val="333333"/>
        </w:rPr>
        <w:t>: Other than in the case of Ms. Vickery (who</w:t>
      </w:r>
      <w:r>
        <w:rPr>
          <w:rFonts w:ascii="Arial" w:cs="Arial" w:eastAsia="Arial" w:hAnsi="Arial"/>
          <w:sz w:val="16"/>
          <w:szCs w:val="16"/>
          <w:color w:val="auto"/>
        </w:rPr>
        <w:t xml:space="preserve"> </w:t>
      </w:r>
      <w:r>
        <w:rPr>
          <w:rFonts w:ascii="Arial" w:cs="Arial" w:eastAsia="Arial" w:hAnsi="Arial"/>
          <w:sz w:val="16"/>
          <w:szCs w:val="16"/>
          <w:color w:val="333333"/>
        </w:rPr>
        <w:t>returned to her former role in early 2023), the great majority of the cash portion of all NEOs’ (including the CEO) targeted annual incentive opportunities were contingent upon the achievement of pre-established financial goals.  </w:t>
      </w:r>
    </w:p>
    <w:p>
      <w:pPr>
        <w:spacing w:after="0" w:line="185" w:lineRule="exact"/>
        <w:rPr>
          <w:sz w:val="20"/>
          <w:szCs w:val="20"/>
          <w:color w:val="auto"/>
        </w:rPr>
      </w:pPr>
    </w:p>
    <w:p>
      <w:pPr>
        <w:ind w:right="900"/>
        <w:spacing w:after="0" w:line="249" w:lineRule="auto"/>
        <w:rPr>
          <w:sz w:val="20"/>
          <w:szCs w:val="20"/>
          <w:color w:val="auto"/>
        </w:rPr>
      </w:pPr>
      <w:r>
        <w:rPr>
          <w:rFonts w:ascii="Arial" w:cs="Arial" w:eastAsia="Arial" w:hAnsi="Arial"/>
          <w:sz w:val="16"/>
          <w:szCs w:val="16"/>
          <w:u w:val="single" w:color="auto"/>
          <w:color w:val="auto"/>
        </w:rPr>
        <w:t>LTI Performance Linkages</w:t>
      </w:r>
      <w:r>
        <w:rPr>
          <w:rFonts w:ascii="Arial" w:cs="Arial" w:eastAsia="Arial" w:hAnsi="Arial"/>
          <w:sz w:val="16"/>
          <w:szCs w:val="16"/>
          <w:color w:val="333333"/>
        </w:rPr>
        <w:t>: Our CEO did not receive any long-term incentive awards</w:t>
      </w:r>
      <w:r>
        <w:rPr>
          <w:rFonts w:ascii="Arial" w:cs="Arial" w:eastAsia="Arial" w:hAnsi="Arial"/>
          <w:sz w:val="16"/>
          <w:szCs w:val="16"/>
          <w:color w:val="auto"/>
        </w:rPr>
        <w:t xml:space="preserve"> </w:t>
      </w:r>
      <w:r>
        <w:rPr>
          <w:rFonts w:ascii="Arial" w:cs="Arial" w:eastAsia="Arial" w:hAnsi="Arial"/>
          <w:sz w:val="16"/>
          <w:szCs w:val="16"/>
          <w:color w:val="333333"/>
        </w:rPr>
        <w:t>in 2023. Other than in the case of Mr. Netto, the 2023 long-term incentive awards to all of our other NEOs were comprised at least 50% of performance-based long-term incentives (Performance Shares and Performance-Based RSUs). These performance-based long-term incentives were 100% contingent on the achievement of pre-established earnings per share and revenue goals. 48% of Mr. Netto’s 2023 long-term incentive target grant value was comprised of these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23495</wp:posOffset>
            </wp:positionV>
            <wp:extent cx="5554980" cy="4286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54980" cy="428625"/>
                    </a:xfrm>
                    <a:prstGeom prst="rect">
                      <a:avLst/>
                    </a:prstGeom>
                    <a:noFill/>
                  </pic:spPr>
                </pic:pic>
              </a:graphicData>
            </a:graphic>
          </wp:anchor>
        </w:drawing>
      </w:r>
    </w:p>
    <w:p>
      <w:pPr>
        <w:spacing w:after="0" w:line="151" w:lineRule="exact"/>
        <w:rPr>
          <w:sz w:val="20"/>
          <w:szCs w:val="20"/>
          <w:color w:val="auto"/>
        </w:rPr>
      </w:pPr>
    </w:p>
    <w:p>
      <w:pPr>
        <w:ind w:right="1240"/>
        <w:spacing w:after="0" w:line="286" w:lineRule="auto"/>
        <w:rPr>
          <w:sz w:val="20"/>
          <w:szCs w:val="20"/>
          <w:color w:val="auto"/>
        </w:rPr>
      </w:pPr>
      <w:r>
        <w:rPr>
          <w:rFonts w:ascii="Arial" w:cs="Arial" w:eastAsia="Arial" w:hAnsi="Arial"/>
          <w:sz w:val="16"/>
          <w:szCs w:val="16"/>
          <w:color w:val="333333"/>
        </w:rPr>
        <w:t>For 2024, we have provided the CEO with long-term incentive awards that have multi-year vesting schedules.</w:t>
      </w:r>
    </w:p>
    <w:p>
      <w:pPr>
        <w:spacing w:after="0" w:line="142" w:lineRule="exact"/>
        <w:rPr>
          <w:sz w:val="20"/>
          <w:szCs w:val="20"/>
          <w:color w:val="auto"/>
        </w:rPr>
      </w:pPr>
    </w:p>
    <w:p>
      <w:pPr>
        <w:ind w:right="960"/>
        <w:spacing w:after="0" w:line="259" w:lineRule="auto"/>
        <w:rPr>
          <w:sz w:val="20"/>
          <w:szCs w:val="20"/>
          <w:color w:val="auto"/>
        </w:rPr>
      </w:pPr>
      <w:r>
        <w:rPr>
          <w:rFonts w:ascii="Arial" w:cs="Arial" w:eastAsia="Arial" w:hAnsi="Arial"/>
          <w:sz w:val="16"/>
          <w:szCs w:val="16"/>
          <w:color w:val="333333"/>
        </w:rPr>
        <w:t>For 2024, we ensured more than 50% of all NEO long-term compensation in the aggregate is performance-based. As noted above, the majority of most NEOs’ long-term incentive grant value in 2023 was similarly tied to the achievement of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19050</wp:posOffset>
            </wp:positionV>
            <wp:extent cx="5554980" cy="4286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554980" cy="428625"/>
                    </a:xfrm>
                    <a:prstGeom prst="rect">
                      <a:avLst/>
                    </a:prstGeom>
                    <a:noFill/>
                  </pic:spPr>
                </pic:pic>
              </a:graphicData>
            </a:graphic>
          </wp:anchor>
        </w:drawing>
      </w:r>
    </w:p>
    <w:p>
      <w:pPr>
        <w:spacing w:after="0" w:line="144" w:lineRule="exact"/>
        <w:rPr>
          <w:sz w:val="20"/>
          <w:szCs w:val="20"/>
          <w:color w:val="auto"/>
        </w:rPr>
      </w:pPr>
    </w:p>
    <w:p>
      <w:pPr>
        <w:ind w:right="1040"/>
        <w:spacing w:after="0" w:line="286" w:lineRule="auto"/>
        <w:rPr>
          <w:sz w:val="20"/>
          <w:szCs w:val="20"/>
          <w:color w:val="auto"/>
        </w:rPr>
      </w:pPr>
      <w:r>
        <w:rPr>
          <w:rFonts w:ascii="Arial" w:cs="Arial" w:eastAsia="Arial" w:hAnsi="Arial"/>
          <w:sz w:val="16"/>
          <w:szCs w:val="16"/>
          <w:color w:val="333333"/>
        </w:rPr>
        <w:t>For 2024, a portion of long-term compensation has a measurement period of three years.</w:t>
      </w:r>
    </w:p>
    <w:p>
      <w:pPr>
        <w:spacing w:after="0" w:line="142" w:lineRule="exact"/>
        <w:rPr>
          <w:sz w:val="20"/>
          <w:szCs w:val="20"/>
          <w:color w:val="auto"/>
        </w:rPr>
      </w:pPr>
    </w:p>
    <w:p>
      <w:pPr>
        <w:ind w:right="960"/>
        <w:spacing w:after="0" w:line="251" w:lineRule="auto"/>
        <w:rPr>
          <w:sz w:val="20"/>
          <w:szCs w:val="20"/>
          <w:color w:val="auto"/>
        </w:rPr>
      </w:pPr>
      <w:r>
        <w:rPr>
          <w:rFonts w:ascii="Arial" w:cs="Arial" w:eastAsia="Arial" w:hAnsi="Arial"/>
          <w:sz w:val="16"/>
          <w:szCs w:val="16"/>
          <w:color w:val="333333"/>
        </w:rPr>
        <w:t>Our long-term incentives are granted 100% in the form of equity-based awards that are settled in the form of shares. In addition, a portion of our NEOs’ targeted annual incentive opportunities are tied to the achievement of preestablished financial metrics that directly contribute to longer-term shareholder value creation. Demonstrating our commitment to aligning NEOs’ incentive earnings with shareholder value creation, in 2023, despite strong annual incentive program formulaic results, the compensation committee used negative discretion to reduce cash payouts under the annual incentive to $0 considering the totality of 2023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23495</wp:posOffset>
            </wp:positionV>
            <wp:extent cx="5554980" cy="1148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54980" cy="1148715"/>
                    </a:xfrm>
                    <a:prstGeom prst="rect">
                      <a:avLst/>
                    </a:prstGeom>
                    <a:noFill/>
                  </pic:spPr>
                </pic:pic>
              </a:graphicData>
            </a:graphic>
          </wp:anchor>
        </w:drawing>
      </w:r>
    </w:p>
    <w:p>
      <w:pPr>
        <w:spacing w:after="0" w:line="57" w:lineRule="exact"/>
        <w:rPr>
          <w:sz w:val="20"/>
          <w:szCs w:val="20"/>
          <w:color w:val="auto"/>
        </w:rPr>
      </w:pPr>
    </w:p>
    <w:p>
      <w:pPr>
        <w:ind w:right="900"/>
        <w:spacing w:after="0" w:line="251" w:lineRule="auto"/>
        <w:rPr>
          <w:sz w:val="20"/>
          <w:szCs w:val="20"/>
          <w:color w:val="auto"/>
        </w:rPr>
      </w:pPr>
      <w:r>
        <w:rPr>
          <w:rFonts w:ascii="Arial" w:cs="Arial" w:eastAsia="Arial" w:hAnsi="Arial"/>
          <w:sz w:val="16"/>
          <w:szCs w:val="16"/>
          <w:color w:val="333333"/>
        </w:rPr>
        <w:t>We continue to believe the performance metrics we have chosen under our annual incentive and long-term incentive arrangements are directly aligned with the creation of shareholder value, and are therefore the most appropriate metrics in the near-term. We have considered the use of relative total shareholder return (“TSR”), but have found that that there are too few companies in our direct operating space that present the opportunity for reliable and statistically relevant comparisons of TSR over a three-year period. We intend to continue to review the possibility of adding relative TSR as a metric in coming years, and are receptive to doing so in the event that reliable comparisons are available.</w:t>
      </w:r>
    </w:p>
    <w:p>
      <w:pPr>
        <w:spacing w:after="0" w:line="172" w:lineRule="exact"/>
        <w:rPr>
          <w:sz w:val="20"/>
          <w:szCs w:val="20"/>
          <w:color w:val="auto"/>
        </w:rPr>
      </w:pPr>
    </w:p>
    <w:p>
      <w:pPr>
        <w:ind w:right="900"/>
        <w:spacing w:after="0" w:line="256" w:lineRule="auto"/>
        <w:rPr>
          <w:sz w:val="20"/>
          <w:szCs w:val="20"/>
          <w:color w:val="auto"/>
        </w:rPr>
      </w:pPr>
      <w:r>
        <w:rPr>
          <w:rFonts w:ascii="Arial" w:cs="Arial" w:eastAsia="Arial" w:hAnsi="Arial"/>
          <w:sz w:val="16"/>
          <w:szCs w:val="16"/>
          <w:color w:val="333333"/>
        </w:rPr>
        <w:t>In direct response to shareholder input, we have substantially enhanced our disclosure of our incentive metrics in this year’s Proxy Statement. As noted throughout this Proxy Statement, a portion of our NEOs’ annual incentives and long-term incentives are tied to the achievement of the financial and operating metrics that best align with shareholder value creation.</w:t>
      </w:r>
    </w:p>
    <w:p>
      <w:pPr>
        <w:spacing w:after="0" w:line="292" w:lineRule="exact"/>
        <w:rPr>
          <w:sz w:val="20"/>
          <w:szCs w:val="20"/>
          <w:color w:val="auto"/>
        </w:rPr>
      </w:pPr>
    </w:p>
    <w:p>
      <w:pPr>
        <w:sectPr>
          <w:pgSz w:w="11900" w:h="16838" w:orient="portrait"/>
          <w:cols w:equalWidth="0" w:num="2">
            <w:col w:w="2900" w:space="200"/>
            <w:col w:w="6940"/>
          </w:cols>
          <w:pgMar w:left="920" w:top="114" w:right="939" w:bottom="1440" w:gutter="0" w:footer="0" w:header="0"/>
          <w:type w:val="continuous"/>
        </w:sectPr>
      </w:pPr>
    </w:p>
    <w:p>
      <w:pPr>
        <w:spacing w:after="0" w:line="50" w:lineRule="exact"/>
        <w:rPr>
          <w:sz w:val="20"/>
          <w:szCs w:val="20"/>
          <w:color w:val="auto"/>
        </w:rPr>
      </w:pPr>
    </w:p>
    <w:p>
      <w:pPr>
        <w:ind w:left="7300"/>
        <w:spacing w:after="0"/>
        <w:rPr>
          <w:sz w:val="20"/>
          <w:szCs w:val="20"/>
          <w:color w:val="auto"/>
        </w:rPr>
      </w:pPr>
      <w:r>
        <w:rPr>
          <w:rFonts w:ascii="Arial" w:cs="Arial" w:eastAsia="Arial" w:hAnsi="Arial"/>
          <w:sz w:val="10"/>
          <w:szCs w:val="10"/>
          <w:color w:val="333333"/>
        </w:rPr>
        <w:t xml:space="preserve">2024 Notice of Annual Meeting &amp; Proxy Statement      </w:t>
      </w:r>
      <w:r>
        <w:rPr>
          <w:rFonts w:ascii="Arial" w:cs="Arial" w:eastAsia="Arial" w:hAnsi="Arial"/>
          <w:sz w:val="10"/>
          <w:szCs w:val="10"/>
          <w:b w:val="1"/>
          <w:bCs w:val="1"/>
          <w:color w:val="333333"/>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CF1D4C"/>
        </w:rPr>
        <w:t>COMPENSATION DISCUSSION AND ANALYSIS</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2019-2023 CEO Equity Compensation</w:t>
      </w:r>
    </w:p>
    <w:p>
      <w:pPr>
        <w:spacing w:after="0" w:line="216" w:lineRule="exact"/>
        <w:rPr>
          <w:sz w:val="20"/>
          <w:szCs w:val="20"/>
          <w:color w:val="auto"/>
        </w:rPr>
      </w:pPr>
    </w:p>
    <w:p>
      <w:pPr>
        <w:ind w:left="660" w:right="100"/>
        <w:spacing w:after="0" w:line="252" w:lineRule="auto"/>
        <w:rPr>
          <w:sz w:val="20"/>
          <w:szCs w:val="20"/>
          <w:color w:val="auto"/>
        </w:rPr>
      </w:pPr>
      <w:r>
        <w:rPr>
          <w:rFonts w:ascii="Arial" w:cs="Arial" w:eastAsia="Arial" w:hAnsi="Arial"/>
          <w:sz w:val="16"/>
          <w:szCs w:val="16"/>
          <w:color w:val="333333"/>
        </w:rPr>
        <w:t>During the five-year period of 2019-2023, our CEO, Mr. Clarke has been granted two long-term equity compensation awards, which provided Mr. Clarke's entire long-term incentive opportunity covering the grant years of 2019 through 2023. This aggregate grant value was calibrated to offer a competitive overall long-term award opportunity for these five years, generally commensurate with peer practices. Those two grants consisted of:</w:t>
      </w:r>
    </w:p>
    <w:p>
      <w:pPr>
        <w:spacing w:after="0" w:line="156" w:lineRule="exact"/>
        <w:rPr>
          <w:sz w:val="20"/>
          <w:szCs w:val="20"/>
          <w:color w:val="auto"/>
        </w:rPr>
      </w:pPr>
    </w:p>
    <w:p>
      <w:pPr>
        <w:ind w:left="880" w:right="180" w:hanging="228"/>
        <w:spacing w:after="0"/>
        <w:rPr>
          <w:sz w:val="20"/>
          <w:szCs w:val="20"/>
          <w:color w:val="auto"/>
        </w:rPr>
      </w:pPr>
      <w:r>
        <w:rPr>
          <w:sz w:val="1"/>
          <w:szCs w:val="1"/>
          <w:color w:val="auto"/>
        </w:rPr>
        <w:drawing>
          <wp:inline distT="0" distB="0" distL="0" distR="0">
            <wp:extent cx="76835" cy="9398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In 2019, 25,000 performance shares with a grant date fair value of $9,473,750; and</w:t>
      </w:r>
    </w:p>
    <w:p>
      <w:pPr>
        <w:jc w:val="both"/>
        <w:ind w:left="880" w:right="60" w:hanging="228"/>
        <w:spacing w:after="0"/>
        <w:rPr>
          <w:sz w:val="20"/>
          <w:szCs w:val="20"/>
          <w:color w:val="auto"/>
        </w:rPr>
      </w:pPr>
      <w:r>
        <w:rPr>
          <w:sz w:val="1"/>
          <w:szCs w:val="1"/>
          <w:color w:val="auto"/>
        </w:rPr>
        <w:drawing>
          <wp:inline distT="0" distB="0" distL="0" distR="0">
            <wp:extent cx="76835" cy="9461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94615"/>
                    </a:xfrm>
                    <a:prstGeom prst="rect">
                      <a:avLst/>
                    </a:prstGeom>
                    <a:noFill/>
                    <a:ln>
                      <a:noFill/>
                    </a:ln>
                  </pic:spPr>
                </pic:pic>
              </a:graphicData>
            </a:graphic>
          </wp:inline>
        </w:drawing>
      </w:r>
      <w:r>
        <w:rPr>
          <w:rFonts w:ascii="Arial" w:cs="Arial" w:eastAsia="Arial" w:hAnsi="Arial"/>
          <w:sz w:val="16"/>
          <w:szCs w:val="16"/>
          <w:color w:val="333333"/>
        </w:rPr>
        <w:t>  In 2021, 850,000 performance-based stock options with stock price hurdles of $350 and $400, with a grant date fair value of $55,556,000.</w:t>
      </w:r>
    </w:p>
    <w:p>
      <w:pPr>
        <w:spacing w:after="0" w:line="150" w:lineRule="exact"/>
        <w:rPr>
          <w:sz w:val="20"/>
          <w:szCs w:val="20"/>
          <w:color w:val="auto"/>
        </w:rPr>
      </w:pPr>
    </w:p>
    <w:p>
      <w:pPr>
        <w:ind w:left="660" w:right="320"/>
        <w:spacing w:after="0" w:line="286" w:lineRule="auto"/>
        <w:rPr>
          <w:sz w:val="20"/>
          <w:szCs w:val="20"/>
          <w:color w:val="auto"/>
        </w:rPr>
      </w:pPr>
      <w:r>
        <w:rPr>
          <w:rFonts w:ascii="Arial" w:cs="Arial" w:eastAsia="Arial" w:hAnsi="Arial"/>
          <w:sz w:val="16"/>
          <w:szCs w:val="16"/>
          <w:color w:val="333333"/>
        </w:rPr>
        <w:t>Mr. Clarke received no long-term equity grants in 2020, 2022 or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19"/>
        <w:spacing w:after="0" w:line="266" w:lineRule="auto"/>
        <w:rPr>
          <w:sz w:val="20"/>
          <w:szCs w:val="20"/>
          <w:color w:val="auto"/>
        </w:rPr>
      </w:pPr>
      <w:r>
        <w:rPr>
          <w:rFonts w:ascii="Arial" w:cs="Arial" w:eastAsia="Arial" w:hAnsi="Arial"/>
          <w:sz w:val="16"/>
          <w:szCs w:val="16"/>
          <w:color w:val="auto"/>
        </w:rPr>
        <w:t>As of April 11, 2024, Mr. Clarke has realized $0 in compensation from his 2019 and 2021 long-term equity awards (see table below):</w:t>
      </w:r>
    </w:p>
    <w:p>
      <w:pPr>
        <w:spacing w:after="0" w:line="144" w:lineRule="exact"/>
        <w:rPr>
          <w:sz w:val="20"/>
          <w:szCs w:val="20"/>
          <w:color w:val="auto"/>
        </w:rPr>
      </w:pPr>
    </w:p>
    <w:p>
      <w:pPr>
        <w:ind w:left="240" w:right="279" w:hanging="233"/>
        <w:spacing w:after="0"/>
        <w:rPr>
          <w:sz w:val="20"/>
          <w:szCs w:val="20"/>
          <w:color w:val="auto"/>
        </w:rPr>
      </w:pPr>
      <w:r>
        <w:rPr>
          <w:sz w:val="1"/>
          <w:szCs w:val="1"/>
          <w:color w:val="auto"/>
        </w:rPr>
        <w:drawing>
          <wp:inline distT="0" distB="0" distL="0" distR="0">
            <wp:extent cx="77470" cy="9398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The 25,000 performance shares from 2019 have been forfeited; and</w:t>
      </w:r>
    </w:p>
    <w:p>
      <w:pPr>
        <w:ind w:left="240" w:right="179" w:hanging="233"/>
        <w:spacing w:after="0"/>
        <w:rPr>
          <w:sz w:val="20"/>
          <w:szCs w:val="20"/>
          <w:color w:val="auto"/>
        </w:rPr>
      </w:pPr>
      <w:r>
        <w:rPr>
          <w:sz w:val="1"/>
          <w:szCs w:val="1"/>
          <w:color w:val="auto"/>
        </w:rPr>
        <w:drawing>
          <wp:inline distT="0" distB="0" distL="0" distR="0">
            <wp:extent cx="77470" cy="9398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Neither stock price hurdle has been met for the award of 850,000 performance stock options from 2021, so no portion of the award has vested.</w:t>
      </w:r>
    </w:p>
    <w:p>
      <w:pPr>
        <w:spacing w:after="0" w:line="150" w:lineRule="exact"/>
        <w:rPr>
          <w:sz w:val="20"/>
          <w:szCs w:val="20"/>
          <w:color w:val="auto"/>
        </w:rPr>
      </w:pPr>
    </w:p>
    <w:p>
      <w:pPr>
        <w:ind w:right="199"/>
        <w:spacing w:after="0" w:line="254" w:lineRule="auto"/>
        <w:rPr>
          <w:sz w:val="20"/>
          <w:szCs w:val="20"/>
          <w:color w:val="auto"/>
        </w:rPr>
      </w:pPr>
      <w:r>
        <w:rPr>
          <w:rFonts w:ascii="Arial" w:cs="Arial" w:eastAsia="Arial" w:hAnsi="Arial"/>
          <w:sz w:val="16"/>
          <w:szCs w:val="16"/>
          <w:color w:val="auto"/>
        </w:rPr>
        <w:t>Meanwhile, the profit performance of the Company since 2019 has increased from $11.79 Adjusted EPS to $16.92 Adjusted EPS for 2023. This suggests significantly better Company profit performance, than “equity compensation realized” for Mr. Clarke under long-term equity awards that were granted during the same five-year period.</w:t>
      </w:r>
    </w:p>
    <w:p>
      <w:pPr>
        <w:spacing w:after="0" w:line="415" w:lineRule="exact"/>
        <w:rPr>
          <w:sz w:val="20"/>
          <w:szCs w:val="20"/>
          <w:color w:val="auto"/>
        </w:rPr>
      </w:pPr>
    </w:p>
    <w:p>
      <w:pPr>
        <w:sectPr>
          <w:pgSz w:w="11900" w:h="16838" w:orient="portrait"/>
          <w:cols w:equalWidth="0" w:num="2">
            <w:col w:w="4920" w:space="220"/>
            <w:col w:w="4399"/>
          </w:cols>
          <w:pgMar w:left="920" w:top="114" w:right="1440" w:bottom="1440" w:gutter="0" w:footer="0" w:header="0"/>
        </w:sectPr>
      </w:pPr>
    </w:p>
    <w:p>
      <w:pPr>
        <w:spacing w:after="0" w:line="63"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CEO Long-Term Equity Compensation Awards – 2019 through 2023</w:t>
      </w:r>
      <w:r>
        <w:rPr>
          <w:rFonts w:ascii="Arial" w:cs="Arial" w:eastAsia="Arial" w:hAnsi="Arial"/>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22860</wp:posOffset>
            </wp:positionV>
            <wp:extent cx="5554980" cy="8318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554980" cy="831850"/>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tbl>
      <w:tblPr>
        <w:tblLayout w:type="fixed"/>
        <w:tblInd w:w="820" w:type="dxa"/>
        <w:tblCellMar>
          <w:top w:w="0" w:type="dxa"/>
          <w:left w:w="0" w:type="dxa"/>
          <w:bottom w:w="0" w:type="dxa"/>
          <w:right w:w="0" w:type="dxa"/>
        </w:tblCellMar>
      </w:tblPr>
      <w:tr>
        <w:trPr>
          <w:trHeight w:val="189"/>
        </w:trPr>
        <w:tc>
          <w:tcPr>
            <w:tcW w:w="1000" w:type="dxa"/>
            <w:vAlign w:val="bottom"/>
            <w:vMerge w:val="restart"/>
          </w:tcPr>
          <w:p>
            <w:pPr>
              <w:spacing w:after="0"/>
              <w:rPr>
                <w:sz w:val="20"/>
                <w:szCs w:val="20"/>
                <w:color w:val="auto"/>
              </w:rPr>
            </w:pPr>
            <w:r>
              <w:rPr>
                <w:rFonts w:ascii="Arial" w:cs="Arial" w:eastAsia="Arial" w:hAnsi="Arial"/>
                <w:sz w:val="16"/>
                <w:szCs w:val="16"/>
                <w:b w:val="1"/>
                <w:bCs w:val="1"/>
                <w:color w:val="FFFFFF"/>
              </w:rPr>
              <w:t>Fiscal Year</w:t>
            </w:r>
          </w:p>
        </w:tc>
        <w:tc>
          <w:tcPr>
            <w:tcW w:w="1520" w:type="dxa"/>
            <w:vAlign w:val="bottom"/>
            <w:vMerge w:val="restart"/>
          </w:tcPr>
          <w:p>
            <w:pPr>
              <w:ind w:left="160"/>
              <w:spacing w:after="0"/>
              <w:rPr>
                <w:sz w:val="20"/>
                <w:szCs w:val="20"/>
                <w:color w:val="auto"/>
              </w:rPr>
            </w:pPr>
            <w:r>
              <w:rPr>
                <w:rFonts w:ascii="Arial" w:cs="Arial" w:eastAsia="Arial" w:hAnsi="Arial"/>
                <w:sz w:val="16"/>
                <w:szCs w:val="16"/>
                <w:b w:val="1"/>
                <w:bCs w:val="1"/>
                <w:color w:val="FFFFFF"/>
              </w:rPr>
              <w:t>Award Type</w:t>
            </w:r>
          </w:p>
        </w:tc>
        <w:tc>
          <w:tcPr>
            <w:tcW w:w="940" w:type="dxa"/>
            <w:vAlign w:val="bottom"/>
          </w:tcPr>
          <w:p>
            <w:pPr>
              <w:ind w:left="360"/>
              <w:spacing w:after="0"/>
              <w:rPr>
                <w:sz w:val="20"/>
                <w:szCs w:val="20"/>
                <w:color w:val="auto"/>
              </w:rPr>
            </w:pPr>
            <w:r>
              <w:rPr>
                <w:rFonts w:ascii="Arial" w:cs="Arial" w:eastAsia="Arial" w:hAnsi="Arial"/>
                <w:sz w:val="16"/>
                <w:szCs w:val="16"/>
                <w:b w:val="1"/>
                <w:bCs w:val="1"/>
                <w:color w:val="FFFFFF"/>
              </w:rPr>
              <w:t>Target</w:t>
            </w: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940" w:type="dxa"/>
            <w:vAlign w:val="bottom"/>
            <w:vMerge w:val="restart"/>
          </w:tcPr>
          <w:p>
            <w:pPr>
              <w:ind w:left="360"/>
              <w:spacing w:after="0"/>
              <w:rPr>
                <w:sz w:val="20"/>
                <w:szCs w:val="20"/>
                <w:color w:val="auto"/>
              </w:rPr>
            </w:pPr>
            <w:r>
              <w:rPr>
                <w:rFonts w:ascii="Arial" w:cs="Arial" w:eastAsia="Arial" w:hAnsi="Arial"/>
                <w:sz w:val="16"/>
                <w:szCs w:val="16"/>
                <w:b w:val="1"/>
                <w:bCs w:val="1"/>
                <w:color w:val="FFFFFF"/>
              </w:rPr>
              <w:t>Award</w:t>
            </w:r>
          </w:p>
        </w:tc>
        <w:tc>
          <w:tcPr>
            <w:tcW w:w="0" w:type="dxa"/>
            <w:vAlign w:val="bottom"/>
          </w:tcPr>
          <w:p>
            <w:pPr>
              <w:spacing w:after="0"/>
              <w:rPr>
                <w:sz w:val="1"/>
                <w:szCs w:val="1"/>
                <w:color w:val="auto"/>
              </w:rPr>
            </w:pPr>
          </w:p>
        </w:tc>
      </w:tr>
      <w:tr>
        <w:trPr>
          <w:trHeight w:val="94"/>
        </w:trPr>
        <w:tc>
          <w:tcPr>
            <w:tcW w:w="10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4"/>
        </w:trPr>
        <w:tc>
          <w:tcPr>
            <w:tcW w:w="1000" w:type="dxa"/>
            <w:vAlign w:val="bottom"/>
            <w:vMerge w:val="restart"/>
          </w:tcPr>
          <w:p>
            <w:pPr>
              <w:spacing w:after="0"/>
              <w:rPr>
                <w:sz w:val="20"/>
                <w:szCs w:val="20"/>
                <w:color w:val="auto"/>
              </w:rPr>
            </w:pPr>
            <w:r>
              <w:rPr>
                <w:rFonts w:ascii="Arial" w:cs="Arial" w:eastAsia="Arial" w:hAnsi="Arial"/>
                <w:sz w:val="16"/>
                <w:szCs w:val="16"/>
                <w:color w:val="333333"/>
              </w:rPr>
              <w:t>2019</w:t>
            </w:r>
          </w:p>
        </w:tc>
        <w:tc>
          <w:tcPr>
            <w:tcW w:w="1520" w:type="dxa"/>
            <w:vAlign w:val="bottom"/>
          </w:tcPr>
          <w:p>
            <w:pPr>
              <w:ind w:left="160"/>
              <w:spacing w:after="0"/>
              <w:rPr>
                <w:sz w:val="20"/>
                <w:szCs w:val="20"/>
                <w:color w:val="auto"/>
              </w:rPr>
            </w:pPr>
            <w:r>
              <w:rPr>
                <w:rFonts w:ascii="Arial" w:cs="Arial" w:eastAsia="Arial" w:hAnsi="Arial"/>
                <w:sz w:val="16"/>
                <w:szCs w:val="16"/>
                <w:color w:val="333333"/>
              </w:rPr>
              <w:t>Performance</w:t>
            </w:r>
          </w:p>
        </w:tc>
        <w:tc>
          <w:tcPr>
            <w:tcW w:w="940" w:type="dxa"/>
            <w:vAlign w:val="bottom"/>
            <w:vMerge w:val="restart"/>
          </w:tcPr>
          <w:p>
            <w:pPr>
              <w:ind w:left="360"/>
              <w:spacing w:after="0"/>
              <w:rPr>
                <w:sz w:val="20"/>
                <w:szCs w:val="20"/>
                <w:color w:val="auto"/>
              </w:rPr>
            </w:pPr>
            <w:r>
              <w:rPr>
                <w:rFonts w:ascii="Arial" w:cs="Arial" w:eastAsia="Arial" w:hAnsi="Arial"/>
                <w:sz w:val="16"/>
                <w:szCs w:val="16"/>
                <w:color w:val="333333"/>
              </w:rPr>
              <w:t>25,000</w:t>
            </w:r>
          </w:p>
        </w:tc>
        <w:tc>
          <w:tcPr>
            <w:tcW w:w="0" w:type="dxa"/>
            <w:vAlign w:val="bottom"/>
          </w:tcPr>
          <w:p>
            <w:pPr>
              <w:spacing w:after="0"/>
              <w:rPr>
                <w:sz w:val="1"/>
                <w:szCs w:val="1"/>
                <w:color w:val="auto"/>
              </w:rPr>
            </w:pPr>
          </w:p>
        </w:tc>
      </w:tr>
      <w:tr>
        <w:trPr>
          <w:trHeight w:val="120"/>
        </w:trPr>
        <w:tc>
          <w:tcPr>
            <w:tcW w:w="1000" w:type="dxa"/>
            <w:vAlign w:val="bottom"/>
            <w:vMerge w:val="continue"/>
          </w:tcPr>
          <w:p>
            <w:pPr>
              <w:spacing w:after="0"/>
              <w:rPr>
                <w:sz w:val="10"/>
                <w:szCs w:val="10"/>
                <w:color w:val="auto"/>
              </w:rPr>
            </w:pPr>
          </w:p>
        </w:tc>
        <w:tc>
          <w:tcPr>
            <w:tcW w:w="1520" w:type="dxa"/>
            <w:vAlign w:val="bottom"/>
            <w:vMerge w:val="restart"/>
          </w:tcPr>
          <w:p>
            <w:pPr>
              <w:ind w:left="160"/>
              <w:spacing w:after="0"/>
              <w:rPr>
                <w:sz w:val="20"/>
                <w:szCs w:val="20"/>
                <w:color w:val="auto"/>
              </w:rPr>
            </w:pPr>
            <w:r>
              <w:rPr>
                <w:rFonts w:ascii="Arial" w:cs="Arial" w:eastAsia="Arial" w:hAnsi="Arial"/>
                <w:sz w:val="16"/>
                <w:szCs w:val="16"/>
                <w:color w:val="333333"/>
              </w:rPr>
              <w:t>Shares</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3"/>
        </w:trPr>
        <w:tc>
          <w:tcPr>
            <w:tcW w:w="1000" w:type="dxa"/>
            <w:vAlign w:val="bottom"/>
          </w:tcPr>
          <w:p>
            <w:pPr>
              <w:spacing w:after="0"/>
              <w:rPr>
                <w:sz w:val="20"/>
                <w:szCs w:val="20"/>
                <w:color w:val="auto"/>
              </w:rPr>
            </w:pPr>
            <w:r>
              <w:rPr>
                <w:rFonts w:ascii="Arial" w:cs="Arial" w:eastAsia="Arial" w:hAnsi="Arial"/>
                <w:sz w:val="16"/>
                <w:szCs w:val="16"/>
                <w:color w:val="333333"/>
              </w:rPr>
              <w:t>2020</w:t>
            </w:r>
          </w:p>
        </w:tc>
        <w:tc>
          <w:tcPr>
            <w:tcW w:w="1520" w:type="dxa"/>
            <w:vAlign w:val="bottom"/>
          </w:tcPr>
          <w:p>
            <w:pPr>
              <w:ind w:left="160"/>
              <w:spacing w:after="0"/>
              <w:rPr>
                <w:sz w:val="20"/>
                <w:szCs w:val="20"/>
                <w:color w:val="auto"/>
              </w:rPr>
            </w:pPr>
            <w:r>
              <w:rPr>
                <w:rFonts w:ascii="Arial" w:cs="Arial" w:eastAsia="Arial" w:hAnsi="Arial"/>
                <w:sz w:val="16"/>
                <w:szCs w:val="16"/>
                <w:color w:val="333333"/>
              </w:rPr>
              <w:t>NONE</w:t>
            </w:r>
          </w:p>
        </w:tc>
        <w:tc>
          <w:tcPr>
            <w:tcW w:w="940" w:type="dxa"/>
            <w:vAlign w:val="bottom"/>
          </w:tcPr>
          <w:p>
            <w:pPr>
              <w:ind w:left="36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487"/>
        </w:trPr>
        <w:tc>
          <w:tcPr>
            <w:tcW w:w="1000" w:type="dxa"/>
            <w:vAlign w:val="bottom"/>
            <w:vMerge w:val="restart"/>
          </w:tcPr>
          <w:p>
            <w:pPr>
              <w:spacing w:after="0"/>
              <w:rPr>
                <w:sz w:val="20"/>
                <w:szCs w:val="20"/>
                <w:color w:val="auto"/>
              </w:rPr>
            </w:pPr>
            <w:r>
              <w:rPr>
                <w:rFonts w:ascii="Arial" w:cs="Arial" w:eastAsia="Arial" w:hAnsi="Arial"/>
                <w:sz w:val="16"/>
                <w:szCs w:val="16"/>
                <w:color w:val="333333"/>
              </w:rPr>
              <w:t>2021</w:t>
            </w:r>
          </w:p>
        </w:tc>
        <w:tc>
          <w:tcPr>
            <w:tcW w:w="1520" w:type="dxa"/>
            <w:vAlign w:val="bottom"/>
          </w:tcPr>
          <w:p>
            <w:pPr>
              <w:ind w:left="160"/>
              <w:spacing w:after="0"/>
              <w:rPr>
                <w:sz w:val="20"/>
                <w:szCs w:val="20"/>
                <w:color w:val="auto"/>
              </w:rPr>
            </w:pPr>
            <w:r>
              <w:rPr>
                <w:rFonts w:ascii="Arial" w:cs="Arial" w:eastAsia="Arial" w:hAnsi="Arial"/>
                <w:sz w:val="16"/>
                <w:szCs w:val="16"/>
                <w:color w:val="333333"/>
              </w:rPr>
              <w:t>Performance</w:t>
            </w:r>
          </w:p>
        </w:tc>
        <w:tc>
          <w:tcPr>
            <w:tcW w:w="940" w:type="dxa"/>
            <w:vAlign w:val="bottom"/>
            <w:vMerge w:val="restart"/>
          </w:tcPr>
          <w:p>
            <w:pPr>
              <w:ind w:left="360"/>
              <w:spacing w:after="0"/>
              <w:rPr>
                <w:sz w:val="20"/>
                <w:szCs w:val="20"/>
                <w:color w:val="auto"/>
              </w:rPr>
            </w:pPr>
            <w:r>
              <w:rPr>
                <w:rFonts w:ascii="Arial" w:cs="Arial" w:eastAsia="Arial" w:hAnsi="Arial"/>
                <w:sz w:val="16"/>
                <w:szCs w:val="16"/>
                <w:color w:val="333333"/>
                <w:w w:val="96"/>
              </w:rPr>
              <w:t>850,000</w:t>
            </w:r>
          </w:p>
        </w:tc>
        <w:tc>
          <w:tcPr>
            <w:tcW w:w="0" w:type="dxa"/>
            <w:vAlign w:val="bottom"/>
          </w:tcPr>
          <w:p>
            <w:pPr>
              <w:spacing w:after="0"/>
              <w:rPr>
                <w:sz w:val="1"/>
                <w:szCs w:val="1"/>
                <w:color w:val="auto"/>
              </w:rPr>
            </w:pPr>
          </w:p>
        </w:tc>
      </w:tr>
      <w:tr>
        <w:trPr>
          <w:trHeight w:val="120"/>
        </w:trPr>
        <w:tc>
          <w:tcPr>
            <w:tcW w:w="1000" w:type="dxa"/>
            <w:vAlign w:val="bottom"/>
            <w:vMerge w:val="continue"/>
          </w:tcPr>
          <w:p>
            <w:pPr>
              <w:spacing w:after="0"/>
              <w:rPr>
                <w:sz w:val="10"/>
                <w:szCs w:val="10"/>
                <w:color w:val="auto"/>
              </w:rPr>
            </w:pPr>
          </w:p>
        </w:tc>
        <w:tc>
          <w:tcPr>
            <w:tcW w:w="1520" w:type="dxa"/>
            <w:vAlign w:val="bottom"/>
            <w:vMerge w:val="restart"/>
          </w:tcPr>
          <w:p>
            <w:pPr>
              <w:ind w:left="160"/>
              <w:spacing w:after="0"/>
              <w:rPr>
                <w:sz w:val="20"/>
                <w:szCs w:val="20"/>
                <w:color w:val="auto"/>
              </w:rPr>
            </w:pPr>
            <w:r>
              <w:rPr>
                <w:rFonts w:ascii="Arial" w:cs="Arial" w:eastAsia="Arial" w:hAnsi="Arial"/>
                <w:sz w:val="16"/>
                <w:szCs w:val="16"/>
                <w:color w:val="333333"/>
              </w:rPr>
              <w:t>Stock Options</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3"/>
        </w:trPr>
        <w:tc>
          <w:tcPr>
            <w:tcW w:w="1000" w:type="dxa"/>
            <w:vAlign w:val="bottom"/>
          </w:tcPr>
          <w:p>
            <w:pPr>
              <w:spacing w:after="0"/>
              <w:rPr>
                <w:sz w:val="20"/>
                <w:szCs w:val="20"/>
                <w:color w:val="auto"/>
              </w:rPr>
            </w:pPr>
            <w:r>
              <w:rPr>
                <w:rFonts w:ascii="Arial" w:cs="Arial" w:eastAsia="Arial" w:hAnsi="Arial"/>
                <w:sz w:val="16"/>
                <w:szCs w:val="16"/>
                <w:color w:val="333333"/>
              </w:rPr>
              <w:t>2022</w:t>
            </w:r>
          </w:p>
        </w:tc>
        <w:tc>
          <w:tcPr>
            <w:tcW w:w="1520" w:type="dxa"/>
            <w:vAlign w:val="bottom"/>
          </w:tcPr>
          <w:p>
            <w:pPr>
              <w:ind w:left="160"/>
              <w:spacing w:after="0"/>
              <w:rPr>
                <w:sz w:val="20"/>
                <w:szCs w:val="20"/>
                <w:color w:val="auto"/>
              </w:rPr>
            </w:pPr>
            <w:r>
              <w:rPr>
                <w:rFonts w:ascii="Arial" w:cs="Arial" w:eastAsia="Arial" w:hAnsi="Arial"/>
                <w:sz w:val="16"/>
                <w:szCs w:val="16"/>
                <w:color w:val="333333"/>
              </w:rPr>
              <w:t>NONE</w:t>
            </w:r>
          </w:p>
        </w:tc>
        <w:tc>
          <w:tcPr>
            <w:tcW w:w="940" w:type="dxa"/>
            <w:vAlign w:val="bottom"/>
          </w:tcPr>
          <w:p>
            <w:pPr>
              <w:ind w:left="36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513"/>
        </w:trPr>
        <w:tc>
          <w:tcPr>
            <w:tcW w:w="1000" w:type="dxa"/>
            <w:vAlign w:val="bottom"/>
          </w:tcPr>
          <w:p>
            <w:pPr>
              <w:spacing w:after="0"/>
              <w:rPr>
                <w:sz w:val="20"/>
                <w:szCs w:val="20"/>
                <w:color w:val="auto"/>
              </w:rPr>
            </w:pPr>
            <w:r>
              <w:rPr>
                <w:rFonts w:ascii="Arial" w:cs="Arial" w:eastAsia="Arial" w:hAnsi="Arial"/>
                <w:sz w:val="16"/>
                <w:szCs w:val="16"/>
                <w:color w:val="333333"/>
              </w:rPr>
              <w:t>2023</w:t>
            </w:r>
          </w:p>
        </w:tc>
        <w:tc>
          <w:tcPr>
            <w:tcW w:w="1520" w:type="dxa"/>
            <w:vAlign w:val="bottom"/>
          </w:tcPr>
          <w:p>
            <w:pPr>
              <w:ind w:left="160"/>
              <w:spacing w:after="0"/>
              <w:rPr>
                <w:sz w:val="20"/>
                <w:szCs w:val="20"/>
                <w:color w:val="auto"/>
              </w:rPr>
            </w:pPr>
            <w:r>
              <w:rPr>
                <w:rFonts w:ascii="Arial" w:cs="Arial" w:eastAsia="Arial" w:hAnsi="Arial"/>
                <w:sz w:val="16"/>
                <w:szCs w:val="16"/>
                <w:color w:val="333333"/>
              </w:rPr>
              <w:t>NONE</w:t>
            </w:r>
          </w:p>
        </w:tc>
        <w:tc>
          <w:tcPr>
            <w:tcW w:w="940" w:type="dxa"/>
            <w:vAlign w:val="bottom"/>
          </w:tcPr>
          <w:p>
            <w:pPr>
              <w:ind w:left="36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left="660"/>
        <w:spacing w:after="0"/>
        <w:rPr>
          <w:sz w:val="20"/>
          <w:szCs w:val="20"/>
          <w:color w:val="auto"/>
        </w:rPr>
      </w:pPr>
      <w:r>
        <w:rPr>
          <w:rFonts w:ascii="Arial" w:cs="Arial" w:eastAsia="Arial" w:hAnsi="Arial"/>
          <w:sz w:val="16"/>
          <w:szCs w:val="16"/>
          <w:b w:val="1"/>
          <w:bCs w:val="1"/>
          <w:color w:val="auto"/>
        </w:rPr>
        <w:t>Total for 5-Year Period, as of April 11, 2024:</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20"/>
                <w:szCs w:val="20"/>
                <w:color w:val="auto"/>
              </w:rPr>
            </w:pPr>
            <w:r>
              <w:rPr>
                <w:rFonts w:ascii="Arial" w:cs="Arial" w:eastAsia="Arial" w:hAnsi="Arial"/>
                <w:sz w:val="16"/>
                <w:szCs w:val="16"/>
                <w:b w:val="1"/>
                <w:bCs w:val="1"/>
                <w:color w:val="FFFFFF"/>
              </w:rPr>
              <w:t>Grant Date Fair</w:t>
            </w:r>
          </w:p>
        </w:tc>
        <w:tc>
          <w:tcPr>
            <w:tcW w:w="1420" w:type="dxa"/>
            <w:vAlign w:val="bottom"/>
            <w:vMerge w:val="restart"/>
          </w:tcPr>
          <w:p>
            <w:pPr>
              <w:ind w:left="220"/>
              <w:spacing w:after="0"/>
              <w:rPr>
                <w:sz w:val="20"/>
                <w:szCs w:val="20"/>
                <w:color w:val="auto"/>
              </w:rPr>
            </w:pPr>
            <w:r>
              <w:rPr>
                <w:rFonts w:ascii="Arial" w:cs="Arial" w:eastAsia="Arial" w:hAnsi="Arial"/>
                <w:sz w:val="16"/>
                <w:szCs w:val="16"/>
                <w:b w:val="1"/>
                <w:bCs w:val="1"/>
                <w:color w:val="FFFFFF"/>
              </w:rPr>
              <w:t>Realized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FFFFFF"/>
              </w:rPr>
              <w:t>Value Reported</w:t>
            </w:r>
          </w:p>
        </w:tc>
        <w:tc>
          <w:tcPr>
            <w:tcW w:w="1420" w:type="dxa"/>
            <w:vAlign w:val="bottom"/>
            <w:vMerge w:val="continue"/>
          </w:tcPr>
          <w:p>
            <w:pPr>
              <w:spacing w:after="0"/>
              <w:rPr>
                <w:sz w:val="8"/>
                <w:szCs w:val="8"/>
                <w:color w:val="auto"/>
              </w:rPr>
            </w:pPr>
          </w:p>
        </w:tc>
        <w:tc>
          <w:tcPr>
            <w:tcW w:w="860" w:type="dxa"/>
            <w:vAlign w:val="bottom"/>
            <w:vMerge w:val="restart"/>
          </w:tcPr>
          <w:p>
            <w:pPr>
              <w:ind w:left="160"/>
              <w:spacing w:after="0"/>
              <w:rPr>
                <w:sz w:val="20"/>
                <w:szCs w:val="20"/>
                <w:color w:val="auto"/>
              </w:rPr>
            </w:pPr>
            <w:r>
              <w:rPr>
                <w:rFonts w:ascii="Arial" w:cs="Arial" w:eastAsia="Arial" w:hAnsi="Arial"/>
                <w:sz w:val="16"/>
                <w:szCs w:val="16"/>
                <w:b w:val="1"/>
                <w:bCs w:val="1"/>
                <w:color w:val="FFFFFF"/>
                <w:w w:val="99"/>
              </w:rPr>
              <w:t>Adjusted</w:t>
            </w:r>
          </w:p>
        </w:tc>
        <w:tc>
          <w:tcPr>
            <w:tcW w:w="0" w:type="dxa"/>
            <w:vAlign w:val="bottom"/>
          </w:tcPr>
          <w:p>
            <w:pPr>
              <w:spacing w:after="0"/>
              <w:rPr>
                <w:sz w:val="1"/>
                <w:szCs w:val="1"/>
                <w:color w:val="auto"/>
              </w:rPr>
            </w:pPr>
          </w:p>
        </w:tc>
      </w:tr>
      <w:tr>
        <w:trPr>
          <w:trHeight w:val="94"/>
        </w:trPr>
        <w:tc>
          <w:tcPr>
            <w:tcW w:w="1800" w:type="dxa"/>
            <w:vAlign w:val="bottom"/>
            <w:vMerge w:val="continue"/>
          </w:tcPr>
          <w:p>
            <w:pPr>
              <w:spacing w:after="0"/>
              <w:rPr>
                <w:sz w:val="8"/>
                <w:szCs w:val="8"/>
                <w:color w:val="auto"/>
              </w:rPr>
            </w:pPr>
          </w:p>
        </w:tc>
        <w:tc>
          <w:tcPr>
            <w:tcW w:w="1420" w:type="dxa"/>
            <w:vAlign w:val="bottom"/>
            <w:vMerge w:val="restart"/>
          </w:tcPr>
          <w:p>
            <w:pPr>
              <w:ind w:left="220"/>
              <w:spacing w:after="0"/>
              <w:rPr>
                <w:sz w:val="20"/>
                <w:szCs w:val="20"/>
                <w:color w:val="auto"/>
              </w:rPr>
            </w:pPr>
            <w:r>
              <w:rPr>
                <w:rFonts w:ascii="Arial" w:cs="Arial" w:eastAsia="Arial" w:hAnsi="Arial"/>
                <w:sz w:val="16"/>
                <w:szCs w:val="16"/>
                <w:b w:val="1"/>
                <w:bCs w:val="1"/>
                <w:color w:val="FFFFFF"/>
              </w:rPr>
              <w:t>Value as of</w:t>
            </w: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FFFFFF"/>
              </w:rPr>
              <w:t>in Summary</w:t>
            </w:r>
          </w:p>
        </w:tc>
        <w:tc>
          <w:tcPr>
            <w:tcW w:w="1420" w:type="dxa"/>
            <w:vAlign w:val="bottom"/>
            <w:vMerge w:val="continue"/>
          </w:tcPr>
          <w:p>
            <w:pPr>
              <w:spacing w:after="0"/>
              <w:rPr>
                <w:sz w:val="8"/>
                <w:szCs w:val="8"/>
                <w:color w:val="auto"/>
              </w:rPr>
            </w:pPr>
          </w:p>
        </w:tc>
        <w:tc>
          <w:tcPr>
            <w:tcW w:w="860" w:type="dxa"/>
            <w:vAlign w:val="bottom"/>
            <w:vMerge w:val="restart"/>
          </w:tcPr>
          <w:p>
            <w:pPr>
              <w:ind w:left="160"/>
              <w:spacing w:after="0"/>
              <w:rPr>
                <w:sz w:val="20"/>
                <w:szCs w:val="20"/>
                <w:color w:val="auto"/>
              </w:rPr>
            </w:pPr>
            <w:r>
              <w:rPr>
                <w:rFonts w:ascii="Arial" w:cs="Arial" w:eastAsia="Arial" w:hAnsi="Arial"/>
                <w:sz w:val="16"/>
                <w:szCs w:val="16"/>
                <w:b w:val="1"/>
                <w:bCs w:val="1"/>
                <w:color w:val="FFFFFF"/>
              </w:rPr>
              <w:t>EPS</w:t>
            </w:r>
          </w:p>
        </w:tc>
        <w:tc>
          <w:tcPr>
            <w:tcW w:w="0" w:type="dxa"/>
            <w:vAlign w:val="bottom"/>
          </w:tcPr>
          <w:p>
            <w:pPr>
              <w:spacing w:after="0"/>
              <w:rPr>
                <w:sz w:val="1"/>
                <w:szCs w:val="1"/>
                <w:color w:val="auto"/>
              </w:rPr>
            </w:pPr>
          </w:p>
        </w:tc>
      </w:tr>
      <w:tr>
        <w:trPr>
          <w:trHeight w:val="94"/>
        </w:trPr>
        <w:tc>
          <w:tcPr>
            <w:tcW w:w="1800" w:type="dxa"/>
            <w:vAlign w:val="bottom"/>
            <w:vMerge w:val="continue"/>
          </w:tcPr>
          <w:p>
            <w:pPr>
              <w:spacing w:after="0"/>
              <w:rPr>
                <w:sz w:val="8"/>
                <w:szCs w:val="8"/>
                <w:color w:val="auto"/>
              </w:rPr>
            </w:pPr>
          </w:p>
        </w:tc>
        <w:tc>
          <w:tcPr>
            <w:tcW w:w="1420" w:type="dxa"/>
            <w:vAlign w:val="bottom"/>
            <w:vMerge w:val="restart"/>
          </w:tcPr>
          <w:p>
            <w:pPr>
              <w:ind w:left="220"/>
              <w:spacing w:after="0"/>
              <w:rPr>
                <w:sz w:val="20"/>
                <w:szCs w:val="20"/>
                <w:color w:val="auto"/>
              </w:rPr>
            </w:pPr>
            <w:r>
              <w:rPr>
                <w:rFonts w:ascii="Arial" w:cs="Arial" w:eastAsia="Arial" w:hAnsi="Arial"/>
                <w:sz w:val="16"/>
                <w:szCs w:val="16"/>
                <w:b w:val="1"/>
                <w:bCs w:val="1"/>
                <w:color w:val="FFFFFF"/>
              </w:rPr>
              <w:t>April 11, 2024</w:t>
            </w: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FFFFFF"/>
              </w:rPr>
              <w:t>Compensation Table</w:t>
            </w:r>
          </w:p>
        </w:tc>
        <w:tc>
          <w:tcPr>
            <w:tcW w:w="142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80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5"/>
        </w:trPr>
        <w:tc>
          <w:tcPr>
            <w:tcW w:w="1800" w:type="dxa"/>
            <w:vAlign w:val="bottom"/>
          </w:tcPr>
          <w:p>
            <w:pPr>
              <w:spacing w:after="0"/>
              <w:rPr>
                <w:sz w:val="20"/>
                <w:szCs w:val="20"/>
                <w:color w:val="auto"/>
              </w:rPr>
            </w:pPr>
            <w:r>
              <w:rPr>
                <w:rFonts w:ascii="Arial" w:cs="Arial" w:eastAsia="Arial" w:hAnsi="Arial"/>
                <w:sz w:val="16"/>
                <w:szCs w:val="16"/>
                <w:color w:val="333333"/>
              </w:rPr>
              <w:t>$9,473,750</w:t>
            </w:r>
          </w:p>
        </w:tc>
        <w:tc>
          <w:tcPr>
            <w:tcW w:w="1420" w:type="dxa"/>
            <w:vAlign w:val="bottom"/>
          </w:tcPr>
          <w:p>
            <w:pPr>
              <w:ind w:left="220"/>
              <w:spacing w:after="0"/>
              <w:rPr>
                <w:sz w:val="20"/>
                <w:szCs w:val="20"/>
                <w:color w:val="auto"/>
              </w:rPr>
            </w:pPr>
            <w:r>
              <w:rPr>
                <w:rFonts w:ascii="Arial" w:cs="Arial" w:eastAsia="Arial" w:hAnsi="Arial"/>
                <w:sz w:val="16"/>
                <w:szCs w:val="16"/>
                <w:color w:val="333333"/>
              </w:rPr>
              <w:t>$0</w:t>
            </w:r>
          </w:p>
        </w:tc>
        <w:tc>
          <w:tcPr>
            <w:tcW w:w="860" w:type="dxa"/>
            <w:vAlign w:val="bottom"/>
          </w:tcPr>
          <w:p>
            <w:pPr>
              <w:ind w:left="160"/>
              <w:spacing w:after="0"/>
              <w:rPr>
                <w:sz w:val="20"/>
                <w:szCs w:val="20"/>
                <w:color w:val="auto"/>
              </w:rPr>
            </w:pPr>
            <w:r>
              <w:rPr>
                <w:rFonts w:ascii="Arial" w:cs="Arial" w:eastAsia="Arial" w:hAnsi="Arial"/>
                <w:sz w:val="16"/>
                <w:szCs w:val="16"/>
                <w:color w:val="333333"/>
              </w:rPr>
              <w:t>$11.79</w:t>
            </w:r>
          </w:p>
        </w:tc>
        <w:tc>
          <w:tcPr>
            <w:tcW w:w="0" w:type="dxa"/>
            <w:vAlign w:val="bottom"/>
          </w:tcPr>
          <w:p>
            <w:pPr>
              <w:spacing w:after="0"/>
              <w:rPr>
                <w:sz w:val="1"/>
                <w:szCs w:val="1"/>
                <w:color w:val="auto"/>
              </w:rPr>
            </w:pPr>
          </w:p>
        </w:tc>
      </w:tr>
      <w:tr>
        <w:trPr>
          <w:trHeight w:val="608"/>
        </w:trPr>
        <w:tc>
          <w:tcPr>
            <w:tcW w:w="1800" w:type="dxa"/>
            <w:vAlign w:val="bottom"/>
          </w:tcPr>
          <w:p>
            <w:pPr>
              <w:spacing w:after="0"/>
              <w:rPr>
                <w:sz w:val="20"/>
                <w:szCs w:val="20"/>
                <w:color w:val="auto"/>
              </w:rPr>
            </w:pPr>
            <w:r>
              <w:rPr>
                <w:rFonts w:ascii="Arial" w:cs="Arial" w:eastAsia="Arial" w:hAnsi="Arial"/>
                <w:sz w:val="16"/>
                <w:szCs w:val="16"/>
                <w:color w:val="333333"/>
              </w:rPr>
              <w:t>—</w:t>
            </w:r>
          </w:p>
        </w:tc>
        <w:tc>
          <w:tcPr>
            <w:tcW w:w="1420" w:type="dxa"/>
            <w:vAlign w:val="bottom"/>
          </w:tcPr>
          <w:p>
            <w:pPr>
              <w:ind w:left="220"/>
              <w:spacing w:after="0"/>
              <w:rPr>
                <w:sz w:val="20"/>
                <w:szCs w:val="20"/>
                <w:color w:val="auto"/>
              </w:rPr>
            </w:pPr>
            <w:r>
              <w:rPr>
                <w:rFonts w:ascii="Arial" w:cs="Arial" w:eastAsia="Arial" w:hAnsi="Arial"/>
                <w:sz w:val="16"/>
                <w:szCs w:val="16"/>
                <w:color w:val="333333"/>
              </w:rPr>
              <w:t>—</w:t>
            </w:r>
          </w:p>
        </w:tc>
        <w:tc>
          <w:tcPr>
            <w:tcW w:w="860" w:type="dxa"/>
            <w:vAlign w:val="bottom"/>
          </w:tcPr>
          <w:p>
            <w:pPr>
              <w:ind w:left="160"/>
              <w:spacing w:after="0"/>
              <w:rPr>
                <w:sz w:val="20"/>
                <w:szCs w:val="20"/>
                <w:color w:val="auto"/>
              </w:rPr>
            </w:pPr>
            <w:r>
              <w:rPr>
                <w:rFonts w:ascii="Arial" w:cs="Arial" w:eastAsia="Arial" w:hAnsi="Arial"/>
                <w:sz w:val="16"/>
                <w:szCs w:val="16"/>
                <w:color w:val="333333"/>
              </w:rPr>
              <w:t>$11.09</w:t>
            </w:r>
          </w:p>
        </w:tc>
        <w:tc>
          <w:tcPr>
            <w:tcW w:w="0" w:type="dxa"/>
            <w:vAlign w:val="bottom"/>
          </w:tcPr>
          <w:p>
            <w:pPr>
              <w:spacing w:after="0"/>
              <w:rPr>
                <w:sz w:val="1"/>
                <w:szCs w:val="1"/>
                <w:color w:val="auto"/>
              </w:rPr>
            </w:pPr>
          </w:p>
        </w:tc>
      </w:tr>
      <w:tr>
        <w:trPr>
          <w:trHeight w:val="608"/>
        </w:trPr>
        <w:tc>
          <w:tcPr>
            <w:tcW w:w="1800" w:type="dxa"/>
            <w:vAlign w:val="bottom"/>
          </w:tcPr>
          <w:p>
            <w:pPr>
              <w:spacing w:after="0"/>
              <w:rPr>
                <w:sz w:val="20"/>
                <w:szCs w:val="20"/>
                <w:color w:val="auto"/>
              </w:rPr>
            </w:pPr>
            <w:r>
              <w:rPr>
                <w:rFonts w:ascii="Arial" w:cs="Arial" w:eastAsia="Arial" w:hAnsi="Arial"/>
                <w:sz w:val="16"/>
                <w:szCs w:val="16"/>
                <w:color w:val="333333"/>
              </w:rPr>
              <w:t>$55,556,000</w:t>
            </w:r>
          </w:p>
        </w:tc>
        <w:tc>
          <w:tcPr>
            <w:tcW w:w="1420" w:type="dxa"/>
            <w:vAlign w:val="bottom"/>
          </w:tcPr>
          <w:p>
            <w:pPr>
              <w:ind w:left="220"/>
              <w:spacing w:after="0"/>
              <w:rPr>
                <w:sz w:val="20"/>
                <w:szCs w:val="20"/>
                <w:color w:val="auto"/>
              </w:rPr>
            </w:pPr>
            <w:r>
              <w:rPr>
                <w:rFonts w:ascii="Arial" w:cs="Arial" w:eastAsia="Arial" w:hAnsi="Arial"/>
                <w:sz w:val="16"/>
                <w:szCs w:val="16"/>
                <w:color w:val="333333"/>
              </w:rPr>
              <w:t>$0</w:t>
            </w:r>
          </w:p>
        </w:tc>
        <w:tc>
          <w:tcPr>
            <w:tcW w:w="860" w:type="dxa"/>
            <w:vAlign w:val="bottom"/>
          </w:tcPr>
          <w:p>
            <w:pPr>
              <w:ind w:left="160"/>
              <w:spacing w:after="0"/>
              <w:rPr>
                <w:sz w:val="20"/>
                <w:szCs w:val="20"/>
                <w:color w:val="auto"/>
              </w:rPr>
            </w:pPr>
            <w:r>
              <w:rPr>
                <w:rFonts w:ascii="Arial" w:cs="Arial" w:eastAsia="Arial" w:hAnsi="Arial"/>
                <w:sz w:val="16"/>
                <w:szCs w:val="16"/>
                <w:color w:val="333333"/>
              </w:rPr>
              <w:t>$13.21</w:t>
            </w:r>
          </w:p>
        </w:tc>
        <w:tc>
          <w:tcPr>
            <w:tcW w:w="0" w:type="dxa"/>
            <w:vAlign w:val="bottom"/>
          </w:tcPr>
          <w:p>
            <w:pPr>
              <w:spacing w:after="0"/>
              <w:rPr>
                <w:sz w:val="1"/>
                <w:szCs w:val="1"/>
                <w:color w:val="auto"/>
              </w:rPr>
            </w:pPr>
          </w:p>
        </w:tc>
      </w:tr>
      <w:tr>
        <w:trPr>
          <w:trHeight w:val="608"/>
        </w:trPr>
        <w:tc>
          <w:tcPr>
            <w:tcW w:w="1800" w:type="dxa"/>
            <w:vAlign w:val="bottom"/>
          </w:tcPr>
          <w:p>
            <w:pPr>
              <w:spacing w:after="0"/>
              <w:rPr>
                <w:sz w:val="20"/>
                <w:szCs w:val="20"/>
                <w:color w:val="auto"/>
              </w:rPr>
            </w:pPr>
            <w:r>
              <w:rPr>
                <w:rFonts w:ascii="Arial" w:cs="Arial" w:eastAsia="Arial" w:hAnsi="Arial"/>
                <w:sz w:val="16"/>
                <w:szCs w:val="16"/>
                <w:color w:val="333333"/>
              </w:rPr>
              <w:t>—</w:t>
            </w:r>
          </w:p>
        </w:tc>
        <w:tc>
          <w:tcPr>
            <w:tcW w:w="1420" w:type="dxa"/>
            <w:vAlign w:val="bottom"/>
          </w:tcPr>
          <w:p>
            <w:pPr>
              <w:ind w:left="220"/>
              <w:spacing w:after="0"/>
              <w:rPr>
                <w:sz w:val="20"/>
                <w:szCs w:val="20"/>
                <w:color w:val="auto"/>
              </w:rPr>
            </w:pPr>
            <w:r>
              <w:rPr>
                <w:rFonts w:ascii="Arial" w:cs="Arial" w:eastAsia="Arial" w:hAnsi="Arial"/>
                <w:sz w:val="16"/>
                <w:szCs w:val="16"/>
                <w:color w:val="333333"/>
              </w:rPr>
              <w:t>—</w:t>
            </w:r>
          </w:p>
        </w:tc>
        <w:tc>
          <w:tcPr>
            <w:tcW w:w="860" w:type="dxa"/>
            <w:vAlign w:val="bottom"/>
          </w:tcPr>
          <w:p>
            <w:pPr>
              <w:ind w:left="160"/>
              <w:spacing w:after="0"/>
              <w:rPr>
                <w:sz w:val="20"/>
                <w:szCs w:val="20"/>
                <w:color w:val="auto"/>
              </w:rPr>
            </w:pPr>
            <w:r>
              <w:rPr>
                <w:rFonts w:ascii="Arial" w:cs="Arial" w:eastAsia="Arial" w:hAnsi="Arial"/>
                <w:sz w:val="16"/>
                <w:szCs w:val="16"/>
                <w:color w:val="333333"/>
              </w:rPr>
              <w:t>$16.10</w:t>
            </w:r>
          </w:p>
        </w:tc>
        <w:tc>
          <w:tcPr>
            <w:tcW w:w="0" w:type="dxa"/>
            <w:vAlign w:val="bottom"/>
          </w:tcPr>
          <w:p>
            <w:pPr>
              <w:spacing w:after="0"/>
              <w:rPr>
                <w:sz w:val="1"/>
                <w:szCs w:val="1"/>
                <w:color w:val="auto"/>
              </w:rPr>
            </w:pPr>
          </w:p>
        </w:tc>
      </w:tr>
      <w:tr>
        <w:trPr>
          <w:trHeight w:val="513"/>
        </w:trPr>
        <w:tc>
          <w:tcPr>
            <w:tcW w:w="1800" w:type="dxa"/>
            <w:vAlign w:val="bottom"/>
          </w:tcPr>
          <w:p>
            <w:pPr>
              <w:spacing w:after="0"/>
              <w:rPr>
                <w:sz w:val="20"/>
                <w:szCs w:val="20"/>
                <w:color w:val="auto"/>
              </w:rPr>
            </w:pPr>
            <w:r>
              <w:rPr>
                <w:rFonts w:ascii="Arial" w:cs="Arial" w:eastAsia="Arial" w:hAnsi="Arial"/>
                <w:sz w:val="16"/>
                <w:szCs w:val="16"/>
                <w:color w:val="333333"/>
              </w:rPr>
              <w:t>—</w:t>
            </w:r>
          </w:p>
        </w:tc>
        <w:tc>
          <w:tcPr>
            <w:tcW w:w="1420" w:type="dxa"/>
            <w:vAlign w:val="bottom"/>
          </w:tcPr>
          <w:p>
            <w:pPr>
              <w:ind w:left="220"/>
              <w:spacing w:after="0"/>
              <w:rPr>
                <w:sz w:val="20"/>
                <w:szCs w:val="20"/>
                <w:color w:val="auto"/>
              </w:rPr>
            </w:pPr>
            <w:r>
              <w:rPr>
                <w:rFonts w:ascii="Arial" w:cs="Arial" w:eastAsia="Arial" w:hAnsi="Arial"/>
                <w:sz w:val="16"/>
                <w:szCs w:val="16"/>
                <w:color w:val="333333"/>
              </w:rPr>
              <w:t>—</w:t>
            </w:r>
          </w:p>
        </w:tc>
        <w:tc>
          <w:tcPr>
            <w:tcW w:w="860" w:type="dxa"/>
            <w:vAlign w:val="bottom"/>
          </w:tcPr>
          <w:p>
            <w:pPr>
              <w:ind w:left="160"/>
              <w:spacing w:after="0"/>
              <w:rPr>
                <w:sz w:val="20"/>
                <w:szCs w:val="20"/>
                <w:color w:val="auto"/>
              </w:rPr>
            </w:pPr>
            <w:r>
              <w:rPr>
                <w:rFonts w:ascii="Arial" w:cs="Arial" w:eastAsia="Arial" w:hAnsi="Arial"/>
                <w:sz w:val="16"/>
                <w:szCs w:val="16"/>
                <w:color w:val="333333"/>
              </w:rPr>
              <w:t>$16.92</w:t>
            </w:r>
          </w:p>
        </w:tc>
        <w:tc>
          <w:tcPr>
            <w:tcW w:w="0" w:type="dxa"/>
            <w:vAlign w:val="bottom"/>
          </w:tcPr>
          <w:p>
            <w:pPr>
              <w:spacing w:after="0"/>
              <w:rPr>
                <w:sz w:val="1"/>
                <w:szCs w:val="1"/>
                <w:color w:val="auto"/>
              </w:rPr>
            </w:pPr>
          </w:p>
        </w:tc>
      </w:tr>
      <w:tr>
        <w:trPr>
          <w:trHeight w:val="521"/>
        </w:trPr>
        <w:tc>
          <w:tcPr>
            <w:tcW w:w="1800" w:type="dxa"/>
            <w:vAlign w:val="bottom"/>
          </w:tcPr>
          <w:p>
            <w:pPr>
              <w:spacing w:after="0"/>
              <w:rPr>
                <w:sz w:val="20"/>
                <w:szCs w:val="20"/>
                <w:color w:val="auto"/>
              </w:rPr>
            </w:pPr>
            <w:r>
              <w:rPr>
                <w:rFonts w:ascii="Arial" w:cs="Arial" w:eastAsia="Arial" w:hAnsi="Arial"/>
                <w:sz w:val="16"/>
                <w:szCs w:val="16"/>
                <w:b w:val="1"/>
                <w:bCs w:val="1"/>
                <w:color w:val="auto"/>
              </w:rPr>
              <w:t>$65,029,750</w:t>
            </w:r>
          </w:p>
        </w:tc>
        <w:tc>
          <w:tcPr>
            <w:tcW w:w="1420" w:type="dxa"/>
            <w:vAlign w:val="bottom"/>
          </w:tcPr>
          <w:p>
            <w:pPr>
              <w:ind w:left="220"/>
              <w:spacing w:after="0"/>
              <w:rPr>
                <w:sz w:val="20"/>
                <w:szCs w:val="20"/>
                <w:color w:val="auto"/>
              </w:rPr>
            </w:pPr>
            <w:r>
              <w:rPr>
                <w:rFonts w:ascii="Arial" w:cs="Arial" w:eastAsia="Arial" w:hAnsi="Arial"/>
                <w:sz w:val="16"/>
                <w:szCs w:val="16"/>
                <w:b w:val="1"/>
                <w:bCs w:val="1"/>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-1657350</wp:posOffset>
            </wp:positionV>
            <wp:extent cx="5554980" cy="3257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554980" cy="3257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-885825</wp:posOffset>
            </wp:positionV>
            <wp:extent cx="5554980" cy="3257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554980" cy="3257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-234315</wp:posOffset>
            </wp:positionV>
            <wp:extent cx="5554980" cy="2654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5498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720"/>
            <w:col w:w="4519"/>
          </w:cols>
          <w:pgMar w:left="920" w:top="114" w:right="1440" w:bottom="1440" w:gutter="0" w:footer="0" w:header="0"/>
          <w:type w:val="continuous"/>
        </w:sectPr>
      </w:pPr>
    </w:p>
    <w:p>
      <w:pPr>
        <w:spacing w:after="0" w:line="46" w:lineRule="exact"/>
        <w:rPr>
          <w:sz w:val="20"/>
          <w:szCs w:val="20"/>
          <w:color w:val="auto"/>
        </w:rPr>
      </w:pPr>
    </w:p>
    <w:p>
      <w:pPr>
        <w:ind w:left="660" w:right="439" w:hanging="10"/>
        <w:spacing w:after="0" w:line="243" w:lineRule="auto"/>
        <w:tabs>
          <w:tab w:leader="none" w:pos="849" w:val="left"/>
        </w:tabs>
        <w:numPr>
          <w:ilvl w:val="0"/>
          <w:numId w:val="51"/>
        </w:numPr>
        <w:rPr>
          <w:rFonts w:ascii="Arial" w:cs="Arial" w:eastAsia="Arial" w:hAnsi="Arial"/>
          <w:sz w:val="13"/>
          <w:szCs w:val="13"/>
          <w:color w:val="333333"/>
        </w:rPr>
      </w:pPr>
      <w:r>
        <w:rPr>
          <w:rFonts w:ascii="Arial" w:cs="Arial" w:eastAsia="Arial" w:hAnsi="Arial"/>
          <w:sz w:val="13"/>
          <w:szCs w:val="13"/>
          <w:color w:val="333333"/>
        </w:rPr>
        <w:t>Does not include a short-term restricted stock award granted to Mr. Clarke in 2023 in lieu of a portion of his cash bonus opportunity under our annual incentive program.</w:t>
      </w:r>
    </w:p>
    <w:p>
      <w:pPr>
        <w:spacing w:after="0" w:line="188"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32 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125095</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52"/>
        </w:numPr>
        <w:rPr>
          <w:rFonts w:ascii="Arial" w:cs="Arial" w:eastAsia="Arial" w:hAnsi="Arial"/>
          <w:sz w:val="17"/>
          <w:szCs w:val="17"/>
          <w:b w:val="1"/>
          <w:bCs w:val="1"/>
          <w:color w:val="auto"/>
        </w:rPr>
      </w:pPr>
      <w:r>
        <w:rPr>
          <w:rFonts w:ascii="Arial" w:cs="Arial" w:eastAsia="Arial" w:hAnsi="Arial"/>
          <w:sz w:val="17"/>
          <w:szCs w:val="17"/>
          <w:color w:val="CF1D4C"/>
        </w:rPr>
        <w:t>COMPENSATION DISCUSSION AND ANALYSIS</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Shareholder Outreach Generally</w:t>
      </w:r>
    </w:p>
    <w:p>
      <w:pPr>
        <w:spacing w:after="0" w:line="216" w:lineRule="exact"/>
        <w:rPr>
          <w:sz w:val="20"/>
          <w:szCs w:val="20"/>
          <w:color w:val="auto"/>
        </w:rPr>
      </w:pPr>
    </w:p>
    <w:p>
      <w:pPr>
        <w:ind w:left="660" w:right="40"/>
        <w:spacing w:after="0" w:line="248" w:lineRule="auto"/>
        <w:rPr>
          <w:sz w:val="20"/>
          <w:szCs w:val="20"/>
          <w:color w:val="auto"/>
        </w:rPr>
      </w:pPr>
      <w:r>
        <w:rPr>
          <w:rFonts w:ascii="Arial" w:cs="Arial" w:eastAsia="Arial" w:hAnsi="Arial"/>
          <w:sz w:val="16"/>
          <w:szCs w:val="16"/>
          <w:color w:val="333333"/>
        </w:rPr>
        <w:t>Our Board and management have taken a long-term view toward shareholder engagement and recognize that solicitation and consideration of shareholder feedback is critical to driving growth and creating shareholder value. As a result, we regularly engage with our shareholders throughout the year in multiple forms — calls, in-person meetings and shareholder conferences — to encourage ongoing, meaningful dialogue. Most of the calls involved the Chair of the Compensation Committee, but in the event of a scheduling conflict, the meetings were attended by the Lead Independent Director, Chair of the Nomination and Governance Committee, or Chair of the Information Technology and Security Committee. In 2023, after evaluating and discussing the vote results from the 2023 meeting, the Board determined to extend its shareholder outreach. Not only did we offer to engage our top 10 shareholders (excluding the CEO) like prior years, but also expanded the offer to the next 15 largest shareholders who voted against say-on-pay and/or against certain directors at the 2023 annual meeting - over 64% of our common shares (as of December 31, 2023). Of those we attempted to engage, 50% of those shares accepted our invitation.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1047750</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Forward-Leaning Compensation Practices</w:t>
      </w:r>
    </w:p>
    <w:p>
      <w:pPr>
        <w:spacing w:after="0" w:line="243" w:lineRule="exact"/>
        <w:rPr>
          <w:sz w:val="20"/>
          <w:szCs w:val="20"/>
          <w:color w:val="auto"/>
        </w:rPr>
      </w:pPr>
    </w:p>
    <w:p>
      <w:pPr>
        <w:jc w:val="both"/>
        <w:ind w:right="720"/>
        <w:spacing w:after="0" w:line="266" w:lineRule="auto"/>
        <w:rPr>
          <w:sz w:val="20"/>
          <w:szCs w:val="20"/>
          <w:color w:val="auto"/>
        </w:rPr>
      </w:pPr>
      <w:r>
        <w:rPr>
          <w:rFonts w:ascii="Arial" w:cs="Arial" w:eastAsia="Arial" w:hAnsi="Arial"/>
          <w:sz w:val="16"/>
          <w:szCs w:val="16"/>
          <w:color w:val="333333"/>
        </w:rPr>
        <w:t>Corpay has embraced best practices in our compensation programs, which strongly support our pay-for-performance philosophy and culture:</w:t>
      </w:r>
    </w:p>
    <w:p>
      <w:pPr>
        <w:spacing w:after="0" w:line="131" w:lineRule="exact"/>
        <w:rPr>
          <w:sz w:val="20"/>
          <w:szCs w:val="20"/>
          <w:color w:val="auto"/>
        </w:rPr>
      </w:pPr>
    </w:p>
    <w:p>
      <w:pPr>
        <w:ind w:left="240" w:right="1040" w:hanging="233"/>
        <w:spacing w:after="0"/>
        <w:rPr>
          <w:sz w:val="20"/>
          <w:szCs w:val="20"/>
          <w:color w:val="auto"/>
        </w:rPr>
      </w:pPr>
      <w:r>
        <w:rPr>
          <w:sz w:val="1"/>
          <w:szCs w:val="1"/>
          <w:color w:val="auto"/>
        </w:rPr>
        <w:drawing>
          <wp:inline distT="0" distB="0" distL="0" distR="0">
            <wp:extent cx="77470" cy="9398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NEO compensation aligned with Company and, as applicable, division performance</w:t>
      </w:r>
    </w:p>
    <w:p>
      <w:pPr>
        <w:spacing w:after="0"/>
        <w:rPr>
          <w:sz w:val="20"/>
          <w:szCs w:val="20"/>
          <w:color w:val="auto"/>
        </w:rPr>
      </w:pPr>
      <w:r>
        <w:rPr>
          <w:sz w:val="1"/>
          <w:szCs w:val="1"/>
          <w:color w:val="auto"/>
        </w:rPr>
        <w:drawing>
          <wp:inline distT="0" distB="0" distL="0" distR="0">
            <wp:extent cx="77470" cy="9398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Base salary levels generally at or below peer median</w:t>
      </w:r>
    </w:p>
    <w:p>
      <w:pPr>
        <w:spacing w:after="0" w:line="5" w:lineRule="exact"/>
        <w:rPr>
          <w:sz w:val="20"/>
          <w:szCs w:val="20"/>
          <w:color w:val="auto"/>
        </w:rPr>
      </w:pPr>
    </w:p>
    <w:p>
      <w:pPr>
        <w:ind w:left="240" w:right="1000" w:hanging="233"/>
        <w:spacing w:after="0"/>
        <w:rPr>
          <w:sz w:val="20"/>
          <w:szCs w:val="20"/>
          <w:color w:val="auto"/>
        </w:rPr>
      </w:pPr>
      <w:r>
        <w:rPr>
          <w:sz w:val="1"/>
          <w:szCs w:val="1"/>
          <w:color w:val="auto"/>
        </w:rPr>
        <w:drawing>
          <wp:inline distT="0" distB="0" distL="0" distR="0">
            <wp:extent cx="77470" cy="9398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Target annual incentives generally at or below peer median</w:t>
      </w:r>
    </w:p>
    <w:p>
      <w:pPr>
        <w:ind w:left="240" w:right="1040" w:hanging="233"/>
        <w:spacing w:after="0"/>
        <w:rPr>
          <w:sz w:val="20"/>
          <w:szCs w:val="20"/>
          <w:color w:val="auto"/>
        </w:rPr>
      </w:pPr>
      <w:r>
        <w:rPr>
          <w:sz w:val="1"/>
          <w:szCs w:val="1"/>
          <w:color w:val="auto"/>
        </w:rPr>
        <w:drawing>
          <wp:inline distT="0" distB="0" distL="0" distR="0">
            <wp:extent cx="77470" cy="9398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Significant portion of NEO compensation generally delivered in the form of equity-based awards</w:t>
      </w:r>
    </w:p>
    <w:p>
      <w:pPr>
        <w:ind w:left="240" w:right="1660" w:hanging="233"/>
        <w:spacing w:after="0"/>
        <w:rPr>
          <w:sz w:val="20"/>
          <w:szCs w:val="20"/>
          <w:color w:val="auto"/>
        </w:rPr>
      </w:pPr>
      <w:r>
        <w:rPr>
          <w:sz w:val="1"/>
          <w:szCs w:val="1"/>
          <w:color w:val="auto"/>
        </w:rPr>
        <w:drawing>
          <wp:inline distT="0" distB="0" distL="0" distR="0">
            <wp:extent cx="77470" cy="9398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Different performance metrics for different compensation components</w:t>
      </w:r>
    </w:p>
    <w:p>
      <w:pPr>
        <w:ind w:left="240" w:right="900" w:hanging="233"/>
        <w:spacing w:after="0"/>
        <w:rPr>
          <w:sz w:val="20"/>
          <w:szCs w:val="20"/>
          <w:color w:val="auto"/>
        </w:rPr>
      </w:pPr>
      <w:r>
        <w:rPr>
          <w:sz w:val="1"/>
          <w:szCs w:val="1"/>
          <w:color w:val="auto"/>
        </w:rPr>
        <w:drawing>
          <wp:inline distT="0" distB="0" distL="0" distR="0">
            <wp:extent cx="77470" cy="9398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Incentive payouts tied closely to achieving published guidance</w:t>
      </w:r>
    </w:p>
    <w:p>
      <w:pPr>
        <w:spacing w:after="0"/>
        <w:rPr>
          <w:sz w:val="20"/>
          <w:szCs w:val="20"/>
          <w:color w:val="auto"/>
        </w:rPr>
      </w:pPr>
      <w:r>
        <w:rPr>
          <w:sz w:val="1"/>
          <w:szCs w:val="1"/>
          <w:color w:val="auto"/>
        </w:rPr>
        <w:drawing>
          <wp:inline distT="0" distB="0" distL="0" distR="0">
            <wp:extent cx="77470" cy="9398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Significant stock ownership requirements</w:t>
      </w:r>
    </w:p>
    <w:p>
      <w:pPr>
        <w:spacing w:after="0" w:line="5" w:lineRule="exact"/>
        <w:rPr>
          <w:sz w:val="20"/>
          <w:szCs w:val="20"/>
          <w:color w:val="auto"/>
        </w:rPr>
      </w:pPr>
    </w:p>
    <w:p>
      <w:pPr>
        <w:ind w:left="240" w:right="700" w:hanging="233"/>
        <w:spacing w:after="0"/>
        <w:rPr>
          <w:sz w:val="20"/>
          <w:szCs w:val="20"/>
          <w:color w:val="auto"/>
        </w:rPr>
      </w:pPr>
      <w:r>
        <w:rPr>
          <w:sz w:val="1"/>
          <w:szCs w:val="1"/>
          <w:color w:val="auto"/>
        </w:rPr>
        <w:drawing>
          <wp:inline distT="0" distB="0" distL="0" distR="0">
            <wp:extent cx="77470" cy="9398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No repricing or cashing out of underwater stock options or stock appreciation rights</w:t>
      </w:r>
    </w:p>
    <w:p>
      <w:pPr>
        <w:spacing w:after="0"/>
        <w:rPr>
          <w:sz w:val="20"/>
          <w:szCs w:val="20"/>
          <w:color w:val="auto"/>
        </w:rPr>
      </w:pPr>
      <w:r>
        <w:rPr>
          <w:sz w:val="1"/>
          <w:szCs w:val="1"/>
          <w:color w:val="auto"/>
        </w:rPr>
        <w:drawing>
          <wp:inline distT="0" distB="0" distL="0" distR="0">
            <wp:extent cx="77470" cy="9398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No hedging or pledging of common shares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No excise tax gross-ups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No excessive perquisites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Maintain compensation clawback policies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461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333333"/>
        </w:rPr>
        <w:t>  Below-market severance policies</w:t>
      </w:r>
    </w:p>
    <w:p>
      <w:pPr>
        <w:spacing w:after="0" w:line="5" w:lineRule="exact"/>
        <w:rPr>
          <w:sz w:val="20"/>
          <w:szCs w:val="20"/>
          <w:color w:val="auto"/>
        </w:rPr>
      </w:pPr>
    </w:p>
    <w:p>
      <w:pPr>
        <w:ind w:left="240" w:right="1200" w:hanging="233"/>
        <w:spacing w:after="0"/>
        <w:rPr>
          <w:sz w:val="20"/>
          <w:szCs w:val="20"/>
          <w:color w:val="auto"/>
        </w:rPr>
      </w:pPr>
      <w:r>
        <w:rPr>
          <w:sz w:val="1"/>
          <w:szCs w:val="1"/>
          <w:color w:val="auto"/>
        </w:rPr>
        <w:drawing>
          <wp:inline distT="0" distB="0" distL="0" distR="0">
            <wp:extent cx="77470" cy="9398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Shareholder engagement includes governance committee Chair, additional Board members and management</w:t>
      </w:r>
    </w:p>
    <w:p>
      <w:pPr>
        <w:spacing w:after="0"/>
        <w:rPr>
          <w:sz w:val="20"/>
          <w:szCs w:val="20"/>
          <w:color w:val="auto"/>
        </w:rPr>
      </w:pPr>
      <w:r>
        <w:rPr>
          <w:sz w:val="1"/>
          <w:szCs w:val="1"/>
          <w:color w:val="auto"/>
        </w:rPr>
        <w:drawing>
          <wp:inline distT="0" distB="0" distL="0" distR="0">
            <wp:extent cx="77470" cy="9398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Regular review of compensation programs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Utilize an independent compensation consultant</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33</w:t>
      </w:r>
    </w:p>
    <w:p>
      <w:pPr>
        <w:sectPr>
          <w:pgSz w:w="11900" w:h="16838" w:orient="portrait"/>
          <w:cols w:equalWidth="0" w:num="2">
            <w:col w:w="4920" w:space="220"/>
            <w:col w:w="4900"/>
          </w:cols>
          <w:pgMar w:left="920" w:top="114" w:right="9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CF1D4C"/>
        </w:rPr>
        <w:t>COMPENSATION DISCUSSION AND ANALYSIS</w:t>
      </w:r>
    </w:p>
    <w:p>
      <w:pPr>
        <w:spacing w:after="0" w:line="351" w:lineRule="exact"/>
        <w:rPr>
          <w:sz w:val="20"/>
          <w:szCs w:val="20"/>
          <w:color w:val="auto"/>
        </w:rPr>
      </w:pPr>
    </w:p>
    <w:p>
      <w:pPr>
        <w:ind w:left="660" w:right="279"/>
        <w:spacing w:after="0" w:line="266" w:lineRule="auto"/>
        <w:rPr>
          <w:sz w:val="20"/>
          <w:szCs w:val="20"/>
          <w:color w:val="auto"/>
        </w:rPr>
      </w:pPr>
      <w:r>
        <w:rPr>
          <w:rFonts w:ascii="Arial" w:cs="Arial" w:eastAsia="Arial" w:hAnsi="Arial"/>
          <w:sz w:val="16"/>
          <w:szCs w:val="16"/>
          <w:color w:val="auto"/>
        </w:rPr>
        <w:t>We structure our executive compensation program to incorporate, on an ongoing basis, sound practices that are favored by shareholders, while avoiding practices that we do not believe are in shareholders’ best interests. The table below highlights the compensation practices we embrace and those that we do not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31750</wp:posOffset>
            </wp:positionV>
            <wp:extent cx="5554980" cy="3943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554980" cy="394335"/>
                    </a:xfrm>
                    <a:prstGeom prst="rect">
                      <a:avLst/>
                    </a:prstGeom>
                    <a:noFill/>
                  </pic:spPr>
                </pic:pic>
              </a:graphicData>
            </a:graphic>
          </wp:anchor>
        </w:drawing>
      </w:r>
    </w:p>
    <w:p>
      <w:pPr>
        <w:spacing w:after="0" w:line="232" w:lineRule="exact"/>
        <w:rPr>
          <w:sz w:val="20"/>
          <w:szCs w:val="20"/>
          <w:color w:val="auto"/>
        </w:rPr>
      </w:pPr>
    </w:p>
    <w:p>
      <w:pPr>
        <w:ind w:left="1080"/>
        <w:spacing w:after="0"/>
        <w:tabs>
          <w:tab w:leader="none" w:pos="5120" w:val="left"/>
        </w:tabs>
        <w:rPr>
          <w:sz w:val="20"/>
          <w:szCs w:val="20"/>
          <w:color w:val="auto"/>
        </w:rPr>
      </w:pPr>
      <w:r>
        <w:rPr>
          <w:rFonts w:ascii="Arial" w:cs="Arial" w:eastAsia="Arial" w:hAnsi="Arial"/>
          <w:sz w:val="16"/>
          <w:szCs w:val="16"/>
          <w:b w:val="1"/>
          <w:bCs w:val="1"/>
          <w:color w:val="FFFFFF"/>
        </w:rPr>
        <w:t>Things We Do</w:t>
      </w:r>
      <w:r>
        <w:rPr>
          <w:sz w:val="20"/>
          <w:szCs w:val="20"/>
          <w:color w:val="auto"/>
        </w:rPr>
        <w:tab/>
      </w:r>
      <w:r>
        <w:rPr>
          <w:rFonts w:ascii="Arial" w:cs="Arial" w:eastAsia="Arial" w:hAnsi="Arial"/>
          <w:sz w:val="16"/>
          <w:szCs w:val="16"/>
          <w:b w:val="1"/>
          <w:bCs w:val="1"/>
          <w:color w:val="FFFFFF"/>
        </w:rPr>
        <w:t>Things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149225</wp:posOffset>
            </wp:positionV>
            <wp:extent cx="5554980" cy="43287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554980" cy="432879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1260" w:right="340" w:hanging="181"/>
        <w:spacing w:after="0" w:line="266" w:lineRule="auto"/>
        <w:rPr>
          <w:sz w:val="20"/>
          <w:szCs w:val="20"/>
          <w:color w:val="auto"/>
        </w:rPr>
      </w:pPr>
      <w:r>
        <w:rPr>
          <w:rFonts w:ascii="Arial" w:cs="Arial" w:eastAsia="Arial" w:hAnsi="Arial"/>
          <w:sz w:val="16"/>
          <w:szCs w:val="16"/>
          <w:b w:val="1"/>
          <w:bCs w:val="1"/>
          <w:color w:val="333333"/>
        </w:rPr>
        <w:t>√</w:t>
      </w:r>
      <w:r>
        <w:rPr>
          <w:rFonts w:ascii="Arial" w:cs="Arial" w:eastAsia="Arial" w:hAnsi="Arial"/>
          <w:sz w:val="16"/>
          <w:szCs w:val="16"/>
          <w:color w:val="333333"/>
        </w:rPr>
        <w:t xml:space="preserve">  NEO incentive pay is tied to multiple financial</w:t>
      </w:r>
      <w:r>
        <w:rPr>
          <w:rFonts w:ascii="Arial" w:cs="Arial" w:eastAsia="Arial" w:hAnsi="Arial"/>
          <w:sz w:val="16"/>
          <w:szCs w:val="16"/>
          <w:b w:val="1"/>
          <w:bCs w:val="1"/>
          <w:color w:val="333333"/>
        </w:rPr>
        <w:t xml:space="preserve"> </w:t>
      </w:r>
      <w:r>
        <w:rPr>
          <w:rFonts w:ascii="Arial" w:cs="Arial" w:eastAsia="Arial" w:hAnsi="Arial"/>
          <w:sz w:val="16"/>
          <w:szCs w:val="16"/>
          <w:color w:val="333333"/>
        </w:rPr>
        <w:t>performance conditions, and equity-based incentives are denominated in common shares</w:t>
      </w:r>
    </w:p>
    <w:p>
      <w:pPr>
        <w:spacing w:after="0" w:line="185" w:lineRule="exact"/>
        <w:rPr>
          <w:sz w:val="20"/>
          <w:szCs w:val="20"/>
          <w:color w:val="auto"/>
        </w:rPr>
      </w:pPr>
    </w:p>
    <w:p>
      <w:pPr>
        <w:ind w:left="1260" w:right="200" w:hanging="181"/>
        <w:spacing w:after="0" w:line="266" w:lineRule="auto"/>
        <w:rPr>
          <w:sz w:val="20"/>
          <w:szCs w:val="20"/>
          <w:color w:val="auto"/>
        </w:rPr>
      </w:pPr>
      <w:r>
        <w:rPr>
          <w:rFonts w:ascii="Arial" w:cs="Arial" w:eastAsia="Arial" w:hAnsi="Arial"/>
          <w:sz w:val="16"/>
          <w:szCs w:val="16"/>
          <w:b w:val="1"/>
          <w:bCs w:val="1"/>
          <w:color w:val="333333"/>
        </w:rPr>
        <w:t>√</w:t>
      </w:r>
      <w:r>
        <w:rPr>
          <w:rFonts w:ascii="Arial" w:cs="Arial" w:eastAsia="Arial" w:hAnsi="Arial"/>
          <w:sz w:val="16"/>
          <w:szCs w:val="16"/>
          <w:color w:val="333333"/>
        </w:rPr>
        <w:t xml:space="preserve">  Significant portion of target total compensation is</w:t>
      </w:r>
      <w:r>
        <w:rPr>
          <w:rFonts w:ascii="Arial" w:cs="Arial" w:eastAsia="Arial" w:hAnsi="Arial"/>
          <w:sz w:val="16"/>
          <w:szCs w:val="16"/>
          <w:b w:val="1"/>
          <w:bCs w:val="1"/>
          <w:color w:val="333333"/>
        </w:rPr>
        <w:t xml:space="preserve"> </w:t>
      </w:r>
      <w:r>
        <w:rPr>
          <w:rFonts w:ascii="Arial" w:cs="Arial" w:eastAsia="Arial" w:hAnsi="Arial"/>
          <w:sz w:val="16"/>
          <w:szCs w:val="16"/>
          <w:color w:val="333333"/>
        </w:rPr>
        <w:t>delivered in the form of equity awards, which is directly aligned with shareholder value creation</w:t>
      </w:r>
    </w:p>
    <w:p>
      <w:pPr>
        <w:spacing w:after="0" w:line="185" w:lineRule="exact"/>
        <w:rPr>
          <w:sz w:val="20"/>
          <w:szCs w:val="20"/>
          <w:color w:val="auto"/>
        </w:rPr>
      </w:pPr>
    </w:p>
    <w:p>
      <w:pPr>
        <w:ind w:left="1260" w:hanging="181"/>
        <w:spacing w:after="0" w:line="266" w:lineRule="auto"/>
        <w:rPr>
          <w:sz w:val="20"/>
          <w:szCs w:val="20"/>
          <w:color w:val="auto"/>
        </w:rPr>
      </w:pPr>
      <w:r>
        <w:rPr>
          <w:rFonts w:ascii="Arial" w:cs="Arial" w:eastAsia="Arial" w:hAnsi="Arial"/>
          <w:sz w:val="16"/>
          <w:szCs w:val="16"/>
          <w:b w:val="1"/>
          <w:bCs w:val="1"/>
          <w:color w:val="333333"/>
        </w:rPr>
        <w:t>√</w:t>
      </w:r>
      <w:r>
        <w:rPr>
          <w:rFonts w:ascii="Arial" w:cs="Arial" w:eastAsia="Arial" w:hAnsi="Arial"/>
          <w:sz w:val="16"/>
          <w:szCs w:val="16"/>
          <w:color w:val="333333"/>
        </w:rPr>
        <w:t xml:space="preserve">  Significant portion of NEO pay is tied to</w:t>
      </w:r>
      <w:r>
        <w:rPr>
          <w:rFonts w:ascii="Arial" w:cs="Arial" w:eastAsia="Arial" w:hAnsi="Arial"/>
          <w:sz w:val="16"/>
          <w:szCs w:val="16"/>
          <w:b w:val="1"/>
          <w:bCs w:val="1"/>
          <w:color w:val="333333"/>
        </w:rPr>
        <w:t xml:space="preserve"> </w:t>
      </w:r>
      <w:r>
        <w:rPr>
          <w:rFonts w:ascii="Arial" w:cs="Arial" w:eastAsia="Arial" w:hAnsi="Arial"/>
          <w:sz w:val="16"/>
          <w:szCs w:val="16"/>
          <w:color w:val="333333"/>
        </w:rPr>
        <w:t>performance objectives that align with our business strategy</w:t>
      </w:r>
    </w:p>
    <w:p>
      <w:pPr>
        <w:spacing w:after="0" w:line="198" w:lineRule="exact"/>
        <w:rPr>
          <w:sz w:val="20"/>
          <w:szCs w:val="20"/>
          <w:color w:val="auto"/>
        </w:rPr>
      </w:pPr>
    </w:p>
    <w:p>
      <w:pPr>
        <w:ind w:left="1260" w:right="100" w:hanging="181"/>
        <w:spacing w:after="0" w:line="254" w:lineRule="auto"/>
        <w:rPr>
          <w:sz w:val="20"/>
          <w:szCs w:val="20"/>
          <w:color w:val="auto"/>
        </w:rPr>
      </w:pPr>
      <w:r>
        <w:rPr>
          <w:rFonts w:ascii="Arial" w:cs="Arial" w:eastAsia="Arial" w:hAnsi="Arial"/>
          <w:sz w:val="16"/>
          <w:szCs w:val="16"/>
          <w:b w:val="1"/>
          <w:bCs w:val="1"/>
          <w:color w:val="333333"/>
        </w:rPr>
        <w:t>√</w:t>
      </w:r>
      <w:r>
        <w:rPr>
          <w:rFonts w:ascii="Arial" w:cs="Arial" w:eastAsia="Arial" w:hAnsi="Arial"/>
          <w:sz w:val="16"/>
          <w:szCs w:val="16"/>
          <w:color w:val="333333"/>
        </w:rPr>
        <w:t xml:space="preserve">  Compensation committee reserves discretion to</w:t>
      </w:r>
      <w:r>
        <w:rPr>
          <w:rFonts w:ascii="Arial" w:cs="Arial" w:eastAsia="Arial" w:hAnsi="Arial"/>
          <w:sz w:val="16"/>
          <w:szCs w:val="16"/>
          <w:b w:val="1"/>
          <w:bCs w:val="1"/>
          <w:color w:val="333333"/>
        </w:rPr>
        <w:t xml:space="preserve"> </w:t>
      </w:r>
      <w:r>
        <w:rPr>
          <w:rFonts w:ascii="Arial" w:cs="Arial" w:eastAsia="Arial" w:hAnsi="Arial"/>
          <w:sz w:val="16"/>
          <w:szCs w:val="16"/>
          <w:color w:val="333333"/>
        </w:rPr>
        <w:t>reduce incentive award payouts in light of overall Company performance, and exercised such discretion in 2023, reducing formulaic cash payments with respect to annual incentive awards to $0</w:t>
      </w:r>
    </w:p>
    <w:p>
      <w:pPr>
        <w:spacing w:after="0" w:line="195" w:lineRule="exact"/>
        <w:rPr>
          <w:sz w:val="20"/>
          <w:szCs w:val="20"/>
          <w:color w:val="auto"/>
        </w:rPr>
      </w:pPr>
    </w:p>
    <w:p>
      <w:pPr>
        <w:ind w:left="1260" w:right="20" w:hanging="181"/>
        <w:spacing w:after="0" w:line="266" w:lineRule="auto"/>
        <w:rPr>
          <w:sz w:val="20"/>
          <w:szCs w:val="20"/>
          <w:color w:val="auto"/>
        </w:rPr>
      </w:pPr>
      <w:r>
        <w:rPr>
          <w:rFonts w:ascii="Arial" w:cs="Arial" w:eastAsia="Arial" w:hAnsi="Arial"/>
          <w:sz w:val="16"/>
          <w:szCs w:val="16"/>
          <w:b w:val="1"/>
          <w:bCs w:val="1"/>
          <w:color w:val="333333"/>
        </w:rPr>
        <w:t>√</w:t>
      </w:r>
      <w:r>
        <w:rPr>
          <w:rFonts w:ascii="Arial" w:cs="Arial" w:eastAsia="Arial" w:hAnsi="Arial"/>
          <w:sz w:val="16"/>
          <w:szCs w:val="16"/>
          <w:color w:val="333333"/>
        </w:rPr>
        <w:t xml:space="preserve">  Annual equity run rate and overhang are consistent</w:t>
      </w:r>
      <w:r>
        <w:rPr>
          <w:rFonts w:ascii="Arial" w:cs="Arial" w:eastAsia="Arial" w:hAnsi="Arial"/>
          <w:sz w:val="16"/>
          <w:szCs w:val="16"/>
          <w:b w:val="1"/>
          <w:bCs w:val="1"/>
          <w:color w:val="333333"/>
        </w:rPr>
        <w:t xml:space="preserve"> </w:t>
      </w:r>
      <w:r>
        <w:rPr>
          <w:rFonts w:ascii="Arial" w:cs="Arial" w:eastAsia="Arial" w:hAnsi="Arial"/>
          <w:sz w:val="16"/>
          <w:szCs w:val="16"/>
          <w:color w:val="333333"/>
        </w:rPr>
        <w:t>with typical practices among similarly situated companies</w:t>
      </w:r>
    </w:p>
    <w:p>
      <w:pPr>
        <w:spacing w:after="0" w:line="185" w:lineRule="exact"/>
        <w:rPr>
          <w:sz w:val="20"/>
          <w:szCs w:val="20"/>
          <w:color w:val="auto"/>
        </w:rPr>
      </w:pPr>
    </w:p>
    <w:p>
      <w:pPr>
        <w:ind w:left="1260" w:right="320" w:hanging="181"/>
        <w:spacing w:after="0" w:line="266" w:lineRule="auto"/>
        <w:rPr>
          <w:sz w:val="20"/>
          <w:szCs w:val="20"/>
          <w:color w:val="auto"/>
        </w:rPr>
      </w:pPr>
      <w:r>
        <w:rPr>
          <w:rFonts w:ascii="Arial" w:cs="Arial" w:eastAsia="Arial" w:hAnsi="Arial"/>
          <w:sz w:val="16"/>
          <w:szCs w:val="16"/>
          <w:b w:val="1"/>
          <w:bCs w:val="1"/>
          <w:color w:val="333333"/>
        </w:rPr>
        <w:t>√</w:t>
      </w:r>
      <w:r>
        <w:rPr>
          <w:rFonts w:ascii="Arial" w:cs="Arial" w:eastAsia="Arial" w:hAnsi="Arial"/>
          <w:sz w:val="16"/>
          <w:szCs w:val="16"/>
          <w:color w:val="333333"/>
        </w:rPr>
        <w:t xml:space="preserve">  NEO incentives are tied to Company-wide</w:t>
      </w:r>
      <w:r>
        <w:rPr>
          <w:rFonts w:ascii="Arial" w:cs="Arial" w:eastAsia="Arial" w:hAnsi="Arial"/>
          <w:sz w:val="16"/>
          <w:szCs w:val="16"/>
          <w:b w:val="1"/>
          <w:bCs w:val="1"/>
          <w:color w:val="333333"/>
        </w:rPr>
        <w:t xml:space="preserve"> </w:t>
      </w:r>
      <w:r>
        <w:rPr>
          <w:rFonts w:ascii="Arial" w:cs="Arial" w:eastAsia="Arial" w:hAnsi="Arial"/>
          <w:sz w:val="16"/>
          <w:szCs w:val="16"/>
          <w:color w:val="333333"/>
        </w:rPr>
        <w:t>initiatives and/or division objectives within such NEOs’ control</w:t>
      </w:r>
    </w:p>
    <w:p>
      <w:pPr>
        <w:spacing w:after="0" w:line="198" w:lineRule="exact"/>
        <w:rPr>
          <w:sz w:val="20"/>
          <w:szCs w:val="20"/>
          <w:color w:val="auto"/>
        </w:rPr>
      </w:pPr>
    </w:p>
    <w:p>
      <w:pPr>
        <w:ind w:left="1260" w:right="140" w:hanging="181"/>
        <w:spacing w:after="0" w:line="286" w:lineRule="auto"/>
        <w:rPr>
          <w:sz w:val="20"/>
          <w:szCs w:val="20"/>
          <w:color w:val="auto"/>
        </w:rPr>
      </w:pPr>
      <w:r>
        <w:rPr>
          <w:rFonts w:ascii="Arial" w:cs="Arial" w:eastAsia="Arial" w:hAnsi="Arial"/>
          <w:sz w:val="16"/>
          <w:szCs w:val="16"/>
          <w:b w:val="1"/>
          <w:bCs w:val="1"/>
          <w:color w:val="333333"/>
        </w:rPr>
        <w:t>√</w:t>
      </w:r>
      <w:r>
        <w:rPr>
          <w:rFonts w:ascii="Arial" w:cs="Arial" w:eastAsia="Arial" w:hAnsi="Arial"/>
          <w:sz w:val="16"/>
          <w:szCs w:val="16"/>
          <w:color w:val="333333"/>
        </w:rPr>
        <w:t xml:space="preserve">  Severance benefit levels for executives are below</w:t>
      </w:r>
      <w:r>
        <w:rPr>
          <w:rFonts w:ascii="Arial" w:cs="Arial" w:eastAsia="Arial" w:hAnsi="Arial"/>
          <w:sz w:val="16"/>
          <w:szCs w:val="16"/>
          <w:b w:val="1"/>
          <w:bCs w:val="1"/>
          <w:color w:val="333333"/>
        </w:rPr>
        <w:t xml:space="preserve"> </w:t>
      </w:r>
      <w:r>
        <w:rPr>
          <w:rFonts w:ascii="Arial" w:cs="Arial" w:eastAsia="Arial" w:hAnsi="Arial"/>
          <w:sz w:val="16"/>
          <w:szCs w:val="16"/>
          <w:color w:val="333333"/>
        </w:rPr>
        <w:t>general market practices</w:t>
      </w:r>
    </w:p>
    <w:p>
      <w:pPr>
        <w:spacing w:after="0" w:line="169" w:lineRule="exact"/>
        <w:rPr>
          <w:sz w:val="20"/>
          <w:szCs w:val="20"/>
          <w:color w:val="auto"/>
        </w:rPr>
      </w:pPr>
    </w:p>
    <w:p>
      <w:pPr>
        <w:ind w:left="1260" w:right="180" w:hanging="181"/>
        <w:spacing w:after="0" w:line="286" w:lineRule="auto"/>
        <w:rPr>
          <w:sz w:val="20"/>
          <w:szCs w:val="20"/>
          <w:color w:val="auto"/>
        </w:rPr>
      </w:pPr>
      <w:r>
        <w:rPr>
          <w:rFonts w:ascii="Arial" w:cs="Arial" w:eastAsia="Arial" w:hAnsi="Arial"/>
          <w:sz w:val="16"/>
          <w:szCs w:val="16"/>
          <w:b w:val="1"/>
          <w:bCs w:val="1"/>
          <w:color w:val="333333"/>
        </w:rPr>
        <w:t>√</w:t>
      </w:r>
      <w:r>
        <w:rPr>
          <w:rFonts w:ascii="Arial" w:cs="Arial" w:eastAsia="Arial" w:hAnsi="Arial"/>
          <w:sz w:val="16"/>
          <w:szCs w:val="16"/>
          <w:color w:val="333333"/>
        </w:rPr>
        <w:t xml:space="preserve">  We monitor and build risk-mitigation features into</w:t>
      </w:r>
      <w:r>
        <w:rPr>
          <w:rFonts w:ascii="Arial" w:cs="Arial" w:eastAsia="Arial" w:hAnsi="Arial"/>
          <w:sz w:val="16"/>
          <w:szCs w:val="16"/>
          <w:b w:val="1"/>
          <w:bCs w:val="1"/>
          <w:color w:val="333333"/>
        </w:rPr>
        <w:t xml:space="preserve"> </w:t>
      </w:r>
      <w:r>
        <w:rPr>
          <w:rFonts w:ascii="Arial" w:cs="Arial" w:eastAsia="Arial" w:hAnsi="Arial"/>
          <w:sz w:val="16"/>
          <w:szCs w:val="16"/>
          <w:color w:val="333333"/>
        </w:rPr>
        <w:t>our compensation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220" w:right="999" w:hanging="229"/>
        <w:spacing w:after="0" w:line="286" w:lineRule="auto"/>
        <w:rPr>
          <w:sz w:val="20"/>
          <w:szCs w:val="20"/>
          <w:color w:val="auto"/>
        </w:rPr>
      </w:pPr>
      <w:r>
        <w:rPr>
          <w:rFonts w:ascii="Arial" w:cs="Arial" w:eastAsia="Arial" w:hAnsi="Arial"/>
          <w:sz w:val="16"/>
          <w:szCs w:val="16"/>
          <w:b w:val="1"/>
          <w:bCs w:val="1"/>
          <w:color w:val="333333"/>
        </w:rPr>
        <w:t>X</w:t>
      </w:r>
      <w:r>
        <w:rPr>
          <w:rFonts w:ascii="Arial" w:cs="Arial" w:eastAsia="Arial" w:hAnsi="Arial"/>
          <w:sz w:val="16"/>
          <w:szCs w:val="16"/>
          <w:color w:val="333333"/>
        </w:rPr>
        <w:t>    Directors and executives are prohibited from</w:t>
      </w:r>
      <w:r>
        <w:rPr>
          <w:rFonts w:ascii="Arial" w:cs="Arial" w:eastAsia="Arial" w:hAnsi="Arial"/>
          <w:sz w:val="16"/>
          <w:szCs w:val="16"/>
          <w:b w:val="1"/>
          <w:bCs w:val="1"/>
          <w:color w:val="333333"/>
        </w:rPr>
        <w:t xml:space="preserve"> </w:t>
      </w:r>
      <w:r>
        <w:rPr>
          <w:rFonts w:ascii="Arial" w:cs="Arial" w:eastAsia="Arial" w:hAnsi="Arial"/>
          <w:sz w:val="16"/>
          <w:szCs w:val="16"/>
          <w:color w:val="333333"/>
        </w:rPr>
        <w:t>hedging or pledging common shares</w:t>
      </w:r>
    </w:p>
    <w:p>
      <w:pPr>
        <w:spacing w:after="0" w:line="169" w:lineRule="exact"/>
        <w:rPr>
          <w:sz w:val="20"/>
          <w:szCs w:val="20"/>
          <w:color w:val="auto"/>
        </w:rPr>
      </w:pPr>
    </w:p>
    <w:p>
      <w:pPr>
        <w:ind w:left="220" w:right="759" w:hanging="229"/>
        <w:spacing w:after="0" w:line="286" w:lineRule="auto"/>
        <w:rPr>
          <w:sz w:val="20"/>
          <w:szCs w:val="20"/>
          <w:color w:val="auto"/>
        </w:rPr>
      </w:pPr>
      <w:r>
        <w:rPr>
          <w:rFonts w:ascii="Arial" w:cs="Arial" w:eastAsia="Arial" w:hAnsi="Arial"/>
          <w:sz w:val="16"/>
          <w:szCs w:val="16"/>
          <w:b w:val="1"/>
          <w:bCs w:val="1"/>
          <w:color w:val="333333"/>
        </w:rPr>
        <w:t>X</w:t>
      </w:r>
      <w:r>
        <w:rPr>
          <w:rFonts w:ascii="Arial" w:cs="Arial" w:eastAsia="Arial" w:hAnsi="Arial"/>
          <w:sz w:val="16"/>
          <w:szCs w:val="16"/>
          <w:color w:val="333333"/>
        </w:rPr>
        <w:t>    No repricing or cashing-out of underwater stock</w:t>
      </w:r>
      <w:r>
        <w:rPr>
          <w:rFonts w:ascii="Arial" w:cs="Arial" w:eastAsia="Arial" w:hAnsi="Arial"/>
          <w:sz w:val="16"/>
          <w:szCs w:val="16"/>
          <w:b w:val="1"/>
          <w:bCs w:val="1"/>
          <w:color w:val="333333"/>
        </w:rPr>
        <w:t xml:space="preserve"> </w:t>
      </w:r>
      <w:r>
        <w:rPr>
          <w:rFonts w:ascii="Arial" w:cs="Arial" w:eastAsia="Arial" w:hAnsi="Arial"/>
          <w:sz w:val="16"/>
          <w:szCs w:val="16"/>
          <w:color w:val="333333"/>
        </w:rPr>
        <w:t>options or stock appreciation rights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X</w:t>
      </w:r>
      <w:r>
        <w:rPr>
          <w:rFonts w:ascii="Arial" w:cs="Arial" w:eastAsia="Arial" w:hAnsi="Arial"/>
          <w:sz w:val="16"/>
          <w:szCs w:val="16"/>
          <w:color w:val="333333"/>
        </w:rPr>
        <w:t>    No excise tax gross-ups</w:t>
      </w:r>
    </w:p>
    <w:p>
      <w:pPr>
        <w:spacing w:after="0" w:line="248" w:lineRule="exact"/>
        <w:rPr>
          <w:sz w:val="20"/>
          <w:szCs w:val="20"/>
          <w:color w:val="auto"/>
        </w:rPr>
      </w:pPr>
    </w:p>
    <w:p>
      <w:pPr>
        <w:ind w:left="220" w:right="919" w:hanging="229"/>
        <w:spacing w:after="0" w:line="286" w:lineRule="auto"/>
        <w:rPr>
          <w:sz w:val="20"/>
          <w:szCs w:val="20"/>
          <w:color w:val="auto"/>
        </w:rPr>
      </w:pPr>
      <w:r>
        <w:rPr>
          <w:rFonts w:ascii="Arial" w:cs="Arial" w:eastAsia="Arial" w:hAnsi="Arial"/>
          <w:sz w:val="16"/>
          <w:szCs w:val="16"/>
          <w:b w:val="1"/>
          <w:bCs w:val="1"/>
          <w:color w:val="333333"/>
        </w:rPr>
        <w:t>X</w:t>
      </w:r>
      <w:r>
        <w:rPr>
          <w:rFonts w:ascii="Arial" w:cs="Arial" w:eastAsia="Arial" w:hAnsi="Arial"/>
          <w:sz w:val="16"/>
          <w:szCs w:val="16"/>
          <w:color w:val="333333"/>
        </w:rPr>
        <w:t>    No current payment of dividends on unvested</w:t>
      </w:r>
      <w:r>
        <w:rPr>
          <w:rFonts w:ascii="Arial" w:cs="Arial" w:eastAsia="Arial" w:hAnsi="Arial"/>
          <w:sz w:val="16"/>
          <w:szCs w:val="16"/>
          <w:b w:val="1"/>
          <w:bCs w:val="1"/>
          <w:color w:val="333333"/>
        </w:rPr>
        <w:t xml:space="preserve"> </w:t>
      </w:r>
      <w:r>
        <w:rPr>
          <w:rFonts w:ascii="Arial" w:cs="Arial" w:eastAsia="Arial" w:hAnsi="Arial"/>
          <w:sz w:val="16"/>
          <w:szCs w:val="16"/>
          <w:color w:val="333333"/>
        </w:rPr>
        <w:t>equity awards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X</w:t>
      </w:r>
      <w:r>
        <w:rPr>
          <w:rFonts w:ascii="Arial" w:cs="Arial" w:eastAsia="Arial" w:hAnsi="Arial"/>
          <w:sz w:val="16"/>
          <w:szCs w:val="16"/>
          <w:color w:val="333333"/>
        </w:rPr>
        <w:t>    No excessive perquisites</w:t>
      </w:r>
    </w:p>
    <w:p>
      <w:pPr>
        <w:spacing w:after="0" w:line="4180" w:lineRule="exact"/>
        <w:rPr>
          <w:sz w:val="20"/>
          <w:szCs w:val="20"/>
          <w:color w:val="auto"/>
        </w:rPr>
      </w:pPr>
    </w:p>
    <w:p>
      <w:pPr>
        <w:sectPr>
          <w:pgSz w:w="11900" w:h="16838" w:orient="portrait"/>
          <w:cols w:equalWidth="0" w:num="2">
            <w:col w:w="4940" w:space="200"/>
            <w:col w:w="4399"/>
          </w:cols>
          <w:pgMar w:left="920" w:top="114"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0"/>
          <w:szCs w:val="10"/>
          <w:b w:val="1"/>
          <w:bCs w:val="1"/>
          <w:color w:val="333333"/>
        </w:rPr>
        <w:t xml:space="preserve">34 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CF1D4C"/>
        </w:rPr>
        <w:t>COMPENSATION DISCUSSION AND ANALYSIS</w:t>
      </w:r>
    </w:p>
    <w:p>
      <w:pPr>
        <w:spacing w:after="0" w:line="3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Components of Compensation and Target Direct Compensation Mix</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The following table sets forth the key elements of our 2023 NEO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55245</wp:posOffset>
            </wp:positionV>
            <wp:extent cx="5554980" cy="3086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554980" cy="308610"/>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sectPr>
      </w:pPr>
    </w:p>
    <w:p>
      <w:pPr>
        <w:spacing w:after="0" w:line="235"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FFFFFF"/>
        </w:rPr>
        <w:t>What We Pay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2880" w:val="left"/>
        </w:tabs>
        <w:rPr>
          <w:sz w:val="20"/>
          <w:szCs w:val="20"/>
          <w:color w:val="auto"/>
        </w:rPr>
      </w:pPr>
      <w:r>
        <w:rPr>
          <w:rFonts w:ascii="Arial" w:cs="Arial" w:eastAsia="Arial" w:hAnsi="Arial"/>
          <w:sz w:val="16"/>
          <w:szCs w:val="16"/>
          <w:b w:val="1"/>
          <w:bCs w:val="1"/>
          <w:color w:val="FFFFFF"/>
        </w:rPr>
        <w:t>Why We Pay It</w:t>
      </w:r>
      <w:r>
        <w:rPr>
          <w:sz w:val="20"/>
          <w:szCs w:val="20"/>
          <w:color w:val="auto"/>
        </w:rPr>
        <w:tab/>
      </w:r>
      <w:r>
        <w:rPr>
          <w:rFonts w:ascii="Arial" w:cs="Arial" w:eastAsia="Arial" w:hAnsi="Arial"/>
          <w:sz w:val="16"/>
          <w:szCs w:val="16"/>
          <w:b w:val="1"/>
          <w:bCs w:val="1"/>
          <w:color w:val="FFFFFF"/>
        </w:rPr>
        <w:t>Key Features</w:t>
      </w:r>
    </w:p>
    <w:p>
      <w:pPr>
        <w:spacing w:after="0" w:line="200" w:lineRule="exact"/>
        <w:rPr>
          <w:sz w:val="20"/>
          <w:szCs w:val="20"/>
          <w:color w:val="auto"/>
        </w:rPr>
      </w:pPr>
    </w:p>
    <w:p>
      <w:pPr>
        <w:sectPr>
          <w:pgSz w:w="11900" w:h="16838" w:orient="portrait"/>
          <w:cols w:equalWidth="0" w:num="2">
            <w:col w:w="2300" w:space="720"/>
            <w:col w:w="7020"/>
          </w:cols>
          <w:pgMar w:left="920" w:top="114" w:right="939" w:bottom="1440" w:gutter="0" w:footer="0" w:header="0"/>
          <w:type w:val="continuous"/>
        </w:sectPr>
      </w:pPr>
    </w:p>
    <w:p>
      <w:pPr>
        <w:spacing w:after="0" w:line="26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Annual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Equity-Based Awards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266" w:lineRule="auto"/>
        <w:rPr>
          <w:sz w:val="20"/>
          <w:szCs w:val="20"/>
          <w:color w:val="auto"/>
        </w:rPr>
      </w:pPr>
      <w:r>
        <w:rPr>
          <w:rFonts w:ascii="Arial" w:cs="Arial" w:eastAsia="Arial" w:hAnsi="Arial"/>
          <w:sz w:val="16"/>
          <w:szCs w:val="16"/>
          <w:color w:val="333333"/>
        </w:rPr>
        <w:t>Attract and retain high-performing executives by providing a secure and appropriate level of base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66040</wp:posOffset>
            </wp:positionV>
            <wp:extent cx="5554980" cy="8915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554980" cy="89154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333333"/>
        </w:rPr>
        <w:t>Encourage and reward accomplishment of annual operating plan and individual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59" w:lineRule="auto"/>
        <w:rPr>
          <w:sz w:val="20"/>
          <w:szCs w:val="20"/>
          <w:color w:val="auto"/>
        </w:rPr>
      </w:pPr>
      <w:r>
        <w:rPr>
          <w:rFonts w:ascii="Arial" w:cs="Arial" w:eastAsia="Arial" w:hAnsi="Arial"/>
          <w:sz w:val="16"/>
          <w:szCs w:val="16"/>
          <w:color w:val="333333"/>
        </w:rPr>
        <w:t>Motivate performance and align a significant portion of NEO compensation with our ongoing success and with shareholder returns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both"/>
        <w:ind w:left="20" w:right="1060" w:hanging="262"/>
        <w:spacing w:after="0"/>
        <w:rPr>
          <w:sz w:val="20"/>
          <w:szCs w:val="20"/>
          <w:color w:val="auto"/>
        </w:rPr>
      </w:pPr>
      <w:r>
        <w:rPr>
          <w:sz w:val="1"/>
          <w:szCs w:val="1"/>
          <w:color w:val="auto"/>
        </w:rPr>
        <w:drawing>
          <wp:inline distT="0" distB="0" distL="0" distR="0">
            <wp:extent cx="77470" cy="94615"/>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333333"/>
        </w:rPr>
        <w:t>  Established after consideration of peer practices and internal parity; reviewed annually and subject to adjustment</w:t>
      </w:r>
    </w:p>
    <w:p>
      <w:pPr>
        <w:spacing w:after="0" w:line="244" w:lineRule="exact"/>
        <w:rPr>
          <w:sz w:val="20"/>
          <w:szCs w:val="20"/>
          <w:color w:val="auto"/>
        </w:rPr>
      </w:pPr>
    </w:p>
    <w:p>
      <w:pPr>
        <w:ind w:left="20" w:right="1020" w:hanging="262"/>
        <w:spacing w:after="0"/>
        <w:rPr>
          <w:sz w:val="20"/>
          <w:szCs w:val="20"/>
          <w:color w:val="auto"/>
        </w:rPr>
      </w:pPr>
      <w:r>
        <w:rPr>
          <w:sz w:val="1"/>
          <w:szCs w:val="1"/>
          <w:color w:val="auto"/>
        </w:rPr>
        <w:drawing>
          <wp:inline distT="0" distB="0" distL="0" distR="0">
            <wp:extent cx="77470" cy="9398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Cash portion only earned if we meet performance goals tied to our operating budget and strategic initiatives</w:t>
      </w:r>
    </w:p>
    <w:p>
      <w:pPr>
        <w:jc w:val="both"/>
        <w:ind w:left="20" w:right="1100" w:hanging="262"/>
        <w:spacing w:after="0"/>
        <w:rPr>
          <w:sz w:val="20"/>
          <w:szCs w:val="20"/>
          <w:color w:val="auto"/>
        </w:rPr>
      </w:pPr>
      <w:r>
        <w:rPr>
          <w:sz w:val="1"/>
          <w:szCs w:val="1"/>
          <w:color w:val="auto"/>
        </w:rPr>
        <w:drawing>
          <wp:inline distT="0" distB="0" distL="0" distR="0">
            <wp:extent cx="77470" cy="9398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Equity portion helps promote retention and links executive pay to shareholder interests</w:t>
      </w:r>
    </w:p>
    <w:p>
      <w:pPr>
        <w:spacing w:after="0" w:line="244" w:lineRule="exact"/>
        <w:rPr>
          <w:sz w:val="20"/>
          <w:szCs w:val="20"/>
          <w:color w:val="auto"/>
        </w:rPr>
      </w:pPr>
    </w:p>
    <w:p>
      <w:pPr>
        <w:ind w:left="20" w:right="1020" w:hanging="262"/>
        <w:spacing w:after="0"/>
        <w:rPr>
          <w:sz w:val="20"/>
          <w:szCs w:val="20"/>
          <w:color w:val="auto"/>
        </w:rPr>
      </w:pPr>
      <w:r>
        <w:rPr>
          <w:sz w:val="1"/>
          <w:szCs w:val="1"/>
          <w:color w:val="auto"/>
        </w:rPr>
        <w:drawing>
          <wp:inline distT="0" distB="0" distL="0" distR="0">
            <wp:extent cx="77470" cy="94615"/>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333333"/>
        </w:rPr>
        <w:t>  NEOs’ equity awards generally granted in Performance Shares, Performance-Based RSUs and stock options</w:t>
      </w:r>
    </w:p>
    <w:p>
      <w:pPr>
        <w:ind w:left="20" w:right="900" w:hanging="262"/>
        <w:spacing w:after="0"/>
        <w:rPr>
          <w:sz w:val="20"/>
          <w:szCs w:val="20"/>
          <w:color w:val="auto"/>
        </w:rPr>
      </w:pPr>
      <w:r>
        <w:rPr>
          <w:sz w:val="1"/>
          <w:szCs w:val="1"/>
          <w:color w:val="auto"/>
        </w:rPr>
        <w:drawing>
          <wp:inline distT="0" distB="0" distL="0" distR="0">
            <wp:extent cx="77470" cy="9398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Performance-based equity awards generally only have value to our NEOs to the extent the pre-established corporate and/or business unit goals established by the compensation committee are achieved</w:t>
      </w:r>
    </w:p>
    <w:p>
      <w:pPr>
        <w:ind w:right="1040" w:hanging="253"/>
        <w:spacing w:after="0"/>
        <w:rPr>
          <w:sz w:val="20"/>
          <w:szCs w:val="20"/>
          <w:color w:val="auto"/>
        </w:rPr>
      </w:pPr>
      <w:r>
        <w:rPr>
          <w:sz w:val="1"/>
          <w:szCs w:val="1"/>
          <w:color w:val="auto"/>
        </w:rPr>
        <w:drawing>
          <wp:inline distT="0" distB="0" distL="0" distR="0">
            <wp:extent cx="77470" cy="9398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Stock options have value for our NEOs only if our stock price increases</w:t>
      </w:r>
    </w:p>
    <w:p>
      <w:pPr>
        <w:spacing w:after="0" w:line="123" w:lineRule="exact"/>
        <w:rPr>
          <w:sz w:val="20"/>
          <w:szCs w:val="20"/>
          <w:color w:val="auto"/>
        </w:rPr>
      </w:pPr>
    </w:p>
    <w:p>
      <w:pPr>
        <w:sectPr>
          <w:pgSz w:w="11900" w:h="16838" w:orient="portrait"/>
          <w:cols w:equalWidth="0" w:num="3">
            <w:col w:w="2580" w:space="440"/>
            <w:col w:w="2680" w:space="480"/>
            <w:col w:w="3860"/>
          </w:cols>
          <w:pgMar w:left="920" w:top="114" w:right="939" w:bottom="1440" w:gutter="0" w:footer="0" w:header="0"/>
          <w:type w:val="continuous"/>
        </w:sectPr>
      </w:pPr>
    </w:p>
    <w:tbl>
      <w:tblPr>
        <w:tblLayout w:type="fixed"/>
        <w:tblInd w:w="640" w:type="dxa"/>
        <w:tblCellMar>
          <w:top w:w="0" w:type="dxa"/>
          <w:left w:w="0" w:type="dxa"/>
          <w:bottom w:w="0" w:type="dxa"/>
          <w:right w:w="0" w:type="dxa"/>
        </w:tblCellMar>
      </w:tblPr>
      <w:tr>
        <w:trPr>
          <w:trHeight w:val="310"/>
        </w:trPr>
        <w:tc>
          <w:tcPr>
            <w:tcW w:w="2220" w:type="dxa"/>
            <w:vAlign w:val="bottom"/>
            <w:shd w:val="clear" w:color="auto" w:fill="D9D9D9"/>
          </w:tcPr>
          <w:p>
            <w:pPr>
              <w:spacing w:after="0"/>
              <w:rPr>
                <w:sz w:val="24"/>
                <w:szCs w:val="24"/>
                <w:color w:val="auto"/>
              </w:rPr>
            </w:pPr>
          </w:p>
        </w:tc>
        <w:tc>
          <w:tcPr>
            <w:tcW w:w="2880" w:type="dxa"/>
            <w:vAlign w:val="bottom"/>
            <w:shd w:val="clear" w:color="auto" w:fill="D9D9D9"/>
          </w:tcPr>
          <w:p>
            <w:pPr>
              <w:spacing w:after="0"/>
              <w:rPr>
                <w:sz w:val="24"/>
                <w:szCs w:val="24"/>
                <w:color w:val="auto"/>
              </w:rPr>
            </w:pPr>
          </w:p>
        </w:tc>
        <w:tc>
          <w:tcPr>
            <w:tcW w:w="3660" w:type="dxa"/>
            <w:vAlign w:val="bottom"/>
            <w:gridSpan w:val="2"/>
            <w:shd w:val="clear" w:color="auto" w:fill="D9D9D9"/>
          </w:tcPr>
          <w:p>
            <w:pPr>
              <w:ind w:left="320"/>
              <w:spacing w:after="0"/>
              <w:rPr>
                <w:sz w:val="20"/>
                <w:szCs w:val="20"/>
                <w:color w:val="auto"/>
              </w:rPr>
            </w:pPr>
            <w:r>
              <w:rPr>
                <w:rFonts w:ascii="Arial" w:cs="Arial" w:eastAsia="Arial" w:hAnsi="Arial"/>
                <w:sz w:val="16"/>
                <w:szCs w:val="16"/>
                <w:color w:val="333333"/>
              </w:rPr>
              <w:t>   Customary retirement and health and</w:t>
            </w:r>
          </w:p>
        </w:tc>
        <w:tc>
          <w:tcPr>
            <w:tcW w:w="0" w:type="dxa"/>
            <w:vAlign w:val="bottom"/>
          </w:tcPr>
          <w:p>
            <w:pPr>
              <w:spacing w:after="0"/>
              <w:rPr>
                <w:sz w:val="1"/>
                <w:szCs w:val="1"/>
                <w:color w:val="auto"/>
              </w:rPr>
            </w:pPr>
          </w:p>
        </w:tc>
      </w:tr>
      <w:tr>
        <w:trPr>
          <w:trHeight w:val="189"/>
        </w:trPr>
        <w:tc>
          <w:tcPr>
            <w:tcW w:w="2220" w:type="dxa"/>
            <w:vAlign w:val="bottom"/>
            <w:shd w:val="clear" w:color="auto" w:fill="D9D9D9"/>
          </w:tcPr>
          <w:p>
            <w:pPr>
              <w:spacing w:after="0"/>
              <w:rPr>
                <w:sz w:val="16"/>
                <w:szCs w:val="16"/>
                <w:color w:val="auto"/>
              </w:rPr>
            </w:pPr>
          </w:p>
        </w:tc>
        <w:tc>
          <w:tcPr>
            <w:tcW w:w="2880" w:type="dxa"/>
            <w:vAlign w:val="bottom"/>
            <w:shd w:val="clear" w:color="auto" w:fill="D9D9D9"/>
          </w:tcPr>
          <w:p>
            <w:pPr>
              <w:spacing w:after="0"/>
              <w:rPr>
                <w:sz w:val="16"/>
                <w:szCs w:val="16"/>
                <w:color w:val="auto"/>
              </w:rPr>
            </w:pPr>
          </w:p>
        </w:tc>
        <w:tc>
          <w:tcPr>
            <w:tcW w:w="400" w:type="dxa"/>
            <w:vAlign w:val="bottom"/>
            <w:shd w:val="clear" w:color="auto" w:fill="D9D9D9"/>
          </w:tcPr>
          <w:p>
            <w:pPr>
              <w:spacing w:after="0"/>
              <w:rPr>
                <w:sz w:val="16"/>
                <w:szCs w:val="16"/>
                <w:color w:val="auto"/>
              </w:rPr>
            </w:pPr>
          </w:p>
        </w:tc>
        <w:tc>
          <w:tcPr>
            <w:tcW w:w="3260" w:type="dxa"/>
            <w:vAlign w:val="bottom"/>
            <w:shd w:val="clear" w:color="auto" w:fill="D9D9D9"/>
          </w:tcPr>
          <w:p>
            <w:pPr>
              <w:ind w:left="40"/>
              <w:spacing w:after="0"/>
              <w:rPr>
                <w:sz w:val="20"/>
                <w:szCs w:val="20"/>
                <w:color w:val="auto"/>
              </w:rPr>
            </w:pPr>
            <w:r>
              <w:rPr>
                <w:rFonts w:ascii="Arial" w:cs="Arial" w:eastAsia="Arial" w:hAnsi="Arial"/>
                <w:sz w:val="16"/>
                <w:szCs w:val="16"/>
                <w:color w:val="333333"/>
              </w:rPr>
              <w:t>welfare benefits to all of our salaried</w:t>
            </w:r>
          </w:p>
        </w:tc>
        <w:tc>
          <w:tcPr>
            <w:tcW w:w="0" w:type="dxa"/>
            <w:vAlign w:val="bottom"/>
          </w:tcPr>
          <w:p>
            <w:pPr>
              <w:spacing w:after="0"/>
              <w:rPr>
                <w:sz w:val="1"/>
                <w:szCs w:val="1"/>
                <w:color w:val="auto"/>
              </w:rPr>
            </w:pPr>
          </w:p>
        </w:tc>
      </w:tr>
      <w:tr>
        <w:trPr>
          <w:trHeight w:val="189"/>
        </w:trPr>
        <w:tc>
          <w:tcPr>
            <w:tcW w:w="2220" w:type="dxa"/>
            <w:vAlign w:val="bottom"/>
            <w:shd w:val="clear" w:color="auto" w:fill="D9D9D9"/>
          </w:tcPr>
          <w:p>
            <w:pPr>
              <w:ind w:left="280"/>
              <w:spacing w:after="0"/>
              <w:rPr>
                <w:sz w:val="20"/>
                <w:szCs w:val="20"/>
                <w:color w:val="auto"/>
              </w:rPr>
            </w:pPr>
            <w:r>
              <w:rPr>
                <w:rFonts w:ascii="Arial" w:cs="Arial" w:eastAsia="Arial" w:hAnsi="Arial"/>
                <w:sz w:val="16"/>
                <w:szCs w:val="16"/>
                <w:b w:val="1"/>
                <w:bCs w:val="1"/>
                <w:color w:val="auto"/>
              </w:rPr>
              <w:t>Employee Benefits and</w:t>
            </w:r>
          </w:p>
        </w:tc>
        <w:tc>
          <w:tcPr>
            <w:tcW w:w="2880" w:type="dxa"/>
            <w:vAlign w:val="bottom"/>
            <w:vMerge w:val="restart"/>
            <w:shd w:val="clear" w:color="auto" w:fill="D9D9D9"/>
          </w:tcPr>
          <w:p>
            <w:pPr>
              <w:ind w:left="160"/>
              <w:spacing w:after="0"/>
              <w:rPr>
                <w:sz w:val="20"/>
                <w:szCs w:val="20"/>
                <w:color w:val="auto"/>
              </w:rPr>
            </w:pPr>
            <w:r>
              <w:rPr>
                <w:rFonts w:ascii="Arial" w:cs="Arial" w:eastAsia="Arial" w:hAnsi="Arial"/>
                <w:sz w:val="16"/>
                <w:szCs w:val="16"/>
                <w:color w:val="333333"/>
              </w:rPr>
              <w:t>Attract and retain executive talent</w:t>
            </w:r>
          </w:p>
        </w:tc>
        <w:tc>
          <w:tcPr>
            <w:tcW w:w="400" w:type="dxa"/>
            <w:vAlign w:val="bottom"/>
            <w:shd w:val="clear" w:color="auto" w:fill="D9D9D9"/>
          </w:tcPr>
          <w:p>
            <w:pPr>
              <w:spacing w:after="0"/>
              <w:rPr>
                <w:sz w:val="16"/>
                <w:szCs w:val="16"/>
                <w:color w:val="auto"/>
              </w:rPr>
            </w:pPr>
          </w:p>
        </w:tc>
        <w:tc>
          <w:tcPr>
            <w:tcW w:w="3260" w:type="dxa"/>
            <w:vAlign w:val="bottom"/>
            <w:shd w:val="clear" w:color="auto" w:fill="D9D9D9"/>
          </w:tcPr>
          <w:p>
            <w:pPr>
              <w:ind w:left="40"/>
              <w:spacing w:after="0"/>
              <w:rPr>
                <w:sz w:val="20"/>
                <w:szCs w:val="20"/>
                <w:color w:val="auto"/>
              </w:rPr>
            </w:pPr>
            <w:r>
              <w:rPr>
                <w:rFonts w:ascii="Arial" w:cs="Arial" w:eastAsia="Arial" w:hAnsi="Arial"/>
                <w:sz w:val="16"/>
                <w:szCs w:val="16"/>
                <w:color w:val="333333"/>
              </w:rPr>
              <w:t>employees, including our NEOs</w:t>
            </w:r>
          </w:p>
        </w:tc>
        <w:tc>
          <w:tcPr>
            <w:tcW w:w="0" w:type="dxa"/>
            <w:vAlign w:val="bottom"/>
          </w:tcPr>
          <w:p>
            <w:pPr>
              <w:spacing w:after="0"/>
              <w:rPr>
                <w:sz w:val="1"/>
                <w:szCs w:val="1"/>
                <w:color w:val="auto"/>
              </w:rPr>
            </w:pPr>
          </w:p>
        </w:tc>
      </w:tr>
      <w:tr>
        <w:trPr>
          <w:trHeight w:val="120"/>
        </w:trPr>
        <w:tc>
          <w:tcPr>
            <w:tcW w:w="2220" w:type="dxa"/>
            <w:vAlign w:val="bottom"/>
            <w:vMerge w:val="restart"/>
            <w:shd w:val="clear" w:color="auto" w:fill="D9D9D9"/>
          </w:tcPr>
          <w:p>
            <w:pPr>
              <w:ind w:left="280"/>
              <w:spacing w:after="0"/>
              <w:rPr>
                <w:sz w:val="20"/>
                <w:szCs w:val="20"/>
                <w:color w:val="auto"/>
              </w:rPr>
            </w:pPr>
            <w:r>
              <w:rPr>
                <w:rFonts w:ascii="Arial" w:cs="Arial" w:eastAsia="Arial" w:hAnsi="Arial"/>
                <w:sz w:val="16"/>
                <w:szCs w:val="16"/>
                <w:b w:val="1"/>
                <w:bCs w:val="1"/>
                <w:color w:val="auto"/>
              </w:rPr>
              <w:t>Perquisites</w:t>
            </w:r>
          </w:p>
        </w:tc>
        <w:tc>
          <w:tcPr>
            <w:tcW w:w="2880" w:type="dxa"/>
            <w:vAlign w:val="bottom"/>
            <w:vMerge w:val="continue"/>
            <w:shd w:val="clear" w:color="auto" w:fill="D9D9D9"/>
          </w:tcPr>
          <w:p>
            <w:pPr>
              <w:spacing w:after="0"/>
              <w:rPr>
                <w:sz w:val="10"/>
                <w:szCs w:val="10"/>
                <w:color w:val="auto"/>
              </w:rPr>
            </w:pPr>
          </w:p>
        </w:tc>
        <w:tc>
          <w:tcPr>
            <w:tcW w:w="400" w:type="dxa"/>
            <w:vAlign w:val="bottom"/>
            <w:vMerge w:val="restart"/>
            <w:shd w:val="clear" w:color="auto" w:fill="D9D9D9"/>
          </w:tcPr>
          <w:p>
            <w:pPr>
              <w:ind w:left="320"/>
              <w:spacing w:after="0"/>
              <w:rPr>
                <w:sz w:val="20"/>
                <w:szCs w:val="20"/>
                <w:color w:val="auto"/>
              </w:rPr>
            </w:pPr>
            <w:r>
              <w:rPr>
                <w:rFonts w:ascii="Arial" w:cs="Arial" w:eastAsia="Arial" w:hAnsi="Arial"/>
                <w:sz w:val="8"/>
                <w:szCs w:val="8"/>
                <w:color w:val="333333"/>
                <w:w w:val="74"/>
              </w:rPr>
              <w:t> </w:t>
            </w:r>
          </w:p>
        </w:tc>
        <w:tc>
          <w:tcPr>
            <w:tcW w:w="3260" w:type="dxa"/>
            <w:vAlign w:val="bottom"/>
            <w:vMerge w:val="restart"/>
            <w:shd w:val="clear" w:color="auto" w:fill="D9D9D9"/>
          </w:tcPr>
          <w:p>
            <w:pPr>
              <w:ind w:left="80"/>
              <w:spacing w:after="0"/>
              <w:rPr>
                <w:sz w:val="20"/>
                <w:szCs w:val="20"/>
                <w:color w:val="auto"/>
              </w:rPr>
            </w:pPr>
            <w:r>
              <w:rPr>
                <w:rFonts w:ascii="Arial" w:cs="Arial" w:eastAsia="Arial" w:hAnsi="Arial"/>
                <w:sz w:val="16"/>
                <w:szCs w:val="16"/>
                <w:color w:val="333333"/>
              </w:rPr>
              <w:t>No nonqualified deferred compensation</w:t>
            </w:r>
          </w:p>
        </w:tc>
        <w:tc>
          <w:tcPr>
            <w:tcW w:w="0" w:type="dxa"/>
            <w:vAlign w:val="bottom"/>
          </w:tcPr>
          <w:p>
            <w:pPr>
              <w:spacing w:after="0"/>
              <w:rPr>
                <w:sz w:val="1"/>
                <w:szCs w:val="1"/>
                <w:color w:val="auto"/>
              </w:rPr>
            </w:pPr>
          </w:p>
        </w:tc>
      </w:tr>
      <w:tr>
        <w:trPr>
          <w:trHeight w:val="69"/>
        </w:trPr>
        <w:tc>
          <w:tcPr>
            <w:tcW w:w="2220" w:type="dxa"/>
            <w:vAlign w:val="bottom"/>
            <w:vMerge w:val="continue"/>
            <w:shd w:val="clear" w:color="auto" w:fill="D9D9D9"/>
          </w:tcPr>
          <w:p>
            <w:pPr>
              <w:spacing w:after="0"/>
              <w:rPr>
                <w:sz w:val="5"/>
                <w:szCs w:val="5"/>
                <w:color w:val="auto"/>
              </w:rPr>
            </w:pPr>
          </w:p>
        </w:tc>
        <w:tc>
          <w:tcPr>
            <w:tcW w:w="2880" w:type="dxa"/>
            <w:vAlign w:val="bottom"/>
            <w:shd w:val="clear" w:color="auto" w:fill="D9D9D9"/>
          </w:tcPr>
          <w:p>
            <w:pPr>
              <w:spacing w:after="0"/>
              <w:rPr>
                <w:sz w:val="5"/>
                <w:szCs w:val="5"/>
                <w:color w:val="auto"/>
              </w:rPr>
            </w:pPr>
          </w:p>
        </w:tc>
        <w:tc>
          <w:tcPr>
            <w:tcW w:w="400" w:type="dxa"/>
            <w:vAlign w:val="bottom"/>
            <w:vMerge w:val="continue"/>
            <w:shd w:val="clear" w:color="auto" w:fill="D9D9D9"/>
          </w:tcPr>
          <w:p>
            <w:pPr>
              <w:spacing w:after="0"/>
              <w:rPr>
                <w:sz w:val="5"/>
                <w:szCs w:val="5"/>
                <w:color w:val="auto"/>
              </w:rPr>
            </w:pPr>
          </w:p>
        </w:tc>
        <w:tc>
          <w:tcPr>
            <w:tcW w:w="3260" w:type="dxa"/>
            <w:vAlign w:val="bottom"/>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D9D9D9"/>
          </w:tcPr>
          <w:p>
            <w:pPr>
              <w:spacing w:after="0"/>
              <w:rPr>
                <w:sz w:val="16"/>
                <w:szCs w:val="16"/>
                <w:color w:val="auto"/>
              </w:rPr>
            </w:pPr>
          </w:p>
        </w:tc>
        <w:tc>
          <w:tcPr>
            <w:tcW w:w="2880" w:type="dxa"/>
            <w:vAlign w:val="bottom"/>
            <w:shd w:val="clear" w:color="auto" w:fill="D9D9D9"/>
          </w:tcPr>
          <w:p>
            <w:pPr>
              <w:spacing w:after="0"/>
              <w:rPr>
                <w:sz w:val="16"/>
                <w:szCs w:val="16"/>
                <w:color w:val="auto"/>
              </w:rPr>
            </w:pPr>
          </w:p>
        </w:tc>
        <w:tc>
          <w:tcPr>
            <w:tcW w:w="400" w:type="dxa"/>
            <w:vAlign w:val="bottom"/>
            <w:shd w:val="clear" w:color="auto" w:fill="D9D9D9"/>
          </w:tcPr>
          <w:p>
            <w:pPr>
              <w:spacing w:after="0"/>
              <w:rPr>
                <w:sz w:val="16"/>
                <w:szCs w:val="16"/>
                <w:color w:val="auto"/>
              </w:rPr>
            </w:pPr>
          </w:p>
        </w:tc>
        <w:tc>
          <w:tcPr>
            <w:tcW w:w="3260" w:type="dxa"/>
            <w:vAlign w:val="bottom"/>
            <w:shd w:val="clear" w:color="auto" w:fill="D9D9D9"/>
          </w:tcPr>
          <w:p>
            <w:pPr>
              <w:ind w:left="40"/>
              <w:spacing w:after="0"/>
              <w:rPr>
                <w:sz w:val="20"/>
                <w:szCs w:val="20"/>
                <w:color w:val="auto"/>
              </w:rPr>
            </w:pPr>
            <w:r>
              <w:rPr>
                <w:rFonts w:ascii="Arial" w:cs="Arial" w:eastAsia="Arial" w:hAnsi="Arial"/>
                <w:sz w:val="16"/>
                <w:szCs w:val="16"/>
                <w:color w:val="333333"/>
              </w:rPr>
              <w:t>plans or defined benefit pension plans</w:t>
            </w:r>
          </w:p>
        </w:tc>
        <w:tc>
          <w:tcPr>
            <w:tcW w:w="0" w:type="dxa"/>
            <w:vAlign w:val="bottom"/>
          </w:tcPr>
          <w:p>
            <w:pPr>
              <w:spacing w:after="0"/>
              <w:rPr>
                <w:sz w:val="1"/>
                <w:szCs w:val="1"/>
                <w:color w:val="auto"/>
              </w:rPr>
            </w:pPr>
          </w:p>
        </w:tc>
      </w:tr>
      <w:tr>
        <w:trPr>
          <w:trHeight w:val="215"/>
        </w:trPr>
        <w:tc>
          <w:tcPr>
            <w:tcW w:w="2220" w:type="dxa"/>
            <w:vAlign w:val="bottom"/>
            <w:shd w:val="clear" w:color="auto" w:fill="D9D9D9"/>
          </w:tcPr>
          <w:p>
            <w:pPr>
              <w:spacing w:after="0"/>
              <w:rPr>
                <w:sz w:val="18"/>
                <w:szCs w:val="18"/>
                <w:color w:val="auto"/>
              </w:rPr>
            </w:pPr>
          </w:p>
        </w:tc>
        <w:tc>
          <w:tcPr>
            <w:tcW w:w="2880" w:type="dxa"/>
            <w:vAlign w:val="bottom"/>
            <w:shd w:val="clear" w:color="auto" w:fill="D9D9D9"/>
          </w:tcPr>
          <w:p>
            <w:pPr>
              <w:spacing w:after="0"/>
              <w:rPr>
                <w:sz w:val="18"/>
                <w:szCs w:val="18"/>
                <w:color w:val="auto"/>
              </w:rPr>
            </w:pPr>
          </w:p>
        </w:tc>
        <w:tc>
          <w:tcPr>
            <w:tcW w:w="400" w:type="dxa"/>
            <w:vAlign w:val="bottom"/>
            <w:shd w:val="clear" w:color="auto" w:fill="D9D9D9"/>
          </w:tcPr>
          <w:p>
            <w:pPr>
              <w:ind w:left="320"/>
              <w:spacing w:after="0"/>
              <w:rPr>
                <w:sz w:val="20"/>
                <w:szCs w:val="20"/>
                <w:color w:val="auto"/>
              </w:rPr>
            </w:pPr>
            <w:r>
              <w:rPr>
                <w:rFonts w:ascii="Arial" w:cs="Arial" w:eastAsia="Arial" w:hAnsi="Arial"/>
                <w:sz w:val="8"/>
                <w:szCs w:val="8"/>
                <w:color w:val="333333"/>
                <w:w w:val="74"/>
              </w:rPr>
              <w:t> </w:t>
            </w:r>
          </w:p>
        </w:tc>
        <w:tc>
          <w:tcPr>
            <w:tcW w:w="3260" w:type="dxa"/>
            <w:vAlign w:val="bottom"/>
            <w:shd w:val="clear" w:color="auto" w:fill="D9D9D9"/>
          </w:tcPr>
          <w:p>
            <w:pPr>
              <w:ind w:left="80"/>
              <w:spacing w:after="0"/>
              <w:rPr>
                <w:sz w:val="20"/>
                <w:szCs w:val="20"/>
                <w:color w:val="auto"/>
              </w:rPr>
            </w:pPr>
            <w:r>
              <w:rPr>
                <w:rFonts w:ascii="Arial" w:cs="Arial" w:eastAsia="Arial" w:hAnsi="Arial"/>
                <w:sz w:val="16"/>
                <w:szCs w:val="16"/>
                <w:color w:val="333333"/>
              </w:rPr>
              <w:t>No excessive perquisites</w:t>
            </w:r>
          </w:p>
        </w:tc>
        <w:tc>
          <w:tcPr>
            <w:tcW w:w="0" w:type="dxa"/>
            <w:vAlign w:val="bottom"/>
          </w:tcPr>
          <w:p>
            <w:pPr>
              <w:spacing w:after="0"/>
              <w:rPr>
                <w:sz w:val="1"/>
                <w:szCs w:val="1"/>
                <w:color w:val="auto"/>
              </w:rPr>
            </w:pPr>
          </w:p>
        </w:tc>
      </w:tr>
      <w:tr>
        <w:trPr>
          <w:trHeight w:val="96"/>
        </w:trPr>
        <w:tc>
          <w:tcPr>
            <w:tcW w:w="2220" w:type="dxa"/>
            <w:vAlign w:val="bottom"/>
            <w:shd w:val="clear" w:color="auto" w:fill="D9D9D9"/>
          </w:tcPr>
          <w:p>
            <w:pPr>
              <w:spacing w:after="0"/>
              <w:rPr>
                <w:sz w:val="8"/>
                <w:szCs w:val="8"/>
                <w:color w:val="auto"/>
              </w:rPr>
            </w:pPr>
          </w:p>
        </w:tc>
        <w:tc>
          <w:tcPr>
            <w:tcW w:w="2880" w:type="dxa"/>
            <w:vAlign w:val="bottom"/>
            <w:shd w:val="clear" w:color="auto" w:fill="D9D9D9"/>
          </w:tcPr>
          <w:p>
            <w:pPr>
              <w:spacing w:after="0"/>
              <w:rPr>
                <w:sz w:val="8"/>
                <w:szCs w:val="8"/>
                <w:color w:val="auto"/>
              </w:rPr>
            </w:pPr>
          </w:p>
        </w:tc>
        <w:tc>
          <w:tcPr>
            <w:tcW w:w="400" w:type="dxa"/>
            <w:vAlign w:val="bottom"/>
            <w:shd w:val="clear" w:color="auto" w:fill="D9D9D9"/>
          </w:tcPr>
          <w:p>
            <w:pPr>
              <w:spacing w:after="0"/>
              <w:rPr>
                <w:sz w:val="8"/>
                <w:szCs w:val="8"/>
                <w:color w:val="auto"/>
              </w:rPr>
            </w:pPr>
          </w:p>
        </w:tc>
        <w:tc>
          <w:tcPr>
            <w:tcW w:w="326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-788035</wp:posOffset>
            </wp:positionV>
            <wp:extent cx="77470" cy="946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-427990</wp:posOffset>
            </wp:positionV>
            <wp:extent cx="77470" cy="939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-187960</wp:posOffset>
            </wp:positionV>
            <wp:extent cx="77470" cy="946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9461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p>
      <w:pPr>
        <w:spacing w:after="0" w:line="242"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333333"/>
        </w:rPr>
        <w:t>Our mix of compensation elements is designed to reinforce business and strategic objectives, recognize and reward performance, motivate long-term value creation, and align our NEOs’ interests with those of our shareholders. We generally achieve this through a combination of cash and equity awards.</w:t>
      </w:r>
    </w:p>
    <w:p>
      <w:pPr>
        <w:spacing w:after="0" w:line="141"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333333"/>
        </w:rPr>
        <w:t>The Company is responsible for allocating capital in a manner that is in the best interest of its shareholders in line with the stated objective of growing Adjusted EPS between 15%-20% per year over the mid-term. Some portion of this growth is contingent on effective capital allocation in the form of acquisitions and/or share buybacks as a use for our free cash flow.</w:t>
      </w:r>
    </w:p>
    <w:p>
      <w:pPr>
        <w:spacing w:after="0" w:line="141" w:lineRule="exact"/>
        <w:rPr>
          <w:sz w:val="20"/>
          <w:szCs w:val="20"/>
          <w:color w:val="auto"/>
        </w:rPr>
      </w:pPr>
    </w:p>
    <w:p>
      <w:pPr>
        <w:ind w:left="660" w:right="100"/>
        <w:spacing w:after="0" w:line="266" w:lineRule="auto"/>
        <w:rPr>
          <w:sz w:val="20"/>
          <w:szCs w:val="20"/>
          <w:color w:val="auto"/>
        </w:rPr>
      </w:pPr>
      <w:r>
        <w:rPr>
          <w:rFonts w:ascii="Arial" w:cs="Arial" w:eastAsia="Arial" w:hAnsi="Arial"/>
          <w:sz w:val="16"/>
          <w:szCs w:val="16"/>
          <w:color w:val="333333"/>
        </w:rPr>
        <w:t>As part of our existing stock repurchase program, the Company has regularly repurchased shares that it viewed as undervalued, and thus would provide a better return to</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720"/>
        <w:spacing w:after="0" w:line="256" w:lineRule="auto"/>
        <w:rPr>
          <w:sz w:val="20"/>
          <w:szCs w:val="20"/>
          <w:color w:val="auto"/>
        </w:rPr>
      </w:pPr>
      <w:r>
        <w:rPr>
          <w:rFonts w:ascii="Arial" w:cs="Arial" w:eastAsia="Arial" w:hAnsi="Arial"/>
          <w:sz w:val="16"/>
          <w:szCs w:val="16"/>
          <w:color w:val="auto"/>
        </w:rPr>
        <w:t>shareholders compared with other alternatives at the time. Also, repurchases are used to offset the dilutive effect of the issuance of shares to executives under equity compensation plans, including the exercise price of options, and the use of shares in acquisitions.</w:t>
      </w:r>
    </w:p>
    <w:p>
      <w:pPr>
        <w:spacing w:after="0" w:line="139" w:lineRule="exact"/>
        <w:rPr>
          <w:sz w:val="20"/>
          <w:szCs w:val="20"/>
          <w:color w:val="auto"/>
        </w:rPr>
      </w:pPr>
    </w:p>
    <w:p>
      <w:pPr>
        <w:ind w:right="640"/>
        <w:spacing w:after="0" w:line="274" w:lineRule="auto"/>
        <w:rPr>
          <w:sz w:val="20"/>
          <w:szCs w:val="20"/>
          <w:color w:val="auto"/>
        </w:rPr>
      </w:pPr>
      <w:r>
        <w:rPr>
          <w:rFonts w:ascii="Arial" w:cs="Arial" w:eastAsia="Arial" w:hAnsi="Arial"/>
          <w:sz w:val="16"/>
          <w:szCs w:val="16"/>
          <w:color w:val="auto"/>
        </w:rPr>
        <w:t>The Company aligns its executive compensation arrangements with its overall capital allocation strategy that maximizes shareholders’ interests, and share repurchases are accordingly not excluded from our performance metrics. The compensation committee is keenly aware of the Company’s stock repurchase approach under outstanding authorizations, and historical stock repurchases when setting performance metrics for executive compensation awards. Because we intend to use free cash for either repurchases or acquisitions, the Board does not exclude repurchases from the final determination of performance achievement.</w:t>
      </w:r>
    </w:p>
    <w:p>
      <w:pPr>
        <w:spacing w:after="0" w:line="180" w:lineRule="exact"/>
        <w:rPr>
          <w:sz w:val="20"/>
          <w:szCs w:val="20"/>
          <w:color w:val="auto"/>
        </w:rPr>
      </w:pPr>
    </w:p>
    <w:p>
      <w:pPr>
        <w:sectPr>
          <w:pgSz w:w="11900" w:h="16838" w:orient="portrait"/>
          <w:cols w:equalWidth="0" w:num="2">
            <w:col w:w="4880" w:space="260"/>
            <w:col w:w="4900"/>
          </w:cols>
          <w:pgMar w:left="920" w:top="114" w:right="939" w:bottom="1440" w:gutter="0" w:footer="0" w:header="0"/>
          <w:type w:val="continuous"/>
        </w:sectPr>
      </w:pPr>
    </w:p>
    <w:p>
      <w:pPr>
        <w:ind w:left="7300"/>
        <w:spacing w:after="0"/>
        <w:rPr>
          <w:sz w:val="20"/>
          <w:szCs w:val="20"/>
          <w:color w:val="auto"/>
        </w:rPr>
      </w:pPr>
      <w:r>
        <w:rPr>
          <w:rFonts w:ascii="Arial" w:cs="Arial" w:eastAsia="Arial" w:hAnsi="Arial"/>
          <w:sz w:val="10"/>
          <w:szCs w:val="10"/>
          <w:color w:val="333333"/>
        </w:rPr>
        <w:t xml:space="preserve">2024 Notice of Annual Meeting &amp; Proxy Statement      </w:t>
      </w:r>
      <w:r>
        <w:rPr>
          <w:rFonts w:ascii="Arial" w:cs="Arial" w:eastAsia="Arial" w:hAnsi="Arial"/>
          <w:sz w:val="10"/>
          <w:szCs w:val="10"/>
          <w:b w:val="1"/>
          <w:bCs w:val="1"/>
          <w:color w:val="333333"/>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55"/>
        </w:numPr>
        <w:rPr>
          <w:rFonts w:ascii="Arial" w:cs="Arial" w:eastAsia="Arial" w:hAnsi="Arial"/>
          <w:sz w:val="17"/>
          <w:szCs w:val="17"/>
          <w:b w:val="1"/>
          <w:bCs w:val="1"/>
          <w:color w:val="auto"/>
        </w:rPr>
      </w:pPr>
      <w:r>
        <w:rPr>
          <w:rFonts w:ascii="Arial" w:cs="Arial" w:eastAsia="Arial" w:hAnsi="Arial"/>
          <w:sz w:val="17"/>
          <w:szCs w:val="17"/>
          <w:color w:val="CF1D4C"/>
        </w:rPr>
        <w:t>COMPENSATION DISCUSSION AND ANALYSIS</w:t>
      </w: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Target Mix of Compensation</w:t>
      </w:r>
    </w:p>
    <w:p>
      <w:pPr>
        <w:spacing w:after="0" w:line="248" w:lineRule="exact"/>
        <w:rPr>
          <w:sz w:val="20"/>
          <w:szCs w:val="20"/>
          <w:color w:val="auto"/>
        </w:rPr>
      </w:pPr>
    </w:p>
    <w:p>
      <w:pPr>
        <w:ind w:left="660" w:right="40"/>
        <w:spacing w:after="0" w:line="248" w:lineRule="auto"/>
        <w:rPr>
          <w:sz w:val="20"/>
          <w:szCs w:val="20"/>
          <w:color w:val="auto"/>
        </w:rPr>
      </w:pPr>
      <w:r>
        <w:rPr>
          <w:rFonts w:ascii="Arial" w:cs="Arial" w:eastAsia="Arial" w:hAnsi="Arial"/>
          <w:sz w:val="16"/>
          <w:szCs w:val="16"/>
          <w:color w:val="333333"/>
        </w:rPr>
        <w:t>The compensation committee strives to achieve an appropriate mix between fixed versus variable pay and cash versus equity-based compensation awards in order to meet our compensation objectives. Our compensation committee does not have a rigid policy for allocating compensation between short- and long-term compensation and cash and non-cash compensation. We believe the most important indicator of whether our compensation objectives are being met is our ability to motivate our NEOs to deliver superior shareholder return and retain them to continue their careers with us on a cost-effective basis. For NEOs other than the CEO, our compensation committee generally references cash-based components of compensation below market levels and equity-based components of compensation (based on target levels) at market levels, resulting in total target compensation that is generally below the peer median for our NEOs other than the CEO. For our CEO, the compensation committee references cash-based components below the peer median, and equity-based components above the peer median, resulting in total compensation that is generally at or above the peer median. Although the compensation committee includes this market data and its general understanding of current compensation practices in the market in the overall mix of factors it considers in assessing NEO compensation, it does not target a mathematically precise market position for total compensation or any individual element of compensation.</w:t>
      </w:r>
    </w:p>
    <w:p>
      <w:pPr>
        <w:spacing w:after="0" w:line="144" w:lineRule="exact"/>
        <w:rPr>
          <w:sz w:val="20"/>
          <w:szCs w:val="20"/>
          <w:color w:val="auto"/>
        </w:rPr>
      </w:pPr>
    </w:p>
    <w:p>
      <w:pPr>
        <w:ind w:left="660" w:right="80"/>
        <w:spacing w:after="0" w:line="252" w:lineRule="auto"/>
        <w:rPr>
          <w:sz w:val="20"/>
          <w:szCs w:val="20"/>
          <w:color w:val="auto"/>
        </w:rPr>
      </w:pPr>
      <w:r>
        <w:rPr>
          <w:rFonts w:ascii="Arial" w:cs="Arial" w:eastAsia="Arial" w:hAnsi="Arial"/>
          <w:sz w:val="16"/>
          <w:szCs w:val="16"/>
          <w:color w:val="333333"/>
        </w:rPr>
        <w:t>The ultimate compensation levels reflect the application of these policies to the varying responsibilities of the NEOs. In a typical year, it is expected that the greater the responsibility of the executive and the greater the potential impact of the executive on the Company’s financial performance, the higher the proportion of compensation that can be earned by the executive in the form of performance-based compensation.</w:t>
      </w:r>
    </w:p>
    <w:p>
      <w:pPr>
        <w:spacing w:after="0" w:line="142" w:lineRule="exact"/>
        <w:rPr>
          <w:sz w:val="20"/>
          <w:szCs w:val="20"/>
          <w:color w:val="auto"/>
        </w:rPr>
      </w:pPr>
    </w:p>
    <w:p>
      <w:pPr>
        <w:ind w:left="660" w:right="40"/>
        <w:spacing w:after="0" w:line="252" w:lineRule="auto"/>
        <w:rPr>
          <w:sz w:val="20"/>
          <w:szCs w:val="20"/>
          <w:color w:val="auto"/>
        </w:rPr>
      </w:pPr>
      <w:r>
        <w:rPr>
          <w:rFonts w:ascii="Arial" w:cs="Arial" w:eastAsia="Arial" w:hAnsi="Arial"/>
          <w:sz w:val="16"/>
          <w:szCs w:val="16"/>
          <w:color w:val="333333"/>
        </w:rPr>
        <w:t>Our CEO has the greatest responsibility in managing and driving the performance of our Company. He joined our Company in 2000, and has managed our significant growth through a combination of organic initiatives, product and service innovation and acquisitions of businesses and commercial account portfolios, and has overseen the growth of our revenue from $33.0 million in 2000 to approximately $3.8 billion in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39"/>
        <w:spacing w:after="0" w:line="248" w:lineRule="auto"/>
        <w:rPr>
          <w:sz w:val="20"/>
          <w:szCs w:val="20"/>
          <w:color w:val="auto"/>
        </w:rPr>
      </w:pPr>
      <w:r>
        <w:rPr>
          <w:rFonts w:ascii="Arial" w:cs="Arial" w:eastAsia="Arial" w:hAnsi="Arial"/>
          <w:sz w:val="16"/>
          <w:szCs w:val="16"/>
          <w:color w:val="auto"/>
        </w:rPr>
        <w:t>The charts below illustrate the 2023 total target direct compensation mix for our CEO and our continuing NEOs other than the CEO (on average), consisting of base salary, target annual incentives, and target equity-based incentives. As discussed in more detail below, in 2023 our CEO was not granted any equity compensation awards, other than the portion of his annual incentive opportunity that was delivered in the form of time-based restricted stock, because the 2021 CEO Performance Option was intended to serve as the long-term equity incentive portion of his total compensation for the period from 2020 through 2023. Therefore, the compensation mix for our CEO in the applicable chart below includes a quarter of the total target value of the performance-based stock option award we granted to Mr. Clarke in 2021 (the “2021 CEO Performance Option”), even though such award was granted in 2021. For purposes of the charts below, the portion of the annual incentive award that was granted in the form of time-based restricted stock (for all NEOs) is reflected as part of the equity-based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208915</wp:posOffset>
            </wp:positionV>
            <wp:extent cx="2459990" cy="38830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459990" cy="3883025"/>
                    </a:xfrm>
                    <a:prstGeom prst="rect">
                      <a:avLst/>
                    </a:prstGeom>
                    <a:noFill/>
                  </pic:spPr>
                </pic:pic>
              </a:graphicData>
            </a:graphic>
          </wp:anchor>
        </w:drawing>
      </w:r>
    </w:p>
    <w:p>
      <w:pPr>
        <w:spacing w:after="0" w:line="5530" w:lineRule="exact"/>
        <w:rPr>
          <w:sz w:val="20"/>
          <w:szCs w:val="20"/>
          <w:color w:val="auto"/>
        </w:rPr>
      </w:pPr>
    </w:p>
    <w:p>
      <w:pPr>
        <w:sectPr>
          <w:pgSz w:w="11900" w:h="16838" w:orient="portrait"/>
          <w:cols w:equalWidth="0" w:num="2">
            <w:col w:w="4920" w:space="220"/>
            <w:col w:w="4399"/>
          </w:cols>
          <w:pgMar w:left="9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4339"/>
        <w:spacing w:after="0"/>
        <w:rPr>
          <w:sz w:val="20"/>
          <w:szCs w:val="20"/>
          <w:color w:val="auto"/>
        </w:rPr>
      </w:pPr>
      <w:r>
        <w:rPr>
          <w:rFonts w:ascii="Arial" w:cs="Arial" w:eastAsia="Arial" w:hAnsi="Arial"/>
          <w:sz w:val="18"/>
          <w:szCs w:val="18"/>
          <w:b w:val="1"/>
          <w:bCs w:val="1"/>
          <w:color w:val="CF1D4C"/>
        </w:rPr>
        <w:t> </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36 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CF1D4C"/>
        </w:rPr>
        <w:t>COMPENSATION DISCUSSION AND ANALYSIS</w:t>
      </w: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Equity Compensation in Prior Fiscal Years</w:t>
      </w:r>
    </w:p>
    <w:p>
      <w:pPr>
        <w:spacing w:after="0" w:line="248" w:lineRule="exact"/>
        <w:rPr>
          <w:sz w:val="20"/>
          <w:szCs w:val="20"/>
          <w:color w:val="auto"/>
        </w:rPr>
      </w:pPr>
    </w:p>
    <w:p>
      <w:pPr>
        <w:ind w:left="660" w:right="60"/>
        <w:spacing w:after="0" w:line="253" w:lineRule="auto"/>
        <w:rPr>
          <w:sz w:val="20"/>
          <w:szCs w:val="20"/>
          <w:color w:val="auto"/>
        </w:rPr>
      </w:pPr>
      <w:r>
        <w:rPr>
          <w:rFonts w:ascii="Arial" w:cs="Arial" w:eastAsia="Arial" w:hAnsi="Arial"/>
          <w:sz w:val="16"/>
          <w:szCs w:val="16"/>
          <w:color w:val="333333"/>
        </w:rPr>
        <w:t>As previously disclosed, we granted the 2021 CEO Performance Option to Mr. Clarke in September 2021. In connection with the grant of the 2021 CEO Performance Option, Mr. Clarke agreed not to receive any other long-term equity grants in 2021, 2022 or 2023. He did, however, receive an award of restricted stock in connection with his 2023 annual incentive award, as further discussed below.</w:t>
      </w:r>
    </w:p>
    <w:p>
      <w:pPr>
        <w:spacing w:after="0" w:line="141" w:lineRule="exact"/>
        <w:rPr>
          <w:sz w:val="20"/>
          <w:szCs w:val="20"/>
          <w:color w:val="auto"/>
        </w:rPr>
      </w:pPr>
    </w:p>
    <w:p>
      <w:pPr>
        <w:ind w:left="660" w:right="100"/>
        <w:spacing w:after="0" w:line="249" w:lineRule="auto"/>
        <w:rPr>
          <w:sz w:val="20"/>
          <w:szCs w:val="20"/>
          <w:color w:val="auto"/>
        </w:rPr>
      </w:pPr>
      <w:r>
        <w:rPr>
          <w:rFonts w:ascii="Arial" w:cs="Arial" w:eastAsia="Arial" w:hAnsi="Arial"/>
          <w:sz w:val="16"/>
          <w:szCs w:val="16"/>
          <w:color w:val="333333"/>
        </w:rPr>
        <w:t>The 2021 CEO Performance Option is intended to further align Mr. Clarke’s compensation interests with the Company stock price performance interests of the Company’s shareholders, and to help retain Mr. Clarke’s service during the period of time covered by the award. In considering and approving the award, the compensation committee considered the best interests of the Company’s shareholders and a desire to retain Mr. Clarke due to, among other considerations, his over 20-year history of operational excellence, development of a strong management team, and ability to lead the Company’s continued strategic development, transformation and expansion.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The 2021 CEO Performance Option covers 850,000</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shares of our common stock at an exercise price of</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$261.27 per share, which was the fair market value of our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common stock on the grant date. However, the option will</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vest only if we achieve specific stock price hurdles.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Achievement of each stock price hurdle requires that our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stock price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336550</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0"/>
        <w:spacing w:after="0" w:line="256" w:lineRule="auto"/>
        <w:rPr>
          <w:sz w:val="20"/>
          <w:szCs w:val="20"/>
          <w:color w:val="auto"/>
        </w:rPr>
      </w:pPr>
      <w:r>
        <w:rPr>
          <w:rFonts w:ascii="Arial" w:cs="Arial" w:eastAsia="Arial" w:hAnsi="Arial"/>
          <w:sz w:val="16"/>
          <w:szCs w:val="16"/>
          <w:color w:val="auto"/>
        </w:rPr>
        <w:t>the hurdle for ten consecutive trading days not later than December 31, 2024 (in other words, only 3.25 years after the date of grant). The stock price hurdle for 550,000 shares subject to the award is $350, and the stock price hurdle for the remainder of the award is $400.</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considers achievement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each of the stock price hurdles to represent a significant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challenge. The hurdles reflect stock price appreciation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34% and 53%, respectively, from the closing price of 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common stock on the grant date. As of April 11, 2024,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closing price per share of our common shares was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$305.72, and neither of the stock price hurdles for the 2021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CEO Performance Option had been met. However,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these rigorous goals, due to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accounting standards that apply to stock option awards,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2021 CEO Performance Option had significant “grant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date fair value” (as determined pursuant to SEC rules)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purposes of the compensation tables included in our 2022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proxy statement.</w:t>
      </w:r>
    </w:p>
    <w:p>
      <w:pPr>
        <w:spacing w:after="0" w:line="165" w:lineRule="exact"/>
        <w:rPr>
          <w:sz w:val="20"/>
          <w:szCs w:val="20"/>
          <w:color w:val="auto"/>
        </w:rPr>
      </w:pPr>
    </w:p>
    <w:p>
      <w:pPr>
        <w:ind w:right="660"/>
        <w:spacing w:after="0" w:line="250" w:lineRule="auto"/>
        <w:rPr>
          <w:sz w:val="20"/>
          <w:szCs w:val="20"/>
          <w:color w:val="auto"/>
        </w:rPr>
      </w:pPr>
      <w:r>
        <w:rPr>
          <w:rFonts w:ascii="Arial" w:cs="Arial" w:eastAsia="Arial" w:hAnsi="Arial"/>
          <w:sz w:val="16"/>
          <w:szCs w:val="16"/>
          <w:color w:val="auto"/>
        </w:rPr>
        <w:t>Mr. Clarke was required to continue to provide services to the Company over an 18-month vesting period to be eligible to vest in the full award (which vested over time in ratable installments every six months), regardless of our stock price performance. Although the 2021 CEO Performance Option allows for vesting in the event of certain terminations of employment and in connection with a change in control (on a “double trigger” basis), in all events the applicable stock price hurdles must be achieved in order for Mr. Clarke to vest in the award.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37</w:t>
      </w:r>
    </w:p>
    <w:p>
      <w:pPr>
        <w:sectPr>
          <w:pgSz w:w="11900" w:h="16838" w:orient="portrait"/>
          <w:cols w:equalWidth="0" w:num="2">
            <w:col w:w="4920" w:space="220"/>
            <w:col w:w="4900"/>
          </w:cols>
          <w:pgMar w:left="920" w:top="114" w:right="9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CF1D4C"/>
        </w:rPr>
        <w:t>COMPENSATION DISCUSSION AND ANALYSIS</w:t>
      </w:r>
    </w:p>
    <w:p>
      <w:pPr>
        <w:spacing w:after="0" w:line="347" w:lineRule="exact"/>
        <w:rPr>
          <w:sz w:val="20"/>
          <w:szCs w:val="20"/>
          <w:color w:val="auto"/>
        </w:rPr>
      </w:pPr>
    </w:p>
    <w:p>
      <w:pPr>
        <w:jc w:val="right"/>
        <w:ind w:right="3579"/>
        <w:spacing w:after="0"/>
        <w:rPr>
          <w:sz w:val="20"/>
          <w:szCs w:val="20"/>
          <w:color w:val="auto"/>
        </w:rPr>
      </w:pPr>
      <w:r>
        <w:rPr>
          <w:rFonts w:ascii="Arial" w:cs="Arial" w:eastAsia="Arial" w:hAnsi="Arial"/>
          <w:sz w:val="18"/>
          <w:szCs w:val="18"/>
          <w:b w:val="1"/>
          <w:bCs w:val="1"/>
          <w:color w:val="CF1D4C"/>
        </w:rPr>
        <w:t>Key Elements of 2023 Named Executive Officer Compensation</w:t>
      </w:r>
    </w:p>
    <w:p>
      <w:pPr>
        <w:sectPr>
          <w:pgSz w:w="11900" w:h="16838" w:orient="portrait"/>
          <w:cols w:equalWidth="0" w:num="1">
            <w:col w:w="9539"/>
          </w:cols>
          <w:pgMar w:left="920" w:top="114" w:right="1440" w:bottom="1440" w:gutter="0" w:footer="0" w:header="0"/>
        </w:sect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Base Salary</w:t>
      </w:r>
    </w:p>
    <w:p>
      <w:pPr>
        <w:spacing w:after="0" w:line="248" w:lineRule="exact"/>
        <w:rPr>
          <w:sz w:val="20"/>
          <w:szCs w:val="20"/>
          <w:color w:val="auto"/>
        </w:rPr>
      </w:pPr>
    </w:p>
    <w:p>
      <w:pPr>
        <w:ind w:left="660"/>
        <w:spacing w:after="0" w:line="265" w:lineRule="auto"/>
        <w:rPr>
          <w:sz w:val="20"/>
          <w:szCs w:val="20"/>
          <w:color w:val="auto"/>
        </w:rPr>
      </w:pPr>
      <w:r>
        <w:rPr>
          <w:rFonts w:ascii="Arial" w:cs="Arial" w:eastAsia="Arial" w:hAnsi="Arial"/>
          <w:sz w:val="16"/>
          <w:szCs w:val="16"/>
          <w:color w:val="333333"/>
        </w:rPr>
        <w:t>Base salaries are reviewed annually, taking into account individual responsibilities, individual performance, the experience of the individual, current salary, retention incentives, internal equity and the compensation committee’s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159"/>
        <w:spacing w:after="0" w:line="253" w:lineRule="auto"/>
        <w:rPr>
          <w:sz w:val="20"/>
          <w:szCs w:val="20"/>
          <w:color w:val="auto"/>
        </w:rPr>
      </w:pPr>
      <w:r>
        <w:rPr>
          <w:rFonts w:ascii="Arial" w:cs="Arial" w:eastAsia="Arial" w:hAnsi="Arial"/>
          <w:sz w:val="16"/>
          <w:szCs w:val="16"/>
          <w:color w:val="auto"/>
        </w:rPr>
        <w:t>evaluation of the competitive market. No particular weight is assigned to these factors. Based on its consideration of these factors, as well as her service as interim Chief Financial Officer, the compensation committee approved an increase to the base salary rate of Ms. Vickery for 2023. The table below illustrates the 2023 base salaries for our NEOs:</w:t>
      </w:r>
    </w:p>
    <w:p>
      <w:pPr>
        <w:spacing w:after="0" w:line="141" w:lineRule="exact"/>
        <w:rPr>
          <w:sz w:val="20"/>
          <w:szCs w:val="20"/>
          <w:color w:val="auto"/>
        </w:rPr>
      </w:pPr>
    </w:p>
    <w:p>
      <w:pPr>
        <w:sectPr>
          <w:pgSz w:w="11900" w:h="16838" w:orient="portrait"/>
          <w:cols w:equalWidth="0" w:num="2">
            <w:col w:w="4680" w:space="460"/>
            <w:col w:w="4399"/>
          </w:cols>
          <w:pgMar w:left="920" w:top="114" w:right="1440" w:bottom="1440" w:gutter="0" w:footer="0" w:header="0"/>
          <w:type w:val="continuous"/>
        </w:sectPr>
      </w:pPr>
    </w:p>
    <w:tbl>
      <w:tblPr>
        <w:tblLayout w:type="fixed"/>
        <w:tblInd w:w="640" w:type="dxa"/>
        <w:tblCellMar>
          <w:top w:w="0" w:type="dxa"/>
          <w:left w:w="0" w:type="dxa"/>
          <w:bottom w:w="0" w:type="dxa"/>
          <w:right w:w="0" w:type="dxa"/>
        </w:tblCellMar>
      </w:tblPr>
      <w:tr>
        <w:trPr>
          <w:trHeight w:val="342"/>
        </w:trPr>
        <w:tc>
          <w:tcPr>
            <w:tcW w:w="2340" w:type="dxa"/>
            <w:vAlign w:val="bottom"/>
            <w:shd w:val="clear" w:color="auto" w:fill="CF1D4C"/>
          </w:tcPr>
          <w:p>
            <w:pPr>
              <w:ind w:left="160"/>
              <w:spacing w:after="0"/>
              <w:rPr>
                <w:sz w:val="20"/>
                <w:szCs w:val="20"/>
                <w:color w:val="auto"/>
              </w:rPr>
            </w:pPr>
            <w:r>
              <w:rPr>
                <w:rFonts w:ascii="Arial" w:cs="Arial" w:eastAsia="Arial" w:hAnsi="Arial"/>
                <w:sz w:val="16"/>
                <w:szCs w:val="16"/>
                <w:b w:val="1"/>
                <w:bCs w:val="1"/>
                <w:color w:val="FFFFFF"/>
              </w:rPr>
              <w:t>Named Executive Officer</w:t>
            </w:r>
          </w:p>
        </w:tc>
        <w:tc>
          <w:tcPr>
            <w:tcW w:w="2260" w:type="dxa"/>
            <w:vAlign w:val="bottom"/>
            <w:shd w:val="clear" w:color="auto" w:fill="CF1D4C"/>
          </w:tcPr>
          <w:p>
            <w:pPr>
              <w:ind w:left="320"/>
              <w:spacing w:after="0"/>
              <w:rPr>
                <w:sz w:val="20"/>
                <w:szCs w:val="20"/>
                <w:color w:val="auto"/>
              </w:rPr>
            </w:pPr>
            <w:r>
              <w:rPr>
                <w:rFonts w:ascii="Arial" w:cs="Arial" w:eastAsia="Arial" w:hAnsi="Arial"/>
                <w:sz w:val="16"/>
                <w:szCs w:val="16"/>
                <w:b w:val="1"/>
                <w:bCs w:val="1"/>
                <w:color w:val="FFFFFF"/>
              </w:rPr>
              <w:t>2022 Base Salary Rate</w:t>
            </w:r>
          </w:p>
        </w:tc>
        <w:tc>
          <w:tcPr>
            <w:tcW w:w="2220" w:type="dxa"/>
            <w:vAlign w:val="bottom"/>
            <w:shd w:val="clear" w:color="auto" w:fill="CF1D4C"/>
          </w:tcPr>
          <w:p>
            <w:pPr>
              <w:ind w:left="280"/>
              <w:spacing w:after="0"/>
              <w:rPr>
                <w:sz w:val="20"/>
                <w:szCs w:val="20"/>
                <w:color w:val="auto"/>
              </w:rPr>
            </w:pPr>
            <w:r>
              <w:rPr>
                <w:rFonts w:ascii="Arial" w:cs="Arial" w:eastAsia="Arial" w:hAnsi="Arial"/>
                <w:sz w:val="16"/>
                <w:szCs w:val="16"/>
                <w:b w:val="1"/>
                <w:bCs w:val="1"/>
                <w:color w:val="FFFFFF"/>
              </w:rPr>
              <w:t>2023 Base Salary Rate</w:t>
            </w:r>
          </w:p>
        </w:tc>
        <w:tc>
          <w:tcPr>
            <w:tcW w:w="1940" w:type="dxa"/>
            <w:vAlign w:val="bottom"/>
            <w:shd w:val="clear" w:color="auto" w:fill="CF1D4C"/>
          </w:tcPr>
          <w:p>
            <w:pPr>
              <w:ind w:left="260"/>
              <w:spacing w:after="0"/>
              <w:rPr>
                <w:sz w:val="20"/>
                <w:szCs w:val="20"/>
                <w:color w:val="auto"/>
              </w:rPr>
            </w:pPr>
            <w:r>
              <w:rPr>
                <w:rFonts w:ascii="Arial" w:cs="Arial" w:eastAsia="Arial" w:hAnsi="Arial"/>
                <w:sz w:val="16"/>
                <w:szCs w:val="16"/>
                <w:b w:val="1"/>
                <w:bCs w:val="1"/>
                <w:color w:val="FFFFFF"/>
              </w:rPr>
              <w:t>% Increase</w:t>
            </w:r>
          </w:p>
        </w:tc>
      </w:tr>
      <w:tr>
        <w:trPr>
          <w:trHeight w:val="77"/>
        </w:trPr>
        <w:tc>
          <w:tcPr>
            <w:tcW w:w="2340" w:type="dxa"/>
            <w:vAlign w:val="bottom"/>
            <w:shd w:val="clear" w:color="auto" w:fill="CF1D4C"/>
          </w:tcPr>
          <w:p>
            <w:pPr>
              <w:spacing w:after="0"/>
              <w:rPr>
                <w:sz w:val="6"/>
                <w:szCs w:val="6"/>
                <w:color w:val="auto"/>
              </w:rPr>
            </w:pPr>
          </w:p>
        </w:tc>
        <w:tc>
          <w:tcPr>
            <w:tcW w:w="2260" w:type="dxa"/>
            <w:vAlign w:val="bottom"/>
            <w:shd w:val="clear" w:color="auto" w:fill="CF1D4C"/>
          </w:tcPr>
          <w:p>
            <w:pPr>
              <w:spacing w:after="0"/>
              <w:rPr>
                <w:sz w:val="6"/>
                <w:szCs w:val="6"/>
                <w:color w:val="auto"/>
              </w:rPr>
            </w:pPr>
          </w:p>
        </w:tc>
        <w:tc>
          <w:tcPr>
            <w:tcW w:w="2220" w:type="dxa"/>
            <w:vAlign w:val="bottom"/>
            <w:shd w:val="clear" w:color="auto" w:fill="CF1D4C"/>
          </w:tcPr>
          <w:p>
            <w:pPr>
              <w:spacing w:after="0"/>
              <w:rPr>
                <w:sz w:val="6"/>
                <w:szCs w:val="6"/>
                <w:color w:val="auto"/>
              </w:rPr>
            </w:pPr>
          </w:p>
        </w:tc>
        <w:tc>
          <w:tcPr>
            <w:tcW w:w="1940" w:type="dxa"/>
            <w:vAlign w:val="bottom"/>
            <w:shd w:val="clear" w:color="auto" w:fill="CF1D4C"/>
          </w:tcPr>
          <w:p>
            <w:pPr>
              <w:spacing w:after="0"/>
              <w:rPr>
                <w:sz w:val="6"/>
                <w:szCs w:val="6"/>
                <w:color w:val="auto"/>
              </w:rPr>
            </w:pPr>
          </w:p>
        </w:tc>
      </w:tr>
      <w:tr>
        <w:trPr>
          <w:trHeight w:val="317"/>
        </w:trPr>
        <w:tc>
          <w:tcPr>
            <w:tcW w:w="2340" w:type="dxa"/>
            <w:vAlign w:val="bottom"/>
          </w:tcPr>
          <w:p>
            <w:pPr>
              <w:ind w:left="160"/>
              <w:spacing w:after="0"/>
              <w:rPr>
                <w:sz w:val="20"/>
                <w:szCs w:val="20"/>
                <w:color w:val="auto"/>
              </w:rPr>
            </w:pPr>
            <w:r>
              <w:rPr>
                <w:rFonts w:ascii="Arial" w:cs="Arial" w:eastAsia="Arial" w:hAnsi="Arial"/>
                <w:sz w:val="16"/>
                <w:szCs w:val="16"/>
                <w:b w:val="1"/>
                <w:bCs w:val="1"/>
                <w:color w:val="333333"/>
              </w:rPr>
              <w:t>Ronald F. Clarke</w:t>
            </w:r>
          </w:p>
        </w:tc>
        <w:tc>
          <w:tcPr>
            <w:tcW w:w="2260" w:type="dxa"/>
            <w:vAlign w:val="bottom"/>
          </w:tcPr>
          <w:p>
            <w:pPr>
              <w:ind w:left="320"/>
              <w:spacing w:after="0"/>
              <w:rPr>
                <w:sz w:val="20"/>
                <w:szCs w:val="20"/>
                <w:color w:val="auto"/>
              </w:rPr>
            </w:pPr>
            <w:r>
              <w:rPr>
                <w:rFonts w:ascii="Arial" w:cs="Arial" w:eastAsia="Arial" w:hAnsi="Arial"/>
                <w:sz w:val="16"/>
                <w:szCs w:val="16"/>
                <w:color w:val="333333"/>
              </w:rPr>
              <w:t>$1,200,000</w:t>
            </w:r>
          </w:p>
        </w:tc>
        <w:tc>
          <w:tcPr>
            <w:tcW w:w="2220" w:type="dxa"/>
            <w:vAlign w:val="bottom"/>
          </w:tcPr>
          <w:p>
            <w:pPr>
              <w:ind w:left="280"/>
              <w:spacing w:after="0"/>
              <w:rPr>
                <w:sz w:val="20"/>
                <w:szCs w:val="20"/>
                <w:color w:val="auto"/>
              </w:rPr>
            </w:pPr>
            <w:r>
              <w:rPr>
                <w:rFonts w:ascii="Arial" w:cs="Arial" w:eastAsia="Arial" w:hAnsi="Arial"/>
                <w:sz w:val="16"/>
                <w:szCs w:val="16"/>
                <w:color w:val="333333"/>
              </w:rPr>
              <w:t>$1,200,000</w:t>
            </w:r>
          </w:p>
        </w:tc>
        <w:tc>
          <w:tcPr>
            <w:tcW w:w="1940" w:type="dxa"/>
            <w:vAlign w:val="bottom"/>
          </w:tcPr>
          <w:p>
            <w:pPr>
              <w:ind w:left="260"/>
              <w:spacing w:after="0"/>
              <w:rPr>
                <w:sz w:val="20"/>
                <w:szCs w:val="20"/>
                <w:color w:val="auto"/>
              </w:rPr>
            </w:pPr>
            <w:r>
              <w:rPr>
                <w:rFonts w:ascii="Arial" w:cs="Arial" w:eastAsia="Arial" w:hAnsi="Arial"/>
                <w:sz w:val="16"/>
                <w:szCs w:val="16"/>
                <w:color w:val="333333"/>
              </w:rPr>
              <w:t>0%</w:t>
            </w:r>
          </w:p>
        </w:tc>
      </w:tr>
      <w:tr>
        <w:trPr>
          <w:trHeight w:val="21"/>
        </w:trPr>
        <w:tc>
          <w:tcPr>
            <w:tcW w:w="2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11"/>
        </w:trPr>
        <w:tc>
          <w:tcPr>
            <w:tcW w:w="2340" w:type="dxa"/>
            <w:vAlign w:val="bottom"/>
            <w:shd w:val="clear" w:color="auto" w:fill="D9D9D9"/>
          </w:tcPr>
          <w:p>
            <w:pPr>
              <w:ind w:left="160"/>
              <w:spacing w:after="0"/>
              <w:rPr>
                <w:sz w:val="20"/>
                <w:szCs w:val="20"/>
                <w:color w:val="auto"/>
              </w:rPr>
            </w:pPr>
            <w:r>
              <w:rPr>
                <w:rFonts w:ascii="Arial" w:cs="Arial" w:eastAsia="Arial" w:hAnsi="Arial"/>
                <w:sz w:val="16"/>
                <w:szCs w:val="16"/>
                <w:b w:val="1"/>
                <w:bCs w:val="1"/>
                <w:color w:val="333333"/>
              </w:rPr>
              <w:t>Tom Panther</w:t>
            </w:r>
            <w:r>
              <w:rPr>
                <w:rFonts w:ascii="Arial" w:cs="Arial" w:eastAsia="Arial" w:hAnsi="Arial"/>
                <w:sz w:val="26"/>
                <w:szCs w:val="26"/>
                <w:b w:val="1"/>
                <w:bCs w:val="1"/>
                <w:color w:val="333333"/>
                <w:vertAlign w:val="superscript"/>
              </w:rPr>
              <w:t>(1)</w:t>
            </w:r>
          </w:p>
        </w:tc>
        <w:tc>
          <w:tcPr>
            <w:tcW w:w="2260" w:type="dxa"/>
            <w:vAlign w:val="bottom"/>
            <w:shd w:val="clear" w:color="auto" w:fill="D9D9D9"/>
          </w:tcPr>
          <w:p>
            <w:pPr>
              <w:ind w:left="320"/>
              <w:spacing w:after="0"/>
              <w:rPr>
                <w:sz w:val="20"/>
                <w:szCs w:val="20"/>
                <w:color w:val="auto"/>
              </w:rPr>
            </w:pPr>
            <w:r>
              <w:rPr>
                <w:rFonts w:ascii="Arial" w:cs="Arial" w:eastAsia="Arial" w:hAnsi="Arial"/>
                <w:sz w:val="16"/>
                <w:szCs w:val="16"/>
                <w:color w:val="333333"/>
              </w:rPr>
              <w:t>—</w:t>
            </w:r>
          </w:p>
        </w:tc>
        <w:tc>
          <w:tcPr>
            <w:tcW w:w="2220" w:type="dxa"/>
            <w:vAlign w:val="bottom"/>
            <w:shd w:val="clear" w:color="auto" w:fill="D9D9D9"/>
          </w:tcPr>
          <w:p>
            <w:pPr>
              <w:ind w:left="280"/>
              <w:spacing w:after="0"/>
              <w:rPr>
                <w:sz w:val="20"/>
                <w:szCs w:val="20"/>
                <w:color w:val="auto"/>
              </w:rPr>
            </w:pPr>
            <w:r>
              <w:rPr>
                <w:rFonts w:ascii="Arial" w:cs="Arial" w:eastAsia="Arial" w:hAnsi="Arial"/>
                <w:sz w:val="16"/>
                <w:szCs w:val="16"/>
                <w:color w:val="333333"/>
              </w:rPr>
              <w:t>$400,000</w:t>
            </w:r>
          </w:p>
        </w:tc>
        <w:tc>
          <w:tcPr>
            <w:tcW w:w="1940" w:type="dxa"/>
            <w:vAlign w:val="bottom"/>
            <w:shd w:val="clear" w:color="auto" w:fill="D9D9D9"/>
          </w:tcPr>
          <w:p>
            <w:pPr>
              <w:ind w:left="260"/>
              <w:spacing w:after="0"/>
              <w:rPr>
                <w:sz w:val="20"/>
                <w:szCs w:val="20"/>
                <w:color w:val="auto"/>
              </w:rPr>
            </w:pPr>
            <w:r>
              <w:rPr>
                <w:rFonts w:ascii="Arial" w:cs="Arial" w:eastAsia="Arial" w:hAnsi="Arial"/>
                <w:sz w:val="16"/>
                <w:szCs w:val="16"/>
                <w:color w:val="333333"/>
              </w:rPr>
              <w:t>—</w:t>
            </w:r>
          </w:p>
        </w:tc>
      </w:tr>
      <w:tr>
        <w:trPr>
          <w:trHeight w:val="249"/>
        </w:trPr>
        <w:tc>
          <w:tcPr>
            <w:tcW w:w="2340" w:type="dxa"/>
            <w:vAlign w:val="bottom"/>
          </w:tcPr>
          <w:p>
            <w:pPr>
              <w:ind w:left="160"/>
              <w:spacing w:after="0"/>
              <w:rPr>
                <w:sz w:val="20"/>
                <w:szCs w:val="20"/>
                <w:color w:val="auto"/>
              </w:rPr>
            </w:pPr>
            <w:r>
              <w:rPr>
                <w:rFonts w:ascii="Arial" w:cs="Arial" w:eastAsia="Arial" w:hAnsi="Arial"/>
                <w:sz w:val="16"/>
                <w:szCs w:val="16"/>
                <w:b w:val="1"/>
                <w:bCs w:val="1"/>
                <w:color w:val="333333"/>
              </w:rPr>
              <w:t>Alissa B. Vickery</w:t>
            </w:r>
          </w:p>
        </w:tc>
        <w:tc>
          <w:tcPr>
            <w:tcW w:w="2260" w:type="dxa"/>
            <w:vAlign w:val="bottom"/>
          </w:tcPr>
          <w:p>
            <w:pPr>
              <w:ind w:left="320"/>
              <w:spacing w:after="0"/>
              <w:rPr>
                <w:sz w:val="20"/>
                <w:szCs w:val="20"/>
                <w:color w:val="auto"/>
              </w:rPr>
            </w:pPr>
            <w:r>
              <w:rPr>
                <w:rFonts w:ascii="Arial" w:cs="Arial" w:eastAsia="Arial" w:hAnsi="Arial"/>
                <w:sz w:val="16"/>
                <w:szCs w:val="16"/>
                <w:color w:val="333333"/>
              </w:rPr>
              <w:t>$250,000</w:t>
            </w:r>
          </w:p>
        </w:tc>
        <w:tc>
          <w:tcPr>
            <w:tcW w:w="2220" w:type="dxa"/>
            <w:vAlign w:val="bottom"/>
          </w:tcPr>
          <w:p>
            <w:pPr>
              <w:ind w:left="280"/>
              <w:spacing w:after="0"/>
              <w:rPr>
                <w:sz w:val="20"/>
                <w:szCs w:val="20"/>
                <w:color w:val="auto"/>
              </w:rPr>
            </w:pPr>
            <w:r>
              <w:rPr>
                <w:rFonts w:ascii="Arial" w:cs="Arial" w:eastAsia="Arial" w:hAnsi="Arial"/>
                <w:sz w:val="16"/>
                <w:szCs w:val="16"/>
                <w:color w:val="333333"/>
              </w:rPr>
              <w:t>$300,000</w:t>
            </w:r>
          </w:p>
        </w:tc>
        <w:tc>
          <w:tcPr>
            <w:tcW w:w="1940" w:type="dxa"/>
            <w:vAlign w:val="bottom"/>
          </w:tcPr>
          <w:p>
            <w:pPr>
              <w:ind w:left="260"/>
              <w:spacing w:after="0"/>
              <w:rPr>
                <w:sz w:val="20"/>
                <w:szCs w:val="20"/>
                <w:color w:val="auto"/>
              </w:rPr>
            </w:pPr>
            <w:r>
              <w:rPr>
                <w:rFonts w:ascii="Arial" w:cs="Arial" w:eastAsia="Arial" w:hAnsi="Arial"/>
                <w:sz w:val="16"/>
                <w:szCs w:val="16"/>
                <w:color w:val="333333"/>
              </w:rPr>
              <w:t>20%</w:t>
            </w:r>
          </w:p>
        </w:tc>
      </w:tr>
      <w:tr>
        <w:trPr>
          <w:trHeight w:val="21"/>
        </w:trPr>
        <w:tc>
          <w:tcPr>
            <w:tcW w:w="2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10"/>
        </w:trPr>
        <w:tc>
          <w:tcPr>
            <w:tcW w:w="2340" w:type="dxa"/>
            <w:vAlign w:val="bottom"/>
            <w:shd w:val="clear" w:color="auto" w:fill="D9D9D9"/>
          </w:tcPr>
          <w:p>
            <w:pPr>
              <w:ind w:left="160"/>
              <w:spacing w:after="0"/>
              <w:rPr>
                <w:sz w:val="20"/>
                <w:szCs w:val="20"/>
                <w:color w:val="auto"/>
              </w:rPr>
            </w:pPr>
            <w:r>
              <w:rPr>
                <w:rFonts w:ascii="Arial" w:cs="Arial" w:eastAsia="Arial" w:hAnsi="Arial"/>
                <w:sz w:val="16"/>
                <w:szCs w:val="16"/>
                <w:b w:val="1"/>
                <w:bCs w:val="1"/>
                <w:color w:val="333333"/>
              </w:rPr>
              <w:t>Armando L. Netto</w:t>
            </w:r>
            <w:r>
              <w:rPr>
                <w:rFonts w:ascii="Arial" w:cs="Arial" w:eastAsia="Arial" w:hAnsi="Arial"/>
                <w:sz w:val="26"/>
                <w:szCs w:val="26"/>
                <w:b w:val="1"/>
                <w:bCs w:val="1"/>
                <w:color w:val="333333"/>
                <w:vertAlign w:val="superscript"/>
              </w:rPr>
              <w:t>(2)</w:t>
            </w:r>
          </w:p>
        </w:tc>
        <w:tc>
          <w:tcPr>
            <w:tcW w:w="2260" w:type="dxa"/>
            <w:vAlign w:val="bottom"/>
            <w:shd w:val="clear" w:color="auto" w:fill="D9D9D9"/>
          </w:tcPr>
          <w:p>
            <w:pPr>
              <w:ind w:left="320"/>
              <w:spacing w:after="0"/>
              <w:rPr>
                <w:sz w:val="20"/>
                <w:szCs w:val="20"/>
                <w:color w:val="auto"/>
              </w:rPr>
            </w:pPr>
            <w:r>
              <w:rPr>
                <w:rFonts w:ascii="Arial" w:cs="Arial" w:eastAsia="Arial" w:hAnsi="Arial"/>
                <w:sz w:val="16"/>
                <w:szCs w:val="16"/>
                <w:color w:val="333333"/>
              </w:rPr>
              <w:t>$503,091</w:t>
            </w:r>
          </w:p>
        </w:tc>
        <w:tc>
          <w:tcPr>
            <w:tcW w:w="2220" w:type="dxa"/>
            <w:vAlign w:val="bottom"/>
            <w:shd w:val="clear" w:color="auto" w:fill="D9D9D9"/>
          </w:tcPr>
          <w:p>
            <w:pPr>
              <w:ind w:left="280"/>
              <w:spacing w:after="0"/>
              <w:rPr>
                <w:sz w:val="20"/>
                <w:szCs w:val="20"/>
                <w:color w:val="auto"/>
              </w:rPr>
            </w:pPr>
            <w:r>
              <w:rPr>
                <w:rFonts w:ascii="Arial" w:cs="Arial" w:eastAsia="Arial" w:hAnsi="Arial"/>
                <w:sz w:val="16"/>
                <w:szCs w:val="16"/>
                <w:color w:val="333333"/>
              </w:rPr>
              <w:t>$503,091</w:t>
            </w:r>
          </w:p>
        </w:tc>
        <w:tc>
          <w:tcPr>
            <w:tcW w:w="1940" w:type="dxa"/>
            <w:vAlign w:val="bottom"/>
            <w:shd w:val="clear" w:color="auto" w:fill="D9D9D9"/>
          </w:tcPr>
          <w:p>
            <w:pPr>
              <w:ind w:left="260"/>
              <w:spacing w:after="0"/>
              <w:rPr>
                <w:sz w:val="20"/>
                <w:szCs w:val="20"/>
                <w:color w:val="auto"/>
              </w:rPr>
            </w:pPr>
            <w:r>
              <w:rPr>
                <w:rFonts w:ascii="Arial" w:cs="Arial" w:eastAsia="Arial" w:hAnsi="Arial"/>
                <w:sz w:val="16"/>
                <w:szCs w:val="16"/>
                <w:color w:val="333333"/>
              </w:rPr>
              <w:t>0%</w:t>
            </w:r>
          </w:p>
        </w:tc>
      </w:tr>
      <w:tr>
        <w:trPr>
          <w:trHeight w:val="395"/>
        </w:trPr>
        <w:tc>
          <w:tcPr>
            <w:tcW w:w="2340" w:type="dxa"/>
            <w:vAlign w:val="bottom"/>
          </w:tcPr>
          <w:p>
            <w:pPr>
              <w:ind w:left="160"/>
              <w:spacing w:after="0"/>
              <w:rPr>
                <w:sz w:val="20"/>
                <w:szCs w:val="20"/>
                <w:color w:val="auto"/>
              </w:rPr>
            </w:pPr>
            <w:r>
              <w:rPr>
                <w:rFonts w:ascii="Arial" w:cs="Arial" w:eastAsia="Arial" w:hAnsi="Arial"/>
                <w:sz w:val="16"/>
                <w:szCs w:val="16"/>
                <w:b w:val="1"/>
                <w:bCs w:val="1"/>
                <w:color w:val="333333"/>
              </w:rPr>
              <w:t>Alan King</w:t>
            </w:r>
            <w:r>
              <w:rPr>
                <w:rFonts w:ascii="Arial" w:cs="Arial" w:eastAsia="Arial" w:hAnsi="Arial"/>
                <w:sz w:val="26"/>
                <w:szCs w:val="26"/>
                <w:b w:val="1"/>
                <w:bCs w:val="1"/>
                <w:color w:val="333333"/>
                <w:vertAlign w:val="superscript"/>
              </w:rPr>
              <w:t>(2)</w:t>
            </w:r>
          </w:p>
        </w:tc>
        <w:tc>
          <w:tcPr>
            <w:tcW w:w="2260" w:type="dxa"/>
            <w:vAlign w:val="bottom"/>
          </w:tcPr>
          <w:p>
            <w:pPr>
              <w:ind w:left="320"/>
              <w:spacing w:after="0"/>
              <w:rPr>
                <w:sz w:val="20"/>
                <w:szCs w:val="20"/>
                <w:color w:val="auto"/>
              </w:rPr>
            </w:pPr>
            <w:r>
              <w:rPr>
                <w:rFonts w:ascii="Arial" w:cs="Arial" w:eastAsia="Arial" w:hAnsi="Arial"/>
                <w:sz w:val="16"/>
                <w:szCs w:val="16"/>
                <w:color w:val="333333"/>
              </w:rPr>
              <w:t>$450,000</w:t>
            </w:r>
          </w:p>
        </w:tc>
        <w:tc>
          <w:tcPr>
            <w:tcW w:w="2220" w:type="dxa"/>
            <w:vAlign w:val="bottom"/>
          </w:tcPr>
          <w:p>
            <w:pPr>
              <w:ind w:left="280"/>
              <w:spacing w:after="0"/>
              <w:rPr>
                <w:sz w:val="20"/>
                <w:szCs w:val="20"/>
                <w:color w:val="auto"/>
              </w:rPr>
            </w:pPr>
            <w:r>
              <w:rPr>
                <w:rFonts w:ascii="Arial" w:cs="Arial" w:eastAsia="Arial" w:hAnsi="Arial"/>
                <w:sz w:val="16"/>
                <w:szCs w:val="16"/>
                <w:color w:val="333333"/>
              </w:rPr>
              <w:t>$450,000</w:t>
            </w:r>
          </w:p>
        </w:tc>
        <w:tc>
          <w:tcPr>
            <w:tcW w:w="1940" w:type="dxa"/>
            <w:vAlign w:val="bottom"/>
          </w:tcPr>
          <w:p>
            <w:pPr>
              <w:ind w:left="260"/>
              <w:spacing w:after="0"/>
              <w:rPr>
                <w:sz w:val="20"/>
                <w:szCs w:val="20"/>
                <w:color w:val="auto"/>
              </w:rPr>
            </w:pPr>
            <w:r>
              <w:rPr>
                <w:rFonts w:ascii="Arial" w:cs="Arial" w:eastAsia="Arial" w:hAnsi="Arial"/>
                <w:sz w:val="16"/>
                <w:szCs w:val="16"/>
                <w:color w:val="333333"/>
              </w:rPr>
              <w:t>0%</w:t>
            </w:r>
          </w:p>
        </w:tc>
      </w:tr>
    </w:tbl>
    <w:p>
      <w:pPr>
        <w:spacing w:after="0" w:line="183" w:lineRule="exact"/>
        <w:rPr>
          <w:sz w:val="20"/>
          <w:szCs w:val="20"/>
          <w:color w:val="auto"/>
        </w:rPr>
      </w:pPr>
    </w:p>
    <w:p>
      <w:pPr>
        <w:ind w:left="660" w:right="679" w:hanging="10"/>
        <w:spacing w:after="0"/>
        <w:tabs>
          <w:tab w:leader="none" w:pos="849" w:val="left"/>
        </w:tabs>
        <w:numPr>
          <w:ilvl w:val="0"/>
          <w:numId w:val="58"/>
        </w:numPr>
        <w:rPr>
          <w:rFonts w:ascii="Arial" w:cs="Arial" w:eastAsia="Arial" w:hAnsi="Arial"/>
          <w:sz w:val="13"/>
          <w:szCs w:val="13"/>
          <w:i w:val="1"/>
          <w:iCs w:val="1"/>
          <w:color w:val="333333"/>
        </w:rPr>
      </w:pPr>
      <w:r>
        <w:rPr>
          <w:rFonts w:ascii="Arial" w:cs="Arial" w:eastAsia="Arial" w:hAnsi="Arial"/>
          <w:sz w:val="13"/>
          <w:szCs w:val="13"/>
          <w:i w:val="1"/>
          <w:iCs w:val="1"/>
          <w:color w:val="333333"/>
        </w:rPr>
        <w:t>As discussed above, Mr. Panther commenced service as Chief Financial Officer on May 2, 2023, and his initial base salary was approved by the compensation committee in connection with his appointment.</w:t>
      </w:r>
    </w:p>
    <w:p>
      <w:pPr>
        <w:ind w:left="660" w:right="159" w:hanging="10"/>
        <w:spacing w:after="0" w:line="243" w:lineRule="auto"/>
        <w:tabs>
          <w:tab w:leader="none" w:pos="849" w:val="left"/>
        </w:tabs>
        <w:numPr>
          <w:ilvl w:val="0"/>
          <w:numId w:val="58"/>
        </w:numPr>
        <w:rPr>
          <w:rFonts w:ascii="Arial" w:cs="Arial" w:eastAsia="Arial" w:hAnsi="Arial"/>
          <w:sz w:val="12"/>
          <w:szCs w:val="12"/>
          <w:i w:val="1"/>
          <w:iCs w:val="1"/>
          <w:color w:val="333333"/>
        </w:rPr>
      </w:pPr>
      <w:r>
        <w:rPr>
          <w:rFonts w:ascii="Arial" w:cs="Arial" w:eastAsia="Arial" w:hAnsi="Arial"/>
          <w:sz w:val="12"/>
          <w:szCs w:val="12"/>
          <w:i w:val="1"/>
          <w:iCs w:val="1"/>
          <w:color w:val="333333"/>
        </w:rPr>
        <w:t>Mr. Netto’s cash compensation is denominated in Brazilian Real. For purposes of this table and to normalize for fluctuations in the currency exchange rate, cash amounts for Mr. Netto have been converted to U.S. dollars at an average exchange rate of $1 to R$4.9915 for 2023. The 2022 base salary rate for Mr. Netto may not be comparable to the 2022 base salary rate reported for him in our 2023 proxy statement, as we used a 2022 exchange rate calculation for purposes of such disclosure in the prior filing. A portion of Mr. King’s 2022 base salary was paid in British Pounds Sterling, but commenced to be paid in U.S. dollars in 2022. The amount shown for Mr. King’s 2022 base salary rate reflects an update to the amount provided for such rate in our 2023 proxy statement to properly reflect the compensation committee’s intent for his 2022 base salary rate, disregarding applicable exchange rates.</w:t>
      </w:r>
    </w:p>
    <w:p>
      <w:pPr>
        <w:sectPr>
          <w:pgSz w:w="11900" w:h="16838" w:orient="portrait"/>
          <w:cols w:equalWidth="0" w:num="1">
            <w:col w:w="9539"/>
          </w:cols>
          <w:pgMar w:left="920" w:top="114" w:right="1440" w:bottom="1440" w:gutter="0" w:footer="0" w:header="0"/>
          <w:type w:val="continuous"/>
        </w:sect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Annual Incentive</w:t>
      </w:r>
    </w:p>
    <w:p>
      <w:pPr>
        <w:spacing w:after="0" w:line="248"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333333"/>
        </w:rPr>
        <w:t>The primary objectives of our annual incentive program are to provide an incentive for superior work, to motivate our NEOs toward even higher achievement and business results, to promote retention and to tie our NEOs’ goals to the Company’s performance. We use Company-wide, individual and business unit performance goals in our annual incentive program. Individual or business unit performance goals are tied to the particular area of expertise and responsibilities of the NEO and their performance in attaining those objectives.</w:t>
      </w:r>
    </w:p>
    <w:p>
      <w:pPr>
        <w:spacing w:after="0" w:line="149" w:lineRule="exact"/>
        <w:rPr>
          <w:sz w:val="20"/>
          <w:szCs w:val="20"/>
          <w:color w:val="auto"/>
        </w:rPr>
      </w:pPr>
    </w:p>
    <w:p>
      <w:pPr>
        <w:ind w:left="660" w:right="20"/>
        <w:spacing w:after="0" w:line="278" w:lineRule="auto"/>
        <w:rPr>
          <w:sz w:val="20"/>
          <w:szCs w:val="20"/>
          <w:color w:val="auto"/>
        </w:rPr>
      </w:pPr>
      <w:r>
        <w:rPr>
          <w:rFonts w:ascii="Arial" w:cs="Arial" w:eastAsia="Arial" w:hAnsi="Arial"/>
          <w:sz w:val="16"/>
          <w:szCs w:val="16"/>
          <w:color w:val="333333"/>
        </w:rPr>
        <w:t>In January 2023, the compensation committee determined the target annual incentive payout levels for the NEOs based on a combination of factors, including market practices, each NEO’s role and responsibilities, experience and skills, expected contribution to the Company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39"/>
        <w:spacing w:after="0" w:line="249" w:lineRule="auto"/>
        <w:rPr>
          <w:sz w:val="20"/>
          <w:szCs w:val="20"/>
          <w:color w:val="auto"/>
        </w:rPr>
      </w:pPr>
      <w:r>
        <w:rPr>
          <w:rFonts w:ascii="Arial" w:cs="Arial" w:eastAsia="Arial" w:hAnsi="Arial"/>
          <w:sz w:val="16"/>
          <w:szCs w:val="16"/>
          <w:color w:val="auto"/>
        </w:rPr>
        <w:t>potential impact of the NEO’s performance on revenue and net income growth. In light of a desire to promote the retention of our NEOs, and to further align executives with the creation of shareholder value, the compensation committee determined that for 2023, 80% of the target annual incentive value for NEOs (based on their respective salaries in January 2023) would be delivered in the form of shares of restricted stock that generally vested on March 1, 2024. To the extent that achievement of the applicable performance objectives resulted in a payout in excess of the target value of such restricted stock award, any additional value earned would be delivered in the form of cash. Ultimately, based on the performance of the Company, the compensation committee determined that no annual incentive would be paid to NEOs beyond restricted stock issued. Target amounts below are shown as a percent of each participating NEO’s base salary:</w:t>
      </w:r>
    </w:p>
    <w:p>
      <w:pPr>
        <w:spacing w:after="0" w:line="50" w:lineRule="exact"/>
        <w:rPr>
          <w:sz w:val="20"/>
          <w:szCs w:val="20"/>
          <w:color w:val="auto"/>
        </w:rPr>
      </w:pPr>
    </w:p>
    <w:p>
      <w:pPr>
        <w:sectPr>
          <w:pgSz w:w="11900" w:h="16838" w:orient="portrait"/>
          <w:cols w:equalWidth="0" w:num="2">
            <w:col w:w="4880" w:space="260"/>
            <w:col w:w="4399"/>
          </w:cols>
          <w:pgMar w:left="920" w:top="114" w:right="1440" w:bottom="1440" w:gutter="0" w:footer="0" w:header="0"/>
          <w:type w:val="continuous"/>
        </w:sectPr>
      </w:pPr>
    </w:p>
    <w:tbl>
      <w:tblPr>
        <w:tblLayout w:type="fixed"/>
        <w:tblInd w:w="640" w:type="dxa"/>
        <w:tblCellMar>
          <w:top w:w="0" w:type="dxa"/>
          <w:left w:w="0" w:type="dxa"/>
          <w:bottom w:w="0" w:type="dxa"/>
          <w:right w:w="0" w:type="dxa"/>
        </w:tblCellMar>
      </w:tblPr>
      <w:tr>
        <w:trPr>
          <w:trHeight w:val="288"/>
        </w:trPr>
        <w:tc>
          <w:tcPr>
            <w:tcW w:w="1880" w:type="dxa"/>
            <w:vAlign w:val="bottom"/>
            <w:vMerge w:val="restart"/>
            <w:shd w:val="clear" w:color="auto" w:fill="CF1D4C"/>
          </w:tcPr>
          <w:p>
            <w:pPr>
              <w:ind w:left="160"/>
              <w:spacing w:after="0"/>
              <w:rPr>
                <w:sz w:val="20"/>
                <w:szCs w:val="20"/>
                <w:color w:val="auto"/>
              </w:rPr>
            </w:pPr>
            <w:r>
              <w:rPr>
                <w:rFonts w:ascii="Arial" w:cs="Arial" w:eastAsia="Arial" w:hAnsi="Arial"/>
                <w:sz w:val="14"/>
                <w:szCs w:val="14"/>
                <w:b w:val="1"/>
                <w:bCs w:val="1"/>
                <w:color w:val="FFFFFF"/>
              </w:rPr>
              <w:t>Named Executive</w:t>
            </w:r>
          </w:p>
        </w:tc>
        <w:tc>
          <w:tcPr>
            <w:tcW w:w="1820" w:type="dxa"/>
            <w:vAlign w:val="bottom"/>
            <w:shd w:val="clear" w:color="auto" w:fill="CF1D4C"/>
          </w:tcPr>
          <w:p>
            <w:pPr>
              <w:ind w:left="200"/>
              <w:spacing w:after="0"/>
              <w:rPr>
                <w:sz w:val="20"/>
                <w:szCs w:val="20"/>
                <w:color w:val="auto"/>
              </w:rPr>
            </w:pPr>
            <w:r>
              <w:rPr>
                <w:rFonts w:ascii="Arial" w:cs="Arial" w:eastAsia="Arial" w:hAnsi="Arial"/>
                <w:sz w:val="14"/>
                <w:szCs w:val="14"/>
                <w:b w:val="1"/>
                <w:bCs w:val="1"/>
                <w:color w:val="FFFFFF"/>
              </w:rPr>
              <w:t>Total Annual</w:t>
            </w:r>
          </w:p>
        </w:tc>
        <w:tc>
          <w:tcPr>
            <w:tcW w:w="1680" w:type="dxa"/>
            <w:vAlign w:val="bottom"/>
            <w:shd w:val="clear" w:color="auto" w:fill="CF1D4C"/>
          </w:tcPr>
          <w:p>
            <w:pPr>
              <w:ind w:left="160"/>
              <w:spacing w:after="0"/>
              <w:rPr>
                <w:sz w:val="20"/>
                <w:szCs w:val="20"/>
                <w:color w:val="auto"/>
              </w:rPr>
            </w:pPr>
            <w:r>
              <w:rPr>
                <w:rFonts w:ascii="Arial" w:cs="Arial" w:eastAsia="Arial" w:hAnsi="Arial"/>
                <w:sz w:val="14"/>
                <w:szCs w:val="14"/>
                <w:b w:val="1"/>
                <w:bCs w:val="1"/>
                <w:color w:val="FFFFFF"/>
              </w:rPr>
              <w:t>Total Target</w:t>
            </w:r>
          </w:p>
        </w:tc>
        <w:tc>
          <w:tcPr>
            <w:tcW w:w="1420" w:type="dxa"/>
            <w:vAlign w:val="bottom"/>
            <w:shd w:val="clear" w:color="auto" w:fill="CF1D4C"/>
          </w:tcPr>
          <w:p>
            <w:pPr>
              <w:ind w:left="200"/>
              <w:spacing w:after="0"/>
              <w:rPr>
                <w:sz w:val="20"/>
                <w:szCs w:val="20"/>
                <w:color w:val="auto"/>
              </w:rPr>
            </w:pPr>
            <w:r>
              <w:rPr>
                <w:rFonts w:ascii="Arial" w:cs="Arial" w:eastAsia="Arial" w:hAnsi="Arial"/>
                <w:sz w:val="14"/>
                <w:szCs w:val="14"/>
                <w:b w:val="1"/>
                <w:bCs w:val="1"/>
                <w:color w:val="FFFFFF"/>
              </w:rPr>
              <w:t>Targeted Value</w:t>
            </w:r>
          </w:p>
        </w:tc>
        <w:tc>
          <w:tcPr>
            <w:tcW w:w="1960" w:type="dxa"/>
            <w:vAlign w:val="bottom"/>
            <w:shd w:val="clear" w:color="auto" w:fill="CF1D4C"/>
          </w:tcPr>
          <w:p>
            <w:pPr>
              <w:ind w:left="180"/>
              <w:spacing w:after="0"/>
              <w:rPr>
                <w:sz w:val="20"/>
                <w:szCs w:val="20"/>
                <w:color w:val="auto"/>
              </w:rPr>
            </w:pPr>
            <w:r>
              <w:rPr>
                <w:rFonts w:ascii="Arial" w:cs="Arial" w:eastAsia="Arial" w:hAnsi="Arial"/>
                <w:sz w:val="14"/>
                <w:szCs w:val="14"/>
                <w:b w:val="1"/>
                <w:bCs w:val="1"/>
                <w:color w:val="FFFFFF"/>
              </w:rPr>
              <w:t>Number of</w:t>
            </w:r>
          </w:p>
        </w:tc>
        <w:tc>
          <w:tcPr>
            <w:tcW w:w="0" w:type="dxa"/>
            <w:vAlign w:val="bottom"/>
          </w:tcPr>
          <w:p>
            <w:pPr>
              <w:spacing w:after="0"/>
              <w:rPr>
                <w:sz w:val="1"/>
                <w:szCs w:val="1"/>
                <w:color w:val="auto"/>
              </w:rPr>
            </w:pPr>
          </w:p>
        </w:tc>
      </w:tr>
      <w:tr>
        <w:trPr>
          <w:trHeight w:val="95"/>
        </w:trPr>
        <w:tc>
          <w:tcPr>
            <w:tcW w:w="1880" w:type="dxa"/>
            <w:vAlign w:val="bottom"/>
            <w:vMerge w:val="continue"/>
            <w:shd w:val="clear" w:color="auto" w:fill="CF1D4C"/>
          </w:tcPr>
          <w:p>
            <w:pPr>
              <w:spacing w:after="0"/>
              <w:rPr>
                <w:sz w:val="8"/>
                <w:szCs w:val="8"/>
                <w:color w:val="auto"/>
              </w:rPr>
            </w:pPr>
          </w:p>
        </w:tc>
        <w:tc>
          <w:tcPr>
            <w:tcW w:w="1820" w:type="dxa"/>
            <w:vAlign w:val="bottom"/>
            <w:vMerge w:val="restart"/>
            <w:shd w:val="clear" w:color="auto" w:fill="CF1D4C"/>
          </w:tcPr>
          <w:p>
            <w:pPr>
              <w:ind w:left="200"/>
              <w:spacing w:after="0" w:line="159" w:lineRule="exact"/>
              <w:rPr>
                <w:sz w:val="20"/>
                <w:szCs w:val="20"/>
                <w:color w:val="auto"/>
              </w:rPr>
            </w:pPr>
            <w:r>
              <w:rPr>
                <w:rFonts w:ascii="Arial" w:cs="Arial" w:eastAsia="Arial" w:hAnsi="Arial"/>
                <w:sz w:val="14"/>
                <w:szCs w:val="14"/>
                <w:b w:val="1"/>
                <w:bCs w:val="1"/>
                <w:color w:val="FFFFFF"/>
              </w:rPr>
              <w:t>Incentive Target</w:t>
            </w:r>
          </w:p>
        </w:tc>
        <w:tc>
          <w:tcPr>
            <w:tcW w:w="1680" w:type="dxa"/>
            <w:vAlign w:val="bottom"/>
            <w:vMerge w:val="restart"/>
            <w:shd w:val="clear" w:color="auto" w:fill="CF1D4C"/>
          </w:tcPr>
          <w:p>
            <w:pPr>
              <w:ind w:left="160"/>
              <w:spacing w:after="0" w:line="159" w:lineRule="exact"/>
              <w:rPr>
                <w:sz w:val="20"/>
                <w:szCs w:val="20"/>
                <w:color w:val="auto"/>
              </w:rPr>
            </w:pPr>
            <w:r>
              <w:rPr>
                <w:rFonts w:ascii="Arial" w:cs="Arial" w:eastAsia="Arial" w:hAnsi="Arial"/>
                <w:sz w:val="14"/>
                <w:szCs w:val="14"/>
                <w:b w:val="1"/>
                <w:bCs w:val="1"/>
                <w:color w:val="FFFFFF"/>
              </w:rPr>
              <w:t>Annual</w:t>
            </w:r>
          </w:p>
        </w:tc>
        <w:tc>
          <w:tcPr>
            <w:tcW w:w="1420" w:type="dxa"/>
            <w:vAlign w:val="bottom"/>
            <w:vMerge w:val="restart"/>
            <w:shd w:val="clear" w:color="auto" w:fill="CF1D4C"/>
          </w:tcPr>
          <w:p>
            <w:pPr>
              <w:ind w:left="200"/>
              <w:spacing w:after="0" w:line="159" w:lineRule="exact"/>
              <w:rPr>
                <w:sz w:val="20"/>
                <w:szCs w:val="20"/>
                <w:color w:val="auto"/>
              </w:rPr>
            </w:pPr>
            <w:r>
              <w:rPr>
                <w:rFonts w:ascii="Arial" w:cs="Arial" w:eastAsia="Arial" w:hAnsi="Arial"/>
                <w:sz w:val="14"/>
                <w:szCs w:val="14"/>
                <w:b w:val="1"/>
                <w:bCs w:val="1"/>
                <w:color w:val="FFFFFF"/>
              </w:rPr>
              <w:t>of Restricted</w:t>
            </w:r>
          </w:p>
        </w:tc>
        <w:tc>
          <w:tcPr>
            <w:tcW w:w="1960" w:type="dxa"/>
            <w:vAlign w:val="bottom"/>
            <w:vMerge w:val="restart"/>
            <w:shd w:val="clear" w:color="auto" w:fill="CF1D4C"/>
          </w:tcPr>
          <w:p>
            <w:pPr>
              <w:ind w:left="180"/>
              <w:spacing w:after="0" w:line="159" w:lineRule="exact"/>
              <w:rPr>
                <w:sz w:val="20"/>
                <w:szCs w:val="20"/>
                <w:color w:val="auto"/>
              </w:rPr>
            </w:pPr>
            <w:r>
              <w:rPr>
                <w:rFonts w:ascii="Arial" w:cs="Arial" w:eastAsia="Arial" w:hAnsi="Arial"/>
                <w:sz w:val="14"/>
                <w:szCs w:val="14"/>
                <w:b w:val="1"/>
                <w:bCs w:val="1"/>
                <w:color w:val="FFFFFF"/>
              </w:rPr>
              <w:t>Shares of Restricted</w:t>
            </w:r>
          </w:p>
        </w:tc>
        <w:tc>
          <w:tcPr>
            <w:tcW w:w="0" w:type="dxa"/>
            <w:vAlign w:val="bottom"/>
          </w:tcPr>
          <w:p>
            <w:pPr>
              <w:spacing w:after="0"/>
              <w:rPr>
                <w:sz w:val="1"/>
                <w:szCs w:val="1"/>
                <w:color w:val="auto"/>
              </w:rPr>
            </w:pPr>
          </w:p>
        </w:tc>
      </w:tr>
      <w:tr>
        <w:trPr>
          <w:trHeight w:val="64"/>
        </w:trPr>
        <w:tc>
          <w:tcPr>
            <w:tcW w:w="1880" w:type="dxa"/>
            <w:vAlign w:val="bottom"/>
            <w:vMerge w:val="restart"/>
            <w:shd w:val="clear" w:color="auto" w:fill="CF1D4C"/>
          </w:tcPr>
          <w:p>
            <w:pPr>
              <w:ind w:left="160"/>
              <w:spacing w:after="0"/>
              <w:rPr>
                <w:sz w:val="20"/>
                <w:szCs w:val="20"/>
                <w:color w:val="auto"/>
              </w:rPr>
            </w:pPr>
            <w:r>
              <w:rPr>
                <w:rFonts w:ascii="Arial" w:cs="Arial" w:eastAsia="Arial" w:hAnsi="Arial"/>
                <w:sz w:val="14"/>
                <w:szCs w:val="14"/>
                <w:b w:val="1"/>
                <w:bCs w:val="1"/>
                <w:color w:val="FFFFFF"/>
              </w:rPr>
              <w:t>Officer</w:t>
            </w:r>
          </w:p>
        </w:tc>
        <w:tc>
          <w:tcPr>
            <w:tcW w:w="1820" w:type="dxa"/>
            <w:vAlign w:val="bottom"/>
            <w:vMerge w:val="continue"/>
            <w:shd w:val="clear" w:color="auto" w:fill="CF1D4C"/>
          </w:tcPr>
          <w:p>
            <w:pPr>
              <w:spacing w:after="0"/>
              <w:rPr>
                <w:sz w:val="5"/>
                <w:szCs w:val="5"/>
                <w:color w:val="auto"/>
              </w:rPr>
            </w:pPr>
          </w:p>
        </w:tc>
        <w:tc>
          <w:tcPr>
            <w:tcW w:w="1680" w:type="dxa"/>
            <w:vAlign w:val="bottom"/>
            <w:vMerge w:val="continue"/>
            <w:shd w:val="clear" w:color="auto" w:fill="CF1D4C"/>
          </w:tcPr>
          <w:p>
            <w:pPr>
              <w:spacing w:after="0"/>
              <w:rPr>
                <w:sz w:val="5"/>
                <w:szCs w:val="5"/>
                <w:color w:val="auto"/>
              </w:rPr>
            </w:pPr>
          </w:p>
        </w:tc>
        <w:tc>
          <w:tcPr>
            <w:tcW w:w="1420" w:type="dxa"/>
            <w:vAlign w:val="bottom"/>
            <w:vMerge w:val="continue"/>
            <w:shd w:val="clear" w:color="auto" w:fill="CF1D4C"/>
          </w:tcPr>
          <w:p>
            <w:pPr>
              <w:spacing w:after="0"/>
              <w:rPr>
                <w:sz w:val="5"/>
                <w:szCs w:val="5"/>
                <w:color w:val="auto"/>
              </w:rPr>
            </w:pPr>
          </w:p>
        </w:tc>
        <w:tc>
          <w:tcPr>
            <w:tcW w:w="196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880" w:type="dxa"/>
            <w:vAlign w:val="bottom"/>
            <w:vMerge w:val="continue"/>
            <w:shd w:val="clear" w:color="auto" w:fill="CF1D4C"/>
          </w:tcPr>
          <w:p>
            <w:pPr>
              <w:spacing w:after="0"/>
              <w:rPr>
                <w:sz w:val="11"/>
                <w:szCs w:val="11"/>
                <w:color w:val="auto"/>
              </w:rPr>
            </w:pPr>
          </w:p>
        </w:tc>
        <w:tc>
          <w:tcPr>
            <w:tcW w:w="1820" w:type="dxa"/>
            <w:vAlign w:val="bottom"/>
            <w:vMerge w:val="restart"/>
            <w:shd w:val="clear" w:color="auto" w:fill="CF1D4C"/>
          </w:tcPr>
          <w:p>
            <w:pPr>
              <w:ind w:left="200"/>
              <w:spacing w:after="0"/>
              <w:rPr>
                <w:sz w:val="20"/>
                <w:szCs w:val="20"/>
                <w:color w:val="auto"/>
              </w:rPr>
            </w:pPr>
            <w:r>
              <w:rPr>
                <w:rFonts w:ascii="Arial" w:cs="Arial" w:eastAsia="Arial" w:hAnsi="Arial"/>
                <w:sz w:val="14"/>
                <w:szCs w:val="14"/>
                <w:b w:val="1"/>
                <w:bCs w:val="1"/>
                <w:color w:val="FFFFFF"/>
              </w:rPr>
              <w:t>(as % of Base Salary)</w:t>
            </w:r>
          </w:p>
        </w:tc>
        <w:tc>
          <w:tcPr>
            <w:tcW w:w="1680" w:type="dxa"/>
            <w:vAlign w:val="bottom"/>
            <w:vMerge w:val="restart"/>
            <w:shd w:val="clear" w:color="auto" w:fill="CF1D4C"/>
          </w:tcPr>
          <w:p>
            <w:pPr>
              <w:ind w:left="160"/>
              <w:spacing w:after="0"/>
              <w:rPr>
                <w:sz w:val="20"/>
                <w:szCs w:val="20"/>
                <w:color w:val="auto"/>
              </w:rPr>
            </w:pPr>
            <w:r>
              <w:rPr>
                <w:rFonts w:ascii="Arial" w:cs="Arial" w:eastAsia="Arial" w:hAnsi="Arial"/>
                <w:sz w:val="14"/>
                <w:szCs w:val="14"/>
                <w:b w:val="1"/>
                <w:bCs w:val="1"/>
                <w:color w:val="FFFFFF"/>
              </w:rPr>
              <w:t>Incentive Award ($)</w:t>
            </w:r>
          </w:p>
        </w:tc>
        <w:tc>
          <w:tcPr>
            <w:tcW w:w="1420" w:type="dxa"/>
            <w:vAlign w:val="bottom"/>
            <w:vMerge w:val="restart"/>
            <w:shd w:val="clear" w:color="auto" w:fill="CF1D4C"/>
          </w:tcPr>
          <w:p>
            <w:pPr>
              <w:ind w:left="200"/>
              <w:spacing w:after="0"/>
              <w:rPr>
                <w:sz w:val="20"/>
                <w:szCs w:val="20"/>
                <w:color w:val="auto"/>
              </w:rPr>
            </w:pPr>
            <w:r>
              <w:rPr>
                <w:rFonts w:ascii="Arial" w:cs="Arial" w:eastAsia="Arial" w:hAnsi="Arial"/>
                <w:sz w:val="14"/>
                <w:szCs w:val="14"/>
                <w:b w:val="1"/>
                <w:bCs w:val="1"/>
                <w:color w:val="FFFFFF"/>
              </w:rPr>
              <w:t>Stock ($)</w:t>
            </w:r>
            <w:r>
              <w:rPr>
                <w:rFonts w:ascii="Arial" w:cs="Arial" w:eastAsia="Arial" w:hAnsi="Arial"/>
                <w:sz w:val="23"/>
                <w:szCs w:val="23"/>
                <w:b w:val="1"/>
                <w:bCs w:val="1"/>
                <w:color w:val="FFFFFF"/>
                <w:vertAlign w:val="superscript"/>
              </w:rPr>
              <w:t>(1)</w:t>
            </w:r>
          </w:p>
        </w:tc>
        <w:tc>
          <w:tcPr>
            <w:tcW w:w="1960" w:type="dxa"/>
            <w:vAlign w:val="bottom"/>
            <w:vMerge w:val="restart"/>
            <w:shd w:val="clear" w:color="auto" w:fill="CF1D4C"/>
          </w:tcPr>
          <w:p>
            <w:pPr>
              <w:ind w:left="180"/>
              <w:spacing w:after="0"/>
              <w:rPr>
                <w:sz w:val="20"/>
                <w:szCs w:val="20"/>
                <w:color w:val="auto"/>
              </w:rPr>
            </w:pPr>
            <w:r>
              <w:rPr>
                <w:rFonts w:ascii="Arial" w:cs="Arial" w:eastAsia="Arial" w:hAnsi="Arial"/>
                <w:sz w:val="14"/>
                <w:szCs w:val="14"/>
                <w:b w:val="1"/>
                <w:bCs w:val="1"/>
                <w:color w:val="FFFFFF"/>
              </w:rPr>
              <w:t>Stock Granted (#)</w:t>
            </w:r>
          </w:p>
        </w:tc>
        <w:tc>
          <w:tcPr>
            <w:tcW w:w="0" w:type="dxa"/>
            <w:vAlign w:val="bottom"/>
          </w:tcPr>
          <w:p>
            <w:pPr>
              <w:spacing w:after="0"/>
              <w:rPr>
                <w:sz w:val="1"/>
                <w:szCs w:val="1"/>
                <w:color w:val="auto"/>
              </w:rPr>
            </w:pPr>
          </w:p>
        </w:tc>
      </w:tr>
      <w:tr>
        <w:trPr>
          <w:trHeight w:val="178"/>
        </w:trPr>
        <w:tc>
          <w:tcPr>
            <w:tcW w:w="1880" w:type="dxa"/>
            <w:vAlign w:val="bottom"/>
            <w:shd w:val="clear" w:color="auto" w:fill="CF1D4C"/>
          </w:tcPr>
          <w:p>
            <w:pPr>
              <w:spacing w:after="0"/>
              <w:rPr>
                <w:sz w:val="15"/>
                <w:szCs w:val="15"/>
                <w:color w:val="auto"/>
              </w:rPr>
            </w:pPr>
          </w:p>
        </w:tc>
        <w:tc>
          <w:tcPr>
            <w:tcW w:w="1820" w:type="dxa"/>
            <w:vAlign w:val="bottom"/>
            <w:vMerge w:val="continue"/>
            <w:shd w:val="clear" w:color="auto" w:fill="CF1D4C"/>
          </w:tcPr>
          <w:p>
            <w:pPr>
              <w:spacing w:after="0"/>
              <w:rPr>
                <w:sz w:val="15"/>
                <w:szCs w:val="15"/>
                <w:color w:val="auto"/>
              </w:rPr>
            </w:pPr>
          </w:p>
        </w:tc>
        <w:tc>
          <w:tcPr>
            <w:tcW w:w="1680" w:type="dxa"/>
            <w:vAlign w:val="bottom"/>
            <w:vMerge w:val="continue"/>
            <w:shd w:val="clear" w:color="auto" w:fill="CF1D4C"/>
          </w:tcPr>
          <w:p>
            <w:pPr>
              <w:spacing w:after="0"/>
              <w:rPr>
                <w:sz w:val="15"/>
                <w:szCs w:val="15"/>
                <w:color w:val="auto"/>
              </w:rPr>
            </w:pPr>
          </w:p>
        </w:tc>
        <w:tc>
          <w:tcPr>
            <w:tcW w:w="1420" w:type="dxa"/>
            <w:vAlign w:val="bottom"/>
            <w:vMerge w:val="continue"/>
            <w:shd w:val="clear" w:color="auto" w:fill="CF1D4C"/>
          </w:tcPr>
          <w:p>
            <w:pPr>
              <w:spacing w:after="0"/>
              <w:rPr>
                <w:sz w:val="15"/>
                <w:szCs w:val="15"/>
                <w:color w:val="auto"/>
              </w:rPr>
            </w:pPr>
          </w:p>
        </w:tc>
        <w:tc>
          <w:tcPr>
            <w:tcW w:w="1960" w:type="dxa"/>
            <w:vAlign w:val="bottom"/>
            <w:vMerge w:val="continue"/>
            <w:shd w:val="clear" w:color="auto" w:fill="CF1D4C"/>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880" w:type="dxa"/>
            <w:vAlign w:val="bottom"/>
          </w:tcPr>
          <w:p>
            <w:pPr>
              <w:ind w:left="160"/>
              <w:spacing w:after="0"/>
              <w:rPr>
                <w:sz w:val="20"/>
                <w:szCs w:val="20"/>
                <w:color w:val="auto"/>
              </w:rPr>
            </w:pPr>
            <w:r>
              <w:rPr>
                <w:rFonts w:ascii="Arial" w:cs="Arial" w:eastAsia="Arial" w:hAnsi="Arial"/>
                <w:sz w:val="16"/>
                <w:szCs w:val="16"/>
                <w:b w:val="1"/>
                <w:bCs w:val="1"/>
                <w:color w:val="333333"/>
              </w:rPr>
              <w:t>Ronald F. Clarke</w:t>
            </w:r>
          </w:p>
        </w:tc>
        <w:tc>
          <w:tcPr>
            <w:tcW w:w="1820" w:type="dxa"/>
            <w:vAlign w:val="bottom"/>
          </w:tcPr>
          <w:p>
            <w:pPr>
              <w:ind w:left="200"/>
              <w:spacing w:after="0"/>
              <w:rPr>
                <w:sz w:val="20"/>
                <w:szCs w:val="20"/>
                <w:color w:val="auto"/>
              </w:rPr>
            </w:pPr>
            <w:r>
              <w:rPr>
                <w:rFonts w:ascii="Arial" w:cs="Arial" w:eastAsia="Arial" w:hAnsi="Arial"/>
                <w:sz w:val="16"/>
                <w:szCs w:val="16"/>
                <w:color w:val="333333"/>
              </w:rPr>
              <w:t>150%</w:t>
            </w:r>
          </w:p>
        </w:tc>
        <w:tc>
          <w:tcPr>
            <w:tcW w:w="1680" w:type="dxa"/>
            <w:vAlign w:val="bottom"/>
          </w:tcPr>
          <w:p>
            <w:pPr>
              <w:ind w:left="160"/>
              <w:spacing w:after="0"/>
              <w:rPr>
                <w:sz w:val="20"/>
                <w:szCs w:val="20"/>
                <w:color w:val="auto"/>
              </w:rPr>
            </w:pPr>
            <w:r>
              <w:rPr>
                <w:rFonts w:ascii="Arial" w:cs="Arial" w:eastAsia="Arial" w:hAnsi="Arial"/>
                <w:sz w:val="16"/>
                <w:szCs w:val="16"/>
                <w:color w:val="333333"/>
              </w:rPr>
              <w:t>$1,800,000</w:t>
            </w:r>
          </w:p>
        </w:tc>
        <w:tc>
          <w:tcPr>
            <w:tcW w:w="1420" w:type="dxa"/>
            <w:vAlign w:val="bottom"/>
          </w:tcPr>
          <w:p>
            <w:pPr>
              <w:ind w:left="200"/>
              <w:spacing w:after="0"/>
              <w:rPr>
                <w:sz w:val="20"/>
                <w:szCs w:val="20"/>
                <w:color w:val="auto"/>
              </w:rPr>
            </w:pPr>
            <w:r>
              <w:rPr>
                <w:rFonts w:ascii="Arial" w:cs="Arial" w:eastAsia="Arial" w:hAnsi="Arial"/>
                <w:sz w:val="16"/>
                <w:szCs w:val="16"/>
                <w:color w:val="333333"/>
              </w:rPr>
              <w:t>$1,440,000</w:t>
            </w:r>
          </w:p>
        </w:tc>
        <w:tc>
          <w:tcPr>
            <w:tcW w:w="1960" w:type="dxa"/>
            <w:vAlign w:val="bottom"/>
          </w:tcPr>
          <w:p>
            <w:pPr>
              <w:ind w:left="180"/>
              <w:spacing w:after="0"/>
              <w:rPr>
                <w:sz w:val="20"/>
                <w:szCs w:val="20"/>
                <w:color w:val="auto"/>
              </w:rPr>
            </w:pPr>
            <w:r>
              <w:rPr>
                <w:rFonts w:ascii="Arial" w:cs="Arial" w:eastAsia="Arial" w:hAnsi="Arial"/>
                <w:sz w:val="16"/>
                <w:szCs w:val="16"/>
                <w:color w:val="333333"/>
              </w:rPr>
              <w:t>6,745</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880" w:type="dxa"/>
            <w:vAlign w:val="bottom"/>
            <w:shd w:val="clear" w:color="auto" w:fill="D9D9D9"/>
          </w:tcPr>
          <w:p>
            <w:pPr>
              <w:ind w:left="160"/>
              <w:spacing w:after="0"/>
              <w:rPr>
                <w:sz w:val="20"/>
                <w:szCs w:val="20"/>
                <w:color w:val="auto"/>
              </w:rPr>
            </w:pPr>
            <w:r>
              <w:rPr>
                <w:rFonts w:ascii="Arial" w:cs="Arial" w:eastAsia="Arial" w:hAnsi="Arial"/>
                <w:sz w:val="16"/>
                <w:szCs w:val="16"/>
                <w:b w:val="1"/>
                <w:bCs w:val="1"/>
                <w:color w:val="333333"/>
              </w:rPr>
              <w:t>Tom Panther</w:t>
            </w:r>
            <w:r>
              <w:rPr>
                <w:rFonts w:ascii="Arial" w:cs="Arial" w:eastAsia="Arial" w:hAnsi="Arial"/>
                <w:sz w:val="26"/>
                <w:szCs w:val="26"/>
                <w:b w:val="1"/>
                <w:bCs w:val="1"/>
                <w:color w:val="333333"/>
                <w:vertAlign w:val="superscript"/>
              </w:rPr>
              <w:t>(2)</w:t>
            </w:r>
          </w:p>
        </w:tc>
        <w:tc>
          <w:tcPr>
            <w:tcW w:w="1820" w:type="dxa"/>
            <w:vAlign w:val="bottom"/>
            <w:shd w:val="clear" w:color="auto" w:fill="D9D9D9"/>
          </w:tcPr>
          <w:p>
            <w:pPr>
              <w:ind w:left="200"/>
              <w:spacing w:after="0"/>
              <w:rPr>
                <w:sz w:val="20"/>
                <w:szCs w:val="20"/>
                <w:color w:val="auto"/>
              </w:rPr>
            </w:pPr>
            <w:r>
              <w:rPr>
                <w:rFonts w:ascii="Arial" w:cs="Arial" w:eastAsia="Arial" w:hAnsi="Arial"/>
                <w:sz w:val="16"/>
                <w:szCs w:val="16"/>
                <w:color w:val="333333"/>
              </w:rPr>
              <w:t>75%</w:t>
            </w:r>
          </w:p>
        </w:tc>
        <w:tc>
          <w:tcPr>
            <w:tcW w:w="1680" w:type="dxa"/>
            <w:vAlign w:val="bottom"/>
            <w:shd w:val="clear" w:color="auto" w:fill="D9D9D9"/>
          </w:tcPr>
          <w:p>
            <w:pPr>
              <w:ind w:left="160"/>
              <w:spacing w:after="0"/>
              <w:rPr>
                <w:sz w:val="20"/>
                <w:szCs w:val="20"/>
                <w:color w:val="auto"/>
              </w:rPr>
            </w:pPr>
            <w:r>
              <w:rPr>
                <w:rFonts w:ascii="Arial" w:cs="Arial" w:eastAsia="Arial" w:hAnsi="Arial"/>
                <w:sz w:val="16"/>
                <w:szCs w:val="16"/>
                <w:color w:val="333333"/>
              </w:rPr>
              <w:t>$225,000</w:t>
            </w:r>
          </w:p>
        </w:tc>
        <w:tc>
          <w:tcPr>
            <w:tcW w:w="1420" w:type="dxa"/>
            <w:vAlign w:val="bottom"/>
            <w:shd w:val="clear" w:color="auto" w:fill="D9D9D9"/>
          </w:tcPr>
          <w:p>
            <w:pPr>
              <w:ind w:left="200"/>
              <w:spacing w:after="0"/>
              <w:rPr>
                <w:sz w:val="20"/>
                <w:szCs w:val="20"/>
                <w:color w:val="auto"/>
              </w:rPr>
            </w:pPr>
            <w:r>
              <w:rPr>
                <w:rFonts w:ascii="Arial" w:cs="Arial" w:eastAsia="Arial" w:hAnsi="Arial"/>
                <w:sz w:val="16"/>
                <w:szCs w:val="16"/>
                <w:color w:val="333333"/>
              </w:rPr>
              <w:t>$180,000</w:t>
            </w:r>
          </w:p>
        </w:tc>
        <w:tc>
          <w:tcPr>
            <w:tcW w:w="1960" w:type="dxa"/>
            <w:vAlign w:val="bottom"/>
            <w:shd w:val="clear" w:color="auto" w:fill="D9D9D9"/>
          </w:tcPr>
          <w:p>
            <w:pPr>
              <w:ind w:left="180"/>
              <w:spacing w:after="0"/>
              <w:rPr>
                <w:sz w:val="20"/>
                <w:szCs w:val="20"/>
                <w:color w:val="auto"/>
              </w:rPr>
            </w:pPr>
            <w:r>
              <w:rPr>
                <w:rFonts w:ascii="Arial" w:cs="Arial" w:eastAsia="Arial" w:hAnsi="Arial"/>
                <w:sz w:val="16"/>
                <w:szCs w:val="16"/>
                <w:color w:val="333333"/>
              </w:rPr>
              <w:t>870</w:t>
            </w:r>
          </w:p>
        </w:tc>
        <w:tc>
          <w:tcPr>
            <w:tcW w:w="0" w:type="dxa"/>
            <w:vAlign w:val="bottom"/>
          </w:tcPr>
          <w:p>
            <w:pPr>
              <w:spacing w:after="0"/>
              <w:rPr>
                <w:sz w:val="1"/>
                <w:szCs w:val="1"/>
                <w:color w:val="auto"/>
              </w:rPr>
            </w:pPr>
          </w:p>
        </w:tc>
      </w:tr>
      <w:tr>
        <w:trPr>
          <w:trHeight w:val="249"/>
        </w:trPr>
        <w:tc>
          <w:tcPr>
            <w:tcW w:w="1880" w:type="dxa"/>
            <w:vAlign w:val="bottom"/>
          </w:tcPr>
          <w:p>
            <w:pPr>
              <w:ind w:left="160"/>
              <w:spacing w:after="0"/>
              <w:rPr>
                <w:sz w:val="20"/>
                <w:szCs w:val="20"/>
                <w:color w:val="auto"/>
              </w:rPr>
            </w:pPr>
            <w:r>
              <w:rPr>
                <w:rFonts w:ascii="Arial" w:cs="Arial" w:eastAsia="Arial" w:hAnsi="Arial"/>
                <w:sz w:val="16"/>
                <w:szCs w:val="16"/>
                <w:b w:val="1"/>
                <w:bCs w:val="1"/>
                <w:color w:val="333333"/>
              </w:rPr>
              <w:t>Alissa B. Vickery</w:t>
            </w:r>
          </w:p>
        </w:tc>
        <w:tc>
          <w:tcPr>
            <w:tcW w:w="1820" w:type="dxa"/>
            <w:vAlign w:val="bottom"/>
          </w:tcPr>
          <w:p>
            <w:pPr>
              <w:ind w:left="200"/>
              <w:spacing w:after="0"/>
              <w:rPr>
                <w:sz w:val="20"/>
                <w:szCs w:val="20"/>
                <w:color w:val="auto"/>
              </w:rPr>
            </w:pPr>
            <w:r>
              <w:rPr>
                <w:rFonts w:ascii="Arial" w:cs="Arial" w:eastAsia="Arial" w:hAnsi="Arial"/>
                <w:sz w:val="16"/>
                <w:szCs w:val="16"/>
                <w:color w:val="333333"/>
              </w:rPr>
              <w:t>30%</w:t>
            </w:r>
          </w:p>
        </w:tc>
        <w:tc>
          <w:tcPr>
            <w:tcW w:w="1680" w:type="dxa"/>
            <w:vAlign w:val="bottom"/>
          </w:tcPr>
          <w:p>
            <w:pPr>
              <w:ind w:left="160"/>
              <w:spacing w:after="0"/>
              <w:rPr>
                <w:sz w:val="20"/>
                <w:szCs w:val="20"/>
                <w:color w:val="auto"/>
              </w:rPr>
            </w:pPr>
            <w:r>
              <w:rPr>
                <w:rFonts w:ascii="Arial" w:cs="Arial" w:eastAsia="Arial" w:hAnsi="Arial"/>
                <w:sz w:val="16"/>
                <w:szCs w:val="16"/>
                <w:color w:val="333333"/>
              </w:rPr>
              <w:t>$90,000</w:t>
            </w:r>
          </w:p>
        </w:tc>
        <w:tc>
          <w:tcPr>
            <w:tcW w:w="1420" w:type="dxa"/>
            <w:vAlign w:val="bottom"/>
          </w:tcPr>
          <w:p>
            <w:pPr>
              <w:ind w:left="200"/>
              <w:spacing w:after="0"/>
              <w:rPr>
                <w:sz w:val="20"/>
                <w:szCs w:val="20"/>
                <w:color w:val="auto"/>
              </w:rPr>
            </w:pPr>
            <w:r>
              <w:rPr>
                <w:rFonts w:ascii="Arial" w:cs="Arial" w:eastAsia="Arial" w:hAnsi="Arial"/>
                <w:sz w:val="16"/>
                <w:szCs w:val="16"/>
                <w:color w:val="333333"/>
              </w:rPr>
              <w:t>$60,000</w:t>
            </w:r>
          </w:p>
        </w:tc>
        <w:tc>
          <w:tcPr>
            <w:tcW w:w="1960" w:type="dxa"/>
            <w:vAlign w:val="bottom"/>
          </w:tcPr>
          <w:p>
            <w:pPr>
              <w:ind w:left="180"/>
              <w:spacing w:after="0"/>
              <w:rPr>
                <w:sz w:val="20"/>
                <w:szCs w:val="20"/>
                <w:color w:val="auto"/>
              </w:rPr>
            </w:pPr>
            <w:r>
              <w:rPr>
                <w:rFonts w:ascii="Arial" w:cs="Arial" w:eastAsia="Arial" w:hAnsi="Arial"/>
                <w:sz w:val="16"/>
                <w:szCs w:val="16"/>
                <w:color w:val="333333"/>
              </w:rPr>
              <w:t>282</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880" w:type="dxa"/>
            <w:vAlign w:val="bottom"/>
            <w:shd w:val="clear" w:color="auto" w:fill="D9D9D9"/>
          </w:tcPr>
          <w:p>
            <w:pPr>
              <w:ind w:left="160"/>
              <w:spacing w:after="0"/>
              <w:rPr>
                <w:sz w:val="20"/>
                <w:szCs w:val="20"/>
                <w:color w:val="auto"/>
              </w:rPr>
            </w:pPr>
            <w:r>
              <w:rPr>
                <w:rFonts w:ascii="Arial" w:cs="Arial" w:eastAsia="Arial" w:hAnsi="Arial"/>
                <w:sz w:val="16"/>
                <w:szCs w:val="16"/>
                <w:b w:val="1"/>
                <w:bCs w:val="1"/>
                <w:color w:val="333333"/>
              </w:rPr>
              <w:t>Armando L. Netto</w:t>
            </w:r>
            <w:r>
              <w:rPr>
                <w:rFonts w:ascii="Arial" w:cs="Arial" w:eastAsia="Arial" w:hAnsi="Arial"/>
                <w:sz w:val="26"/>
                <w:szCs w:val="26"/>
                <w:b w:val="1"/>
                <w:bCs w:val="1"/>
                <w:color w:val="333333"/>
                <w:vertAlign w:val="superscript"/>
              </w:rPr>
              <w:t>(3)</w:t>
            </w:r>
          </w:p>
        </w:tc>
        <w:tc>
          <w:tcPr>
            <w:tcW w:w="1820" w:type="dxa"/>
            <w:vAlign w:val="bottom"/>
            <w:shd w:val="clear" w:color="auto" w:fill="D9D9D9"/>
          </w:tcPr>
          <w:p>
            <w:pPr>
              <w:ind w:left="200"/>
              <w:spacing w:after="0"/>
              <w:rPr>
                <w:sz w:val="20"/>
                <w:szCs w:val="20"/>
                <w:color w:val="auto"/>
              </w:rPr>
            </w:pPr>
            <w:r>
              <w:rPr>
                <w:rFonts w:ascii="Arial" w:cs="Arial" w:eastAsia="Arial" w:hAnsi="Arial"/>
                <w:sz w:val="16"/>
                <w:szCs w:val="16"/>
                <w:color w:val="333333"/>
              </w:rPr>
              <w:t>75%</w:t>
            </w:r>
          </w:p>
        </w:tc>
        <w:tc>
          <w:tcPr>
            <w:tcW w:w="1680" w:type="dxa"/>
            <w:vAlign w:val="bottom"/>
            <w:shd w:val="clear" w:color="auto" w:fill="D9D9D9"/>
          </w:tcPr>
          <w:p>
            <w:pPr>
              <w:ind w:left="160"/>
              <w:spacing w:after="0"/>
              <w:rPr>
                <w:sz w:val="20"/>
                <w:szCs w:val="20"/>
                <w:color w:val="auto"/>
              </w:rPr>
            </w:pPr>
            <w:r>
              <w:rPr>
                <w:rFonts w:ascii="Arial" w:cs="Arial" w:eastAsia="Arial" w:hAnsi="Arial"/>
                <w:sz w:val="16"/>
                <w:szCs w:val="16"/>
                <w:color w:val="333333"/>
              </w:rPr>
              <w:t>$377,319</w:t>
            </w:r>
          </w:p>
        </w:tc>
        <w:tc>
          <w:tcPr>
            <w:tcW w:w="1420" w:type="dxa"/>
            <w:vAlign w:val="bottom"/>
            <w:shd w:val="clear" w:color="auto" w:fill="D9D9D9"/>
          </w:tcPr>
          <w:p>
            <w:pPr>
              <w:ind w:left="200"/>
              <w:spacing w:after="0"/>
              <w:rPr>
                <w:sz w:val="20"/>
                <w:szCs w:val="20"/>
                <w:color w:val="auto"/>
              </w:rPr>
            </w:pPr>
            <w:r>
              <w:rPr>
                <w:rFonts w:ascii="Arial" w:cs="Arial" w:eastAsia="Arial" w:hAnsi="Arial"/>
                <w:sz w:val="16"/>
                <w:szCs w:val="16"/>
                <w:color w:val="333333"/>
              </w:rPr>
              <w:t>$290,883</w:t>
            </w:r>
          </w:p>
        </w:tc>
        <w:tc>
          <w:tcPr>
            <w:tcW w:w="1960" w:type="dxa"/>
            <w:vAlign w:val="bottom"/>
            <w:shd w:val="clear" w:color="auto" w:fill="D9D9D9"/>
          </w:tcPr>
          <w:p>
            <w:pPr>
              <w:ind w:left="180"/>
              <w:spacing w:after="0"/>
              <w:rPr>
                <w:sz w:val="20"/>
                <w:szCs w:val="20"/>
                <w:color w:val="auto"/>
              </w:rPr>
            </w:pPr>
            <w:r>
              <w:rPr>
                <w:rFonts w:ascii="Arial" w:cs="Arial" w:eastAsia="Arial" w:hAnsi="Arial"/>
                <w:sz w:val="16"/>
                <w:szCs w:val="16"/>
                <w:color w:val="333333"/>
              </w:rPr>
              <w:t>1,362</w:t>
            </w:r>
          </w:p>
        </w:tc>
        <w:tc>
          <w:tcPr>
            <w:tcW w:w="0" w:type="dxa"/>
            <w:vAlign w:val="bottom"/>
          </w:tcPr>
          <w:p>
            <w:pPr>
              <w:spacing w:after="0"/>
              <w:rPr>
                <w:sz w:val="1"/>
                <w:szCs w:val="1"/>
                <w:color w:val="auto"/>
              </w:rPr>
            </w:pPr>
          </w:p>
        </w:tc>
      </w:tr>
      <w:tr>
        <w:trPr>
          <w:trHeight w:val="249"/>
        </w:trPr>
        <w:tc>
          <w:tcPr>
            <w:tcW w:w="1880" w:type="dxa"/>
            <w:vAlign w:val="bottom"/>
          </w:tcPr>
          <w:p>
            <w:pPr>
              <w:ind w:left="160"/>
              <w:spacing w:after="0"/>
              <w:rPr>
                <w:sz w:val="20"/>
                <w:szCs w:val="20"/>
                <w:color w:val="auto"/>
              </w:rPr>
            </w:pPr>
            <w:r>
              <w:rPr>
                <w:rFonts w:ascii="Arial" w:cs="Arial" w:eastAsia="Arial" w:hAnsi="Arial"/>
                <w:sz w:val="16"/>
                <w:szCs w:val="16"/>
                <w:b w:val="1"/>
                <w:bCs w:val="1"/>
                <w:color w:val="333333"/>
              </w:rPr>
              <w:t>Alan King</w:t>
            </w:r>
          </w:p>
        </w:tc>
        <w:tc>
          <w:tcPr>
            <w:tcW w:w="1820" w:type="dxa"/>
            <w:vAlign w:val="bottom"/>
          </w:tcPr>
          <w:p>
            <w:pPr>
              <w:ind w:left="200"/>
              <w:spacing w:after="0"/>
              <w:rPr>
                <w:sz w:val="20"/>
                <w:szCs w:val="20"/>
                <w:color w:val="auto"/>
              </w:rPr>
            </w:pPr>
            <w:r>
              <w:rPr>
                <w:rFonts w:ascii="Arial" w:cs="Arial" w:eastAsia="Arial" w:hAnsi="Arial"/>
                <w:sz w:val="16"/>
                <w:szCs w:val="16"/>
                <w:color w:val="333333"/>
              </w:rPr>
              <w:t>75%</w:t>
            </w:r>
          </w:p>
        </w:tc>
        <w:tc>
          <w:tcPr>
            <w:tcW w:w="1680" w:type="dxa"/>
            <w:vAlign w:val="bottom"/>
          </w:tcPr>
          <w:p>
            <w:pPr>
              <w:ind w:left="160"/>
              <w:spacing w:after="0"/>
              <w:rPr>
                <w:sz w:val="20"/>
                <w:szCs w:val="20"/>
                <w:color w:val="auto"/>
              </w:rPr>
            </w:pPr>
            <w:r>
              <w:rPr>
                <w:rFonts w:ascii="Arial" w:cs="Arial" w:eastAsia="Arial" w:hAnsi="Arial"/>
                <w:sz w:val="16"/>
                <w:szCs w:val="16"/>
                <w:color w:val="333333"/>
              </w:rPr>
              <w:t>$337,500</w:t>
            </w:r>
          </w:p>
        </w:tc>
        <w:tc>
          <w:tcPr>
            <w:tcW w:w="1420" w:type="dxa"/>
            <w:vAlign w:val="bottom"/>
          </w:tcPr>
          <w:p>
            <w:pPr>
              <w:ind w:left="200"/>
              <w:spacing w:after="0"/>
              <w:rPr>
                <w:sz w:val="20"/>
                <w:szCs w:val="20"/>
                <w:color w:val="auto"/>
              </w:rPr>
            </w:pPr>
            <w:r>
              <w:rPr>
                <w:rFonts w:ascii="Arial" w:cs="Arial" w:eastAsia="Arial" w:hAnsi="Arial"/>
                <w:sz w:val="16"/>
                <w:szCs w:val="16"/>
                <w:color w:val="333333"/>
              </w:rPr>
              <w:t>$270,000</w:t>
            </w:r>
          </w:p>
        </w:tc>
        <w:tc>
          <w:tcPr>
            <w:tcW w:w="1960" w:type="dxa"/>
            <w:vAlign w:val="bottom"/>
          </w:tcPr>
          <w:p>
            <w:pPr>
              <w:ind w:left="180"/>
              <w:spacing w:after="0"/>
              <w:rPr>
                <w:sz w:val="20"/>
                <w:szCs w:val="20"/>
                <w:color w:val="auto"/>
              </w:rPr>
            </w:pPr>
            <w:r>
              <w:rPr>
                <w:rFonts w:ascii="Arial" w:cs="Arial" w:eastAsia="Arial" w:hAnsi="Arial"/>
                <w:sz w:val="16"/>
                <w:szCs w:val="16"/>
                <w:color w:val="333333"/>
              </w:rPr>
              <w:t>1,265</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840" w:hanging="190"/>
        <w:spacing w:after="0"/>
        <w:tabs>
          <w:tab w:leader="none" w:pos="840" w:val="left"/>
        </w:tabs>
        <w:numPr>
          <w:ilvl w:val="0"/>
          <w:numId w:val="59"/>
        </w:numPr>
        <w:rPr>
          <w:rFonts w:ascii="Arial" w:cs="Arial" w:eastAsia="Arial" w:hAnsi="Arial"/>
          <w:sz w:val="13"/>
          <w:szCs w:val="13"/>
          <w:i w:val="1"/>
          <w:iCs w:val="1"/>
          <w:color w:val="333333"/>
        </w:rPr>
      </w:pPr>
      <w:r>
        <w:rPr>
          <w:rFonts w:ascii="Arial" w:cs="Arial" w:eastAsia="Arial" w:hAnsi="Arial"/>
          <w:sz w:val="13"/>
          <w:szCs w:val="13"/>
          <w:i w:val="1"/>
          <w:iCs w:val="1"/>
          <w:color w:val="333333"/>
        </w:rPr>
        <w:t>Restricted stock vested on March 1, 2024.</w:t>
      </w:r>
    </w:p>
    <w:p>
      <w:pPr>
        <w:spacing w:after="0" w:line="26" w:lineRule="exact"/>
        <w:rPr>
          <w:rFonts w:ascii="Arial" w:cs="Arial" w:eastAsia="Arial" w:hAnsi="Arial"/>
          <w:sz w:val="13"/>
          <w:szCs w:val="13"/>
          <w:i w:val="1"/>
          <w:iCs w:val="1"/>
          <w:color w:val="333333"/>
        </w:rPr>
      </w:pPr>
    </w:p>
    <w:p>
      <w:pPr>
        <w:ind w:left="840" w:hanging="190"/>
        <w:spacing w:after="0"/>
        <w:tabs>
          <w:tab w:leader="none" w:pos="840" w:val="left"/>
        </w:tabs>
        <w:numPr>
          <w:ilvl w:val="0"/>
          <w:numId w:val="59"/>
        </w:numPr>
        <w:rPr>
          <w:rFonts w:ascii="Arial" w:cs="Arial" w:eastAsia="Arial" w:hAnsi="Arial"/>
          <w:sz w:val="13"/>
          <w:szCs w:val="13"/>
          <w:i w:val="1"/>
          <w:iCs w:val="1"/>
          <w:color w:val="333333"/>
        </w:rPr>
      </w:pPr>
      <w:r>
        <w:rPr>
          <w:rFonts w:ascii="Arial" w:cs="Arial" w:eastAsia="Arial" w:hAnsi="Arial"/>
          <w:sz w:val="13"/>
          <w:szCs w:val="13"/>
          <w:i w:val="1"/>
          <w:iCs w:val="1"/>
          <w:color w:val="333333"/>
        </w:rPr>
        <w:t>Mr. Panther's target annual incentive was prorated based on his start date of May 2, 2023.</w:t>
      </w:r>
    </w:p>
    <w:p>
      <w:pPr>
        <w:spacing w:after="0" w:line="14" w:lineRule="exact"/>
        <w:rPr>
          <w:rFonts w:ascii="Arial" w:cs="Arial" w:eastAsia="Arial" w:hAnsi="Arial"/>
          <w:sz w:val="13"/>
          <w:szCs w:val="13"/>
          <w:i w:val="1"/>
          <w:iCs w:val="1"/>
          <w:color w:val="333333"/>
        </w:rPr>
      </w:pPr>
    </w:p>
    <w:p>
      <w:pPr>
        <w:ind w:left="660" w:right="439" w:hanging="10"/>
        <w:spacing w:after="0" w:line="238" w:lineRule="auto"/>
        <w:tabs>
          <w:tab w:leader="none" w:pos="849" w:val="left"/>
        </w:tabs>
        <w:numPr>
          <w:ilvl w:val="0"/>
          <w:numId w:val="59"/>
        </w:numPr>
        <w:rPr>
          <w:rFonts w:ascii="Arial" w:cs="Arial" w:eastAsia="Arial" w:hAnsi="Arial"/>
          <w:sz w:val="13"/>
          <w:szCs w:val="13"/>
          <w:i w:val="1"/>
          <w:iCs w:val="1"/>
          <w:color w:val="333333"/>
        </w:rPr>
      </w:pPr>
      <w:r>
        <w:rPr>
          <w:rFonts w:ascii="Arial" w:cs="Arial" w:eastAsia="Arial" w:hAnsi="Arial"/>
          <w:sz w:val="13"/>
          <w:szCs w:val="13"/>
          <w:i w:val="1"/>
          <w:iCs w:val="1"/>
          <w:color w:val="333333"/>
        </w:rPr>
        <w:t>Mr. Netto’s cash compensation is denominated in Brazilian Real. For purposes of this table, cash amounts for Mr. Netto have been converted to U.S. dollars at an average exchange rate of $1 to R$4.9915 for 2023.</w:t>
      </w:r>
    </w:p>
    <w:p>
      <w:pPr>
        <w:sectPr>
          <w:pgSz w:w="11900" w:h="16838" w:orient="portrait"/>
          <w:cols w:equalWidth="0" w:num="1">
            <w:col w:w="9539"/>
          </w:cols>
          <w:pgMar w:left="920" w:top="114" w:right="1440"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Arial" w:cs="Arial" w:eastAsia="Arial" w:hAnsi="Arial"/>
          <w:sz w:val="10"/>
          <w:szCs w:val="10"/>
          <w:b w:val="1"/>
          <w:bCs w:val="1"/>
          <w:color w:val="333333"/>
        </w:rPr>
        <w:t xml:space="preserve">38 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60"/>
        </w:numPr>
        <w:rPr>
          <w:rFonts w:ascii="Arial" w:cs="Arial" w:eastAsia="Arial" w:hAnsi="Arial"/>
          <w:sz w:val="17"/>
          <w:szCs w:val="17"/>
          <w:b w:val="1"/>
          <w:bCs w:val="1"/>
          <w:color w:val="auto"/>
        </w:rPr>
      </w:pPr>
      <w:r>
        <w:rPr>
          <w:rFonts w:ascii="Arial" w:cs="Arial" w:eastAsia="Arial" w:hAnsi="Arial"/>
          <w:sz w:val="17"/>
          <w:szCs w:val="17"/>
          <w:color w:val="CF1D4C"/>
        </w:rPr>
        <w:t>COMPENSATION DISCUSSION AND ANALYSIS</w:t>
      </w:r>
    </w:p>
    <w:p>
      <w:pPr>
        <w:sectPr>
          <w:pgSz w:w="11900" w:h="16838" w:orient="portrait"/>
          <w:cols w:equalWidth="0" w:num="1">
            <w:col w:w="10040"/>
          </w:cols>
          <w:pgMar w:left="920" w:top="114" w:right="9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660" w:right="20"/>
        <w:spacing w:after="0" w:line="296" w:lineRule="auto"/>
        <w:rPr>
          <w:sz w:val="20"/>
          <w:szCs w:val="20"/>
          <w:color w:val="auto"/>
        </w:rPr>
      </w:pPr>
      <w:r>
        <w:rPr>
          <w:rFonts w:ascii="Arial" w:cs="Arial" w:eastAsia="Arial" w:hAnsi="Arial"/>
          <w:sz w:val="16"/>
          <w:szCs w:val="16"/>
          <w:b w:val="1"/>
          <w:bCs w:val="1"/>
          <w:color w:val="auto"/>
        </w:rPr>
        <w:t>2023 Performance Goals and Results for Cash Portion of Annual Incentive Award</w:t>
      </w:r>
    </w:p>
    <w:p>
      <w:pPr>
        <w:spacing w:after="0" w:line="167"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333333"/>
        </w:rPr>
        <w:t>The compensation committee and the CEO worked together to establish meaningful performance goals for the cash portion of the CEO’s annual incentive award at the beginning of the performance period. These goals are intended to align CEO rewards with Company performance. In the event of achievement of maximum results under the applicable performance goals, the CEO’s annual incentive has a maximum potential value equal to 200% of target.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720"/>
        <w:spacing w:after="0" w:line="252" w:lineRule="auto"/>
        <w:rPr>
          <w:sz w:val="20"/>
          <w:szCs w:val="20"/>
          <w:color w:val="auto"/>
        </w:rPr>
      </w:pPr>
      <w:r>
        <w:rPr>
          <w:rFonts w:ascii="Arial" w:cs="Arial" w:eastAsia="Arial" w:hAnsi="Arial"/>
          <w:sz w:val="16"/>
          <w:szCs w:val="16"/>
          <w:color w:val="auto"/>
        </w:rPr>
        <w:t>A key performance metric for purposes of our NEOs’ 2023 incentive-based compensation was Adjusted EPS, further adjusted to exclude the impact of (a) the macro-environment (including foreign exchange rates, tax rates, fuel prices, fuel price spreads and interest rate fluctuations), and (b) acquisitions and divestitures. We refer to Adjusted EPS as adjusted as “Adjusted EPS-COMP.”</w:t>
      </w:r>
    </w:p>
    <w:p>
      <w:pPr>
        <w:spacing w:after="0" w:line="303" w:lineRule="exact"/>
        <w:rPr>
          <w:sz w:val="20"/>
          <w:szCs w:val="20"/>
          <w:color w:val="auto"/>
        </w:rPr>
      </w:pPr>
    </w:p>
    <w:p>
      <w:pPr>
        <w:sectPr>
          <w:pgSz w:w="11900" w:h="16838" w:orient="portrait"/>
          <w:cols w:equalWidth="0" w:num="2">
            <w:col w:w="4840" w:space="300"/>
            <w:col w:w="4900"/>
          </w:cols>
          <w:pgMar w:left="920" w:top="114" w:right="939" w:bottom="1440" w:gutter="0" w:footer="0" w:header="0"/>
          <w:type w:val="continuous"/>
        </w:sectPr>
      </w:pPr>
    </w:p>
    <w:p>
      <w:pPr>
        <w:jc w:val="both"/>
        <w:ind w:left="660" w:right="740"/>
        <w:spacing w:after="0" w:line="266" w:lineRule="auto"/>
        <w:rPr>
          <w:sz w:val="20"/>
          <w:szCs w:val="20"/>
          <w:color w:val="auto"/>
        </w:rPr>
      </w:pPr>
      <w:r>
        <w:rPr>
          <w:rFonts w:ascii="Arial" w:cs="Arial" w:eastAsia="Arial" w:hAnsi="Arial"/>
          <w:sz w:val="16"/>
          <w:szCs w:val="16"/>
          <w:color w:val="auto"/>
        </w:rPr>
        <w:t>The table below outlines the performance metrics that were used for the cash portion of the CEO’s 2023 annual incentive award, which metrics were selected to drive a focus on corporate objectives that are expected to produce an increase in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74930</wp:posOffset>
            </wp:positionV>
            <wp:extent cx="5554980" cy="3943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554980" cy="394335"/>
                    </a:xfrm>
                    <a:prstGeom prst="rect">
                      <a:avLst/>
                    </a:prstGeom>
                    <a:noFill/>
                  </pic:spPr>
                </pic:pic>
              </a:graphicData>
            </a:graphic>
          </wp:anchor>
        </w:drawing>
      </w:r>
    </w:p>
    <w:p>
      <w:pPr>
        <w:spacing w:after="0" w:line="305" w:lineRule="exact"/>
        <w:rPr>
          <w:sz w:val="20"/>
          <w:szCs w:val="20"/>
          <w:color w:val="auto"/>
        </w:rPr>
      </w:pPr>
    </w:p>
    <w:p>
      <w:pPr>
        <w:ind w:left="800"/>
        <w:spacing w:after="0"/>
        <w:tabs>
          <w:tab w:leader="none" w:pos="2000" w:val="left"/>
          <w:tab w:leader="none" w:pos="5440" w:val="left"/>
        </w:tabs>
        <w:rPr>
          <w:sz w:val="20"/>
          <w:szCs w:val="20"/>
          <w:color w:val="auto"/>
        </w:rPr>
      </w:pPr>
      <w:r>
        <w:rPr>
          <w:rFonts w:ascii="Arial" w:cs="Arial" w:eastAsia="Arial" w:hAnsi="Arial"/>
          <w:sz w:val="14"/>
          <w:szCs w:val="14"/>
          <w:b w:val="1"/>
          <w:bCs w:val="1"/>
          <w:color w:val="FFFFFF"/>
        </w:rPr>
        <w:t>Pay Element</w:t>
      </w:r>
      <w:r>
        <w:rPr>
          <w:sz w:val="20"/>
          <w:szCs w:val="20"/>
          <w:color w:val="auto"/>
        </w:rPr>
        <w:tab/>
      </w:r>
      <w:r>
        <w:rPr>
          <w:rFonts w:ascii="Arial" w:cs="Arial" w:eastAsia="Arial" w:hAnsi="Arial"/>
          <w:sz w:val="14"/>
          <w:szCs w:val="14"/>
          <w:b w:val="1"/>
          <w:bCs w:val="1"/>
          <w:color w:val="FFFFFF"/>
        </w:rPr>
        <w:t>Performance Metric(s)</w:t>
      </w:r>
      <w:r>
        <w:rPr>
          <w:sz w:val="20"/>
          <w:szCs w:val="20"/>
          <w:color w:val="auto"/>
        </w:rPr>
        <w:tab/>
      </w:r>
      <w:r>
        <w:rPr>
          <w:rFonts w:ascii="Arial" w:cs="Arial" w:eastAsia="Arial" w:hAnsi="Arial"/>
          <w:sz w:val="14"/>
          <w:szCs w:val="14"/>
          <w:b w:val="1"/>
          <w:bCs w:val="1"/>
          <w:color w:val="FFFFFF"/>
        </w:rPr>
        <w:t>Rationale and 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160655</wp:posOffset>
            </wp:positionV>
            <wp:extent cx="5554980" cy="16287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554980" cy="162877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20"/>
        <w:spacing w:after="0"/>
        <w:rPr>
          <w:sz w:val="20"/>
          <w:szCs w:val="20"/>
          <w:color w:val="auto"/>
        </w:rPr>
      </w:pPr>
      <w:r>
        <w:rPr>
          <w:rFonts w:ascii="Arial" w:cs="Arial" w:eastAsia="Arial" w:hAnsi="Arial"/>
          <w:sz w:val="16"/>
          <w:szCs w:val="16"/>
          <w:color w:val="333333"/>
        </w:rPr>
        <w:t>GAAP Revenue, as Adjusted (25% weight)</w:t>
      </w:r>
    </w:p>
    <w:p>
      <w:pPr>
        <w:spacing w:after="0" w:line="200" w:lineRule="exact"/>
        <w:rPr>
          <w:sz w:val="20"/>
          <w:szCs w:val="20"/>
          <w:color w:val="auto"/>
        </w:rPr>
      </w:pPr>
    </w:p>
    <w:p>
      <w:pPr>
        <w:spacing w:after="0" w:line="345"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333333"/>
        </w:rPr>
        <w:t>Cash Portion</w:t>
      </w:r>
    </w:p>
    <w:p>
      <w:pPr>
        <w:spacing w:after="0" w:line="21" w:lineRule="exact"/>
        <w:rPr>
          <w:sz w:val="20"/>
          <w:szCs w:val="20"/>
          <w:color w:val="auto"/>
        </w:rPr>
      </w:pPr>
    </w:p>
    <w:p>
      <w:pPr>
        <w:ind w:left="800"/>
        <w:spacing w:after="0"/>
        <w:tabs>
          <w:tab w:leader="none" w:pos="2000" w:val="left"/>
        </w:tabs>
        <w:rPr>
          <w:sz w:val="20"/>
          <w:szCs w:val="20"/>
          <w:color w:val="auto"/>
        </w:rPr>
      </w:pPr>
      <w:r>
        <w:rPr>
          <w:rFonts w:ascii="Arial" w:cs="Arial" w:eastAsia="Arial" w:hAnsi="Arial"/>
          <w:sz w:val="16"/>
          <w:szCs w:val="16"/>
          <w:b w:val="1"/>
          <w:bCs w:val="1"/>
          <w:color w:val="333333"/>
        </w:rPr>
        <w:t>of Annual</w:t>
      </w:r>
      <w:r>
        <w:rPr>
          <w:sz w:val="20"/>
          <w:szCs w:val="20"/>
          <w:color w:val="auto"/>
        </w:rPr>
        <w:tab/>
      </w:r>
      <w:r>
        <w:rPr>
          <w:rFonts w:ascii="Arial" w:cs="Arial" w:eastAsia="Arial" w:hAnsi="Arial"/>
          <w:sz w:val="16"/>
          <w:szCs w:val="16"/>
          <w:color w:val="333333"/>
        </w:rPr>
        <w:t>Adjusted EPS-COMP (50% weight)</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333333"/>
        </w:rPr>
        <w:t>Incentive</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M&amp;A and Other Transactions (25% weight)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both"/>
        <w:ind w:right="1420"/>
        <w:spacing w:after="0" w:line="266" w:lineRule="auto"/>
        <w:rPr>
          <w:sz w:val="20"/>
          <w:szCs w:val="20"/>
          <w:color w:val="auto"/>
        </w:rPr>
      </w:pPr>
      <w:r>
        <w:rPr>
          <w:rFonts w:ascii="Arial" w:cs="Arial" w:eastAsia="Arial" w:hAnsi="Arial"/>
          <w:sz w:val="16"/>
          <w:szCs w:val="16"/>
          <w:color w:val="333333"/>
        </w:rPr>
        <w:t>Revenue growth is critically important to our success given the operating leverage in our business</w:t>
      </w:r>
    </w:p>
    <w:p>
      <w:pPr>
        <w:spacing w:after="0" w:line="200" w:lineRule="exact"/>
        <w:rPr>
          <w:sz w:val="20"/>
          <w:szCs w:val="20"/>
          <w:color w:val="auto"/>
        </w:rPr>
      </w:pPr>
    </w:p>
    <w:p>
      <w:pPr>
        <w:spacing w:after="0" w:line="201" w:lineRule="exact"/>
        <w:rPr>
          <w:sz w:val="20"/>
          <w:szCs w:val="20"/>
          <w:color w:val="auto"/>
        </w:rPr>
      </w:pPr>
    </w:p>
    <w:p>
      <w:pPr>
        <w:jc w:val="both"/>
        <w:ind w:right="1440"/>
        <w:spacing w:after="0" w:line="286" w:lineRule="auto"/>
        <w:rPr>
          <w:sz w:val="20"/>
          <w:szCs w:val="20"/>
          <w:color w:val="auto"/>
        </w:rPr>
      </w:pPr>
      <w:r>
        <w:rPr>
          <w:rFonts w:ascii="Arial" w:cs="Arial" w:eastAsia="Arial" w:hAnsi="Arial"/>
          <w:sz w:val="16"/>
          <w:szCs w:val="16"/>
          <w:color w:val="333333"/>
        </w:rPr>
        <w:t>Earnings per share performance aligns with shareholder objectives</w:t>
      </w:r>
    </w:p>
    <w:p>
      <w:pPr>
        <w:spacing w:after="0" w:line="385" w:lineRule="exact"/>
        <w:rPr>
          <w:sz w:val="20"/>
          <w:szCs w:val="20"/>
          <w:color w:val="auto"/>
        </w:rPr>
      </w:pPr>
    </w:p>
    <w:p>
      <w:pPr>
        <w:ind w:right="920"/>
        <w:spacing w:after="0" w:line="286" w:lineRule="auto"/>
        <w:rPr>
          <w:sz w:val="20"/>
          <w:szCs w:val="20"/>
          <w:color w:val="auto"/>
        </w:rPr>
      </w:pPr>
      <w:r>
        <w:rPr>
          <w:rFonts w:ascii="Arial" w:cs="Arial" w:eastAsia="Arial" w:hAnsi="Arial"/>
          <w:sz w:val="16"/>
          <w:szCs w:val="16"/>
          <w:color w:val="333333"/>
        </w:rPr>
        <w:t>We expect M&amp;A and other transactions to continue to contribute to growth</w:t>
      </w:r>
    </w:p>
    <w:p>
      <w:pPr>
        <w:spacing w:after="0" w:line="200" w:lineRule="exact"/>
        <w:rPr>
          <w:sz w:val="20"/>
          <w:szCs w:val="20"/>
          <w:color w:val="auto"/>
        </w:rPr>
      </w:pPr>
    </w:p>
    <w:p>
      <w:pPr>
        <w:sectPr>
          <w:pgSz w:w="11900" w:h="16838" w:orient="portrait"/>
          <w:cols w:equalWidth="0" w:num="2">
            <w:col w:w="5080" w:space="380"/>
            <w:col w:w="4580"/>
          </w:cols>
          <w:pgMar w:left="920" w:top="114" w:right="939" w:bottom="1440" w:gutter="0" w:footer="0" w:header="0"/>
          <w:type w:val="continuous"/>
        </w:sectPr>
      </w:pPr>
    </w:p>
    <w:p>
      <w:pPr>
        <w:spacing w:after="0" w:line="320" w:lineRule="exact"/>
        <w:rPr>
          <w:sz w:val="20"/>
          <w:szCs w:val="20"/>
          <w:color w:val="auto"/>
        </w:rPr>
      </w:pPr>
    </w:p>
    <w:p>
      <w:pPr>
        <w:ind w:left="660" w:right="100"/>
        <w:spacing w:after="0" w:line="259" w:lineRule="auto"/>
        <w:rPr>
          <w:sz w:val="20"/>
          <w:szCs w:val="20"/>
          <w:color w:val="auto"/>
        </w:rPr>
      </w:pPr>
      <w:r>
        <w:rPr>
          <w:rFonts w:ascii="Arial" w:cs="Arial" w:eastAsia="Arial" w:hAnsi="Arial"/>
          <w:sz w:val="16"/>
          <w:szCs w:val="16"/>
          <w:color w:val="333333"/>
        </w:rPr>
        <w:t>Our CEO makes recommendations regarding individual and/or business unit performance goals, which are reviewed and approved by the compensation committee, for our other NEOs.</w:t>
      </w:r>
    </w:p>
    <w:p>
      <w:pPr>
        <w:spacing w:after="0" w:line="137" w:lineRule="exact"/>
        <w:rPr>
          <w:sz w:val="20"/>
          <w:szCs w:val="20"/>
          <w:color w:val="auto"/>
        </w:rPr>
      </w:pPr>
    </w:p>
    <w:p>
      <w:pPr>
        <w:ind w:left="660"/>
        <w:spacing w:after="0" w:line="259" w:lineRule="auto"/>
        <w:rPr>
          <w:sz w:val="20"/>
          <w:szCs w:val="20"/>
          <w:color w:val="auto"/>
        </w:rPr>
      </w:pPr>
      <w:r>
        <w:rPr>
          <w:rFonts w:ascii="Arial" w:cs="Arial" w:eastAsia="Arial" w:hAnsi="Arial"/>
          <w:sz w:val="16"/>
          <w:szCs w:val="16"/>
          <w:color w:val="333333"/>
        </w:rPr>
        <w:t>In the event of achievement of maximum results under the applicable performance goals, the other NEOs’ annual incentives have a maximum potential value equal to up to 150% of target.</w:t>
      </w:r>
    </w:p>
    <w:p>
      <w:pPr>
        <w:spacing w:after="0" w:line="137" w:lineRule="exact"/>
        <w:rPr>
          <w:sz w:val="20"/>
          <w:szCs w:val="20"/>
          <w:color w:val="auto"/>
        </w:rPr>
      </w:pPr>
    </w:p>
    <w:p>
      <w:pPr>
        <w:ind w:left="660" w:right="40"/>
        <w:spacing w:after="0" w:line="256" w:lineRule="auto"/>
        <w:rPr>
          <w:sz w:val="20"/>
          <w:szCs w:val="20"/>
          <w:color w:val="auto"/>
        </w:rPr>
      </w:pPr>
      <w:r>
        <w:rPr>
          <w:rFonts w:ascii="Arial" w:cs="Arial" w:eastAsia="Arial" w:hAnsi="Arial"/>
          <w:sz w:val="16"/>
          <w:szCs w:val="16"/>
          <w:color w:val="333333"/>
        </w:rPr>
        <w:t>The cash portion of the annual incentive awards could be paid out in amounts below the individual target amounts if actual performance achieved certain thresholds. The awards were designed so that performance below certain thresholds would result in no payout for a given goal.</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660"/>
        <w:spacing w:after="0" w:line="251" w:lineRule="auto"/>
        <w:rPr>
          <w:sz w:val="20"/>
          <w:szCs w:val="20"/>
          <w:color w:val="auto"/>
        </w:rPr>
      </w:pPr>
      <w:r>
        <w:rPr>
          <w:rFonts w:ascii="Arial" w:cs="Arial" w:eastAsia="Arial" w:hAnsi="Arial"/>
          <w:sz w:val="16"/>
          <w:szCs w:val="16"/>
          <w:color w:val="auto"/>
        </w:rPr>
        <w:t>In early 2024, the compensation committee evaluated achievement of the performance objectives for each NEO’s annual incentive award. Although the formulaic achievement for certain of the NEOs would have resulted in a cash payment in accordance with the program design, in light of the overall financial performance of the Company, the compensation committee exercised negative discretion such that none of the NEOs would receive a cash payment for 2023 under the annual incentive program.</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illustrate, for each participating NEO,</w:t>
      </w:r>
    </w:p>
    <w:p>
      <w:pPr>
        <w:spacing w:after="0" w:line="21" w:lineRule="exact"/>
        <w:rPr>
          <w:sz w:val="20"/>
          <w:szCs w:val="20"/>
          <w:color w:val="auto"/>
        </w:rPr>
      </w:pPr>
    </w:p>
    <w:p>
      <w:pPr>
        <w:ind w:right="700" w:firstLine="10"/>
        <w:spacing w:after="0" w:line="250" w:lineRule="auto"/>
        <w:tabs>
          <w:tab w:leader="none" w:pos="2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performance goals approved for the cash portion of the 2023 annual incentive award, (2) actual performance with respect to the goals (where applicable), (3) the target value of the restricted stock granted to each NEO in lieu of a portion of their cash incentive, and (4) the final 2023 cash incentive payout earned by the NEO (if any).</w:t>
      </w:r>
    </w:p>
    <w:p>
      <w:pPr>
        <w:spacing w:after="0" w:line="185" w:lineRule="exact"/>
        <w:rPr>
          <w:sz w:val="20"/>
          <w:szCs w:val="20"/>
          <w:color w:val="auto"/>
        </w:rPr>
      </w:pPr>
    </w:p>
    <w:p>
      <w:pPr>
        <w:sectPr>
          <w:pgSz w:w="11900" w:h="16838" w:orient="portrait"/>
          <w:cols w:equalWidth="0" w:num="2">
            <w:col w:w="4820" w:space="320"/>
            <w:col w:w="4900"/>
          </w:cols>
          <w:pgMar w:left="920" w:top="114" w:right="939" w:bottom="1440" w:gutter="0" w:footer="0" w:header="0"/>
          <w:type w:val="continuous"/>
        </w:sectPr>
      </w:pPr>
    </w:p>
    <w:p>
      <w:pPr>
        <w:ind w:left="7300"/>
        <w:spacing w:after="0"/>
        <w:rPr>
          <w:sz w:val="20"/>
          <w:szCs w:val="20"/>
          <w:color w:val="auto"/>
        </w:rPr>
      </w:pPr>
      <w:r>
        <w:rPr>
          <w:rFonts w:ascii="Arial" w:cs="Arial" w:eastAsia="Arial" w:hAnsi="Arial"/>
          <w:sz w:val="10"/>
          <w:szCs w:val="10"/>
          <w:color w:val="333333"/>
        </w:rPr>
        <w:t xml:space="preserve">2024 Notice of Annual Meeting &amp; Proxy Statement      </w:t>
      </w:r>
      <w:r>
        <w:rPr>
          <w:rFonts w:ascii="Arial" w:cs="Arial" w:eastAsia="Arial" w:hAnsi="Arial"/>
          <w:sz w:val="10"/>
          <w:szCs w:val="10"/>
          <w:b w:val="1"/>
          <w:bCs w:val="1"/>
          <w:color w:val="333333"/>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CF1D4C"/>
        </w:rPr>
        <w:t>COMPENSATION DISCUSSION AND ANALYSIS</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Ronald F. Clarke: </w:t>
      </w:r>
      <w:r>
        <w:rPr>
          <w:rFonts w:ascii="Arial" w:cs="Arial" w:eastAsia="Arial" w:hAnsi="Arial"/>
          <w:sz w:val="16"/>
          <w:szCs w:val="16"/>
          <w:color w:val="333333"/>
        </w:rPr>
        <w:t>The cash portion of Mr. Clarke’s 2023 annual incentive was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63500</wp:posOffset>
            </wp:positionV>
            <wp:extent cx="5554980" cy="12433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554980" cy="1243330"/>
                    </a:xfrm>
                    <a:prstGeom prst="rect">
                      <a:avLst/>
                    </a:prstGeom>
                    <a:noFill/>
                  </pic:spPr>
                </pic:pic>
              </a:graphicData>
            </a:graphic>
          </wp:anchor>
        </w:drawing>
      </w:r>
    </w:p>
    <w:p>
      <w:pPr>
        <w:spacing w:after="0" w:line="276"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FFFFFF"/>
        </w:rPr>
        <w:t>GOALS</w:t>
      </w:r>
    </w:p>
    <w:p>
      <w:pPr>
        <w:ind w:left="4800"/>
        <w:spacing w:after="0" w:line="216" w:lineRule="auto"/>
        <w:rPr>
          <w:sz w:val="20"/>
          <w:szCs w:val="20"/>
          <w:color w:val="auto"/>
        </w:rPr>
      </w:pPr>
      <w:r>
        <w:rPr>
          <w:rFonts w:ascii="Arial" w:cs="Arial" w:eastAsia="Arial" w:hAnsi="Arial"/>
          <w:sz w:val="13"/>
          <w:szCs w:val="13"/>
          <w:b w:val="1"/>
          <w:bCs w:val="1"/>
          <w:color w:val="FFFFFF"/>
        </w:rPr>
        <w:t>($ values in millions, except</w:t>
      </w:r>
    </w:p>
    <w:p>
      <w:pPr>
        <w:ind w:left="5140"/>
        <w:spacing w:after="0"/>
        <w:rPr>
          <w:sz w:val="20"/>
          <w:szCs w:val="20"/>
          <w:color w:val="auto"/>
        </w:rPr>
      </w:pPr>
      <w:r>
        <w:rPr>
          <w:rFonts w:ascii="Arial" w:cs="Arial" w:eastAsia="Arial" w:hAnsi="Arial"/>
          <w:sz w:val="13"/>
          <w:szCs w:val="13"/>
          <w:b w:val="1"/>
          <w:bCs w:val="1"/>
          <w:color w:val="FFFFFF"/>
        </w:rPr>
        <w:t>per share values)</w:t>
      </w:r>
    </w:p>
    <w:p>
      <w:pPr>
        <w:spacing w:after="0" w:line="20"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980" w:type="dxa"/>
            <w:vAlign w:val="bottom"/>
            <w:tcBorders>
              <w:bottom w:val="single" w:sz="8" w:color="CF1D4C"/>
            </w:tcBorders>
          </w:tcPr>
          <w:p>
            <w:pPr>
              <w:spacing w:after="0"/>
              <w:rPr>
                <w:sz w:val="13"/>
                <w:szCs w:val="13"/>
                <w:color w:val="auto"/>
              </w:rPr>
            </w:pPr>
          </w:p>
        </w:tc>
        <w:tc>
          <w:tcPr>
            <w:tcW w:w="920" w:type="dxa"/>
            <w:vAlign w:val="bottom"/>
            <w:tcBorders>
              <w:bottom w:val="single" w:sz="8" w:color="CF1D4C"/>
            </w:tcBorders>
          </w:tcPr>
          <w:p>
            <w:pPr>
              <w:spacing w:after="0"/>
              <w:rPr>
                <w:sz w:val="13"/>
                <w:szCs w:val="13"/>
                <w:color w:val="auto"/>
              </w:rPr>
            </w:pPr>
          </w:p>
        </w:tc>
        <w:tc>
          <w:tcPr>
            <w:tcW w:w="1000" w:type="dxa"/>
            <w:vAlign w:val="bottom"/>
            <w:tcBorders>
              <w:bottom w:val="single" w:sz="8" w:color="CF1D4C"/>
            </w:tcBorders>
          </w:tcPr>
          <w:p>
            <w:pPr>
              <w:spacing w:after="0"/>
              <w:rPr>
                <w:sz w:val="13"/>
                <w:szCs w:val="13"/>
                <w:color w:val="auto"/>
              </w:rPr>
            </w:pPr>
          </w:p>
        </w:tc>
        <w:tc>
          <w:tcPr>
            <w:tcW w:w="120" w:type="dxa"/>
            <w:vAlign w:val="bottom"/>
            <w:tcBorders>
              <w:bottom w:val="single" w:sz="8" w:color="CF1D4C"/>
            </w:tcBorders>
          </w:tcPr>
          <w:p>
            <w:pPr>
              <w:spacing w:after="0"/>
              <w:rPr>
                <w:sz w:val="13"/>
                <w:szCs w:val="13"/>
                <w:color w:val="auto"/>
              </w:rPr>
            </w:pPr>
          </w:p>
        </w:tc>
        <w:tc>
          <w:tcPr>
            <w:tcW w:w="580" w:type="dxa"/>
            <w:vAlign w:val="bottom"/>
            <w:tcBorders>
              <w:bottom w:val="single" w:sz="8" w:color="CF1D4C"/>
            </w:tcBorders>
          </w:tcPr>
          <w:p>
            <w:pPr>
              <w:spacing w:after="0"/>
              <w:rPr>
                <w:sz w:val="13"/>
                <w:szCs w:val="13"/>
                <w:color w:val="auto"/>
              </w:rPr>
            </w:pPr>
          </w:p>
        </w:tc>
        <w:tc>
          <w:tcPr>
            <w:tcW w:w="780" w:type="dxa"/>
            <w:vAlign w:val="bottom"/>
            <w:tcBorders>
              <w:bottom w:val="single" w:sz="8" w:color="CF1D4C"/>
            </w:tcBorders>
          </w:tcPr>
          <w:p>
            <w:pPr>
              <w:spacing w:after="0"/>
              <w:rPr>
                <w:sz w:val="13"/>
                <w:szCs w:val="13"/>
                <w:color w:val="auto"/>
              </w:rPr>
            </w:pPr>
          </w:p>
        </w:tc>
        <w:tc>
          <w:tcPr>
            <w:tcW w:w="800" w:type="dxa"/>
            <w:vAlign w:val="bottom"/>
            <w:tcBorders>
              <w:bottom w:val="single" w:sz="8" w:color="CF1D4C"/>
            </w:tcBorders>
          </w:tcPr>
          <w:p>
            <w:pPr>
              <w:spacing w:after="0"/>
              <w:rPr>
                <w:sz w:val="13"/>
                <w:szCs w:val="13"/>
                <w:color w:val="auto"/>
              </w:rPr>
            </w:pPr>
          </w:p>
        </w:tc>
        <w:tc>
          <w:tcPr>
            <w:tcW w:w="780" w:type="dxa"/>
            <w:vAlign w:val="bottom"/>
            <w:tcBorders>
              <w:bottom w:val="single" w:sz="8" w:color="CF1D4C"/>
            </w:tcBorders>
          </w:tcPr>
          <w:p>
            <w:pPr>
              <w:spacing w:after="0"/>
              <w:rPr>
                <w:sz w:val="13"/>
                <w:szCs w:val="13"/>
                <w:color w:val="auto"/>
              </w:rPr>
            </w:pPr>
          </w:p>
        </w:tc>
        <w:tc>
          <w:tcPr>
            <w:tcW w:w="840" w:type="dxa"/>
            <w:vAlign w:val="bottom"/>
            <w:tcBorders>
              <w:bottom w:val="single" w:sz="8" w:color="CF1D4C"/>
            </w:tcBorders>
          </w:tcPr>
          <w:p>
            <w:pPr>
              <w:spacing w:after="0"/>
              <w:rPr>
                <w:sz w:val="13"/>
                <w:szCs w:val="13"/>
                <w:color w:val="auto"/>
              </w:rPr>
            </w:pPr>
          </w:p>
        </w:tc>
        <w:tc>
          <w:tcPr>
            <w:tcW w:w="120" w:type="dxa"/>
            <w:vAlign w:val="bottom"/>
            <w:tcBorders>
              <w:bottom w:val="single" w:sz="8" w:color="CF1D4C"/>
            </w:tcBorders>
          </w:tcPr>
          <w:p>
            <w:pPr>
              <w:spacing w:after="0"/>
              <w:rPr>
                <w:sz w:val="13"/>
                <w:szCs w:val="13"/>
                <w:color w:val="auto"/>
              </w:rPr>
            </w:pPr>
          </w:p>
        </w:tc>
        <w:tc>
          <w:tcPr>
            <w:tcW w:w="900" w:type="dxa"/>
            <w:vAlign w:val="bottom"/>
          </w:tcPr>
          <w:p>
            <w:pPr>
              <w:ind w:left="100"/>
              <w:spacing w:after="0"/>
              <w:rPr>
                <w:sz w:val="20"/>
                <w:szCs w:val="20"/>
                <w:color w:val="auto"/>
              </w:rPr>
            </w:pPr>
            <w:r>
              <w:rPr>
                <w:rFonts w:ascii="Arial" w:cs="Arial" w:eastAsia="Arial" w:hAnsi="Arial"/>
                <w:sz w:val="13"/>
                <w:szCs w:val="13"/>
                <w:b w:val="1"/>
                <w:bCs w:val="1"/>
                <w:color w:val="FFFFFF"/>
              </w:rPr>
              <w:t>2023</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F1D4C"/>
          </w:tcPr>
          <w:p>
            <w:pPr>
              <w:spacing w:after="0"/>
              <w:rPr>
                <w:sz w:val="11"/>
                <w:szCs w:val="11"/>
                <w:color w:val="auto"/>
              </w:rPr>
            </w:pPr>
          </w:p>
        </w:tc>
        <w:tc>
          <w:tcPr>
            <w:tcW w:w="920" w:type="dxa"/>
            <w:vAlign w:val="bottom"/>
            <w:shd w:val="clear" w:color="auto" w:fill="CF1D4C"/>
          </w:tcPr>
          <w:p>
            <w:pPr>
              <w:spacing w:after="0"/>
              <w:rPr>
                <w:sz w:val="11"/>
                <w:szCs w:val="11"/>
                <w:color w:val="auto"/>
              </w:rPr>
            </w:pPr>
          </w:p>
        </w:tc>
        <w:tc>
          <w:tcPr>
            <w:tcW w:w="1000" w:type="dxa"/>
            <w:vAlign w:val="bottom"/>
            <w:vMerge w:val="restart"/>
            <w:shd w:val="clear" w:color="auto" w:fill="CF1D4C"/>
          </w:tcPr>
          <w:p>
            <w:pPr>
              <w:ind w:left="180"/>
              <w:spacing w:after="0"/>
              <w:rPr>
                <w:sz w:val="20"/>
                <w:szCs w:val="20"/>
                <w:color w:val="auto"/>
              </w:rPr>
            </w:pPr>
            <w:r>
              <w:rPr>
                <w:rFonts w:ascii="Arial" w:cs="Arial" w:eastAsia="Arial" w:hAnsi="Arial"/>
                <w:sz w:val="13"/>
                <w:szCs w:val="13"/>
                <w:b w:val="1"/>
                <w:bCs w:val="1"/>
                <w:color w:val="FFFFFF"/>
              </w:rPr>
              <w:t>Target</w:t>
            </w:r>
          </w:p>
        </w:tc>
        <w:tc>
          <w:tcPr>
            <w:tcW w:w="120" w:type="dxa"/>
            <w:vAlign w:val="bottom"/>
            <w:shd w:val="clear" w:color="auto" w:fill="CF1D4C"/>
          </w:tcPr>
          <w:p>
            <w:pPr>
              <w:spacing w:after="0"/>
              <w:rPr>
                <w:sz w:val="11"/>
                <w:szCs w:val="11"/>
                <w:color w:val="auto"/>
              </w:rPr>
            </w:pPr>
          </w:p>
        </w:tc>
        <w:tc>
          <w:tcPr>
            <w:tcW w:w="580" w:type="dxa"/>
            <w:vAlign w:val="bottom"/>
            <w:shd w:val="clear" w:color="auto" w:fill="CF1D4C"/>
          </w:tcPr>
          <w:p>
            <w:pPr>
              <w:spacing w:after="0"/>
              <w:rPr>
                <w:sz w:val="11"/>
                <w:szCs w:val="11"/>
                <w:color w:val="auto"/>
              </w:rPr>
            </w:pPr>
          </w:p>
        </w:tc>
        <w:tc>
          <w:tcPr>
            <w:tcW w:w="780" w:type="dxa"/>
            <w:vAlign w:val="bottom"/>
            <w:shd w:val="clear" w:color="auto" w:fill="CF1D4C"/>
          </w:tcPr>
          <w:p>
            <w:pPr>
              <w:spacing w:after="0"/>
              <w:rPr>
                <w:sz w:val="11"/>
                <w:szCs w:val="11"/>
                <w:color w:val="auto"/>
              </w:rPr>
            </w:pPr>
          </w:p>
        </w:tc>
        <w:tc>
          <w:tcPr>
            <w:tcW w:w="800" w:type="dxa"/>
            <w:vAlign w:val="bottom"/>
            <w:shd w:val="clear" w:color="auto" w:fill="CF1D4C"/>
          </w:tcPr>
          <w:p>
            <w:pPr>
              <w:spacing w:after="0"/>
              <w:rPr>
                <w:sz w:val="11"/>
                <w:szCs w:val="11"/>
                <w:color w:val="auto"/>
              </w:rPr>
            </w:pPr>
          </w:p>
        </w:tc>
        <w:tc>
          <w:tcPr>
            <w:tcW w:w="780" w:type="dxa"/>
            <w:vAlign w:val="bottom"/>
            <w:shd w:val="clear" w:color="auto" w:fill="CF1D4C"/>
          </w:tcPr>
          <w:p>
            <w:pPr>
              <w:spacing w:after="0"/>
              <w:rPr>
                <w:sz w:val="11"/>
                <w:szCs w:val="11"/>
                <w:color w:val="auto"/>
              </w:rPr>
            </w:pPr>
          </w:p>
        </w:tc>
        <w:tc>
          <w:tcPr>
            <w:tcW w:w="840" w:type="dxa"/>
            <w:vAlign w:val="bottom"/>
            <w:shd w:val="clear" w:color="auto" w:fill="CF1D4C"/>
          </w:tcPr>
          <w:p>
            <w:pPr>
              <w:spacing w:after="0"/>
              <w:rPr>
                <w:sz w:val="11"/>
                <w:szCs w:val="11"/>
                <w:color w:val="auto"/>
              </w:rPr>
            </w:pPr>
          </w:p>
        </w:tc>
        <w:tc>
          <w:tcPr>
            <w:tcW w:w="120" w:type="dxa"/>
            <w:vAlign w:val="bottom"/>
            <w:shd w:val="clear" w:color="auto" w:fill="CF1D4C"/>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3"/>
                <w:szCs w:val="13"/>
                <w:b w:val="1"/>
                <w:bCs w:val="1"/>
                <w:color w:val="FFFFFF"/>
              </w:rPr>
              <w:t>Achieve-</w:t>
            </w:r>
          </w:p>
        </w:tc>
        <w:tc>
          <w:tcPr>
            <w:tcW w:w="580" w:type="dxa"/>
            <w:vAlign w:val="bottom"/>
            <w:vMerge w:val="restart"/>
          </w:tcPr>
          <w:p>
            <w:pPr>
              <w:ind w:left="140"/>
              <w:spacing w:after="0"/>
              <w:rPr>
                <w:sz w:val="20"/>
                <w:szCs w:val="20"/>
                <w:color w:val="auto"/>
              </w:rPr>
            </w:pPr>
            <w:r>
              <w:rPr>
                <w:rFonts w:ascii="Arial" w:cs="Arial" w:eastAsia="Arial" w:hAnsi="Arial"/>
                <w:sz w:val="13"/>
                <w:szCs w:val="13"/>
                <w:b w:val="1"/>
                <w:bCs w:val="1"/>
                <w:color w:val="FFFFFF"/>
              </w:rPr>
              <w:t> </w:t>
            </w:r>
          </w:p>
        </w:tc>
        <w:tc>
          <w:tcPr>
            <w:tcW w:w="0" w:type="dxa"/>
            <w:vAlign w:val="bottom"/>
          </w:tcPr>
          <w:p>
            <w:pPr>
              <w:spacing w:after="0"/>
              <w:rPr>
                <w:sz w:val="1"/>
                <w:szCs w:val="1"/>
                <w:color w:val="auto"/>
              </w:rPr>
            </w:pPr>
          </w:p>
        </w:tc>
      </w:tr>
      <w:tr>
        <w:trPr>
          <w:trHeight w:val="135"/>
        </w:trPr>
        <w:tc>
          <w:tcPr>
            <w:tcW w:w="980" w:type="dxa"/>
            <w:vAlign w:val="bottom"/>
            <w:shd w:val="clear" w:color="auto" w:fill="CF1D4C"/>
          </w:tcPr>
          <w:p>
            <w:pPr>
              <w:spacing w:after="0"/>
              <w:rPr>
                <w:sz w:val="11"/>
                <w:szCs w:val="11"/>
                <w:color w:val="auto"/>
              </w:rPr>
            </w:pPr>
          </w:p>
        </w:tc>
        <w:tc>
          <w:tcPr>
            <w:tcW w:w="920" w:type="dxa"/>
            <w:vAlign w:val="bottom"/>
            <w:shd w:val="clear" w:color="auto" w:fill="CF1D4C"/>
          </w:tcPr>
          <w:p>
            <w:pPr>
              <w:spacing w:after="0"/>
              <w:rPr>
                <w:sz w:val="11"/>
                <w:szCs w:val="11"/>
                <w:color w:val="auto"/>
              </w:rPr>
            </w:pPr>
          </w:p>
        </w:tc>
        <w:tc>
          <w:tcPr>
            <w:tcW w:w="1000" w:type="dxa"/>
            <w:vAlign w:val="bottom"/>
            <w:vMerge w:val="continue"/>
            <w:shd w:val="clear" w:color="auto" w:fill="CF1D4C"/>
          </w:tcPr>
          <w:p>
            <w:pPr>
              <w:spacing w:after="0"/>
              <w:rPr>
                <w:sz w:val="11"/>
                <w:szCs w:val="11"/>
                <w:color w:val="auto"/>
              </w:rPr>
            </w:pPr>
          </w:p>
        </w:tc>
        <w:tc>
          <w:tcPr>
            <w:tcW w:w="120" w:type="dxa"/>
            <w:vAlign w:val="bottom"/>
            <w:shd w:val="clear" w:color="auto" w:fill="CF1D4C"/>
          </w:tcPr>
          <w:p>
            <w:pPr>
              <w:spacing w:after="0"/>
              <w:rPr>
                <w:sz w:val="11"/>
                <w:szCs w:val="11"/>
                <w:color w:val="auto"/>
              </w:rPr>
            </w:pPr>
          </w:p>
        </w:tc>
        <w:tc>
          <w:tcPr>
            <w:tcW w:w="580" w:type="dxa"/>
            <w:vAlign w:val="bottom"/>
            <w:shd w:val="clear" w:color="auto" w:fill="CF1D4C"/>
          </w:tcPr>
          <w:p>
            <w:pPr>
              <w:spacing w:after="0"/>
              <w:rPr>
                <w:sz w:val="11"/>
                <w:szCs w:val="11"/>
                <w:color w:val="auto"/>
              </w:rPr>
            </w:pPr>
          </w:p>
        </w:tc>
        <w:tc>
          <w:tcPr>
            <w:tcW w:w="780" w:type="dxa"/>
            <w:vAlign w:val="bottom"/>
            <w:shd w:val="clear" w:color="auto" w:fill="CF1D4C"/>
          </w:tcPr>
          <w:p>
            <w:pPr>
              <w:spacing w:after="0"/>
              <w:rPr>
                <w:sz w:val="11"/>
                <w:szCs w:val="11"/>
                <w:color w:val="auto"/>
              </w:rPr>
            </w:pPr>
          </w:p>
        </w:tc>
        <w:tc>
          <w:tcPr>
            <w:tcW w:w="800" w:type="dxa"/>
            <w:vAlign w:val="bottom"/>
            <w:shd w:val="clear" w:color="auto" w:fill="CF1D4C"/>
          </w:tcPr>
          <w:p>
            <w:pPr>
              <w:spacing w:after="0"/>
              <w:rPr>
                <w:sz w:val="11"/>
                <w:szCs w:val="11"/>
                <w:color w:val="auto"/>
              </w:rPr>
            </w:pPr>
          </w:p>
        </w:tc>
        <w:tc>
          <w:tcPr>
            <w:tcW w:w="780" w:type="dxa"/>
            <w:vAlign w:val="bottom"/>
            <w:shd w:val="clear" w:color="auto" w:fill="CF1D4C"/>
          </w:tcPr>
          <w:p>
            <w:pPr>
              <w:spacing w:after="0"/>
              <w:rPr>
                <w:sz w:val="11"/>
                <w:szCs w:val="11"/>
                <w:color w:val="auto"/>
              </w:rPr>
            </w:pPr>
          </w:p>
        </w:tc>
        <w:tc>
          <w:tcPr>
            <w:tcW w:w="840" w:type="dxa"/>
            <w:vAlign w:val="bottom"/>
            <w:shd w:val="clear" w:color="auto" w:fill="CF1D4C"/>
          </w:tcPr>
          <w:p>
            <w:pPr>
              <w:spacing w:after="0"/>
              <w:rPr>
                <w:sz w:val="11"/>
                <w:szCs w:val="11"/>
                <w:color w:val="auto"/>
              </w:rPr>
            </w:pPr>
          </w:p>
        </w:tc>
        <w:tc>
          <w:tcPr>
            <w:tcW w:w="120" w:type="dxa"/>
            <w:vAlign w:val="bottom"/>
            <w:shd w:val="clear" w:color="auto" w:fill="CF1D4C"/>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3"/>
                <w:szCs w:val="13"/>
                <w:b w:val="1"/>
                <w:bCs w:val="1"/>
                <w:color w:val="FFFFFF"/>
              </w:rPr>
              <w:t>ment</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F1D4C"/>
          </w:tcPr>
          <w:p>
            <w:pPr>
              <w:spacing w:after="0"/>
              <w:rPr>
                <w:sz w:val="11"/>
                <w:szCs w:val="11"/>
                <w:color w:val="auto"/>
              </w:rPr>
            </w:pPr>
          </w:p>
        </w:tc>
        <w:tc>
          <w:tcPr>
            <w:tcW w:w="920" w:type="dxa"/>
            <w:vAlign w:val="bottom"/>
            <w:shd w:val="clear" w:color="auto" w:fill="CF1D4C"/>
          </w:tcPr>
          <w:p>
            <w:pPr>
              <w:spacing w:after="0"/>
              <w:rPr>
                <w:sz w:val="11"/>
                <w:szCs w:val="11"/>
                <w:color w:val="auto"/>
              </w:rPr>
            </w:pPr>
          </w:p>
        </w:tc>
        <w:tc>
          <w:tcPr>
            <w:tcW w:w="1000" w:type="dxa"/>
            <w:vAlign w:val="bottom"/>
            <w:shd w:val="clear" w:color="auto" w:fill="CF1D4C"/>
          </w:tcPr>
          <w:p>
            <w:pPr>
              <w:ind w:left="180"/>
              <w:spacing w:after="0" w:line="135" w:lineRule="exact"/>
              <w:rPr>
                <w:sz w:val="20"/>
                <w:szCs w:val="20"/>
                <w:color w:val="auto"/>
              </w:rPr>
            </w:pPr>
            <w:r>
              <w:rPr>
                <w:rFonts w:ascii="Arial" w:cs="Arial" w:eastAsia="Arial" w:hAnsi="Arial"/>
                <w:sz w:val="13"/>
                <w:szCs w:val="13"/>
                <w:b w:val="1"/>
                <w:bCs w:val="1"/>
                <w:color w:val="FFFFFF"/>
              </w:rPr>
              <w:t>($ values</w:t>
            </w:r>
          </w:p>
        </w:tc>
        <w:tc>
          <w:tcPr>
            <w:tcW w:w="120" w:type="dxa"/>
            <w:vAlign w:val="bottom"/>
            <w:shd w:val="clear" w:color="auto" w:fill="CF1D4C"/>
          </w:tcPr>
          <w:p>
            <w:pPr>
              <w:spacing w:after="0"/>
              <w:rPr>
                <w:sz w:val="11"/>
                <w:szCs w:val="11"/>
                <w:color w:val="auto"/>
              </w:rPr>
            </w:pPr>
          </w:p>
        </w:tc>
        <w:tc>
          <w:tcPr>
            <w:tcW w:w="580" w:type="dxa"/>
            <w:vAlign w:val="bottom"/>
            <w:vMerge w:val="restart"/>
            <w:shd w:val="clear" w:color="auto" w:fill="CF1D4C"/>
          </w:tcPr>
          <w:p>
            <w:pPr>
              <w:spacing w:after="0"/>
              <w:rPr>
                <w:sz w:val="20"/>
                <w:szCs w:val="20"/>
                <w:color w:val="auto"/>
              </w:rPr>
            </w:pPr>
            <w:r>
              <w:rPr>
                <w:rFonts w:ascii="Arial" w:cs="Arial" w:eastAsia="Arial" w:hAnsi="Arial"/>
                <w:sz w:val="13"/>
                <w:szCs w:val="13"/>
                <w:b w:val="1"/>
                <w:bCs w:val="1"/>
                <w:color w:val="FFFFFF"/>
              </w:rPr>
              <w:t>Thres-</w:t>
            </w:r>
          </w:p>
        </w:tc>
        <w:tc>
          <w:tcPr>
            <w:tcW w:w="780" w:type="dxa"/>
            <w:vAlign w:val="bottom"/>
            <w:vMerge w:val="restart"/>
            <w:shd w:val="clear" w:color="auto" w:fill="CF1D4C"/>
          </w:tcPr>
          <w:p>
            <w:pPr>
              <w:ind w:left="200"/>
              <w:spacing w:after="0"/>
              <w:rPr>
                <w:sz w:val="20"/>
                <w:szCs w:val="20"/>
                <w:color w:val="auto"/>
              </w:rPr>
            </w:pPr>
            <w:r>
              <w:rPr>
                <w:rFonts w:ascii="Arial" w:cs="Arial" w:eastAsia="Arial" w:hAnsi="Arial"/>
                <w:sz w:val="13"/>
                <w:szCs w:val="13"/>
                <w:b w:val="1"/>
                <w:bCs w:val="1"/>
                <w:color w:val="FFFFFF"/>
              </w:rPr>
              <w:t>Below</w:t>
            </w:r>
          </w:p>
        </w:tc>
        <w:tc>
          <w:tcPr>
            <w:tcW w:w="800" w:type="dxa"/>
            <w:vAlign w:val="bottom"/>
            <w:shd w:val="clear" w:color="auto" w:fill="CF1D4C"/>
          </w:tcPr>
          <w:p>
            <w:pPr>
              <w:spacing w:after="0"/>
              <w:rPr>
                <w:sz w:val="11"/>
                <w:szCs w:val="11"/>
                <w:color w:val="auto"/>
              </w:rPr>
            </w:pPr>
          </w:p>
        </w:tc>
        <w:tc>
          <w:tcPr>
            <w:tcW w:w="780" w:type="dxa"/>
            <w:vAlign w:val="bottom"/>
            <w:vMerge w:val="restart"/>
            <w:shd w:val="clear" w:color="auto" w:fill="CF1D4C"/>
          </w:tcPr>
          <w:p>
            <w:pPr>
              <w:ind w:left="180"/>
              <w:spacing w:after="0"/>
              <w:rPr>
                <w:sz w:val="20"/>
                <w:szCs w:val="20"/>
                <w:color w:val="auto"/>
              </w:rPr>
            </w:pPr>
            <w:r>
              <w:rPr>
                <w:rFonts w:ascii="Arial" w:cs="Arial" w:eastAsia="Arial" w:hAnsi="Arial"/>
                <w:sz w:val="13"/>
                <w:szCs w:val="13"/>
                <w:b w:val="1"/>
                <w:bCs w:val="1"/>
                <w:color w:val="FFFFFF"/>
              </w:rPr>
              <w:t>Above</w:t>
            </w:r>
          </w:p>
        </w:tc>
        <w:tc>
          <w:tcPr>
            <w:tcW w:w="840" w:type="dxa"/>
            <w:vAlign w:val="bottom"/>
            <w:shd w:val="clear" w:color="auto" w:fill="CF1D4C"/>
          </w:tcPr>
          <w:p>
            <w:pPr>
              <w:spacing w:after="0"/>
              <w:rPr>
                <w:sz w:val="11"/>
                <w:szCs w:val="11"/>
                <w:color w:val="auto"/>
              </w:rPr>
            </w:pPr>
          </w:p>
        </w:tc>
        <w:tc>
          <w:tcPr>
            <w:tcW w:w="120" w:type="dxa"/>
            <w:vAlign w:val="bottom"/>
            <w:shd w:val="clear" w:color="auto" w:fill="CF1D4C"/>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3"/>
                <w:szCs w:val="13"/>
                <w:b w:val="1"/>
                <w:bCs w:val="1"/>
                <w:color w:val="FFFFFF"/>
              </w:rPr>
              <w:t>($ values</w:t>
            </w:r>
          </w:p>
        </w:tc>
        <w:tc>
          <w:tcPr>
            <w:tcW w:w="580" w:type="dxa"/>
            <w:vAlign w:val="bottom"/>
          </w:tcPr>
          <w:p>
            <w:pPr>
              <w:ind w:left="140"/>
              <w:spacing w:after="0" w:line="135" w:lineRule="exact"/>
              <w:rPr>
                <w:sz w:val="20"/>
                <w:szCs w:val="20"/>
                <w:color w:val="auto"/>
              </w:rPr>
            </w:pPr>
            <w:r>
              <w:rPr>
                <w:rFonts w:ascii="Arial" w:cs="Arial" w:eastAsia="Arial" w:hAnsi="Arial"/>
                <w:sz w:val="13"/>
                <w:szCs w:val="13"/>
                <w:b w:val="1"/>
                <w:bCs w:val="1"/>
                <w:color w:val="FFFFFF"/>
              </w:rPr>
              <w:t> </w:t>
            </w:r>
          </w:p>
        </w:tc>
        <w:tc>
          <w:tcPr>
            <w:tcW w:w="0" w:type="dxa"/>
            <w:vAlign w:val="bottom"/>
          </w:tcPr>
          <w:p>
            <w:pPr>
              <w:spacing w:after="0"/>
              <w:rPr>
                <w:sz w:val="1"/>
                <w:szCs w:val="1"/>
                <w:color w:val="auto"/>
              </w:rPr>
            </w:pPr>
          </w:p>
        </w:tc>
      </w:tr>
      <w:tr>
        <w:trPr>
          <w:trHeight w:val="68"/>
        </w:trPr>
        <w:tc>
          <w:tcPr>
            <w:tcW w:w="980" w:type="dxa"/>
            <w:vAlign w:val="bottom"/>
            <w:vMerge w:val="restart"/>
            <w:shd w:val="clear" w:color="auto" w:fill="CF1D4C"/>
          </w:tcPr>
          <w:p>
            <w:pPr>
              <w:ind w:left="40"/>
              <w:spacing w:after="0" w:line="135" w:lineRule="exact"/>
              <w:rPr>
                <w:sz w:val="20"/>
                <w:szCs w:val="20"/>
                <w:color w:val="auto"/>
              </w:rPr>
            </w:pPr>
            <w:r>
              <w:rPr>
                <w:rFonts w:ascii="Arial" w:cs="Arial" w:eastAsia="Arial" w:hAnsi="Arial"/>
                <w:sz w:val="13"/>
                <w:szCs w:val="13"/>
                <w:b w:val="1"/>
                <w:bCs w:val="1"/>
                <w:color w:val="FFFFFF"/>
              </w:rPr>
              <w:t>Performance</w:t>
            </w:r>
          </w:p>
        </w:tc>
        <w:tc>
          <w:tcPr>
            <w:tcW w:w="920" w:type="dxa"/>
            <w:vAlign w:val="bottom"/>
            <w:vMerge w:val="restart"/>
            <w:shd w:val="clear" w:color="auto" w:fill="CF1D4C"/>
          </w:tcPr>
          <w:p>
            <w:pPr>
              <w:ind w:left="160"/>
              <w:spacing w:after="0" w:line="135" w:lineRule="exact"/>
              <w:rPr>
                <w:sz w:val="20"/>
                <w:szCs w:val="20"/>
                <w:color w:val="auto"/>
              </w:rPr>
            </w:pPr>
            <w:r>
              <w:rPr>
                <w:rFonts w:ascii="Arial" w:cs="Arial" w:eastAsia="Arial" w:hAnsi="Arial"/>
                <w:sz w:val="13"/>
                <w:szCs w:val="13"/>
                <w:b w:val="1"/>
                <w:bCs w:val="1"/>
                <w:color w:val="FFFFFF"/>
              </w:rPr>
              <w:t>Weighting</w:t>
            </w:r>
          </w:p>
        </w:tc>
        <w:tc>
          <w:tcPr>
            <w:tcW w:w="1000" w:type="dxa"/>
            <w:vAlign w:val="bottom"/>
            <w:vMerge w:val="restart"/>
            <w:shd w:val="clear" w:color="auto" w:fill="CF1D4C"/>
          </w:tcPr>
          <w:p>
            <w:pPr>
              <w:ind w:left="180"/>
              <w:spacing w:after="0" w:line="135" w:lineRule="exact"/>
              <w:rPr>
                <w:sz w:val="20"/>
                <w:szCs w:val="20"/>
                <w:color w:val="auto"/>
              </w:rPr>
            </w:pPr>
            <w:r>
              <w:rPr>
                <w:rFonts w:ascii="Arial" w:cs="Arial" w:eastAsia="Arial" w:hAnsi="Arial"/>
                <w:sz w:val="13"/>
                <w:szCs w:val="13"/>
                <w:b w:val="1"/>
                <w:bCs w:val="1"/>
                <w:color w:val="FFFFFF"/>
              </w:rPr>
              <w:t>in millions,</w:t>
            </w:r>
          </w:p>
        </w:tc>
        <w:tc>
          <w:tcPr>
            <w:tcW w:w="120" w:type="dxa"/>
            <w:vAlign w:val="bottom"/>
            <w:shd w:val="clear" w:color="auto" w:fill="CF1D4C"/>
          </w:tcPr>
          <w:p>
            <w:pPr>
              <w:spacing w:after="0"/>
              <w:rPr>
                <w:sz w:val="5"/>
                <w:szCs w:val="5"/>
                <w:color w:val="auto"/>
              </w:rPr>
            </w:pPr>
          </w:p>
        </w:tc>
        <w:tc>
          <w:tcPr>
            <w:tcW w:w="580" w:type="dxa"/>
            <w:vAlign w:val="bottom"/>
            <w:vMerge w:val="continue"/>
            <w:shd w:val="clear" w:color="auto" w:fill="CF1D4C"/>
          </w:tcPr>
          <w:p>
            <w:pPr>
              <w:spacing w:after="0"/>
              <w:rPr>
                <w:sz w:val="5"/>
                <w:szCs w:val="5"/>
                <w:color w:val="auto"/>
              </w:rPr>
            </w:pPr>
          </w:p>
        </w:tc>
        <w:tc>
          <w:tcPr>
            <w:tcW w:w="780" w:type="dxa"/>
            <w:vAlign w:val="bottom"/>
            <w:vMerge w:val="continue"/>
            <w:shd w:val="clear" w:color="auto" w:fill="CF1D4C"/>
          </w:tcPr>
          <w:p>
            <w:pPr>
              <w:spacing w:after="0"/>
              <w:rPr>
                <w:sz w:val="5"/>
                <w:szCs w:val="5"/>
                <w:color w:val="auto"/>
              </w:rPr>
            </w:pPr>
          </w:p>
        </w:tc>
        <w:tc>
          <w:tcPr>
            <w:tcW w:w="800" w:type="dxa"/>
            <w:vAlign w:val="bottom"/>
            <w:vMerge w:val="restart"/>
            <w:shd w:val="clear" w:color="auto" w:fill="CF1D4C"/>
          </w:tcPr>
          <w:p>
            <w:pPr>
              <w:ind w:left="200"/>
              <w:spacing w:after="0" w:line="135" w:lineRule="exact"/>
              <w:rPr>
                <w:sz w:val="20"/>
                <w:szCs w:val="20"/>
                <w:color w:val="auto"/>
              </w:rPr>
            </w:pPr>
            <w:r>
              <w:rPr>
                <w:rFonts w:ascii="Arial" w:cs="Arial" w:eastAsia="Arial" w:hAnsi="Arial"/>
                <w:sz w:val="13"/>
                <w:szCs w:val="13"/>
                <w:b w:val="1"/>
                <w:bCs w:val="1"/>
                <w:color w:val="FFFFFF"/>
              </w:rPr>
              <w:t>Target</w:t>
            </w:r>
          </w:p>
        </w:tc>
        <w:tc>
          <w:tcPr>
            <w:tcW w:w="780" w:type="dxa"/>
            <w:vAlign w:val="bottom"/>
            <w:vMerge w:val="continue"/>
            <w:shd w:val="clear" w:color="auto" w:fill="CF1D4C"/>
          </w:tcPr>
          <w:p>
            <w:pPr>
              <w:spacing w:after="0"/>
              <w:rPr>
                <w:sz w:val="5"/>
                <w:szCs w:val="5"/>
                <w:color w:val="auto"/>
              </w:rPr>
            </w:pPr>
          </w:p>
        </w:tc>
        <w:tc>
          <w:tcPr>
            <w:tcW w:w="960" w:type="dxa"/>
            <w:vAlign w:val="bottom"/>
            <w:gridSpan w:val="2"/>
            <w:vMerge w:val="restart"/>
            <w:shd w:val="clear" w:color="auto" w:fill="CF1D4C"/>
          </w:tcPr>
          <w:p>
            <w:pPr>
              <w:ind w:left="180"/>
              <w:spacing w:after="0" w:line="135" w:lineRule="exact"/>
              <w:rPr>
                <w:sz w:val="20"/>
                <w:szCs w:val="20"/>
                <w:color w:val="auto"/>
              </w:rPr>
            </w:pPr>
            <w:r>
              <w:rPr>
                <w:rFonts w:ascii="Arial" w:cs="Arial" w:eastAsia="Arial" w:hAnsi="Arial"/>
                <w:sz w:val="13"/>
                <w:szCs w:val="13"/>
                <w:b w:val="1"/>
                <w:bCs w:val="1"/>
                <w:color w:val="FFFFFF"/>
              </w:rPr>
              <w:t>Maximum</w:t>
            </w:r>
          </w:p>
        </w:tc>
        <w:tc>
          <w:tcPr>
            <w:tcW w:w="900" w:type="dxa"/>
            <w:vAlign w:val="bottom"/>
            <w:vMerge w:val="restart"/>
          </w:tcPr>
          <w:p>
            <w:pPr>
              <w:ind w:left="100"/>
              <w:spacing w:after="0" w:line="135" w:lineRule="exact"/>
              <w:rPr>
                <w:sz w:val="20"/>
                <w:szCs w:val="20"/>
                <w:color w:val="auto"/>
              </w:rPr>
            </w:pPr>
            <w:r>
              <w:rPr>
                <w:rFonts w:ascii="Arial" w:cs="Arial" w:eastAsia="Arial" w:hAnsi="Arial"/>
                <w:sz w:val="13"/>
                <w:szCs w:val="13"/>
                <w:b w:val="1"/>
                <w:bCs w:val="1"/>
                <w:color w:val="FFFFFF"/>
              </w:rPr>
              <w:t>in millions,</w:t>
            </w:r>
          </w:p>
        </w:tc>
        <w:tc>
          <w:tcPr>
            <w:tcW w:w="580" w:type="dxa"/>
            <w:vAlign w:val="bottom"/>
            <w:vMerge w:val="restart"/>
          </w:tcPr>
          <w:p>
            <w:pPr>
              <w:ind w:left="140"/>
              <w:spacing w:after="0" w:line="135" w:lineRule="exact"/>
              <w:rPr>
                <w:sz w:val="20"/>
                <w:szCs w:val="20"/>
                <w:color w:val="auto"/>
              </w:rPr>
            </w:pPr>
            <w:r>
              <w:rPr>
                <w:rFonts w:ascii="Arial" w:cs="Arial" w:eastAsia="Arial" w:hAnsi="Arial"/>
                <w:sz w:val="13"/>
                <w:szCs w:val="13"/>
                <w:b w:val="1"/>
                <w:bCs w:val="1"/>
                <w:color w:val="FFFFFF"/>
              </w:rPr>
              <w:t> </w:t>
            </w:r>
          </w:p>
        </w:tc>
        <w:tc>
          <w:tcPr>
            <w:tcW w:w="0" w:type="dxa"/>
            <w:vAlign w:val="bottom"/>
          </w:tcPr>
          <w:p>
            <w:pPr>
              <w:spacing w:after="0"/>
              <w:rPr>
                <w:sz w:val="1"/>
                <w:szCs w:val="1"/>
                <w:color w:val="auto"/>
              </w:rPr>
            </w:pPr>
          </w:p>
        </w:tc>
      </w:tr>
      <w:tr>
        <w:trPr>
          <w:trHeight w:val="68"/>
        </w:trPr>
        <w:tc>
          <w:tcPr>
            <w:tcW w:w="980" w:type="dxa"/>
            <w:vAlign w:val="bottom"/>
            <w:vMerge w:val="continue"/>
            <w:shd w:val="clear" w:color="auto" w:fill="CF1D4C"/>
          </w:tcPr>
          <w:p>
            <w:pPr>
              <w:spacing w:after="0"/>
              <w:rPr>
                <w:sz w:val="5"/>
                <w:szCs w:val="5"/>
                <w:color w:val="auto"/>
              </w:rPr>
            </w:pPr>
          </w:p>
        </w:tc>
        <w:tc>
          <w:tcPr>
            <w:tcW w:w="920" w:type="dxa"/>
            <w:vAlign w:val="bottom"/>
            <w:vMerge w:val="continue"/>
            <w:shd w:val="clear" w:color="auto" w:fill="CF1D4C"/>
          </w:tcPr>
          <w:p>
            <w:pPr>
              <w:spacing w:after="0"/>
              <w:rPr>
                <w:sz w:val="5"/>
                <w:szCs w:val="5"/>
                <w:color w:val="auto"/>
              </w:rPr>
            </w:pPr>
          </w:p>
        </w:tc>
        <w:tc>
          <w:tcPr>
            <w:tcW w:w="1000" w:type="dxa"/>
            <w:vAlign w:val="bottom"/>
            <w:vMerge w:val="continue"/>
            <w:shd w:val="clear" w:color="auto" w:fill="CF1D4C"/>
          </w:tcPr>
          <w:p>
            <w:pPr>
              <w:spacing w:after="0"/>
              <w:rPr>
                <w:sz w:val="5"/>
                <w:szCs w:val="5"/>
                <w:color w:val="auto"/>
              </w:rPr>
            </w:pPr>
          </w:p>
        </w:tc>
        <w:tc>
          <w:tcPr>
            <w:tcW w:w="120" w:type="dxa"/>
            <w:vAlign w:val="bottom"/>
            <w:shd w:val="clear" w:color="auto" w:fill="CF1D4C"/>
          </w:tcPr>
          <w:p>
            <w:pPr>
              <w:spacing w:after="0"/>
              <w:rPr>
                <w:sz w:val="5"/>
                <w:szCs w:val="5"/>
                <w:color w:val="auto"/>
              </w:rPr>
            </w:pPr>
          </w:p>
        </w:tc>
        <w:tc>
          <w:tcPr>
            <w:tcW w:w="580" w:type="dxa"/>
            <w:vAlign w:val="bottom"/>
            <w:vMerge w:val="restart"/>
            <w:shd w:val="clear" w:color="auto" w:fill="CF1D4C"/>
          </w:tcPr>
          <w:p>
            <w:pPr>
              <w:spacing w:after="0" w:line="135" w:lineRule="exact"/>
              <w:rPr>
                <w:sz w:val="20"/>
                <w:szCs w:val="20"/>
                <w:color w:val="auto"/>
              </w:rPr>
            </w:pPr>
            <w:r>
              <w:rPr>
                <w:rFonts w:ascii="Arial" w:cs="Arial" w:eastAsia="Arial" w:hAnsi="Arial"/>
                <w:sz w:val="13"/>
                <w:szCs w:val="13"/>
                <w:b w:val="1"/>
                <w:bCs w:val="1"/>
                <w:color w:val="FFFFFF"/>
              </w:rPr>
              <w:t>hold</w:t>
            </w:r>
          </w:p>
        </w:tc>
        <w:tc>
          <w:tcPr>
            <w:tcW w:w="780" w:type="dxa"/>
            <w:vAlign w:val="bottom"/>
            <w:vMerge w:val="restart"/>
            <w:shd w:val="clear" w:color="auto" w:fill="CF1D4C"/>
          </w:tcPr>
          <w:p>
            <w:pPr>
              <w:ind w:left="200"/>
              <w:spacing w:after="0" w:line="135" w:lineRule="exact"/>
              <w:rPr>
                <w:sz w:val="20"/>
                <w:szCs w:val="20"/>
                <w:color w:val="auto"/>
              </w:rPr>
            </w:pPr>
            <w:r>
              <w:rPr>
                <w:rFonts w:ascii="Arial" w:cs="Arial" w:eastAsia="Arial" w:hAnsi="Arial"/>
                <w:sz w:val="13"/>
                <w:szCs w:val="13"/>
                <w:b w:val="1"/>
                <w:bCs w:val="1"/>
                <w:color w:val="FFFFFF"/>
              </w:rPr>
              <w:t>Target</w:t>
            </w:r>
          </w:p>
        </w:tc>
        <w:tc>
          <w:tcPr>
            <w:tcW w:w="800" w:type="dxa"/>
            <w:vAlign w:val="bottom"/>
            <w:vMerge w:val="continue"/>
            <w:shd w:val="clear" w:color="auto" w:fill="CF1D4C"/>
          </w:tcPr>
          <w:p>
            <w:pPr>
              <w:spacing w:after="0"/>
              <w:rPr>
                <w:sz w:val="5"/>
                <w:szCs w:val="5"/>
                <w:color w:val="auto"/>
              </w:rPr>
            </w:pPr>
          </w:p>
        </w:tc>
        <w:tc>
          <w:tcPr>
            <w:tcW w:w="780" w:type="dxa"/>
            <w:vAlign w:val="bottom"/>
            <w:vMerge w:val="restart"/>
            <w:shd w:val="clear" w:color="auto" w:fill="CF1D4C"/>
          </w:tcPr>
          <w:p>
            <w:pPr>
              <w:ind w:left="180"/>
              <w:spacing w:after="0" w:line="135" w:lineRule="exact"/>
              <w:rPr>
                <w:sz w:val="20"/>
                <w:szCs w:val="20"/>
                <w:color w:val="auto"/>
              </w:rPr>
            </w:pPr>
            <w:r>
              <w:rPr>
                <w:rFonts w:ascii="Arial" w:cs="Arial" w:eastAsia="Arial" w:hAnsi="Arial"/>
                <w:sz w:val="13"/>
                <w:szCs w:val="13"/>
                <w:b w:val="1"/>
                <w:bCs w:val="1"/>
                <w:color w:val="FFFFFF"/>
              </w:rPr>
              <w:t>Target</w:t>
            </w:r>
          </w:p>
        </w:tc>
        <w:tc>
          <w:tcPr>
            <w:tcW w:w="960" w:type="dxa"/>
            <w:vAlign w:val="bottom"/>
            <w:gridSpan w:val="2"/>
            <w:vMerge w:val="continue"/>
            <w:shd w:val="clear" w:color="auto" w:fill="CF1D4C"/>
          </w:tcPr>
          <w:p>
            <w:pPr>
              <w:spacing w:after="0"/>
              <w:rPr>
                <w:sz w:val="5"/>
                <w:szCs w:val="5"/>
                <w:color w:val="auto"/>
              </w:rPr>
            </w:pPr>
          </w:p>
        </w:tc>
        <w:tc>
          <w:tcPr>
            <w:tcW w:w="9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80" w:type="dxa"/>
            <w:vAlign w:val="bottom"/>
            <w:vMerge w:val="restart"/>
            <w:shd w:val="clear" w:color="auto" w:fill="CF1D4C"/>
          </w:tcPr>
          <w:p>
            <w:pPr>
              <w:ind w:left="40"/>
              <w:spacing w:after="0" w:line="135" w:lineRule="exact"/>
              <w:rPr>
                <w:sz w:val="20"/>
                <w:szCs w:val="20"/>
                <w:color w:val="auto"/>
              </w:rPr>
            </w:pPr>
            <w:r>
              <w:rPr>
                <w:rFonts w:ascii="Arial" w:cs="Arial" w:eastAsia="Arial" w:hAnsi="Arial"/>
                <w:sz w:val="13"/>
                <w:szCs w:val="13"/>
                <w:b w:val="1"/>
                <w:bCs w:val="1"/>
                <w:color w:val="FFFFFF"/>
              </w:rPr>
              <w:t>Metric</w:t>
            </w:r>
          </w:p>
        </w:tc>
        <w:tc>
          <w:tcPr>
            <w:tcW w:w="920" w:type="dxa"/>
            <w:vAlign w:val="bottom"/>
            <w:vMerge w:val="restart"/>
            <w:shd w:val="clear" w:color="auto" w:fill="CF1D4C"/>
          </w:tcPr>
          <w:p>
            <w:pPr>
              <w:ind w:left="160"/>
              <w:spacing w:after="0" w:line="135" w:lineRule="exact"/>
              <w:rPr>
                <w:sz w:val="20"/>
                <w:szCs w:val="20"/>
                <w:color w:val="auto"/>
              </w:rPr>
            </w:pPr>
            <w:r>
              <w:rPr>
                <w:rFonts w:ascii="Arial" w:cs="Arial" w:eastAsia="Arial" w:hAnsi="Arial"/>
                <w:sz w:val="13"/>
                <w:szCs w:val="13"/>
                <w:b w:val="1"/>
                <w:bCs w:val="1"/>
                <w:color w:val="FFFFFF"/>
              </w:rPr>
              <w:t> </w:t>
            </w:r>
          </w:p>
        </w:tc>
        <w:tc>
          <w:tcPr>
            <w:tcW w:w="1000" w:type="dxa"/>
            <w:vAlign w:val="bottom"/>
            <w:vMerge w:val="restart"/>
            <w:shd w:val="clear" w:color="auto" w:fill="CF1D4C"/>
          </w:tcPr>
          <w:p>
            <w:pPr>
              <w:ind w:left="180"/>
              <w:spacing w:after="0" w:line="135" w:lineRule="exact"/>
              <w:rPr>
                <w:sz w:val="20"/>
                <w:szCs w:val="20"/>
                <w:color w:val="auto"/>
              </w:rPr>
            </w:pPr>
            <w:r>
              <w:rPr>
                <w:rFonts w:ascii="Arial" w:cs="Arial" w:eastAsia="Arial" w:hAnsi="Arial"/>
                <w:sz w:val="13"/>
                <w:szCs w:val="13"/>
                <w:b w:val="1"/>
                <w:bCs w:val="1"/>
                <w:color w:val="FFFFFF"/>
              </w:rPr>
              <w:t>except</w:t>
            </w:r>
          </w:p>
        </w:tc>
        <w:tc>
          <w:tcPr>
            <w:tcW w:w="120" w:type="dxa"/>
            <w:vAlign w:val="bottom"/>
            <w:shd w:val="clear" w:color="auto" w:fill="CF1D4C"/>
          </w:tcPr>
          <w:p>
            <w:pPr>
              <w:spacing w:after="0"/>
              <w:rPr>
                <w:sz w:val="5"/>
                <w:szCs w:val="5"/>
                <w:color w:val="auto"/>
              </w:rPr>
            </w:pPr>
          </w:p>
        </w:tc>
        <w:tc>
          <w:tcPr>
            <w:tcW w:w="580" w:type="dxa"/>
            <w:vAlign w:val="bottom"/>
            <w:vMerge w:val="continue"/>
            <w:shd w:val="clear" w:color="auto" w:fill="CF1D4C"/>
          </w:tcPr>
          <w:p>
            <w:pPr>
              <w:spacing w:after="0"/>
              <w:rPr>
                <w:sz w:val="5"/>
                <w:szCs w:val="5"/>
                <w:color w:val="auto"/>
              </w:rPr>
            </w:pPr>
          </w:p>
        </w:tc>
        <w:tc>
          <w:tcPr>
            <w:tcW w:w="780" w:type="dxa"/>
            <w:vAlign w:val="bottom"/>
            <w:vMerge w:val="continue"/>
            <w:shd w:val="clear" w:color="auto" w:fill="CF1D4C"/>
          </w:tcPr>
          <w:p>
            <w:pPr>
              <w:spacing w:after="0"/>
              <w:rPr>
                <w:sz w:val="5"/>
                <w:szCs w:val="5"/>
                <w:color w:val="auto"/>
              </w:rPr>
            </w:pPr>
          </w:p>
        </w:tc>
        <w:tc>
          <w:tcPr>
            <w:tcW w:w="800" w:type="dxa"/>
            <w:vAlign w:val="bottom"/>
            <w:vMerge w:val="restart"/>
            <w:shd w:val="clear" w:color="auto" w:fill="CF1D4C"/>
          </w:tcPr>
          <w:p>
            <w:pPr>
              <w:ind w:left="200"/>
              <w:spacing w:after="0" w:line="135" w:lineRule="exact"/>
              <w:rPr>
                <w:sz w:val="20"/>
                <w:szCs w:val="20"/>
                <w:color w:val="auto"/>
              </w:rPr>
            </w:pPr>
            <w:r>
              <w:rPr>
                <w:rFonts w:ascii="Arial" w:cs="Arial" w:eastAsia="Arial" w:hAnsi="Arial"/>
                <w:sz w:val="13"/>
                <w:szCs w:val="13"/>
                <w:b w:val="1"/>
                <w:bCs w:val="1"/>
                <w:color w:val="FFFFFF"/>
              </w:rPr>
              <w:t>(100%)</w:t>
            </w:r>
          </w:p>
        </w:tc>
        <w:tc>
          <w:tcPr>
            <w:tcW w:w="780" w:type="dxa"/>
            <w:vAlign w:val="bottom"/>
            <w:vMerge w:val="continue"/>
            <w:shd w:val="clear" w:color="auto" w:fill="CF1D4C"/>
          </w:tcPr>
          <w:p>
            <w:pPr>
              <w:spacing w:after="0"/>
              <w:rPr>
                <w:sz w:val="5"/>
                <w:szCs w:val="5"/>
                <w:color w:val="auto"/>
              </w:rPr>
            </w:pPr>
          </w:p>
        </w:tc>
        <w:tc>
          <w:tcPr>
            <w:tcW w:w="840" w:type="dxa"/>
            <w:vAlign w:val="bottom"/>
            <w:vMerge w:val="restart"/>
            <w:shd w:val="clear" w:color="auto" w:fill="CF1D4C"/>
          </w:tcPr>
          <w:p>
            <w:pPr>
              <w:ind w:left="180"/>
              <w:spacing w:after="0" w:line="135" w:lineRule="exact"/>
              <w:rPr>
                <w:sz w:val="20"/>
                <w:szCs w:val="20"/>
                <w:color w:val="auto"/>
              </w:rPr>
            </w:pPr>
            <w:r>
              <w:rPr>
                <w:rFonts w:ascii="Arial" w:cs="Arial" w:eastAsia="Arial" w:hAnsi="Arial"/>
                <w:sz w:val="13"/>
                <w:szCs w:val="13"/>
                <w:b w:val="1"/>
                <w:bCs w:val="1"/>
                <w:color w:val="FFFFFF"/>
              </w:rPr>
              <w:t>(200%)</w:t>
            </w:r>
          </w:p>
        </w:tc>
        <w:tc>
          <w:tcPr>
            <w:tcW w:w="120" w:type="dxa"/>
            <w:vAlign w:val="bottom"/>
            <w:shd w:val="clear" w:color="auto" w:fill="CF1D4C"/>
          </w:tcPr>
          <w:p>
            <w:pPr>
              <w:spacing w:after="0"/>
              <w:rPr>
                <w:sz w:val="5"/>
                <w:szCs w:val="5"/>
                <w:color w:val="auto"/>
              </w:rPr>
            </w:pPr>
          </w:p>
        </w:tc>
        <w:tc>
          <w:tcPr>
            <w:tcW w:w="900" w:type="dxa"/>
            <w:vAlign w:val="bottom"/>
            <w:vMerge w:val="restart"/>
          </w:tcPr>
          <w:p>
            <w:pPr>
              <w:ind w:left="100"/>
              <w:spacing w:after="0" w:line="135" w:lineRule="exact"/>
              <w:rPr>
                <w:sz w:val="20"/>
                <w:szCs w:val="20"/>
                <w:color w:val="auto"/>
              </w:rPr>
            </w:pPr>
            <w:r>
              <w:rPr>
                <w:rFonts w:ascii="Arial" w:cs="Arial" w:eastAsia="Arial" w:hAnsi="Arial"/>
                <w:sz w:val="13"/>
                <w:szCs w:val="13"/>
                <w:b w:val="1"/>
                <w:bCs w:val="1"/>
                <w:color w:val="FFFFFF"/>
              </w:rPr>
              <w:t>except</w:t>
            </w:r>
          </w:p>
        </w:tc>
        <w:tc>
          <w:tcPr>
            <w:tcW w:w="580" w:type="dxa"/>
            <w:vAlign w:val="bottom"/>
            <w:vMerge w:val="restart"/>
          </w:tcPr>
          <w:p>
            <w:pPr>
              <w:ind w:left="140"/>
              <w:spacing w:after="0" w:line="135" w:lineRule="exact"/>
              <w:rPr>
                <w:sz w:val="20"/>
                <w:szCs w:val="20"/>
                <w:color w:val="auto"/>
              </w:rPr>
            </w:pPr>
            <w:r>
              <w:rPr>
                <w:rFonts w:ascii="Arial" w:cs="Arial" w:eastAsia="Arial" w:hAnsi="Arial"/>
                <w:sz w:val="13"/>
                <w:szCs w:val="13"/>
                <w:b w:val="1"/>
                <w:bCs w:val="1"/>
                <w:color w:val="FFFFFF"/>
              </w:rPr>
              <w:t>% of</w:t>
            </w:r>
          </w:p>
        </w:tc>
        <w:tc>
          <w:tcPr>
            <w:tcW w:w="0" w:type="dxa"/>
            <w:vAlign w:val="bottom"/>
          </w:tcPr>
          <w:p>
            <w:pPr>
              <w:spacing w:after="0"/>
              <w:rPr>
                <w:sz w:val="1"/>
                <w:szCs w:val="1"/>
                <w:color w:val="auto"/>
              </w:rPr>
            </w:pPr>
          </w:p>
        </w:tc>
      </w:tr>
      <w:tr>
        <w:trPr>
          <w:trHeight w:val="68"/>
        </w:trPr>
        <w:tc>
          <w:tcPr>
            <w:tcW w:w="980" w:type="dxa"/>
            <w:vAlign w:val="bottom"/>
            <w:vMerge w:val="continue"/>
            <w:shd w:val="clear" w:color="auto" w:fill="CF1D4C"/>
          </w:tcPr>
          <w:p>
            <w:pPr>
              <w:spacing w:after="0"/>
              <w:rPr>
                <w:sz w:val="5"/>
                <w:szCs w:val="5"/>
                <w:color w:val="auto"/>
              </w:rPr>
            </w:pPr>
          </w:p>
        </w:tc>
        <w:tc>
          <w:tcPr>
            <w:tcW w:w="920" w:type="dxa"/>
            <w:vAlign w:val="bottom"/>
            <w:vMerge w:val="continue"/>
            <w:shd w:val="clear" w:color="auto" w:fill="CF1D4C"/>
          </w:tcPr>
          <w:p>
            <w:pPr>
              <w:spacing w:after="0"/>
              <w:rPr>
                <w:sz w:val="5"/>
                <w:szCs w:val="5"/>
                <w:color w:val="auto"/>
              </w:rPr>
            </w:pPr>
          </w:p>
        </w:tc>
        <w:tc>
          <w:tcPr>
            <w:tcW w:w="1000" w:type="dxa"/>
            <w:vAlign w:val="bottom"/>
            <w:vMerge w:val="continue"/>
            <w:shd w:val="clear" w:color="auto" w:fill="CF1D4C"/>
          </w:tcPr>
          <w:p>
            <w:pPr>
              <w:spacing w:after="0"/>
              <w:rPr>
                <w:sz w:val="5"/>
                <w:szCs w:val="5"/>
                <w:color w:val="auto"/>
              </w:rPr>
            </w:pPr>
          </w:p>
        </w:tc>
        <w:tc>
          <w:tcPr>
            <w:tcW w:w="700" w:type="dxa"/>
            <w:vAlign w:val="bottom"/>
            <w:gridSpan w:val="2"/>
            <w:vMerge w:val="restart"/>
            <w:shd w:val="clear" w:color="auto" w:fill="CF1D4C"/>
          </w:tcPr>
          <w:p>
            <w:pPr>
              <w:ind w:left="120"/>
              <w:spacing w:after="0"/>
              <w:rPr>
                <w:sz w:val="20"/>
                <w:szCs w:val="20"/>
                <w:color w:val="auto"/>
              </w:rPr>
            </w:pPr>
            <w:r>
              <w:rPr>
                <w:rFonts w:ascii="Arial" w:cs="Arial" w:eastAsia="Arial" w:hAnsi="Arial"/>
                <w:sz w:val="13"/>
                <w:szCs w:val="13"/>
                <w:b w:val="1"/>
                <w:bCs w:val="1"/>
                <w:color w:val="FFFFFF"/>
              </w:rPr>
              <w:t>(50%)</w:t>
            </w:r>
          </w:p>
        </w:tc>
        <w:tc>
          <w:tcPr>
            <w:tcW w:w="780" w:type="dxa"/>
            <w:vAlign w:val="bottom"/>
            <w:vMerge w:val="restart"/>
            <w:shd w:val="clear" w:color="auto" w:fill="CF1D4C"/>
          </w:tcPr>
          <w:p>
            <w:pPr>
              <w:ind w:left="200"/>
              <w:spacing w:after="0"/>
              <w:rPr>
                <w:sz w:val="20"/>
                <w:szCs w:val="20"/>
                <w:color w:val="auto"/>
              </w:rPr>
            </w:pPr>
            <w:r>
              <w:rPr>
                <w:rFonts w:ascii="Arial" w:cs="Arial" w:eastAsia="Arial" w:hAnsi="Arial"/>
                <w:sz w:val="13"/>
                <w:szCs w:val="13"/>
                <w:b w:val="1"/>
                <w:bCs w:val="1"/>
                <w:color w:val="FFFFFF"/>
              </w:rPr>
              <w:t>(75%)</w:t>
            </w:r>
          </w:p>
        </w:tc>
        <w:tc>
          <w:tcPr>
            <w:tcW w:w="800" w:type="dxa"/>
            <w:vAlign w:val="bottom"/>
            <w:vMerge w:val="continue"/>
            <w:shd w:val="clear" w:color="auto" w:fill="CF1D4C"/>
          </w:tcPr>
          <w:p>
            <w:pPr>
              <w:spacing w:after="0"/>
              <w:rPr>
                <w:sz w:val="5"/>
                <w:szCs w:val="5"/>
                <w:color w:val="auto"/>
              </w:rPr>
            </w:pPr>
          </w:p>
        </w:tc>
        <w:tc>
          <w:tcPr>
            <w:tcW w:w="780" w:type="dxa"/>
            <w:vAlign w:val="bottom"/>
            <w:vMerge w:val="restart"/>
            <w:shd w:val="clear" w:color="auto" w:fill="CF1D4C"/>
          </w:tcPr>
          <w:p>
            <w:pPr>
              <w:ind w:left="180"/>
              <w:spacing w:after="0"/>
              <w:rPr>
                <w:sz w:val="20"/>
                <w:szCs w:val="20"/>
                <w:color w:val="auto"/>
              </w:rPr>
            </w:pPr>
            <w:r>
              <w:rPr>
                <w:rFonts w:ascii="Arial" w:cs="Arial" w:eastAsia="Arial" w:hAnsi="Arial"/>
                <w:sz w:val="13"/>
                <w:szCs w:val="13"/>
                <w:b w:val="1"/>
                <w:bCs w:val="1"/>
                <w:color w:val="FFFFFF"/>
              </w:rPr>
              <w:t>(150%)</w:t>
            </w:r>
          </w:p>
        </w:tc>
        <w:tc>
          <w:tcPr>
            <w:tcW w:w="840" w:type="dxa"/>
            <w:vAlign w:val="bottom"/>
            <w:vMerge w:val="continue"/>
            <w:shd w:val="clear" w:color="auto" w:fill="CF1D4C"/>
          </w:tcPr>
          <w:p>
            <w:pPr>
              <w:spacing w:after="0"/>
              <w:rPr>
                <w:sz w:val="5"/>
                <w:szCs w:val="5"/>
                <w:color w:val="auto"/>
              </w:rPr>
            </w:pPr>
          </w:p>
        </w:tc>
        <w:tc>
          <w:tcPr>
            <w:tcW w:w="120" w:type="dxa"/>
            <w:vAlign w:val="bottom"/>
            <w:shd w:val="clear" w:color="auto" w:fill="CF1D4C"/>
          </w:tcPr>
          <w:p>
            <w:pPr>
              <w:spacing w:after="0"/>
              <w:rPr>
                <w:sz w:val="5"/>
                <w:szCs w:val="5"/>
                <w:color w:val="auto"/>
              </w:rPr>
            </w:pPr>
          </w:p>
        </w:tc>
        <w:tc>
          <w:tcPr>
            <w:tcW w:w="9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980" w:type="dxa"/>
            <w:vAlign w:val="bottom"/>
            <w:shd w:val="clear" w:color="auto" w:fill="CF1D4C"/>
          </w:tcPr>
          <w:p>
            <w:pPr>
              <w:spacing w:after="0"/>
              <w:rPr>
                <w:sz w:val="9"/>
                <w:szCs w:val="9"/>
                <w:color w:val="auto"/>
              </w:rPr>
            </w:pPr>
          </w:p>
        </w:tc>
        <w:tc>
          <w:tcPr>
            <w:tcW w:w="920" w:type="dxa"/>
            <w:vAlign w:val="bottom"/>
            <w:shd w:val="clear" w:color="auto" w:fill="CF1D4C"/>
          </w:tcPr>
          <w:p>
            <w:pPr>
              <w:spacing w:after="0"/>
              <w:rPr>
                <w:sz w:val="9"/>
                <w:szCs w:val="9"/>
                <w:color w:val="auto"/>
              </w:rPr>
            </w:pPr>
          </w:p>
        </w:tc>
        <w:tc>
          <w:tcPr>
            <w:tcW w:w="1000" w:type="dxa"/>
            <w:vAlign w:val="bottom"/>
            <w:vMerge w:val="restart"/>
            <w:shd w:val="clear" w:color="auto" w:fill="CF1D4C"/>
          </w:tcPr>
          <w:p>
            <w:pPr>
              <w:ind w:left="180"/>
              <w:spacing w:after="0" w:line="135" w:lineRule="exact"/>
              <w:rPr>
                <w:sz w:val="20"/>
                <w:szCs w:val="20"/>
                <w:color w:val="auto"/>
              </w:rPr>
            </w:pPr>
            <w:r>
              <w:rPr>
                <w:rFonts w:ascii="Arial" w:cs="Arial" w:eastAsia="Arial" w:hAnsi="Arial"/>
                <w:sz w:val="13"/>
                <w:szCs w:val="13"/>
                <w:b w:val="1"/>
                <w:bCs w:val="1"/>
                <w:color w:val="FFFFFF"/>
              </w:rPr>
              <w:t>per share</w:t>
            </w:r>
          </w:p>
        </w:tc>
        <w:tc>
          <w:tcPr>
            <w:tcW w:w="700" w:type="dxa"/>
            <w:vAlign w:val="bottom"/>
            <w:gridSpan w:val="2"/>
            <w:vMerge w:val="continue"/>
            <w:shd w:val="clear" w:color="auto" w:fill="CF1D4C"/>
          </w:tcPr>
          <w:p>
            <w:pPr>
              <w:spacing w:after="0"/>
              <w:rPr>
                <w:sz w:val="9"/>
                <w:szCs w:val="9"/>
                <w:color w:val="auto"/>
              </w:rPr>
            </w:pPr>
          </w:p>
        </w:tc>
        <w:tc>
          <w:tcPr>
            <w:tcW w:w="780" w:type="dxa"/>
            <w:vAlign w:val="bottom"/>
            <w:vMerge w:val="continue"/>
            <w:shd w:val="clear" w:color="auto" w:fill="CF1D4C"/>
          </w:tcPr>
          <w:p>
            <w:pPr>
              <w:spacing w:after="0"/>
              <w:rPr>
                <w:sz w:val="9"/>
                <w:szCs w:val="9"/>
                <w:color w:val="auto"/>
              </w:rPr>
            </w:pPr>
          </w:p>
        </w:tc>
        <w:tc>
          <w:tcPr>
            <w:tcW w:w="800" w:type="dxa"/>
            <w:vAlign w:val="bottom"/>
            <w:shd w:val="clear" w:color="auto" w:fill="CF1D4C"/>
          </w:tcPr>
          <w:p>
            <w:pPr>
              <w:spacing w:after="0"/>
              <w:rPr>
                <w:sz w:val="9"/>
                <w:szCs w:val="9"/>
                <w:color w:val="auto"/>
              </w:rPr>
            </w:pPr>
          </w:p>
        </w:tc>
        <w:tc>
          <w:tcPr>
            <w:tcW w:w="780" w:type="dxa"/>
            <w:vAlign w:val="bottom"/>
            <w:vMerge w:val="continue"/>
            <w:shd w:val="clear" w:color="auto" w:fill="CF1D4C"/>
          </w:tcPr>
          <w:p>
            <w:pPr>
              <w:spacing w:after="0"/>
              <w:rPr>
                <w:sz w:val="9"/>
                <w:szCs w:val="9"/>
                <w:color w:val="auto"/>
              </w:rPr>
            </w:pPr>
          </w:p>
        </w:tc>
        <w:tc>
          <w:tcPr>
            <w:tcW w:w="840" w:type="dxa"/>
            <w:vAlign w:val="bottom"/>
            <w:shd w:val="clear" w:color="auto" w:fill="CF1D4C"/>
          </w:tcPr>
          <w:p>
            <w:pPr>
              <w:spacing w:after="0"/>
              <w:rPr>
                <w:sz w:val="9"/>
                <w:szCs w:val="9"/>
                <w:color w:val="auto"/>
              </w:rPr>
            </w:pPr>
          </w:p>
        </w:tc>
        <w:tc>
          <w:tcPr>
            <w:tcW w:w="120" w:type="dxa"/>
            <w:vAlign w:val="bottom"/>
            <w:shd w:val="clear" w:color="auto" w:fill="CF1D4C"/>
          </w:tcPr>
          <w:p>
            <w:pPr>
              <w:spacing w:after="0"/>
              <w:rPr>
                <w:sz w:val="9"/>
                <w:szCs w:val="9"/>
                <w:color w:val="auto"/>
              </w:rPr>
            </w:pPr>
          </w:p>
        </w:tc>
        <w:tc>
          <w:tcPr>
            <w:tcW w:w="900" w:type="dxa"/>
            <w:vAlign w:val="bottom"/>
            <w:vMerge w:val="restart"/>
          </w:tcPr>
          <w:p>
            <w:pPr>
              <w:ind w:left="100"/>
              <w:spacing w:after="0" w:line="135" w:lineRule="exact"/>
              <w:rPr>
                <w:sz w:val="20"/>
                <w:szCs w:val="20"/>
                <w:color w:val="auto"/>
              </w:rPr>
            </w:pPr>
            <w:r>
              <w:rPr>
                <w:rFonts w:ascii="Arial" w:cs="Arial" w:eastAsia="Arial" w:hAnsi="Arial"/>
                <w:sz w:val="13"/>
                <w:szCs w:val="13"/>
                <w:b w:val="1"/>
                <w:bCs w:val="1"/>
                <w:color w:val="FFFFFF"/>
              </w:rPr>
              <w:t>per share</w:t>
            </w:r>
          </w:p>
        </w:tc>
        <w:tc>
          <w:tcPr>
            <w:tcW w:w="580" w:type="dxa"/>
            <w:vAlign w:val="bottom"/>
            <w:vMerge w:val="restart"/>
          </w:tcPr>
          <w:p>
            <w:pPr>
              <w:ind w:left="140"/>
              <w:spacing w:after="0" w:line="135" w:lineRule="exact"/>
              <w:rPr>
                <w:sz w:val="20"/>
                <w:szCs w:val="20"/>
                <w:color w:val="auto"/>
              </w:rPr>
            </w:pPr>
            <w:r>
              <w:rPr>
                <w:rFonts w:ascii="Arial" w:cs="Arial" w:eastAsia="Arial" w:hAnsi="Arial"/>
                <w:sz w:val="13"/>
                <w:szCs w:val="13"/>
                <w:b w:val="1"/>
                <w:bCs w:val="1"/>
                <w:color w:val="FFFFFF"/>
              </w:rPr>
              <w:t>Target</w:t>
            </w:r>
          </w:p>
        </w:tc>
        <w:tc>
          <w:tcPr>
            <w:tcW w:w="0" w:type="dxa"/>
            <w:vAlign w:val="bottom"/>
          </w:tcPr>
          <w:p>
            <w:pPr>
              <w:spacing w:after="0"/>
              <w:rPr>
                <w:sz w:val="1"/>
                <w:szCs w:val="1"/>
                <w:color w:val="auto"/>
              </w:rPr>
            </w:pPr>
          </w:p>
        </w:tc>
      </w:tr>
      <w:tr>
        <w:trPr>
          <w:trHeight w:val="31"/>
        </w:trPr>
        <w:tc>
          <w:tcPr>
            <w:tcW w:w="980" w:type="dxa"/>
            <w:vAlign w:val="bottom"/>
            <w:shd w:val="clear" w:color="auto" w:fill="CF1D4C"/>
          </w:tcPr>
          <w:p>
            <w:pPr>
              <w:spacing w:after="0"/>
              <w:rPr>
                <w:sz w:val="2"/>
                <w:szCs w:val="2"/>
                <w:color w:val="auto"/>
              </w:rPr>
            </w:pPr>
          </w:p>
        </w:tc>
        <w:tc>
          <w:tcPr>
            <w:tcW w:w="920" w:type="dxa"/>
            <w:vAlign w:val="bottom"/>
            <w:shd w:val="clear" w:color="auto" w:fill="CF1D4C"/>
          </w:tcPr>
          <w:p>
            <w:pPr>
              <w:spacing w:after="0"/>
              <w:rPr>
                <w:sz w:val="2"/>
                <w:szCs w:val="2"/>
                <w:color w:val="auto"/>
              </w:rPr>
            </w:pPr>
          </w:p>
        </w:tc>
        <w:tc>
          <w:tcPr>
            <w:tcW w:w="1000" w:type="dxa"/>
            <w:vAlign w:val="bottom"/>
            <w:vMerge w:val="continue"/>
            <w:shd w:val="clear" w:color="auto" w:fill="CF1D4C"/>
          </w:tcPr>
          <w:p>
            <w:pPr>
              <w:spacing w:after="0"/>
              <w:rPr>
                <w:sz w:val="2"/>
                <w:szCs w:val="2"/>
                <w:color w:val="auto"/>
              </w:rPr>
            </w:pPr>
          </w:p>
        </w:tc>
        <w:tc>
          <w:tcPr>
            <w:tcW w:w="120" w:type="dxa"/>
            <w:vAlign w:val="bottom"/>
            <w:shd w:val="clear" w:color="auto" w:fill="CF1D4C"/>
          </w:tcPr>
          <w:p>
            <w:pPr>
              <w:spacing w:after="0"/>
              <w:rPr>
                <w:sz w:val="2"/>
                <w:szCs w:val="2"/>
                <w:color w:val="auto"/>
              </w:rPr>
            </w:pPr>
          </w:p>
        </w:tc>
        <w:tc>
          <w:tcPr>
            <w:tcW w:w="580" w:type="dxa"/>
            <w:vAlign w:val="bottom"/>
            <w:shd w:val="clear" w:color="auto" w:fill="CF1D4C"/>
          </w:tcPr>
          <w:p>
            <w:pPr>
              <w:spacing w:after="0"/>
              <w:rPr>
                <w:sz w:val="2"/>
                <w:szCs w:val="2"/>
                <w:color w:val="auto"/>
              </w:rPr>
            </w:pPr>
          </w:p>
        </w:tc>
        <w:tc>
          <w:tcPr>
            <w:tcW w:w="780" w:type="dxa"/>
            <w:vAlign w:val="bottom"/>
            <w:shd w:val="clear" w:color="auto" w:fill="CF1D4C"/>
          </w:tcPr>
          <w:p>
            <w:pPr>
              <w:spacing w:after="0"/>
              <w:rPr>
                <w:sz w:val="2"/>
                <w:szCs w:val="2"/>
                <w:color w:val="auto"/>
              </w:rPr>
            </w:pPr>
          </w:p>
        </w:tc>
        <w:tc>
          <w:tcPr>
            <w:tcW w:w="800" w:type="dxa"/>
            <w:vAlign w:val="bottom"/>
            <w:shd w:val="clear" w:color="auto" w:fill="CF1D4C"/>
          </w:tcPr>
          <w:p>
            <w:pPr>
              <w:spacing w:after="0"/>
              <w:rPr>
                <w:sz w:val="2"/>
                <w:szCs w:val="2"/>
                <w:color w:val="auto"/>
              </w:rPr>
            </w:pPr>
          </w:p>
        </w:tc>
        <w:tc>
          <w:tcPr>
            <w:tcW w:w="780" w:type="dxa"/>
            <w:vAlign w:val="bottom"/>
            <w:shd w:val="clear" w:color="auto" w:fill="CF1D4C"/>
          </w:tcPr>
          <w:p>
            <w:pPr>
              <w:spacing w:after="0"/>
              <w:rPr>
                <w:sz w:val="2"/>
                <w:szCs w:val="2"/>
                <w:color w:val="auto"/>
              </w:rPr>
            </w:pPr>
          </w:p>
        </w:tc>
        <w:tc>
          <w:tcPr>
            <w:tcW w:w="840" w:type="dxa"/>
            <w:vAlign w:val="bottom"/>
            <w:shd w:val="clear" w:color="auto" w:fill="CF1D4C"/>
          </w:tcPr>
          <w:p>
            <w:pPr>
              <w:spacing w:after="0"/>
              <w:rPr>
                <w:sz w:val="2"/>
                <w:szCs w:val="2"/>
                <w:color w:val="auto"/>
              </w:rPr>
            </w:pPr>
          </w:p>
        </w:tc>
        <w:tc>
          <w:tcPr>
            <w:tcW w:w="120" w:type="dxa"/>
            <w:vAlign w:val="bottom"/>
            <w:shd w:val="clear" w:color="auto" w:fill="CF1D4C"/>
          </w:tcPr>
          <w:p>
            <w:pPr>
              <w:spacing w:after="0"/>
              <w:rPr>
                <w:sz w:val="2"/>
                <w:szCs w:val="2"/>
                <w:color w:val="auto"/>
              </w:rPr>
            </w:pPr>
          </w:p>
        </w:tc>
        <w:tc>
          <w:tcPr>
            <w:tcW w:w="90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980" w:type="dxa"/>
            <w:vAlign w:val="bottom"/>
            <w:shd w:val="clear" w:color="auto" w:fill="CF1D4C"/>
          </w:tcPr>
          <w:p>
            <w:pPr>
              <w:spacing w:after="0"/>
              <w:rPr>
                <w:sz w:val="14"/>
                <w:szCs w:val="14"/>
                <w:color w:val="auto"/>
              </w:rPr>
            </w:pPr>
          </w:p>
        </w:tc>
        <w:tc>
          <w:tcPr>
            <w:tcW w:w="920" w:type="dxa"/>
            <w:vAlign w:val="bottom"/>
            <w:shd w:val="clear" w:color="auto" w:fill="CF1D4C"/>
          </w:tcPr>
          <w:p>
            <w:pPr>
              <w:spacing w:after="0"/>
              <w:rPr>
                <w:sz w:val="14"/>
                <w:szCs w:val="14"/>
                <w:color w:val="auto"/>
              </w:rPr>
            </w:pPr>
          </w:p>
        </w:tc>
        <w:tc>
          <w:tcPr>
            <w:tcW w:w="1000" w:type="dxa"/>
            <w:vAlign w:val="bottom"/>
            <w:shd w:val="clear" w:color="auto" w:fill="CF1D4C"/>
          </w:tcPr>
          <w:p>
            <w:pPr>
              <w:ind w:left="180"/>
              <w:spacing w:after="0"/>
              <w:rPr>
                <w:sz w:val="20"/>
                <w:szCs w:val="20"/>
                <w:color w:val="auto"/>
              </w:rPr>
            </w:pPr>
            <w:r>
              <w:rPr>
                <w:rFonts w:ascii="Arial" w:cs="Arial" w:eastAsia="Arial" w:hAnsi="Arial"/>
                <w:sz w:val="13"/>
                <w:szCs w:val="13"/>
                <w:b w:val="1"/>
                <w:bCs w:val="1"/>
                <w:color w:val="FFFFFF"/>
              </w:rPr>
              <w:t>values)</w:t>
            </w:r>
          </w:p>
        </w:tc>
        <w:tc>
          <w:tcPr>
            <w:tcW w:w="120" w:type="dxa"/>
            <w:vAlign w:val="bottom"/>
            <w:shd w:val="clear" w:color="auto" w:fill="CF1D4C"/>
          </w:tcPr>
          <w:p>
            <w:pPr>
              <w:spacing w:after="0"/>
              <w:rPr>
                <w:sz w:val="14"/>
                <w:szCs w:val="14"/>
                <w:color w:val="auto"/>
              </w:rPr>
            </w:pPr>
          </w:p>
        </w:tc>
        <w:tc>
          <w:tcPr>
            <w:tcW w:w="580" w:type="dxa"/>
            <w:vAlign w:val="bottom"/>
            <w:shd w:val="clear" w:color="auto" w:fill="CF1D4C"/>
          </w:tcPr>
          <w:p>
            <w:pPr>
              <w:spacing w:after="0"/>
              <w:rPr>
                <w:sz w:val="14"/>
                <w:szCs w:val="14"/>
                <w:color w:val="auto"/>
              </w:rPr>
            </w:pPr>
          </w:p>
        </w:tc>
        <w:tc>
          <w:tcPr>
            <w:tcW w:w="780" w:type="dxa"/>
            <w:vAlign w:val="bottom"/>
            <w:shd w:val="clear" w:color="auto" w:fill="CF1D4C"/>
          </w:tcPr>
          <w:p>
            <w:pPr>
              <w:spacing w:after="0"/>
              <w:rPr>
                <w:sz w:val="14"/>
                <w:szCs w:val="14"/>
                <w:color w:val="auto"/>
              </w:rPr>
            </w:pPr>
          </w:p>
        </w:tc>
        <w:tc>
          <w:tcPr>
            <w:tcW w:w="800" w:type="dxa"/>
            <w:vAlign w:val="bottom"/>
            <w:shd w:val="clear" w:color="auto" w:fill="CF1D4C"/>
          </w:tcPr>
          <w:p>
            <w:pPr>
              <w:spacing w:after="0"/>
              <w:rPr>
                <w:sz w:val="14"/>
                <w:szCs w:val="14"/>
                <w:color w:val="auto"/>
              </w:rPr>
            </w:pPr>
          </w:p>
        </w:tc>
        <w:tc>
          <w:tcPr>
            <w:tcW w:w="780" w:type="dxa"/>
            <w:vAlign w:val="bottom"/>
            <w:shd w:val="clear" w:color="auto" w:fill="CF1D4C"/>
          </w:tcPr>
          <w:p>
            <w:pPr>
              <w:spacing w:after="0"/>
              <w:rPr>
                <w:sz w:val="14"/>
                <w:szCs w:val="14"/>
                <w:color w:val="auto"/>
              </w:rPr>
            </w:pPr>
          </w:p>
        </w:tc>
        <w:tc>
          <w:tcPr>
            <w:tcW w:w="840" w:type="dxa"/>
            <w:vAlign w:val="bottom"/>
            <w:shd w:val="clear" w:color="auto" w:fill="CF1D4C"/>
          </w:tcPr>
          <w:p>
            <w:pPr>
              <w:spacing w:after="0"/>
              <w:rPr>
                <w:sz w:val="14"/>
                <w:szCs w:val="14"/>
                <w:color w:val="auto"/>
              </w:rPr>
            </w:pPr>
          </w:p>
        </w:tc>
        <w:tc>
          <w:tcPr>
            <w:tcW w:w="120" w:type="dxa"/>
            <w:vAlign w:val="bottom"/>
            <w:shd w:val="clear" w:color="auto" w:fill="CF1D4C"/>
          </w:tcPr>
          <w:p>
            <w:pPr>
              <w:spacing w:after="0"/>
              <w:rPr>
                <w:sz w:val="14"/>
                <w:szCs w:val="14"/>
                <w:color w:val="auto"/>
              </w:rPr>
            </w:pPr>
          </w:p>
        </w:tc>
        <w:tc>
          <w:tcPr>
            <w:tcW w:w="900" w:type="dxa"/>
            <w:vAlign w:val="bottom"/>
          </w:tcPr>
          <w:p>
            <w:pPr>
              <w:ind w:left="100"/>
              <w:spacing w:after="0"/>
              <w:rPr>
                <w:sz w:val="20"/>
                <w:szCs w:val="20"/>
                <w:color w:val="auto"/>
              </w:rPr>
            </w:pPr>
            <w:r>
              <w:rPr>
                <w:rFonts w:ascii="Arial" w:cs="Arial" w:eastAsia="Arial" w:hAnsi="Arial"/>
                <w:sz w:val="13"/>
                <w:szCs w:val="13"/>
                <w:b w:val="1"/>
                <w:bCs w:val="1"/>
                <w:color w:val="FFFFFF"/>
              </w:rPr>
              <w:t>values)</w:t>
            </w:r>
          </w:p>
        </w:tc>
        <w:tc>
          <w:tcPr>
            <w:tcW w:w="580" w:type="dxa"/>
            <w:vAlign w:val="bottom"/>
          </w:tcPr>
          <w:p>
            <w:pPr>
              <w:ind w:left="140"/>
              <w:spacing w:after="0"/>
              <w:rPr>
                <w:sz w:val="20"/>
                <w:szCs w:val="20"/>
                <w:color w:val="auto"/>
              </w:rPr>
            </w:pPr>
            <w:r>
              <w:rPr>
                <w:rFonts w:ascii="Arial" w:cs="Arial" w:eastAsia="Arial" w:hAnsi="Arial"/>
                <w:sz w:val="13"/>
                <w:szCs w:val="13"/>
                <w:b w:val="1"/>
                <w:bCs w:val="1"/>
                <w:color w:val="FFFFFF"/>
                <w:w w:val="95"/>
              </w:rPr>
              <w:t>Earned</w:t>
            </w:r>
          </w:p>
        </w:tc>
        <w:tc>
          <w:tcPr>
            <w:tcW w:w="0" w:type="dxa"/>
            <w:vAlign w:val="bottom"/>
          </w:tcPr>
          <w:p>
            <w:pPr>
              <w:spacing w:after="0"/>
              <w:rPr>
                <w:sz w:val="1"/>
                <w:szCs w:val="1"/>
                <w:color w:val="auto"/>
              </w:rPr>
            </w:pPr>
          </w:p>
        </w:tc>
      </w:tr>
      <w:tr>
        <w:trPr>
          <w:trHeight w:val="157"/>
        </w:trPr>
        <w:tc>
          <w:tcPr>
            <w:tcW w:w="980" w:type="dxa"/>
            <w:vAlign w:val="bottom"/>
            <w:shd w:val="clear" w:color="auto" w:fill="CF1D4C"/>
          </w:tcPr>
          <w:p>
            <w:pPr>
              <w:spacing w:after="0"/>
              <w:rPr>
                <w:sz w:val="13"/>
                <w:szCs w:val="13"/>
                <w:color w:val="auto"/>
              </w:rPr>
            </w:pPr>
          </w:p>
        </w:tc>
        <w:tc>
          <w:tcPr>
            <w:tcW w:w="920" w:type="dxa"/>
            <w:vAlign w:val="bottom"/>
            <w:shd w:val="clear" w:color="auto" w:fill="CF1D4C"/>
          </w:tcPr>
          <w:p>
            <w:pPr>
              <w:spacing w:after="0"/>
              <w:rPr>
                <w:sz w:val="13"/>
                <w:szCs w:val="13"/>
                <w:color w:val="auto"/>
              </w:rPr>
            </w:pPr>
          </w:p>
        </w:tc>
        <w:tc>
          <w:tcPr>
            <w:tcW w:w="1000" w:type="dxa"/>
            <w:vAlign w:val="bottom"/>
            <w:shd w:val="clear" w:color="auto" w:fill="CF1D4C"/>
          </w:tcPr>
          <w:p>
            <w:pPr>
              <w:spacing w:after="0"/>
              <w:rPr>
                <w:sz w:val="13"/>
                <w:szCs w:val="13"/>
                <w:color w:val="auto"/>
              </w:rPr>
            </w:pPr>
          </w:p>
        </w:tc>
        <w:tc>
          <w:tcPr>
            <w:tcW w:w="120" w:type="dxa"/>
            <w:vAlign w:val="bottom"/>
            <w:shd w:val="clear" w:color="auto" w:fill="CF1D4C"/>
          </w:tcPr>
          <w:p>
            <w:pPr>
              <w:spacing w:after="0"/>
              <w:rPr>
                <w:sz w:val="13"/>
                <w:szCs w:val="13"/>
                <w:color w:val="auto"/>
              </w:rPr>
            </w:pPr>
          </w:p>
        </w:tc>
        <w:tc>
          <w:tcPr>
            <w:tcW w:w="580" w:type="dxa"/>
            <w:vAlign w:val="bottom"/>
            <w:shd w:val="clear" w:color="auto" w:fill="CF1D4C"/>
          </w:tcPr>
          <w:p>
            <w:pPr>
              <w:spacing w:after="0"/>
              <w:rPr>
                <w:sz w:val="13"/>
                <w:szCs w:val="13"/>
                <w:color w:val="auto"/>
              </w:rPr>
            </w:pPr>
          </w:p>
        </w:tc>
        <w:tc>
          <w:tcPr>
            <w:tcW w:w="780" w:type="dxa"/>
            <w:vAlign w:val="bottom"/>
            <w:shd w:val="clear" w:color="auto" w:fill="CF1D4C"/>
          </w:tcPr>
          <w:p>
            <w:pPr>
              <w:spacing w:after="0"/>
              <w:rPr>
                <w:sz w:val="13"/>
                <w:szCs w:val="13"/>
                <w:color w:val="auto"/>
              </w:rPr>
            </w:pPr>
          </w:p>
        </w:tc>
        <w:tc>
          <w:tcPr>
            <w:tcW w:w="800" w:type="dxa"/>
            <w:vAlign w:val="bottom"/>
            <w:shd w:val="clear" w:color="auto" w:fill="CF1D4C"/>
          </w:tcPr>
          <w:p>
            <w:pPr>
              <w:spacing w:after="0"/>
              <w:rPr>
                <w:sz w:val="13"/>
                <w:szCs w:val="13"/>
                <w:color w:val="auto"/>
              </w:rPr>
            </w:pPr>
          </w:p>
        </w:tc>
        <w:tc>
          <w:tcPr>
            <w:tcW w:w="780" w:type="dxa"/>
            <w:vAlign w:val="bottom"/>
            <w:shd w:val="clear" w:color="auto" w:fill="CF1D4C"/>
          </w:tcPr>
          <w:p>
            <w:pPr>
              <w:spacing w:after="0"/>
              <w:rPr>
                <w:sz w:val="13"/>
                <w:szCs w:val="13"/>
                <w:color w:val="auto"/>
              </w:rPr>
            </w:pPr>
          </w:p>
        </w:tc>
        <w:tc>
          <w:tcPr>
            <w:tcW w:w="840" w:type="dxa"/>
            <w:vAlign w:val="bottom"/>
            <w:shd w:val="clear" w:color="auto" w:fill="CF1D4C"/>
          </w:tcPr>
          <w:p>
            <w:pPr>
              <w:spacing w:after="0"/>
              <w:rPr>
                <w:sz w:val="13"/>
                <w:szCs w:val="13"/>
                <w:color w:val="auto"/>
              </w:rPr>
            </w:pPr>
          </w:p>
        </w:tc>
        <w:tc>
          <w:tcPr>
            <w:tcW w:w="120" w:type="dxa"/>
            <w:vAlign w:val="bottom"/>
            <w:shd w:val="clear" w:color="auto" w:fill="CF1D4C"/>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ectPr>
          <w:pgSz w:w="11900" w:h="16838" w:orient="portrait"/>
          <w:cols w:equalWidth="0" w:num="1">
            <w:col w:w="9539"/>
          </w:cols>
          <w:pgMar w:left="920" w:top="114" w:right="1440" w:bottom="1440" w:gutter="0" w:footer="0" w:header="0"/>
        </w:sectPr>
      </w:pPr>
    </w:p>
    <w:tbl>
      <w:tblPr>
        <w:tblLayout w:type="fixed"/>
        <w:tblInd w:w="780" w:type="dxa"/>
        <w:tblCellMar>
          <w:top w:w="0" w:type="dxa"/>
          <w:left w:w="0" w:type="dxa"/>
          <w:bottom w:w="0" w:type="dxa"/>
          <w:right w:w="0" w:type="dxa"/>
        </w:tblCellMar>
      </w:tblPr>
      <w:tr>
        <w:trPr>
          <w:trHeight w:val="162"/>
        </w:trPr>
        <w:tc>
          <w:tcPr>
            <w:tcW w:w="980" w:type="dxa"/>
            <w:vAlign w:val="bottom"/>
          </w:tcPr>
          <w:p>
            <w:pPr>
              <w:spacing w:after="0"/>
              <w:rPr>
                <w:sz w:val="20"/>
                <w:szCs w:val="20"/>
                <w:color w:val="auto"/>
              </w:rPr>
            </w:pPr>
            <w:r>
              <w:rPr>
                <w:rFonts w:ascii="Arial" w:cs="Arial" w:eastAsia="Arial" w:hAnsi="Arial"/>
                <w:sz w:val="14"/>
                <w:szCs w:val="14"/>
                <w:b w:val="1"/>
                <w:bCs w:val="1"/>
                <w:color w:val="333333"/>
              </w:rPr>
              <w:t>GAAP</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80" w:type="dxa"/>
            <w:vAlign w:val="bottom"/>
          </w:tcPr>
          <w:p>
            <w:pPr>
              <w:spacing w:after="0" w:line="159" w:lineRule="exact"/>
              <w:rPr>
                <w:sz w:val="20"/>
                <w:szCs w:val="20"/>
                <w:color w:val="auto"/>
              </w:rPr>
            </w:pPr>
            <w:r>
              <w:rPr>
                <w:rFonts w:ascii="Arial" w:cs="Arial" w:eastAsia="Arial" w:hAnsi="Arial"/>
                <w:sz w:val="14"/>
                <w:szCs w:val="14"/>
                <w:b w:val="1"/>
                <w:bCs w:val="1"/>
                <w:color w:val="333333"/>
              </w:rPr>
              <w:t>Revenue, as</w:t>
            </w:r>
          </w:p>
        </w:tc>
        <w:tc>
          <w:tcPr>
            <w:tcW w:w="720" w:type="dxa"/>
            <w:vAlign w:val="bottom"/>
          </w:tcPr>
          <w:p>
            <w:pPr>
              <w:jc w:val="right"/>
              <w:ind w:right="248"/>
              <w:spacing w:after="0" w:line="159" w:lineRule="exact"/>
              <w:rPr>
                <w:sz w:val="20"/>
                <w:szCs w:val="20"/>
                <w:color w:val="auto"/>
              </w:rPr>
            </w:pPr>
            <w:r>
              <w:rPr>
                <w:rFonts w:ascii="Arial" w:cs="Arial" w:eastAsia="Arial" w:hAnsi="Arial"/>
                <w:sz w:val="14"/>
                <w:szCs w:val="14"/>
                <w:color w:val="333333"/>
              </w:rPr>
              <w:t>25%</w:t>
            </w:r>
          </w:p>
        </w:tc>
        <w:tc>
          <w:tcPr>
            <w:tcW w:w="900" w:type="dxa"/>
            <w:vAlign w:val="bottom"/>
          </w:tcPr>
          <w:p>
            <w:pPr>
              <w:ind w:left="340"/>
              <w:spacing w:after="0" w:line="159" w:lineRule="exact"/>
              <w:rPr>
                <w:sz w:val="20"/>
                <w:szCs w:val="20"/>
                <w:color w:val="auto"/>
              </w:rPr>
            </w:pPr>
            <w:r>
              <w:rPr>
                <w:rFonts w:ascii="Arial" w:cs="Arial" w:eastAsia="Arial" w:hAnsi="Arial"/>
                <w:sz w:val="14"/>
                <w:szCs w:val="14"/>
                <w:color w:val="333333"/>
                <w:w w:val="99"/>
              </w:rPr>
              <w:t>$3,792.4</w:t>
            </w:r>
          </w:p>
        </w:tc>
        <w:tc>
          <w:tcPr>
            <w:tcW w:w="0" w:type="dxa"/>
            <w:vAlign w:val="bottom"/>
          </w:tcPr>
          <w:p>
            <w:pPr>
              <w:spacing w:after="0"/>
              <w:rPr>
                <w:sz w:val="1"/>
                <w:szCs w:val="1"/>
                <w:color w:val="auto"/>
              </w:rPr>
            </w:pPr>
          </w:p>
        </w:tc>
      </w:tr>
      <w:tr>
        <w:trPr>
          <w:trHeight w:val="327"/>
        </w:trPr>
        <w:tc>
          <w:tcPr>
            <w:tcW w:w="980" w:type="dxa"/>
            <w:vAlign w:val="bottom"/>
          </w:tcPr>
          <w:p>
            <w:pPr>
              <w:spacing w:after="0"/>
              <w:rPr>
                <w:sz w:val="20"/>
                <w:szCs w:val="20"/>
                <w:color w:val="auto"/>
              </w:rPr>
            </w:pPr>
            <w:r>
              <w:rPr>
                <w:rFonts w:ascii="Arial" w:cs="Arial" w:eastAsia="Arial" w:hAnsi="Arial"/>
                <w:sz w:val="14"/>
                <w:szCs w:val="14"/>
                <w:b w:val="1"/>
                <w:bCs w:val="1"/>
                <w:color w:val="333333"/>
              </w:rPr>
              <w:t>adjusted</w:t>
            </w:r>
            <w:r>
              <w:rPr>
                <w:rFonts w:ascii="Arial" w:cs="Arial" w:eastAsia="Arial" w:hAnsi="Arial"/>
                <w:sz w:val="23"/>
                <w:szCs w:val="23"/>
                <w:b w:val="1"/>
                <w:bCs w:val="1"/>
                <w:color w:val="333333"/>
                <w:vertAlign w:val="superscript"/>
              </w:rPr>
              <w:t>(1)</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80" w:type="dxa"/>
            <w:vAlign w:val="bottom"/>
          </w:tcPr>
          <w:p>
            <w:pPr>
              <w:spacing w:after="0"/>
              <w:rPr>
                <w:sz w:val="20"/>
                <w:szCs w:val="20"/>
                <w:color w:val="auto"/>
              </w:rPr>
            </w:pPr>
            <w:r>
              <w:rPr>
                <w:rFonts w:ascii="Arial" w:cs="Arial" w:eastAsia="Arial" w:hAnsi="Arial"/>
                <w:sz w:val="14"/>
                <w:szCs w:val="14"/>
                <w:b w:val="1"/>
                <w:bCs w:val="1"/>
                <w:color w:val="333333"/>
              </w:rPr>
              <w:t>Adjusted</w:t>
            </w:r>
          </w:p>
        </w:tc>
        <w:tc>
          <w:tcPr>
            <w:tcW w:w="720" w:type="dxa"/>
            <w:vAlign w:val="bottom"/>
            <w:vMerge w:val="restart"/>
          </w:tcPr>
          <w:p>
            <w:pPr>
              <w:jc w:val="right"/>
              <w:ind w:right="248"/>
              <w:spacing w:after="0"/>
              <w:rPr>
                <w:sz w:val="20"/>
                <w:szCs w:val="20"/>
                <w:color w:val="auto"/>
              </w:rPr>
            </w:pPr>
            <w:r>
              <w:rPr>
                <w:rFonts w:ascii="Arial" w:cs="Arial" w:eastAsia="Arial" w:hAnsi="Arial"/>
                <w:sz w:val="14"/>
                <w:szCs w:val="14"/>
                <w:color w:val="333333"/>
              </w:rPr>
              <w:t>50%</w:t>
            </w:r>
          </w:p>
        </w:tc>
        <w:tc>
          <w:tcPr>
            <w:tcW w:w="900" w:type="dxa"/>
            <w:vAlign w:val="bottom"/>
            <w:vMerge w:val="restart"/>
          </w:tcPr>
          <w:p>
            <w:pPr>
              <w:ind w:left="340"/>
              <w:spacing w:after="0"/>
              <w:rPr>
                <w:sz w:val="20"/>
                <w:szCs w:val="20"/>
                <w:color w:val="auto"/>
              </w:rPr>
            </w:pPr>
            <w:r>
              <w:rPr>
                <w:rFonts w:ascii="Arial" w:cs="Arial" w:eastAsia="Arial" w:hAnsi="Arial"/>
                <w:sz w:val="14"/>
                <w:szCs w:val="14"/>
                <w:color w:val="333333"/>
              </w:rPr>
              <w:t>$​16.66</w:t>
            </w:r>
          </w:p>
        </w:tc>
        <w:tc>
          <w:tcPr>
            <w:tcW w:w="0" w:type="dxa"/>
            <w:vAlign w:val="bottom"/>
          </w:tcPr>
          <w:p>
            <w:pPr>
              <w:spacing w:after="0"/>
              <w:rPr>
                <w:sz w:val="1"/>
                <w:szCs w:val="1"/>
                <w:color w:val="auto"/>
              </w:rPr>
            </w:pPr>
          </w:p>
        </w:tc>
      </w:tr>
      <w:tr>
        <w:trPr>
          <w:trHeight w:val="109"/>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333333"/>
              </w:rPr>
              <w:t>EPS-COMP</w:t>
            </w:r>
          </w:p>
        </w:tc>
        <w:tc>
          <w:tcPr>
            <w:tcW w:w="7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9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8"/>
        </w:trPr>
        <w:tc>
          <w:tcPr>
            <w:tcW w:w="980" w:type="dxa"/>
            <w:vAlign w:val="bottom"/>
          </w:tcPr>
          <w:p>
            <w:pPr>
              <w:spacing w:after="0"/>
              <w:rPr>
                <w:sz w:val="20"/>
                <w:szCs w:val="20"/>
                <w:color w:val="auto"/>
              </w:rPr>
            </w:pPr>
            <w:r>
              <w:rPr>
                <w:rFonts w:ascii="Arial" w:cs="Arial" w:eastAsia="Arial" w:hAnsi="Arial"/>
                <w:sz w:val="28"/>
                <w:szCs w:val="28"/>
                <w:b w:val="1"/>
                <w:bCs w:val="1"/>
                <w:color w:val="333333"/>
                <w:vertAlign w:val="subscript"/>
              </w:rPr>
              <w:t>M&amp;A</w:t>
            </w:r>
            <w:r>
              <w:rPr>
                <w:rFonts w:ascii="Arial" w:cs="Arial" w:eastAsia="Arial" w:hAnsi="Arial"/>
                <w:sz w:val="12"/>
                <w:szCs w:val="12"/>
                <w:b w:val="1"/>
                <w:bCs w:val="1"/>
                <w:color w:val="333333"/>
              </w:rPr>
              <w:t>(2)</w:t>
            </w:r>
          </w:p>
        </w:tc>
        <w:tc>
          <w:tcPr>
            <w:tcW w:w="720" w:type="dxa"/>
            <w:vAlign w:val="bottom"/>
          </w:tcPr>
          <w:p>
            <w:pPr>
              <w:jc w:val="right"/>
              <w:ind w:right="248"/>
              <w:spacing w:after="0"/>
              <w:rPr>
                <w:sz w:val="20"/>
                <w:szCs w:val="20"/>
                <w:color w:val="auto"/>
              </w:rPr>
            </w:pPr>
            <w:r>
              <w:rPr>
                <w:rFonts w:ascii="Arial" w:cs="Arial" w:eastAsia="Arial" w:hAnsi="Arial"/>
                <w:sz w:val="14"/>
                <w:szCs w:val="14"/>
                <w:color w:val="333333"/>
              </w:rPr>
              <w:t>25%</w:t>
            </w:r>
          </w:p>
        </w:tc>
        <w:tc>
          <w:tcPr>
            <w:tcW w:w="900" w:type="dxa"/>
            <w:vAlign w:val="bottom"/>
          </w:tcPr>
          <w:p>
            <w:pPr>
              <w:ind w:left="340"/>
              <w:spacing w:after="0"/>
              <w:rPr>
                <w:sz w:val="20"/>
                <w:szCs w:val="20"/>
                <w:color w:val="auto"/>
              </w:rPr>
            </w:pPr>
            <w:r>
              <w:rPr>
                <w:rFonts w:ascii="Arial" w:cs="Arial" w:eastAsia="Arial" w:hAnsi="Arial"/>
                <w:sz w:val="14"/>
                <w:szCs w:val="14"/>
                <w:color w:val="333333"/>
              </w:rPr>
              <w:t>$750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20"/>
                <w:szCs w:val="20"/>
                <w:color w:val="auto"/>
              </w:rPr>
            </w:pPr>
            <w:r>
              <w:rPr>
                <w:rFonts w:ascii="Arial" w:cs="Arial" w:eastAsia="Arial" w:hAnsi="Arial"/>
                <w:sz w:val="14"/>
                <w:szCs w:val="14"/>
                <w:color w:val="333333"/>
              </w:rPr>
              <w:t>​$3,716.6</w:t>
            </w:r>
          </w:p>
        </w:tc>
        <w:tc>
          <w:tcPr>
            <w:tcW w:w="780" w:type="dxa"/>
            <w:vAlign w:val="bottom"/>
          </w:tcPr>
          <w:p>
            <w:pPr>
              <w:ind w:left="120"/>
              <w:spacing w:after="0"/>
              <w:rPr>
                <w:sz w:val="20"/>
                <w:szCs w:val="20"/>
                <w:color w:val="auto"/>
              </w:rPr>
            </w:pPr>
            <w:r>
              <w:rPr>
                <w:rFonts w:ascii="Arial" w:cs="Arial" w:eastAsia="Arial" w:hAnsi="Arial"/>
                <w:sz w:val="14"/>
                <w:szCs w:val="14"/>
                <w:color w:val="333333"/>
              </w:rPr>
              <w:t>​$3,754.5</w:t>
            </w:r>
          </w:p>
        </w:tc>
        <w:tc>
          <w:tcPr>
            <w:tcW w:w="720" w:type="dxa"/>
            <w:vAlign w:val="bottom"/>
          </w:tcPr>
          <w:p>
            <w:pPr>
              <w:ind w:left="120"/>
              <w:spacing w:after="0"/>
              <w:rPr>
                <w:sz w:val="20"/>
                <w:szCs w:val="20"/>
                <w:color w:val="auto"/>
              </w:rPr>
            </w:pPr>
            <w:r>
              <w:rPr>
                <w:rFonts w:ascii="Arial" w:cs="Arial" w:eastAsia="Arial" w:hAnsi="Arial"/>
                <w:sz w:val="14"/>
                <w:szCs w:val="14"/>
                <w:color w:val="333333"/>
              </w:rPr>
              <w:t>$​3,792.4</w:t>
            </w:r>
          </w:p>
        </w:tc>
        <w:tc>
          <w:tcPr>
            <w:tcW w:w="800" w:type="dxa"/>
            <w:vAlign w:val="bottom"/>
            <w:gridSpan w:val="3"/>
          </w:tcPr>
          <w:p>
            <w:pPr>
              <w:ind w:left="180"/>
              <w:spacing w:after="0"/>
              <w:rPr>
                <w:sz w:val="20"/>
                <w:szCs w:val="20"/>
                <w:color w:val="auto"/>
              </w:rPr>
            </w:pPr>
            <w:r>
              <w:rPr>
                <w:rFonts w:ascii="Arial" w:cs="Arial" w:eastAsia="Arial" w:hAnsi="Arial"/>
                <w:sz w:val="14"/>
                <w:szCs w:val="14"/>
                <w:color w:val="333333"/>
              </w:rPr>
              <w:t>$​3,830.3</w:t>
            </w:r>
          </w:p>
        </w:tc>
        <w:tc>
          <w:tcPr>
            <w:tcW w:w="1020" w:type="dxa"/>
            <w:vAlign w:val="bottom"/>
          </w:tcPr>
          <w:p>
            <w:pPr>
              <w:ind w:left="160"/>
              <w:spacing w:after="0"/>
              <w:rPr>
                <w:sz w:val="20"/>
                <w:szCs w:val="20"/>
                <w:color w:val="auto"/>
              </w:rPr>
            </w:pPr>
            <w:r>
              <w:rPr>
                <w:rFonts w:ascii="Arial" w:cs="Arial" w:eastAsia="Arial" w:hAnsi="Arial"/>
                <w:sz w:val="14"/>
                <w:szCs w:val="14"/>
                <w:color w:val="333333"/>
              </w:rPr>
              <w:t>$​3,868.2</w:t>
            </w:r>
          </w:p>
        </w:tc>
        <w:tc>
          <w:tcPr>
            <w:tcW w:w="680" w:type="dxa"/>
            <w:vAlign w:val="bottom"/>
            <w:gridSpan w:val="2"/>
          </w:tcPr>
          <w:p>
            <w:pPr>
              <w:ind w:left="20"/>
              <w:spacing w:after="0"/>
              <w:rPr>
                <w:sz w:val="20"/>
                <w:szCs w:val="20"/>
                <w:color w:val="auto"/>
              </w:rPr>
            </w:pPr>
            <w:r>
              <w:rPr>
                <w:rFonts w:ascii="Arial" w:cs="Arial" w:eastAsia="Arial" w:hAnsi="Arial"/>
                <w:sz w:val="14"/>
                <w:szCs w:val="14"/>
                <w:color w:val="333333"/>
              </w:rPr>
              <w:t>$3,771.4</w:t>
            </w:r>
          </w:p>
        </w:tc>
        <w:tc>
          <w:tcPr>
            <w:tcW w:w="26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333333"/>
              </w:rPr>
              <w:t>75%</w:t>
            </w:r>
          </w:p>
        </w:tc>
        <w:tc>
          <w:tcPr>
            <w:tcW w:w="0" w:type="dxa"/>
            <w:vAlign w:val="bottom"/>
          </w:tcPr>
          <w:p>
            <w:pPr>
              <w:spacing w:after="0"/>
              <w:rPr>
                <w:sz w:val="1"/>
                <w:szCs w:val="1"/>
                <w:color w:val="auto"/>
              </w:rPr>
            </w:pPr>
          </w:p>
        </w:tc>
      </w:tr>
      <w:tr>
        <w:trPr>
          <w:trHeight w:val="770"/>
        </w:trPr>
        <w:tc>
          <w:tcPr>
            <w:tcW w:w="660" w:type="dxa"/>
            <w:vAlign w:val="bottom"/>
          </w:tcPr>
          <w:p>
            <w:pPr>
              <w:spacing w:after="0"/>
              <w:rPr>
                <w:sz w:val="20"/>
                <w:szCs w:val="20"/>
                <w:color w:val="auto"/>
              </w:rPr>
            </w:pPr>
            <w:r>
              <w:rPr>
                <w:rFonts w:ascii="Arial" w:cs="Arial" w:eastAsia="Arial" w:hAnsi="Arial"/>
                <w:sz w:val="14"/>
                <w:szCs w:val="14"/>
                <w:color w:val="333333"/>
              </w:rPr>
              <w:t>$​16.33</w:t>
            </w:r>
          </w:p>
        </w:tc>
        <w:tc>
          <w:tcPr>
            <w:tcW w:w="780" w:type="dxa"/>
            <w:vAlign w:val="bottom"/>
          </w:tcPr>
          <w:p>
            <w:pPr>
              <w:ind w:left="120"/>
              <w:spacing w:after="0"/>
              <w:rPr>
                <w:sz w:val="20"/>
                <w:szCs w:val="20"/>
                <w:color w:val="auto"/>
              </w:rPr>
            </w:pPr>
            <w:r>
              <w:rPr>
                <w:rFonts w:ascii="Arial" w:cs="Arial" w:eastAsia="Arial" w:hAnsi="Arial"/>
                <w:sz w:val="14"/>
                <w:szCs w:val="14"/>
                <w:color w:val="333333"/>
              </w:rPr>
              <w:t>$​16.49</w:t>
            </w:r>
          </w:p>
        </w:tc>
        <w:tc>
          <w:tcPr>
            <w:tcW w:w="720" w:type="dxa"/>
            <w:vAlign w:val="bottom"/>
          </w:tcPr>
          <w:p>
            <w:pPr>
              <w:ind w:left="120"/>
              <w:spacing w:after="0"/>
              <w:rPr>
                <w:sz w:val="20"/>
                <w:szCs w:val="20"/>
                <w:color w:val="auto"/>
              </w:rPr>
            </w:pPr>
            <w:r>
              <w:rPr>
                <w:rFonts w:ascii="Arial" w:cs="Arial" w:eastAsia="Arial" w:hAnsi="Arial"/>
                <w:sz w:val="14"/>
                <w:szCs w:val="14"/>
                <w:color w:val="333333"/>
              </w:rPr>
              <w:t>$​16.66</w:t>
            </w:r>
          </w:p>
        </w:tc>
        <w:tc>
          <w:tcPr>
            <w:tcW w:w="800" w:type="dxa"/>
            <w:vAlign w:val="bottom"/>
            <w:gridSpan w:val="3"/>
          </w:tcPr>
          <w:p>
            <w:pPr>
              <w:ind w:left="180"/>
              <w:spacing w:after="0"/>
              <w:rPr>
                <w:sz w:val="20"/>
                <w:szCs w:val="20"/>
                <w:color w:val="auto"/>
              </w:rPr>
            </w:pPr>
            <w:r>
              <w:rPr>
                <w:rFonts w:ascii="Arial" w:cs="Arial" w:eastAsia="Arial" w:hAnsi="Arial"/>
                <w:sz w:val="14"/>
                <w:szCs w:val="14"/>
                <w:color w:val="333333"/>
              </w:rPr>
              <w:t>​$16.83</w:t>
            </w:r>
          </w:p>
        </w:tc>
        <w:tc>
          <w:tcPr>
            <w:tcW w:w="1020" w:type="dxa"/>
            <w:vAlign w:val="bottom"/>
          </w:tcPr>
          <w:p>
            <w:pPr>
              <w:ind w:left="160"/>
              <w:spacing w:after="0"/>
              <w:rPr>
                <w:sz w:val="20"/>
                <w:szCs w:val="20"/>
                <w:color w:val="auto"/>
              </w:rPr>
            </w:pPr>
            <w:r>
              <w:rPr>
                <w:rFonts w:ascii="Arial" w:cs="Arial" w:eastAsia="Arial" w:hAnsi="Arial"/>
                <w:sz w:val="14"/>
                <w:szCs w:val="14"/>
                <w:color w:val="333333"/>
              </w:rPr>
              <w:t>$​16.99</w:t>
            </w:r>
          </w:p>
        </w:tc>
        <w:tc>
          <w:tcPr>
            <w:tcW w:w="940" w:type="dxa"/>
            <w:vAlign w:val="bottom"/>
            <w:gridSpan w:val="3"/>
          </w:tcPr>
          <w:p>
            <w:pPr>
              <w:ind w:left="20"/>
              <w:spacing w:after="0"/>
              <w:rPr>
                <w:sz w:val="20"/>
                <w:szCs w:val="20"/>
                <w:color w:val="auto"/>
              </w:rPr>
            </w:pPr>
            <w:r>
              <w:rPr>
                <w:rFonts w:ascii="Arial" w:cs="Arial" w:eastAsia="Arial" w:hAnsi="Arial"/>
                <w:sz w:val="14"/>
                <w:szCs w:val="14"/>
                <w:color w:val="333333"/>
              </w:rPr>
              <w:t>$​17.18</w:t>
            </w:r>
          </w:p>
        </w:tc>
        <w:tc>
          <w:tcPr>
            <w:tcW w:w="400" w:type="dxa"/>
            <w:vAlign w:val="bottom"/>
          </w:tcPr>
          <w:p>
            <w:pPr>
              <w:ind w:left="20"/>
              <w:spacing w:after="0"/>
              <w:rPr>
                <w:sz w:val="20"/>
                <w:szCs w:val="20"/>
                <w:color w:val="auto"/>
              </w:rPr>
            </w:pPr>
            <w:r>
              <w:rPr>
                <w:rFonts w:ascii="Arial" w:cs="Arial" w:eastAsia="Arial" w:hAnsi="Arial"/>
                <w:sz w:val="14"/>
                <w:szCs w:val="14"/>
                <w:color w:val="333333"/>
              </w:rPr>
              <w:t>200%</w:t>
            </w:r>
          </w:p>
        </w:tc>
        <w:tc>
          <w:tcPr>
            <w:tcW w:w="0" w:type="dxa"/>
            <w:vAlign w:val="bottom"/>
          </w:tcPr>
          <w:p>
            <w:pPr>
              <w:spacing w:after="0"/>
              <w:rPr>
                <w:sz w:val="1"/>
                <w:szCs w:val="1"/>
                <w:color w:val="auto"/>
              </w:rPr>
            </w:pPr>
          </w:p>
        </w:tc>
      </w:tr>
      <w:tr>
        <w:trPr>
          <w:trHeight w:val="566"/>
        </w:trPr>
        <w:tc>
          <w:tcPr>
            <w:tcW w:w="3980" w:type="dxa"/>
            <w:vAlign w:val="bottom"/>
            <w:gridSpan w:val="7"/>
          </w:tcPr>
          <w:p>
            <w:pPr>
              <w:jc w:val="center"/>
              <w:ind w:right="168"/>
              <w:spacing w:after="0"/>
              <w:rPr>
                <w:sz w:val="20"/>
                <w:szCs w:val="20"/>
                <w:color w:val="auto"/>
              </w:rPr>
            </w:pPr>
            <w:r>
              <w:rPr>
                <w:rFonts w:ascii="Arial" w:cs="Arial" w:eastAsia="Arial" w:hAnsi="Arial"/>
                <w:sz w:val="14"/>
                <w:szCs w:val="14"/>
                <w:color w:val="333333"/>
              </w:rPr>
              <w:t>Pays at 0.06% of total transaction value up to</w:t>
            </w:r>
          </w:p>
        </w:tc>
        <w:tc>
          <w:tcPr>
            <w:tcW w:w="520" w:type="dxa"/>
            <w:vAlign w:val="bottom"/>
            <w:vMerge w:val="restart"/>
          </w:tcPr>
          <w:p>
            <w:pPr>
              <w:ind w:left="20"/>
              <w:spacing w:after="0"/>
              <w:rPr>
                <w:sz w:val="20"/>
                <w:szCs w:val="20"/>
                <w:color w:val="auto"/>
              </w:rPr>
            </w:pPr>
            <w:r>
              <w:rPr>
                <w:rFonts w:ascii="Arial" w:cs="Arial" w:eastAsia="Arial" w:hAnsi="Arial"/>
                <w:sz w:val="14"/>
                <w:szCs w:val="14"/>
                <w:color w:val="333333"/>
              </w:rPr>
              <w:t>$969.7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vMerge w:val="restart"/>
          </w:tcPr>
          <w:p>
            <w:pPr>
              <w:ind w:left="20"/>
              <w:spacing w:after="0"/>
              <w:rPr>
                <w:sz w:val="20"/>
                <w:szCs w:val="20"/>
                <w:color w:val="auto"/>
              </w:rPr>
            </w:pPr>
            <w:r>
              <w:rPr>
                <w:rFonts w:ascii="Arial" w:cs="Arial" w:eastAsia="Arial" w:hAnsi="Arial"/>
                <w:sz w:val="14"/>
                <w:szCs w:val="14"/>
                <w:color w:val="333333"/>
              </w:rPr>
              <w:t>120%</w:t>
            </w:r>
          </w:p>
        </w:tc>
        <w:tc>
          <w:tcPr>
            <w:tcW w:w="0" w:type="dxa"/>
            <w:vAlign w:val="bottom"/>
          </w:tcPr>
          <w:p>
            <w:pPr>
              <w:spacing w:after="0"/>
              <w:rPr>
                <w:sz w:val="1"/>
                <w:szCs w:val="1"/>
                <w:color w:val="auto"/>
              </w:rPr>
            </w:pPr>
          </w:p>
        </w:tc>
      </w:tr>
      <w:tr>
        <w:trPr>
          <w:trHeight w:val="109"/>
        </w:trPr>
        <w:tc>
          <w:tcPr>
            <w:tcW w:w="660" w:type="dxa"/>
            <w:vAlign w:val="bottom"/>
          </w:tcPr>
          <w:p>
            <w:pPr>
              <w:spacing w:after="0"/>
              <w:rPr>
                <w:sz w:val="9"/>
                <w:szCs w:val="9"/>
                <w:color w:val="auto"/>
              </w:rPr>
            </w:pPr>
          </w:p>
        </w:tc>
        <w:tc>
          <w:tcPr>
            <w:tcW w:w="2300" w:type="dxa"/>
            <w:vAlign w:val="bottom"/>
            <w:gridSpan w:val="5"/>
            <w:vMerge w:val="restart"/>
          </w:tcPr>
          <w:p>
            <w:pPr>
              <w:jc w:val="center"/>
              <w:ind w:left="88"/>
              <w:spacing w:after="0"/>
              <w:rPr>
                <w:sz w:val="20"/>
                <w:szCs w:val="20"/>
                <w:color w:val="auto"/>
              </w:rPr>
            </w:pPr>
            <w:r>
              <w:rPr>
                <w:rFonts w:ascii="Arial" w:cs="Arial" w:eastAsia="Arial" w:hAnsi="Arial"/>
                <w:sz w:val="14"/>
                <w:szCs w:val="14"/>
                <w:color w:val="333333"/>
              </w:rPr>
              <w:t>maximum payout of $900,000</w:t>
            </w:r>
          </w:p>
        </w:tc>
        <w:tc>
          <w:tcPr>
            <w:tcW w:w="10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2300" w:type="dxa"/>
            <w:vAlign w:val="bottom"/>
            <w:gridSpan w:val="5"/>
            <w:vMerge w:val="continue"/>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5"/>
        </w:trPr>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Target payout</w:t>
            </w:r>
          </w:p>
        </w:tc>
        <w:tc>
          <w:tcPr>
            <w:tcW w:w="5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​$1,800,000</w:t>
            </w:r>
          </w:p>
        </w:tc>
        <w:tc>
          <w:tcPr>
            <w:tcW w:w="0" w:type="dxa"/>
            <w:vAlign w:val="bottom"/>
          </w:tcPr>
          <w:p>
            <w:pPr>
              <w:spacing w:after="0"/>
              <w:rPr>
                <w:sz w:val="1"/>
                <w:szCs w:val="1"/>
                <w:color w:val="auto"/>
              </w:rPr>
            </w:pPr>
          </w:p>
        </w:tc>
      </w:tr>
      <w:tr>
        <w:trPr>
          <w:trHeight w:val="324"/>
        </w:trPr>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Formulaic Total Payout %</w:t>
            </w:r>
          </w:p>
        </w:tc>
        <w:tc>
          <w:tcPr>
            <w:tcW w:w="940" w:type="dxa"/>
            <w:vAlign w:val="bottom"/>
            <w:gridSpan w:val="3"/>
          </w:tcPr>
          <w:p>
            <w:pPr>
              <w:ind w:left="520"/>
              <w:spacing w:after="0"/>
              <w:rPr>
                <w:sz w:val="20"/>
                <w:szCs w:val="20"/>
                <w:color w:val="auto"/>
              </w:rPr>
            </w:pPr>
            <w:r>
              <w:rPr>
                <w:rFonts w:ascii="Arial" w:cs="Arial" w:eastAsia="Arial" w:hAnsi="Arial"/>
                <w:sz w:val="14"/>
                <w:szCs w:val="14"/>
                <w:b w:val="1"/>
                <w:bCs w:val="1"/>
                <w:color w:val="auto"/>
              </w:rPr>
              <w:t>149%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Formulaic Initial Calculated Payout</w:t>
            </w:r>
          </w:p>
        </w:tc>
        <w:tc>
          <w:tcPr>
            <w:tcW w:w="5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​$2,677,500</w:t>
            </w:r>
          </w:p>
        </w:tc>
        <w:tc>
          <w:tcPr>
            <w:tcW w:w="0" w:type="dxa"/>
            <w:vAlign w:val="bottom"/>
          </w:tcPr>
          <w:p>
            <w:pPr>
              <w:spacing w:after="0"/>
              <w:rPr>
                <w:sz w:val="1"/>
                <w:szCs w:val="1"/>
                <w:color w:val="auto"/>
              </w:rPr>
            </w:pPr>
          </w:p>
        </w:tc>
      </w:tr>
      <w:tr>
        <w:trPr>
          <w:trHeight w:val="285"/>
        </w:trPr>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Less Target RSU value</w:t>
            </w:r>
          </w:p>
        </w:tc>
        <w:tc>
          <w:tcPr>
            <w:tcW w:w="1340" w:type="dxa"/>
            <w:vAlign w:val="bottom"/>
            <w:gridSpan w:val="4"/>
          </w:tcPr>
          <w:p>
            <w:pPr>
              <w:ind w:left="520"/>
              <w:spacing w:after="0"/>
              <w:rPr>
                <w:sz w:val="20"/>
                <w:szCs w:val="20"/>
                <w:color w:val="auto"/>
              </w:rPr>
            </w:pPr>
            <w:r>
              <w:rPr>
                <w:rFonts w:ascii="Arial" w:cs="Arial" w:eastAsia="Arial" w:hAnsi="Arial"/>
                <w:sz w:val="14"/>
                <w:szCs w:val="14"/>
                <w:b w:val="1"/>
                <w:bCs w:val="1"/>
                <w:color w:val="auto"/>
              </w:rPr>
              <w:t>$1,440,000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Formulaic Cash Payout</w:t>
            </w:r>
          </w:p>
        </w:tc>
        <w:tc>
          <w:tcPr>
            <w:tcW w:w="5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​$1,237,500</w:t>
            </w:r>
          </w:p>
        </w:tc>
        <w:tc>
          <w:tcPr>
            <w:tcW w:w="0" w:type="dxa"/>
            <w:vAlign w:val="bottom"/>
          </w:tcPr>
          <w:p>
            <w:pPr>
              <w:spacing w:after="0"/>
              <w:rPr>
                <w:sz w:val="1"/>
                <w:szCs w:val="1"/>
                <w:color w:val="auto"/>
              </w:rPr>
            </w:pPr>
          </w:p>
        </w:tc>
      </w:tr>
      <w:tr>
        <w:trPr>
          <w:trHeight w:val="285"/>
        </w:trPr>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Actual Cash Payout</w:t>
            </w:r>
          </w:p>
        </w:tc>
        <w:tc>
          <w:tcPr>
            <w:tcW w:w="52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0</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-1974215</wp:posOffset>
            </wp:positionH>
            <wp:positionV relativeFrom="paragraph">
              <wp:posOffset>-2091055</wp:posOffset>
            </wp:positionV>
            <wp:extent cx="5554980" cy="4286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55498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0" w:space="380"/>
            <w:col w:w="5779"/>
          </w:cols>
          <w:pgMar w:left="920" w:top="114" w:right="1440" w:bottom="1440" w:gutter="0" w:footer="0" w:header="0"/>
          <w:type w:val="continuous"/>
        </w:sectPr>
      </w:pPr>
    </w:p>
    <w:p>
      <w:pPr>
        <w:spacing w:after="0" w:line="54" w:lineRule="exact"/>
        <w:rPr>
          <w:sz w:val="20"/>
          <w:szCs w:val="20"/>
          <w:color w:val="auto"/>
        </w:rPr>
      </w:pPr>
    </w:p>
    <w:p>
      <w:pPr>
        <w:ind w:left="840" w:hanging="190"/>
        <w:spacing w:after="0"/>
        <w:tabs>
          <w:tab w:leader="none" w:pos="840" w:val="left"/>
        </w:tabs>
        <w:numPr>
          <w:ilvl w:val="0"/>
          <w:numId w:val="63"/>
        </w:numPr>
        <w:rPr>
          <w:rFonts w:ascii="Arial" w:cs="Arial" w:eastAsia="Arial" w:hAnsi="Arial"/>
          <w:sz w:val="12"/>
          <w:szCs w:val="12"/>
          <w:i w:val="1"/>
          <w:iCs w:val="1"/>
          <w:color w:val="333333"/>
        </w:rPr>
      </w:pPr>
      <w:r>
        <w:rPr>
          <w:rFonts w:ascii="Arial" w:cs="Arial" w:eastAsia="Arial" w:hAnsi="Arial"/>
          <w:sz w:val="12"/>
          <w:szCs w:val="12"/>
          <w:i w:val="1"/>
          <w:iCs w:val="1"/>
          <w:color w:val="333333"/>
        </w:rPr>
        <w:t>Adjusted to be consistent with the macro-economic environment assumed in the 2023 budget, and excludes the impact of acquisitions and divestitures.</w:t>
      </w:r>
    </w:p>
    <w:p>
      <w:pPr>
        <w:spacing w:after="0" w:line="20" w:lineRule="exact"/>
        <w:rPr>
          <w:rFonts w:ascii="Arial" w:cs="Arial" w:eastAsia="Arial" w:hAnsi="Arial"/>
          <w:sz w:val="12"/>
          <w:szCs w:val="12"/>
          <w:i w:val="1"/>
          <w:iCs w:val="1"/>
          <w:color w:val="333333"/>
        </w:rPr>
      </w:pPr>
    </w:p>
    <w:p>
      <w:pPr>
        <w:ind w:left="660" w:right="359" w:hanging="10"/>
        <w:spacing w:after="0" w:line="231" w:lineRule="auto"/>
        <w:tabs>
          <w:tab w:leader="none" w:pos="849" w:val="left"/>
        </w:tabs>
        <w:numPr>
          <w:ilvl w:val="0"/>
          <w:numId w:val="63"/>
        </w:numPr>
        <w:rPr>
          <w:rFonts w:ascii="Arial" w:cs="Arial" w:eastAsia="Arial" w:hAnsi="Arial"/>
          <w:sz w:val="13"/>
          <w:szCs w:val="13"/>
          <w:i w:val="1"/>
          <w:iCs w:val="1"/>
          <w:color w:val="333333"/>
        </w:rPr>
      </w:pPr>
      <w:r>
        <w:rPr>
          <w:rFonts w:ascii="Arial" w:cs="Arial" w:eastAsia="Arial" w:hAnsi="Arial"/>
          <w:sz w:val="13"/>
          <w:szCs w:val="13"/>
          <w:i w:val="1"/>
          <w:iCs w:val="1"/>
          <w:color w:val="333333"/>
        </w:rPr>
        <w:t>Based upon the aggregate transaction value of material mergers and acquisitions, divestitures or joint ventures for which the Company signs definitive documentation during the year.</w:t>
      </w:r>
    </w:p>
    <w:p>
      <w:pPr>
        <w:spacing w:after="0" w:line="191"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40 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125095</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CF1D4C"/>
        </w:rPr>
        <w:t>COMPENSATION DISCUSSION AND ANALYSIS</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Tom Panther: </w:t>
      </w:r>
      <w:r>
        <w:rPr>
          <w:rFonts w:ascii="Arial" w:cs="Arial" w:eastAsia="Arial" w:hAnsi="Arial"/>
          <w:sz w:val="16"/>
          <w:szCs w:val="16"/>
          <w:color w:val="333333"/>
        </w:rPr>
        <w:t>The cash portion of Mr. Panther’s 2023 annual incentive was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114935</wp:posOffset>
            </wp:positionV>
            <wp:extent cx="5554980" cy="9086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554980" cy="908685"/>
                    </a:xfrm>
                    <a:prstGeom prst="rect">
                      <a:avLst/>
                    </a:prstGeom>
                    <a:noFill/>
                  </pic:spPr>
                </pic:pic>
              </a:graphicData>
            </a:graphic>
          </wp:anchor>
        </w:drawing>
      </w:r>
    </w:p>
    <w:p>
      <w:pPr>
        <w:spacing w:after="0" w:line="367" w:lineRule="exact"/>
        <w:rPr>
          <w:sz w:val="20"/>
          <w:szCs w:val="20"/>
          <w:color w:val="auto"/>
        </w:rPr>
      </w:pPr>
    </w:p>
    <w:p>
      <w:pPr>
        <w:jc w:val="center"/>
        <w:ind w:right="1840"/>
        <w:spacing w:after="0"/>
        <w:rPr>
          <w:sz w:val="20"/>
          <w:szCs w:val="20"/>
          <w:color w:val="auto"/>
        </w:rPr>
      </w:pPr>
      <w:r>
        <w:rPr>
          <w:rFonts w:ascii="Arial" w:cs="Arial" w:eastAsia="Arial" w:hAnsi="Arial"/>
          <w:sz w:val="12"/>
          <w:szCs w:val="12"/>
          <w:b w:val="1"/>
          <w:bCs w:val="1"/>
          <w:color w:val="FFFFFF"/>
        </w:rPr>
        <w:t>GOALS</w:t>
      </w:r>
    </w:p>
    <w:p>
      <w:pPr>
        <w:spacing w:after="0" w:line="9" w:lineRule="exact"/>
        <w:rPr>
          <w:sz w:val="20"/>
          <w:szCs w:val="20"/>
          <w:color w:val="auto"/>
        </w:rPr>
      </w:pPr>
    </w:p>
    <w:p>
      <w:pPr>
        <w:jc w:val="center"/>
        <w:ind w:right="1840"/>
        <w:spacing w:after="0"/>
        <w:rPr>
          <w:sz w:val="20"/>
          <w:szCs w:val="20"/>
          <w:color w:val="auto"/>
        </w:rPr>
      </w:pPr>
      <w:r>
        <w:rPr>
          <w:rFonts w:ascii="Arial" w:cs="Arial" w:eastAsia="Arial" w:hAnsi="Arial"/>
          <w:sz w:val="12"/>
          <w:szCs w:val="12"/>
          <w:b w:val="1"/>
          <w:bCs w:val="1"/>
          <w:color w:val="FFFFFF"/>
        </w:rPr>
        <w:t>($ values in millions)</w:t>
      </w:r>
    </w:p>
    <w:p>
      <w:pPr>
        <w:spacing w:after="0" w:line="57" w:lineRule="exact"/>
        <w:rPr>
          <w:sz w:val="20"/>
          <w:szCs w:val="20"/>
          <w:color w:val="auto"/>
        </w:rPr>
      </w:pPr>
    </w:p>
    <w:tbl>
      <w:tblPr>
        <w:tblLayout w:type="fixed"/>
        <w:tblInd w:w="64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980" w:type="dxa"/>
            <w:vAlign w:val="bottom"/>
            <w:tcBorders>
              <w:bottom w:val="single" w:sz="8" w:color="CF1D4C"/>
            </w:tcBorders>
          </w:tcPr>
          <w:p>
            <w:pPr>
              <w:spacing w:after="0"/>
              <w:rPr>
                <w:sz w:val="12"/>
                <w:szCs w:val="12"/>
                <w:color w:val="auto"/>
              </w:rPr>
            </w:pPr>
          </w:p>
        </w:tc>
        <w:tc>
          <w:tcPr>
            <w:tcW w:w="720" w:type="dxa"/>
            <w:vAlign w:val="bottom"/>
            <w:tcBorders>
              <w:bottom w:val="single" w:sz="8" w:color="CF1D4C"/>
            </w:tcBorders>
          </w:tcPr>
          <w:p>
            <w:pPr>
              <w:spacing w:after="0"/>
              <w:rPr>
                <w:sz w:val="12"/>
                <w:szCs w:val="12"/>
                <w:color w:val="auto"/>
              </w:rPr>
            </w:pPr>
          </w:p>
        </w:tc>
        <w:tc>
          <w:tcPr>
            <w:tcW w:w="760" w:type="dxa"/>
            <w:vAlign w:val="bottom"/>
            <w:tcBorders>
              <w:bottom w:val="single" w:sz="8" w:color="CF1D4C"/>
            </w:tcBorders>
          </w:tcPr>
          <w:p>
            <w:pPr>
              <w:spacing w:after="0"/>
              <w:rPr>
                <w:sz w:val="12"/>
                <w:szCs w:val="12"/>
                <w:color w:val="auto"/>
              </w:rPr>
            </w:pPr>
          </w:p>
        </w:tc>
        <w:tc>
          <w:tcPr>
            <w:tcW w:w="700" w:type="dxa"/>
            <w:vAlign w:val="bottom"/>
            <w:tcBorders>
              <w:bottom w:val="single" w:sz="8" w:color="CF1D4C"/>
            </w:tcBorders>
          </w:tcPr>
          <w:p>
            <w:pPr>
              <w:spacing w:after="0"/>
              <w:rPr>
                <w:sz w:val="12"/>
                <w:szCs w:val="12"/>
                <w:color w:val="auto"/>
              </w:rPr>
            </w:pPr>
          </w:p>
        </w:tc>
        <w:tc>
          <w:tcPr>
            <w:tcW w:w="600" w:type="dxa"/>
            <w:vAlign w:val="bottom"/>
            <w:tcBorders>
              <w:bottom w:val="single" w:sz="8" w:color="CF1D4C"/>
            </w:tcBorders>
          </w:tcPr>
          <w:p>
            <w:pPr>
              <w:spacing w:after="0"/>
              <w:rPr>
                <w:sz w:val="12"/>
                <w:szCs w:val="12"/>
                <w:color w:val="auto"/>
              </w:rPr>
            </w:pPr>
          </w:p>
        </w:tc>
        <w:tc>
          <w:tcPr>
            <w:tcW w:w="600" w:type="dxa"/>
            <w:vAlign w:val="bottom"/>
            <w:tcBorders>
              <w:bottom w:val="single" w:sz="8" w:color="CF1D4C"/>
            </w:tcBorders>
          </w:tcPr>
          <w:p>
            <w:pPr>
              <w:spacing w:after="0"/>
              <w:rPr>
                <w:sz w:val="12"/>
                <w:szCs w:val="12"/>
                <w:color w:val="auto"/>
              </w:rPr>
            </w:pPr>
          </w:p>
        </w:tc>
        <w:tc>
          <w:tcPr>
            <w:tcW w:w="580" w:type="dxa"/>
            <w:vAlign w:val="bottom"/>
            <w:tcBorders>
              <w:bottom w:val="single" w:sz="8" w:color="CF1D4C"/>
            </w:tcBorders>
          </w:tcPr>
          <w:p>
            <w:pPr>
              <w:spacing w:after="0"/>
              <w:rPr>
                <w:sz w:val="12"/>
                <w:szCs w:val="12"/>
                <w:color w:val="auto"/>
              </w:rPr>
            </w:pPr>
          </w:p>
        </w:tc>
        <w:tc>
          <w:tcPr>
            <w:tcW w:w="580" w:type="dxa"/>
            <w:vAlign w:val="bottom"/>
            <w:tcBorders>
              <w:bottom w:val="single" w:sz="8" w:color="CF1D4C"/>
            </w:tcBorders>
          </w:tcPr>
          <w:p>
            <w:pPr>
              <w:spacing w:after="0"/>
              <w:rPr>
                <w:sz w:val="12"/>
                <w:szCs w:val="12"/>
                <w:color w:val="auto"/>
              </w:rPr>
            </w:pPr>
          </w:p>
        </w:tc>
        <w:tc>
          <w:tcPr>
            <w:tcW w:w="460" w:type="dxa"/>
            <w:vAlign w:val="bottom"/>
            <w:tcBorders>
              <w:bottom w:val="single" w:sz="8" w:color="CF1D4C"/>
            </w:tcBorders>
          </w:tcPr>
          <w:p>
            <w:pPr>
              <w:spacing w:after="0"/>
              <w:rPr>
                <w:sz w:val="12"/>
                <w:szCs w:val="12"/>
                <w:color w:val="auto"/>
              </w:rPr>
            </w:pPr>
          </w:p>
        </w:tc>
        <w:tc>
          <w:tcPr>
            <w:tcW w:w="120" w:type="dxa"/>
            <w:vAlign w:val="bottom"/>
            <w:tcBorders>
              <w:bottom w:val="single" w:sz="8" w:color="CF1D4C"/>
            </w:tcBorders>
          </w:tcPr>
          <w:p>
            <w:pPr>
              <w:spacing w:after="0"/>
              <w:rPr>
                <w:sz w:val="12"/>
                <w:szCs w:val="12"/>
                <w:color w:val="auto"/>
              </w:rPr>
            </w:pPr>
          </w:p>
        </w:tc>
        <w:tc>
          <w:tcPr>
            <w:tcW w:w="200" w:type="dxa"/>
            <w:vAlign w:val="bottom"/>
            <w:tcBorders>
              <w:bottom w:val="single" w:sz="8" w:color="CF1D4C"/>
            </w:tcBorders>
          </w:tcPr>
          <w:p>
            <w:pPr>
              <w:spacing w:after="0"/>
              <w:rPr>
                <w:sz w:val="12"/>
                <w:szCs w:val="12"/>
                <w:color w:val="auto"/>
              </w:rPr>
            </w:pPr>
          </w:p>
        </w:tc>
        <w:tc>
          <w:tcPr>
            <w:tcW w:w="500" w:type="dxa"/>
            <w:vAlign w:val="bottom"/>
            <w:tcBorders>
              <w:bottom w:val="single" w:sz="8" w:color="CF1D4C"/>
            </w:tcBorders>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gridSpan w:val="2"/>
          </w:tcPr>
          <w:p>
            <w:pPr>
              <w:spacing w:after="0"/>
              <w:rPr>
                <w:sz w:val="20"/>
                <w:szCs w:val="20"/>
                <w:color w:val="auto"/>
              </w:rPr>
            </w:pPr>
            <w:r>
              <w:rPr>
                <w:rFonts w:ascii="Arial" w:cs="Arial" w:eastAsia="Arial" w:hAnsi="Arial"/>
                <w:sz w:val="12"/>
                <w:szCs w:val="12"/>
                <w:b w:val="1"/>
                <w:bCs w:val="1"/>
                <w:color w:val="FFFFFF"/>
              </w:rPr>
              <w:t> </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980" w:type="dxa"/>
            <w:vAlign w:val="bottom"/>
            <w:shd w:val="clear" w:color="auto" w:fill="CF1D4C"/>
          </w:tcPr>
          <w:p>
            <w:pPr>
              <w:spacing w:after="0"/>
              <w:rPr>
                <w:sz w:val="11"/>
                <w:szCs w:val="11"/>
                <w:color w:val="auto"/>
              </w:rPr>
            </w:pPr>
          </w:p>
        </w:tc>
        <w:tc>
          <w:tcPr>
            <w:tcW w:w="720" w:type="dxa"/>
            <w:vAlign w:val="bottom"/>
            <w:shd w:val="clear" w:color="auto" w:fill="CF1D4C"/>
          </w:tcPr>
          <w:p>
            <w:pPr>
              <w:spacing w:after="0"/>
              <w:rPr>
                <w:sz w:val="11"/>
                <w:szCs w:val="11"/>
                <w:color w:val="auto"/>
              </w:rPr>
            </w:pPr>
          </w:p>
        </w:tc>
        <w:tc>
          <w:tcPr>
            <w:tcW w:w="760" w:type="dxa"/>
            <w:vAlign w:val="bottom"/>
            <w:vMerge w:val="restart"/>
            <w:shd w:val="clear" w:color="auto" w:fill="CF1D4C"/>
          </w:tcPr>
          <w:p>
            <w:pPr>
              <w:ind w:left="60"/>
              <w:spacing w:after="0"/>
              <w:rPr>
                <w:sz w:val="20"/>
                <w:szCs w:val="20"/>
                <w:color w:val="auto"/>
              </w:rPr>
            </w:pPr>
            <w:r>
              <w:rPr>
                <w:rFonts w:ascii="Arial" w:cs="Arial" w:eastAsia="Arial" w:hAnsi="Arial"/>
                <w:sz w:val="13"/>
                <w:szCs w:val="13"/>
                <w:b w:val="1"/>
                <w:bCs w:val="1"/>
                <w:color w:val="FFFFFF"/>
              </w:rPr>
              <w:t>Target</w:t>
            </w:r>
          </w:p>
        </w:tc>
        <w:tc>
          <w:tcPr>
            <w:tcW w:w="700" w:type="dxa"/>
            <w:vAlign w:val="bottom"/>
            <w:shd w:val="clear" w:color="auto" w:fill="CF1D4C"/>
          </w:tcPr>
          <w:p>
            <w:pPr>
              <w:spacing w:after="0"/>
              <w:rPr>
                <w:sz w:val="11"/>
                <w:szCs w:val="11"/>
                <w:color w:val="auto"/>
              </w:rPr>
            </w:pPr>
          </w:p>
        </w:tc>
        <w:tc>
          <w:tcPr>
            <w:tcW w:w="600" w:type="dxa"/>
            <w:vAlign w:val="bottom"/>
            <w:vMerge w:val="restart"/>
            <w:shd w:val="clear" w:color="auto" w:fill="CF1D4C"/>
          </w:tcPr>
          <w:p>
            <w:pPr>
              <w:ind w:left="60"/>
              <w:spacing w:after="0"/>
              <w:rPr>
                <w:sz w:val="20"/>
                <w:szCs w:val="20"/>
                <w:color w:val="auto"/>
              </w:rPr>
            </w:pPr>
            <w:r>
              <w:rPr>
                <w:rFonts w:ascii="Arial" w:cs="Arial" w:eastAsia="Arial" w:hAnsi="Arial"/>
                <w:sz w:val="13"/>
                <w:szCs w:val="13"/>
                <w:b w:val="1"/>
                <w:bCs w:val="1"/>
                <w:color w:val="FFFFFF"/>
              </w:rPr>
              <w:t>Below</w:t>
            </w:r>
          </w:p>
        </w:tc>
        <w:tc>
          <w:tcPr>
            <w:tcW w:w="600" w:type="dxa"/>
            <w:vAlign w:val="bottom"/>
            <w:vMerge w:val="restart"/>
            <w:shd w:val="clear" w:color="auto" w:fill="CF1D4C"/>
          </w:tcPr>
          <w:p>
            <w:pPr>
              <w:ind w:left="40"/>
              <w:spacing w:after="0"/>
              <w:rPr>
                <w:sz w:val="20"/>
                <w:szCs w:val="20"/>
                <w:color w:val="auto"/>
              </w:rPr>
            </w:pPr>
            <w:r>
              <w:rPr>
                <w:rFonts w:ascii="Arial" w:cs="Arial" w:eastAsia="Arial" w:hAnsi="Arial"/>
                <w:sz w:val="13"/>
                <w:szCs w:val="13"/>
                <w:b w:val="1"/>
                <w:bCs w:val="1"/>
                <w:color w:val="FFFFFF"/>
              </w:rPr>
              <w:t>Below</w:t>
            </w:r>
          </w:p>
        </w:tc>
        <w:tc>
          <w:tcPr>
            <w:tcW w:w="580" w:type="dxa"/>
            <w:vAlign w:val="bottom"/>
            <w:shd w:val="clear" w:color="auto" w:fill="CF1D4C"/>
          </w:tcPr>
          <w:p>
            <w:pPr>
              <w:spacing w:after="0"/>
              <w:rPr>
                <w:sz w:val="11"/>
                <w:szCs w:val="11"/>
                <w:color w:val="auto"/>
              </w:rPr>
            </w:pPr>
          </w:p>
        </w:tc>
        <w:tc>
          <w:tcPr>
            <w:tcW w:w="580" w:type="dxa"/>
            <w:vAlign w:val="bottom"/>
            <w:vMerge w:val="restart"/>
            <w:shd w:val="clear" w:color="auto" w:fill="CF1D4C"/>
          </w:tcPr>
          <w:p>
            <w:pPr>
              <w:ind w:left="20"/>
              <w:spacing w:after="0"/>
              <w:rPr>
                <w:sz w:val="20"/>
                <w:szCs w:val="20"/>
                <w:color w:val="auto"/>
              </w:rPr>
            </w:pPr>
            <w:r>
              <w:rPr>
                <w:rFonts w:ascii="Arial" w:cs="Arial" w:eastAsia="Arial" w:hAnsi="Arial"/>
                <w:sz w:val="13"/>
                <w:szCs w:val="13"/>
                <w:b w:val="1"/>
                <w:bCs w:val="1"/>
                <w:color w:val="FFFFFF"/>
              </w:rPr>
              <w:t>Above</w:t>
            </w:r>
          </w:p>
        </w:tc>
        <w:tc>
          <w:tcPr>
            <w:tcW w:w="580" w:type="dxa"/>
            <w:vAlign w:val="bottom"/>
            <w:gridSpan w:val="2"/>
            <w:vMerge w:val="restart"/>
            <w:shd w:val="clear" w:color="auto" w:fill="CF1D4C"/>
          </w:tcPr>
          <w:p>
            <w:pPr>
              <w:ind w:left="20"/>
              <w:spacing w:after="0"/>
              <w:rPr>
                <w:sz w:val="20"/>
                <w:szCs w:val="20"/>
                <w:color w:val="auto"/>
              </w:rPr>
            </w:pPr>
            <w:r>
              <w:rPr>
                <w:rFonts w:ascii="Arial" w:cs="Arial" w:eastAsia="Arial" w:hAnsi="Arial"/>
                <w:sz w:val="13"/>
                <w:szCs w:val="13"/>
                <w:b w:val="1"/>
                <w:bCs w:val="1"/>
                <w:color w:val="FFFFFF"/>
              </w:rPr>
              <w:t>Above</w:t>
            </w:r>
          </w:p>
        </w:tc>
        <w:tc>
          <w:tcPr>
            <w:tcW w:w="200" w:type="dxa"/>
            <w:vAlign w:val="bottom"/>
            <w:shd w:val="clear" w:color="auto" w:fill="CF1D4C"/>
          </w:tcPr>
          <w:p>
            <w:pPr>
              <w:spacing w:after="0"/>
              <w:rPr>
                <w:sz w:val="11"/>
                <w:szCs w:val="11"/>
                <w:color w:val="auto"/>
              </w:rPr>
            </w:pPr>
          </w:p>
        </w:tc>
        <w:tc>
          <w:tcPr>
            <w:tcW w:w="500" w:type="dxa"/>
            <w:vAlign w:val="bottom"/>
            <w:shd w:val="clear" w:color="auto" w:fill="CF1D4C"/>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FFFFFF"/>
              </w:rPr>
              <w:t>2023</w:t>
            </w:r>
          </w:p>
        </w:tc>
        <w:tc>
          <w:tcPr>
            <w:tcW w:w="980" w:type="dxa"/>
            <w:vAlign w:val="bottom"/>
            <w:gridSpan w:val="2"/>
          </w:tcPr>
          <w:p>
            <w:pPr>
              <w:spacing w:after="0" w:line="135" w:lineRule="exact"/>
              <w:rPr>
                <w:sz w:val="20"/>
                <w:szCs w:val="20"/>
                <w:color w:val="auto"/>
              </w:rPr>
            </w:pPr>
            <w:r>
              <w:rPr>
                <w:rFonts w:ascii="Arial" w:cs="Arial" w:eastAsia="Arial" w:hAnsi="Arial"/>
                <w:sz w:val="12"/>
                <w:szCs w:val="12"/>
                <w:b w:val="1"/>
                <w:bCs w:val="1"/>
                <w:color w:val="FFFFFF"/>
              </w:rPr>
              <w:t> </w:t>
            </w: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980" w:type="dxa"/>
            <w:vAlign w:val="bottom"/>
            <w:vMerge w:val="restart"/>
            <w:shd w:val="clear" w:color="auto" w:fill="CF1D4C"/>
          </w:tcPr>
          <w:p>
            <w:pPr>
              <w:ind w:left="40"/>
              <w:spacing w:after="0"/>
              <w:rPr>
                <w:sz w:val="20"/>
                <w:szCs w:val="20"/>
                <w:color w:val="auto"/>
              </w:rPr>
            </w:pPr>
            <w:r>
              <w:rPr>
                <w:rFonts w:ascii="Arial" w:cs="Arial" w:eastAsia="Arial" w:hAnsi="Arial"/>
                <w:sz w:val="13"/>
                <w:szCs w:val="13"/>
                <w:b w:val="1"/>
                <w:bCs w:val="1"/>
                <w:color w:val="FFFFFF"/>
              </w:rPr>
              <w:t>Performance</w:t>
            </w:r>
          </w:p>
        </w:tc>
        <w:tc>
          <w:tcPr>
            <w:tcW w:w="720" w:type="dxa"/>
            <w:vAlign w:val="bottom"/>
            <w:vMerge w:val="restart"/>
            <w:shd w:val="clear" w:color="auto" w:fill="CF1D4C"/>
          </w:tcPr>
          <w:p>
            <w:pPr>
              <w:ind w:left="40"/>
              <w:spacing w:after="0"/>
              <w:rPr>
                <w:sz w:val="20"/>
                <w:szCs w:val="20"/>
                <w:color w:val="auto"/>
              </w:rPr>
            </w:pPr>
            <w:r>
              <w:rPr>
                <w:rFonts w:ascii="Arial" w:cs="Arial" w:eastAsia="Arial" w:hAnsi="Arial"/>
                <w:sz w:val="13"/>
                <w:szCs w:val="13"/>
                <w:b w:val="1"/>
                <w:bCs w:val="1"/>
                <w:color w:val="FFFFFF"/>
              </w:rPr>
              <w:t>Weighting</w:t>
            </w:r>
          </w:p>
        </w:tc>
        <w:tc>
          <w:tcPr>
            <w:tcW w:w="760" w:type="dxa"/>
            <w:vAlign w:val="bottom"/>
            <w:vMerge w:val="continue"/>
            <w:shd w:val="clear" w:color="auto" w:fill="CF1D4C"/>
          </w:tcPr>
          <w:p>
            <w:pPr>
              <w:spacing w:after="0"/>
              <w:rPr>
                <w:sz w:val="10"/>
                <w:szCs w:val="10"/>
                <w:color w:val="auto"/>
              </w:rPr>
            </w:pPr>
          </w:p>
        </w:tc>
        <w:tc>
          <w:tcPr>
            <w:tcW w:w="700" w:type="dxa"/>
            <w:vAlign w:val="bottom"/>
            <w:vMerge w:val="restart"/>
            <w:shd w:val="clear" w:color="auto" w:fill="CF1D4C"/>
          </w:tcPr>
          <w:p>
            <w:pPr>
              <w:ind w:left="40"/>
              <w:spacing w:after="0"/>
              <w:rPr>
                <w:sz w:val="20"/>
                <w:szCs w:val="20"/>
                <w:color w:val="auto"/>
              </w:rPr>
            </w:pPr>
            <w:r>
              <w:rPr>
                <w:rFonts w:ascii="Arial" w:cs="Arial" w:eastAsia="Arial" w:hAnsi="Arial"/>
                <w:sz w:val="13"/>
                <w:szCs w:val="13"/>
                <w:b w:val="1"/>
                <w:bCs w:val="1"/>
                <w:color w:val="FFFFFF"/>
              </w:rPr>
              <w:t>Threshold</w:t>
            </w:r>
          </w:p>
        </w:tc>
        <w:tc>
          <w:tcPr>
            <w:tcW w:w="600" w:type="dxa"/>
            <w:vAlign w:val="bottom"/>
            <w:vMerge w:val="continue"/>
            <w:shd w:val="clear" w:color="auto" w:fill="CF1D4C"/>
          </w:tcPr>
          <w:p>
            <w:pPr>
              <w:spacing w:after="0"/>
              <w:rPr>
                <w:sz w:val="10"/>
                <w:szCs w:val="10"/>
                <w:color w:val="auto"/>
              </w:rPr>
            </w:pPr>
          </w:p>
        </w:tc>
        <w:tc>
          <w:tcPr>
            <w:tcW w:w="600" w:type="dxa"/>
            <w:vAlign w:val="bottom"/>
            <w:vMerge w:val="continue"/>
            <w:shd w:val="clear" w:color="auto" w:fill="CF1D4C"/>
          </w:tcPr>
          <w:p>
            <w:pPr>
              <w:spacing w:after="0"/>
              <w:rPr>
                <w:sz w:val="10"/>
                <w:szCs w:val="10"/>
                <w:color w:val="auto"/>
              </w:rPr>
            </w:pPr>
          </w:p>
        </w:tc>
        <w:tc>
          <w:tcPr>
            <w:tcW w:w="580" w:type="dxa"/>
            <w:vAlign w:val="bottom"/>
            <w:vMerge w:val="restart"/>
            <w:shd w:val="clear" w:color="auto" w:fill="CF1D4C"/>
          </w:tcPr>
          <w:p>
            <w:pPr>
              <w:ind w:left="20"/>
              <w:spacing w:after="0"/>
              <w:rPr>
                <w:sz w:val="20"/>
                <w:szCs w:val="20"/>
                <w:color w:val="auto"/>
              </w:rPr>
            </w:pPr>
            <w:r>
              <w:rPr>
                <w:rFonts w:ascii="Arial" w:cs="Arial" w:eastAsia="Arial" w:hAnsi="Arial"/>
                <w:sz w:val="13"/>
                <w:szCs w:val="13"/>
                <w:b w:val="1"/>
                <w:bCs w:val="1"/>
                <w:color w:val="FFFFFF"/>
              </w:rPr>
              <w:t>Target</w:t>
            </w:r>
          </w:p>
        </w:tc>
        <w:tc>
          <w:tcPr>
            <w:tcW w:w="580" w:type="dxa"/>
            <w:vAlign w:val="bottom"/>
            <w:vMerge w:val="continue"/>
            <w:shd w:val="clear" w:color="auto" w:fill="CF1D4C"/>
          </w:tcPr>
          <w:p>
            <w:pPr>
              <w:spacing w:after="0"/>
              <w:rPr>
                <w:sz w:val="10"/>
                <w:szCs w:val="10"/>
                <w:color w:val="auto"/>
              </w:rPr>
            </w:pPr>
          </w:p>
        </w:tc>
        <w:tc>
          <w:tcPr>
            <w:tcW w:w="580" w:type="dxa"/>
            <w:vAlign w:val="bottom"/>
            <w:gridSpan w:val="2"/>
            <w:vMerge w:val="continue"/>
            <w:shd w:val="clear" w:color="auto" w:fill="CF1D4C"/>
          </w:tcPr>
          <w:p>
            <w:pPr>
              <w:spacing w:after="0"/>
              <w:rPr>
                <w:sz w:val="10"/>
                <w:szCs w:val="10"/>
                <w:color w:val="auto"/>
              </w:rPr>
            </w:pPr>
          </w:p>
        </w:tc>
        <w:tc>
          <w:tcPr>
            <w:tcW w:w="700" w:type="dxa"/>
            <w:vAlign w:val="bottom"/>
            <w:gridSpan w:val="2"/>
            <w:vMerge w:val="restart"/>
            <w:shd w:val="clear" w:color="auto" w:fill="CF1D4C"/>
          </w:tcPr>
          <w:p>
            <w:pPr>
              <w:ind w:left="20"/>
              <w:spacing w:after="0"/>
              <w:rPr>
                <w:sz w:val="20"/>
                <w:szCs w:val="20"/>
                <w:color w:val="auto"/>
              </w:rPr>
            </w:pPr>
            <w:r>
              <w:rPr>
                <w:rFonts w:ascii="Arial" w:cs="Arial" w:eastAsia="Arial" w:hAnsi="Arial"/>
                <w:sz w:val="13"/>
                <w:szCs w:val="13"/>
                <w:b w:val="1"/>
                <w:bCs w:val="1"/>
                <w:color w:val="FFFFFF"/>
              </w:rPr>
              <w:t>Maximum</w:t>
            </w:r>
          </w:p>
        </w:tc>
        <w:tc>
          <w:tcPr>
            <w:tcW w:w="920" w:type="dxa"/>
            <w:vAlign w:val="bottom"/>
          </w:tcPr>
          <w:p>
            <w:pPr>
              <w:ind w:left="40"/>
              <w:spacing w:after="0" w:line="118" w:lineRule="exact"/>
              <w:rPr>
                <w:sz w:val="20"/>
                <w:szCs w:val="20"/>
                <w:color w:val="auto"/>
              </w:rPr>
            </w:pPr>
            <w:r>
              <w:rPr>
                <w:rFonts w:ascii="Arial" w:cs="Arial" w:eastAsia="Arial" w:hAnsi="Arial"/>
                <w:sz w:val="12"/>
                <w:szCs w:val="12"/>
                <w:b w:val="1"/>
                <w:bCs w:val="1"/>
                <w:color w:val="FFFFFF"/>
              </w:rPr>
              <w:t>Achievement</w:t>
            </w:r>
          </w:p>
        </w:tc>
        <w:tc>
          <w:tcPr>
            <w:tcW w:w="980" w:type="dxa"/>
            <w:vAlign w:val="bottom"/>
            <w:gridSpan w:val="2"/>
          </w:tcPr>
          <w:p>
            <w:pPr>
              <w:spacing w:after="0" w:line="118" w:lineRule="exact"/>
              <w:rPr>
                <w:sz w:val="20"/>
                <w:szCs w:val="20"/>
                <w:color w:val="auto"/>
              </w:rPr>
            </w:pPr>
            <w:r>
              <w:rPr>
                <w:rFonts w:ascii="Arial" w:cs="Arial" w:eastAsia="Arial" w:hAnsi="Arial"/>
                <w:sz w:val="12"/>
                <w:szCs w:val="12"/>
                <w:b w:val="1"/>
                <w:bCs w:val="1"/>
                <w:color w:val="FFFFFF"/>
              </w:rPr>
              <w:t> </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980" w:type="dxa"/>
            <w:vAlign w:val="bottom"/>
            <w:vMerge w:val="continue"/>
            <w:shd w:val="clear" w:color="auto" w:fill="CF1D4C"/>
          </w:tcPr>
          <w:p>
            <w:pPr>
              <w:spacing w:after="0"/>
              <w:rPr>
                <w:sz w:val="11"/>
                <w:szCs w:val="11"/>
                <w:color w:val="auto"/>
              </w:rPr>
            </w:pPr>
          </w:p>
        </w:tc>
        <w:tc>
          <w:tcPr>
            <w:tcW w:w="720" w:type="dxa"/>
            <w:vAlign w:val="bottom"/>
            <w:vMerge w:val="continue"/>
            <w:shd w:val="clear" w:color="auto" w:fill="CF1D4C"/>
          </w:tcPr>
          <w:p>
            <w:pPr>
              <w:spacing w:after="0"/>
              <w:rPr>
                <w:sz w:val="11"/>
                <w:szCs w:val="11"/>
                <w:color w:val="auto"/>
              </w:rPr>
            </w:pPr>
          </w:p>
        </w:tc>
        <w:tc>
          <w:tcPr>
            <w:tcW w:w="760" w:type="dxa"/>
            <w:vAlign w:val="bottom"/>
            <w:shd w:val="clear" w:color="auto" w:fill="CF1D4C"/>
          </w:tcPr>
          <w:p>
            <w:pPr>
              <w:ind w:left="60"/>
              <w:spacing w:after="0" w:line="135" w:lineRule="exact"/>
              <w:rPr>
                <w:sz w:val="20"/>
                <w:szCs w:val="20"/>
                <w:color w:val="auto"/>
              </w:rPr>
            </w:pPr>
            <w:r>
              <w:rPr>
                <w:rFonts w:ascii="Arial" w:cs="Arial" w:eastAsia="Arial" w:hAnsi="Arial"/>
                <w:sz w:val="13"/>
                <w:szCs w:val="13"/>
                <w:b w:val="1"/>
                <w:bCs w:val="1"/>
                <w:color w:val="FFFFFF"/>
              </w:rPr>
              <w:t>($ values</w:t>
            </w:r>
          </w:p>
        </w:tc>
        <w:tc>
          <w:tcPr>
            <w:tcW w:w="700" w:type="dxa"/>
            <w:vAlign w:val="bottom"/>
            <w:vMerge w:val="continue"/>
            <w:shd w:val="clear" w:color="auto" w:fill="CF1D4C"/>
          </w:tcPr>
          <w:p>
            <w:pPr>
              <w:spacing w:after="0"/>
              <w:rPr>
                <w:sz w:val="11"/>
                <w:szCs w:val="11"/>
                <w:color w:val="auto"/>
              </w:rPr>
            </w:pPr>
          </w:p>
        </w:tc>
        <w:tc>
          <w:tcPr>
            <w:tcW w:w="600" w:type="dxa"/>
            <w:vAlign w:val="bottom"/>
            <w:shd w:val="clear" w:color="auto" w:fill="CF1D4C"/>
          </w:tcPr>
          <w:p>
            <w:pPr>
              <w:ind w:left="60"/>
              <w:spacing w:after="0" w:line="135" w:lineRule="exact"/>
              <w:rPr>
                <w:sz w:val="20"/>
                <w:szCs w:val="20"/>
                <w:color w:val="auto"/>
              </w:rPr>
            </w:pPr>
            <w:r>
              <w:rPr>
                <w:rFonts w:ascii="Arial" w:cs="Arial" w:eastAsia="Arial" w:hAnsi="Arial"/>
                <w:sz w:val="13"/>
                <w:szCs w:val="13"/>
                <w:b w:val="1"/>
                <w:bCs w:val="1"/>
                <w:color w:val="FFFFFF"/>
              </w:rPr>
              <w:t>Target</w:t>
            </w:r>
          </w:p>
        </w:tc>
        <w:tc>
          <w:tcPr>
            <w:tcW w:w="600" w:type="dxa"/>
            <w:vAlign w:val="bottom"/>
            <w:shd w:val="clear" w:color="auto" w:fill="CF1D4C"/>
          </w:tcPr>
          <w:p>
            <w:pPr>
              <w:ind w:left="40"/>
              <w:spacing w:after="0" w:line="135" w:lineRule="exact"/>
              <w:rPr>
                <w:sz w:val="20"/>
                <w:szCs w:val="20"/>
                <w:color w:val="auto"/>
              </w:rPr>
            </w:pPr>
            <w:r>
              <w:rPr>
                <w:rFonts w:ascii="Arial" w:cs="Arial" w:eastAsia="Arial" w:hAnsi="Arial"/>
                <w:sz w:val="13"/>
                <w:szCs w:val="13"/>
                <w:b w:val="1"/>
                <w:bCs w:val="1"/>
                <w:color w:val="FFFFFF"/>
              </w:rPr>
              <w:t>Target</w:t>
            </w:r>
          </w:p>
        </w:tc>
        <w:tc>
          <w:tcPr>
            <w:tcW w:w="580" w:type="dxa"/>
            <w:vAlign w:val="bottom"/>
            <w:vMerge w:val="continue"/>
            <w:shd w:val="clear" w:color="auto" w:fill="CF1D4C"/>
          </w:tcPr>
          <w:p>
            <w:pPr>
              <w:spacing w:after="0"/>
              <w:rPr>
                <w:sz w:val="11"/>
                <w:szCs w:val="11"/>
                <w:color w:val="auto"/>
              </w:rPr>
            </w:pPr>
          </w:p>
        </w:tc>
        <w:tc>
          <w:tcPr>
            <w:tcW w:w="580" w:type="dxa"/>
            <w:vAlign w:val="bottom"/>
            <w:shd w:val="clear" w:color="auto" w:fill="CF1D4C"/>
          </w:tcPr>
          <w:p>
            <w:pPr>
              <w:ind w:left="20"/>
              <w:spacing w:after="0" w:line="135" w:lineRule="exact"/>
              <w:rPr>
                <w:sz w:val="20"/>
                <w:szCs w:val="20"/>
                <w:color w:val="auto"/>
              </w:rPr>
            </w:pPr>
            <w:r>
              <w:rPr>
                <w:rFonts w:ascii="Arial" w:cs="Arial" w:eastAsia="Arial" w:hAnsi="Arial"/>
                <w:sz w:val="13"/>
                <w:szCs w:val="13"/>
                <w:b w:val="1"/>
                <w:bCs w:val="1"/>
                <w:color w:val="FFFFFF"/>
              </w:rPr>
              <w:t>Target</w:t>
            </w:r>
          </w:p>
        </w:tc>
        <w:tc>
          <w:tcPr>
            <w:tcW w:w="580" w:type="dxa"/>
            <w:vAlign w:val="bottom"/>
            <w:gridSpan w:val="2"/>
            <w:shd w:val="clear" w:color="auto" w:fill="CF1D4C"/>
          </w:tcPr>
          <w:p>
            <w:pPr>
              <w:ind w:left="20"/>
              <w:spacing w:after="0" w:line="135" w:lineRule="exact"/>
              <w:rPr>
                <w:sz w:val="20"/>
                <w:szCs w:val="20"/>
                <w:color w:val="auto"/>
              </w:rPr>
            </w:pPr>
            <w:r>
              <w:rPr>
                <w:rFonts w:ascii="Arial" w:cs="Arial" w:eastAsia="Arial" w:hAnsi="Arial"/>
                <w:sz w:val="13"/>
                <w:szCs w:val="13"/>
                <w:b w:val="1"/>
                <w:bCs w:val="1"/>
                <w:color w:val="FFFFFF"/>
              </w:rPr>
              <w:t>Target</w:t>
            </w:r>
          </w:p>
        </w:tc>
        <w:tc>
          <w:tcPr>
            <w:tcW w:w="700" w:type="dxa"/>
            <w:vAlign w:val="bottom"/>
            <w:gridSpan w:val="2"/>
            <w:vMerge w:val="continue"/>
            <w:shd w:val="clear" w:color="auto" w:fill="CF1D4C"/>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FFFFFF"/>
              </w:rPr>
              <w:t>($ values in</w:t>
            </w:r>
          </w:p>
        </w:tc>
        <w:tc>
          <w:tcPr>
            <w:tcW w:w="980" w:type="dxa"/>
            <w:vAlign w:val="bottom"/>
            <w:gridSpan w:val="2"/>
          </w:tcPr>
          <w:p>
            <w:pPr>
              <w:spacing w:after="0" w:line="135" w:lineRule="exact"/>
              <w:rPr>
                <w:sz w:val="20"/>
                <w:szCs w:val="20"/>
                <w:color w:val="auto"/>
              </w:rPr>
            </w:pPr>
            <w:r>
              <w:rPr>
                <w:rFonts w:ascii="Arial" w:cs="Arial" w:eastAsia="Arial" w:hAnsi="Arial"/>
                <w:sz w:val="12"/>
                <w:szCs w:val="12"/>
                <w:b w:val="1"/>
                <w:bCs w:val="1"/>
                <w:color w:val="FFFFFF"/>
              </w:rPr>
              <w:t>% of Target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980" w:type="dxa"/>
            <w:vAlign w:val="bottom"/>
            <w:shd w:val="clear" w:color="auto" w:fill="CF1D4C"/>
          </w:tcPr>
          <w:p>
            <w:pPr>
              <w:ind w:left="40"/>
              <w:spacing w:after="0"/>
              <w:rPr>
                <w:sz w:val="20"/>
                <w:szCs w:val="20"/>
                <w:color w:val="auto"/>
              </w:rPr>
            </w:pPr>
            <w:r>
              <w:rPr>
                <w:rFonts w:ascii="Arial" w:cs="Arial" w:eastAsia="Arial" w:hAnsi="Arial"/>
                <w:sz w:val="13"/>
                <w:szCs w:val="13"/>
                <w:b w:val="1"/>
                <w:bCs w:val="1"/>
                <w:color w:val="FFFFFF"/>
              </w:rPr>
              <w:t>Metric</w:t>
            </w:r>
          </w:p>
        </w:tc>
        <w:tc>
          <w:tcPr>
            <w:tcW w:w="720" w:type="dxa"/>
            <w:vAlign w:val="bottom"/>
            <w:shd w:val="clear" w:color="auto" w:fill="CF1D4C"/>
          </w:tcPr>
          <w:p>
            <w:pPr>
              <w:ind w:left="40"/>
              <w:spacing w:after="0"/>
              <w:rPr>
                <w:sz w:val="20"/>
                <w:szCs w:val="20"/>
                <w:color w:val="auto"/>
              </w:rPr>
            </w:pPr>
            <w:r>
              <w:rPr>
                <w:rFonts w:ascii="Arial" w:cs="Arial" w:eastAsia="Arial" w:hAnsi="Arial"/>
                <w:sz w:val="13"/>
                <w:szCs w:val="13"/>
                <w:b w:val="1"/>
                <w:bCs w:val="1"/>
                <w:color w:val="FFFFFF"/>
              </w:rPr>
              <w:t> </w:t>
            </w:r>
          </w:p>
        </w:tc>
        <w:tc>
          <w:tcPr>
            <w:tcW w:w="760" w:type="dxa"/>
            <w:vAlign w:val="bottom"/>
            <w:shd w:val="clear" w:color="auto" w:fill="CF1D4C"/>
          </w:tcPr>
          <w:p>
            <w:pPr>
              <w:ind w:left="60"/>
              <w:spacing w:after="0"/>
              <w:rPr>
                <w:sz w:val="20"/>
                <w:szCs w:val="20"/>
                <w:color w:val="auto"/>
              </w:rPr>
            </w:pPr>
            <w:r>
              <w:rPr>
                <w:rFonts w:ascii="Arial" w:cs="Arial" w:eastAsia="Arial" w:hAnsi="Arial"/>
                <w:sz w:val="13"/>
                <w:szCs w:val="13"/>
                <w:b w:val="1"/>
                <w:bCs w:val="1"/>
                <w:color w:val="FFFFFF"/>
                <w:w w:val="99"/>
              </w:rPr>
              <w:t>in millions)</w:t>
            </w:r>
          </w:p>
        </w:tc>
        <w:tc>
          <w:tcPr>
            <w:tcW w:w="700" w:type="dxa"/>
            <w:vAlign w:val="bottom"/>
            <w:shd w:val="clear" w:color="auto" w:fill="CF1D4C"/>
          </w:tcPr>
          <w:p>
            <w:pPr>
              <w:ind w:left="40"/>
              <w:spacing w:after="0"/>
              <w:rPr>
                <w:sz w:val="20"/>
                <w:szCs w:val="20"/>
                <w:color w:val="auto"/>
              </w:rPr>
            </w:pPr>
            <w:r>
              <w:rPr>
                <w:rFonts w:ascii="Arial" w:cs="Arial" w:eastAsia="Arial" w:hAnsi="Arial"/>
                <w:sz w:val="13"/>
                <w:szCs w:val="13"/>
                <w:b w:val="1"/>
                <w:bCs w:val="1"/>
                <w:color w:val="FFFFFF"/>
              </w:rPr>
              <w:t>(50%)</w:t>
            </w:r>
          </w:p>
        </w:tc>
        <w:tc>
          <w:tcPr>
            <w:tcW w:w="600" w:type="dxa"/>
            <w:vAlign w:val="bottom"/>
            <w:shd w:val="clear" w:color="auto" w:fill="CF1D4C"/>
          </w:tcPr>
          <w:p>
            <w:pPr>
              <w:ind w:left="60"/>
              <w:spacing w:after="0"/>
              <w:rPr>
                <w:sz w:val="20"/>
                <w:szCs w:val="20"/>
                <w:color w:val="auto"/>
              </w:rPr>
            </w:pPr>
            <w:r>
              <w:rPr>
                <w:rFonts w:ascii="Arial" w:cs="Arial" w:eastAsia="Arial" w:hAnsi="Arial"/>
                <w:sz w:val="13"/>
                <w:szCs w:val="13"/>
                <w:b w:val="1"/>
                <w:bCs w:val="1"/>
                <w:color w:val="FFFFFF"/>
              </w:rPr>
              <w:t>(75%)</w:t>
            </w:r>
          </w:p>
        </w:tc>
        <w:tc>
          <w:tcPr>
            <w:tcW w:w="600" w:type="dxa"/>
            <w:vAlign w:val="bottom"/>
            <w:shd w:val="clear" w:color="auto" w:fill="CF1D4C"/>
          </w:tcPr>
          <w:p>
            <w:pPr>
              <w:ind w:left="40"/>
              <w:spacing w:after="0"/>
              <w:rPr>
                <w:sz w:val="20"/>
                <w:szCs w:val="20"/>
                <w:color w:val="auto"/>
              </w:rPr>
            </w:pPr>
            <w:r>
              <w:rPr>
                <w:rFonts w:ascii="Arial" w:cs="Arial" w:eastAsia="Arial" w:hAnsi="Arial"/>
                <w:sz w:val="13"/>
                <w:szCs w:val="13"/>
                <w:b w:val="1"/>
                <w:bCs w:val="1"/>
                <w:color w:val="FFFFFF"/>
              </w:rPr>
              <w:t>(85%)</w:t>
            </w:r>
          </w:p>
        </w:tc>
        <w:tc>
          <w:tcPr>
            <w:tcW w:w="580" w:type="dxa"/>
            <w:vAlign w:val="bottom"/>
            <w:shd w:val="clear" w:color="auto" w:fill="CF1D4C"/>
          </w:tcPr>
          <w:p>
            <w:pPr>
              <w:ind w:left="20"/>
              <w:spacing w:after="0"/>
              <w:rPr>
                <w:sz w:val="20"/>
                <w:szCs w:val="20"/>
                <w:color w:val="auto"/>
              </w:rPr>
            </w:pPr>
            <w:r>
              <w:rPr>
                <w:rFonts w:ascii="Arial" w:cs="Arial" w:eastAsia="Arial" w:hAnsi="Arial"/>
                <w:sz w:val="13"/>
                <w:szCs w:val="13"/>
                <w:b w:val="1"/>
                <w:bCs w:val="1"/>
                <w:color w:val="FFFFFF"/>
              </w:rPr>
              <w:t>(100%)</w:t>
            </w:r>
          </w:p>
        </w:tc>
        <w:tc>
          <w:tcPr>
            <w:tcW w:w="580" w:type="dxa"/>
            <w:vAlign w:val="bottom"/>
            <w:shd w:val="clear" w:color="auto" w:fill="CF1D4C"/>
          </w:tcPr>
          <w:p>
            <w:pPr>
              <w:ind w:left="20"/>
              <w:spacing w:after="0"/>
              <w:rPr>
                <w:sz w:val="20"/>
                <w:szCs w:val="20"/>
                <w:color w:val="auto"/>
              </w:rPr>
            </w:pPr>
            <w:r>
              <w:rPr>
                <w:rFonts w:ascii="Arial" w:cs="Arial" w:eastAsia="Arial" w:hAnsi="Arial"/>
                <w:sz w:val="13"/>
                <w:szCs w:val="13"/>
                <w:b w:val="1"/>
                <w:bCs w:val="1"/>
                <w:color w:val="FFFFFF"/>
              </w:rPr>
              <w:t>(115%)</w:t>
            </w:r>
          </w:p>
        </w:tc>
        <w:tc>
          <w:tcPr>
            <w:tcW w:w="460" w:type="dxa"/>
            <w:vAlign w:val="bottom"/>
            <w:shd w:val="clear" w:color="auto" w:fill="CF1D4C"/>
          </w:tcPr>
          <w:p>
            <w:pPr>
              <w:ind w:left="20"/>
              <w:spacing w:after="0"/>
              <w:rPr>
                <w:sz w:val="20"/>
                <w:szCs w:val="20"/>
                <w:color w:val="auto"/>
              </w:rPr>
            </w:pPr>
            <w:r>
              <w:rPr>
                <w:rFonts w:ascii="Arial" w:cs="Arial" w:eastAsia="Arial" w:hAnsi="Arial"/>
                <w:sz w:val="13"/>
                <w:szCs w:val="13"/>
                <w:b w:val="1"/>
                <w:bCs w:val="1"/>
                <w:color w:val="FFFFFF"/>
              </w:rPr>
              <w:t>(125%)</w:t>
            </w:r>
          </w:p>
        </w:tc>
        <w:tc>
          <w:tcPr>
            <w:tcW w:w="120" w:type="dxa"/>
            <w:vAlign w:val="bottom"/>
            <w:shd w:val="clear" w:color="auto" w:fill="CF1D4C"/>
          </w:tcPr>
          <w:p>
            <w:pPr>
              <w:spacing w:after="0"/>
              <w:rPr>
                <w:sz w:val="15"/>
                <w:szCs w:val="15"/>
                <w:color w:val="auto"/>
              </w:rPr>
            </w:pPr>
          </w:p>
        </w:tc>
        <w:tc>
          <w:tcPr>
            <w:tcW w:w="700" w:type="dxa"/>
            <w:vAlign w:val="bottom"/>
            <w:gridSpan w:val="2"/>
            <w:shd w:val="clear" w:color="auto" w:fill="CF1D4C"/>
          </w:tcPr>
          <w:p>
            <w:pPr>
              <w:ind w:left="20"/>
              <w:spacing w:after="0"/>
              <w:rPr>
                <w:sz w:val="20"/>
                <w:szCs w:val="20"/>
                <w:color w:val="auto"/>
              </w:rPr>
            </w:pPr>
            <w:r>
              <w:rPr>
                <w:rFonts w:ascii="Arial" w:cs="Arial" w:eastAsia="Arial" w:hAnsi="Arial"/>
                <w:sz w:val="13"/>
                <w:szCs w:val="13"/>
                <w:b w:val="1"/>
                <w:bCs w:val="1"/>
                <w:color w:val="FFFFFF"/>
              </w:rPr>
              <w:t>(150%)</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FFFFFF"/>
              </w:rPr>
              <w:t>millions)</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FFFFFF"/>
              </w:rPr>
              <w:t>Earned</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980" w:type="dxa"/>
            <w:vAlign w:val="bottom"/>
            <w:shd w:val="clear" w:color="auto" w:fill="CF1D4C"/>
          </w:tcPr>
          <w:p>
            <w:pPr>
              <w:spacing w:after="0"/>
              <w:rPr>
                <w:sz w:val="13"/>
                <w:szCs w:val="13"/>
                <w:color w:val="auto"/>
              </w:rPr>
            </w:pPr>
          </w:p>
        </w:tc>
        <w:tc>
          <w:tcPr>
            <w:tcW w:w="720" w:type="dxa"/>
            <w:vAlign w:val="bottom"/>
            <w:shd w:val="clear" w:color="auto" w:fill="CF1D4C"/>
          </w:tcPr>
          <w:p>
            <w:pPr>
              <w:spacing w:after="0"/>
              <w:rPr>
                <w:sz w:val="13"/>
                <w:szCs w:val="13"/>
                <w:color w:val="auto"/>
              </w:rPr>
            </w:pPr>
          </w:p>
        </w:tc>
        <w:tc>
          <w:tcPr>
            <w:tcW w:w="760" w:type="dxa"/>
            <w:vAlign w:val="bottom"/>
            <w:shd w:val="clear" w:color="auto" w:fill="CF1D4C"/>
          </w:tcPr>
          <w:p>
            <w:pPr>
              <w:spacing w:after="0"/>
              <w:rPr>
                <w:sz w:val="13"/>
                <w:szCs w:val="13"/>
                <w:color w:val="auto"/>
              </w:rPr>
            </w:pPr>
          </w:p>
        </w:tc>
        <w:tc>
          <w:tcPr>
            <w:tcW w:w="700" w:type="dxa"/>
            <w:vAlign w:val="bottom"/>
            <w:shd w:val="clear" w:color="auto" w:fill="CF1D4C"/>
          </w:tcPr>
          <w:p>
            <w:pPr>
              <w:spacing w:after="0"/>
              <w:rPr>
                <w:sz w:val="13"/>
                <w:szCs w:val="13"/>
                <w:color w:val="auto"/>
              </w:rPr>
            </w:pPr>
          </w:p>
        </w:tc>
        <w:tc>
          <w:tcPr>
            <w:tcW w:w="600" w:type="dxa"/>
            <w:vAlign w:val="bottom"/>
            <w:shd w:val="clear" w:color="auto" w:fill="CF1D4C"/>
          </w:tcPr>
          <w:p>
            <w:pPr>
              <w:spacing w:after="0"/>
              <w:rPr>
                <w:sz w:val="13"/>
                <w:szCs w:val="13"/>
                <w:color w:val="auto"/>
              </w:rPr>
            </w:pPr>
          </w:p>
        </w:tc>
        <w:tc>
          <w:tcPr>
            <w:tcW w:w="600" w:type="dxa"/>
            <w:vAlign w:val="bottom"/>
            <w:shd w:val="clear" w:color="auto" w:fill="CF1D4C"/>
          </w:tcPr>
          <w:p>
            <w:pPr>
              <w:spacing w:after="0"/>
              <w:rPr>
                <w:sz w:val="13"/>
                <w:szCs w:val="13"/>
                <w:color w:val="auto"/>
              </w:rPr>
            </w:pPr>
          </w:p>
        </w:tc>
        <w:tc>
          <w:tcPr>
            <w:tcW w:w="580" w:type="dxa"/>
            <w:vAlign w:val="bottom"/>
            <w:shd w:val="clear" w:color="auto" w:fill="CF1D4C"/>
          </w:tcPr>
          <w:p>
            <w:pPr>
              <w:spacing w:after="0"/>
              <w:rPr>
                <w:sz w:val="13"/>
                <w:szCs w:val="13"/>
                <w:color w:val="auto"/>
              </w:rPr>
            </w:pPr>
          </w:p>
        </w:tc>
        <w:tc>
          <w:tcPr>
            <w:tcW w:w="580" w:type="dxa"/>
            <w:vAlign w:val="bottom"/>
            <w:shd w:val="clear" w:color="auto" w:fill="CF1D4C"/>
          </w:tcPr>
          <w:p>
            <w:pPr>
              <w:spacing w:after="0"/>
              <w:rPr>
                <w:sz w:val="13"/>
                <w:szCs w:val="13"/>
                <w:color w:val="auto"/>
              </w:rPr>
            </w:pPr>
          </w:p>
        </w:tc>
        <w:tc>
          <w:tcPr>
            <w:tcW w:w="460" w:type="dxa"/>
            <w:vAlign w:val="bottom"/>
            <w:shd w:val="clear" w:color="auto" w:fill="CF1D4C"/>
          </w:tcPr>
          <w:p>
            <w:pPr>
              <w:spacing w:after="0"/>
              <w:rPr>
                <w:sz w:val="13"/>
                <w:szCs w:val="13"/>
                <w:color w:val="auto"/>
              </w:rPr>
            </w:pPr>
          </w:p>
        </w:tc>
        <w:tc>
          <w:tcPr>
            <w:tcW w:w="120" w:type="dxa"/>
            <w:vAlign w:val="bottom"/>
            <w:shd w:val="clear" w:color="auto" w:fill="CF1D4C"/>
          </w:tcPr>
          <w:p>
            <w:pPr>
              <w:spacing w:after="0"/>
              <w:rPr>
                <w:sz w:val="13"/>
                <w:szCs w:val="13"/>
                <w:color w:val="auto"/>
              </w:rPr>
            </w:pPr>
          </w:p>
        </w:tc>
        <w:tc>
          <w:tcPr>
            <w:tcW w:w="200" w:type="dxa"/>
            <w:vAlign w:val="bottom"/>
            <w:shd w:val="clear" w:color="auto" w:fill="CF1D4C"/>
          </w:tcPr>
          <w:p>
            <w:pPr>
              <w:spacing w:after="0"/>
              <w:rPr>
                <w:sz w:val="13"/>
                <w:szCs w:val="13"/>
                <w:color w:val="auto"/>
              </w:rPr>
            </w:pPr>
          </w:p>
        </w:tc>
        <w:tc>
          <w:tcPr>
            <w:tcW w:w="500" w:type="dxa"/>
            <w:vAlign w:val="bottom"/>
            <w:shd w:val="clear" w:color="auto" w:fill="CF1D4C"/>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6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Arial" w:cs="Arial" w:eastAsia="Arial" w:hAnsi="Arial"/>
                <w:sz w:val="13"/>
                <w:szCs w:val="13"/>
                <w:b w:val="1"/>
                <w:bCs w:val="1"/>
                <w:color w:val="333333"/>
              </w:rPr>
              <w:t>GAAP</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b w:val="1"/>
                <w:bCs w:val="1"/>
                <w:color w:val="333333"/>
              </w:rPr>
              <w:t>Revenue, as</w:t>
            </w:r>
          </w:p>
        </w:tc>
        <w:tc>
          <w:tcPr>
            <w:tcW w:w="720" w:type="dxa"/>
            <w:vAlign w:val="bottom"/>
          </w:tcPr>
          <w:p>
            <w:pPr>
              <w:ind w:left="40"/>
              <w:spacing w:after="0"/>
              <w:rPr>
                <w:sz w:val="20"/>
                <w:szCs w:val="20"/>
                <w:color w:val="auto"/>
              </w:rPr>
            </w:pPr>
            <w:r>
              <w:rPr>
                <w:rFonts w:ascii="Arial" w:cs="Arial" w:eastAsia="Arial" w:hAnsi="Arial"/>
                <w:sz w:val="13"/>
                <w:szCs w:val="13"/>
                <w:color w:val="333333"/>
              </w:rPr>
              <w:t>50%</w:t>
            </w:r>
          </w:p>
        </w:tc>
        <w:tc>
          <w:tcPr>
            <w:tcW w:w="760" w:type="dxa"/>
            <w:vAlign w:val="bottom"/>
          </w:tcPr>
          <w:p>
            <w:pPr>
              <w:ind w:left="60"/>
              <w:spacing w:after="0"/>
              <w:rPr>
                <w:sz w:val="20"/>
                <w:szCs w:val="20"/>
                <w:color w:val="auto"/>
              </w:rPr>
            </w:pPr>
            <w:r>
              <w:rPr>
                <w:rFonts w:ascii="Arial" w:cs="Arial" w:eastAsia="Arial" w:hAnsi="Arial"/>
                <w:sz w:val="13"/>
                <w:szCs w:val="13"/>
                <w:color w:val="333333"/>
              </w:rPr>
              <w:t>$3,792.4</w:t>
            </w:r>
          </w:p>
        </w:tc>
        <w:tc>
          <w:tcPr>
            <w:tcW w:w="700" w:type="dxa"/>
            <w:vAlign w:val="bottom"/>
          </w:tcPr>
          <w:p>
            <w:pPr>
              <w:ind w:left="40"/>
              <w:spacing w:after="0"/>
              <w:rPr>
                <w:sz w:val="20"/>
                <w:szCs w:val="20"/>
                <w:color w:val="auto"/>
              </w:rPr>
            </w:pPr>
            <w:r>
              <w:rPr>
                <w:rFonts w:ascii="Arial" w:cs="Arial" w:eastAsia="Arial" w:hAnsi="Arial"/>
                <w:sz w:val="13"/>
                <w:szCs w:val="13"/>
                <w:color w:val="333333"/>
              </w:rPr>
              <w:t>$​3,678.6</w:t>
            </w:r>
          </w:p>
        </w:tc>
        <w:tc>
          <w:tcPr>
            <w:tcW w:w="600" w:type="dxa"/>
            <w:vAlign w:val="bottom"/>
          </w:tcPr>
          <w:p>
            <w:pPr>
              <w:ind w:left="60"/>
              <w:spacing w:after="0"/>
              <w:rPr>
                <w:sz w:val="20"/>
                <w:szCs w:val="20"/>
                <w:color w:val="auto"/>
              </w:rPr>
            </w:pPr>
            <w:r>
              <w:rPr>
                <w:rFonts w:ascii="Arial" w:cs="Arial" w:eastAsia="Arial" w:hAnsi="Arial"/>
                <w:sz w:val="13"/>
                <w:szCs w:val="13"/>
                <w:color w:val="333333"/>
              </w:rPr>
              <w:t>$​3,716.6</w:t>
            </w:r>
          </w:p>
        </w:tc>
        <w:tc>
          <w:tcPr>
            <w:tcW w:w="600" w:type="dxa"/>
            <w:vAlign w:val="bottom"/>
          </w:tcPr>
          <w:p>
            <w:pPr>
              <w:ind w:left="40"/>
              <w:spacing w:after="0"/>
              <w:rPr>
                <w:sz w:val="20"/>
                <w:szCs w:val="20"/>
                <w:color w:val="auto"/>
              </w:rPr>
            </w:pPr>
            <w:r>
              <w:rPr>
                <w:rFonts w:ascii="Arial" w:cs="Arial" w:eastAsia="Arial" w:hAnsi="Arial"/>
                <w:sz w:val="13"/>
                <w:szCs w:val="13"/>
                <w:color w:val="333333"/>
              </w:rPr>
              <w:t>$3,754.5</w:t>
            </w:r>
          </w:p>
        </w:tc>
        <w:tc>
          <w:tcPr>
            <w:tcW w:w="580" w:type="dxa"/>
            <w:vAlign w:val="bottom"/>
          </w:tcPr>
          <w:p>
            <w:pPr>
              <w:ind w:left="20"/>
              <w:spacing w:after="0"/>
              <w:rPr>
                <w:sz w:val="20"/>
                <w:szCs w:val="20"/>
                <w:color w:val="auto"/>
              </w:rPr>
            </w:pPr>
            <w:r>
              <w:rPr>
                <w:rFonts w:ascii="Arial" w:cs="Arial" w:eastAsia="Arial" w:hAnsi="Arial"/>
                <w:sz w:val="13"/>
                <w:szCs w:val="13"/>
                <w:color w:val="333333"/>
              </w:rPr>
              <w:t>$​3,792.4</w:t>
            </w:r>
          </w:p>
        </w:tc>
        <w:tc>
          <w:tcPr>
            <w:tcW w:w="580" w:type="dxa"/>
            <w:vAlign w:val="bottom"/>
          </w:tcPr>
          <w:p>
            <w:pPr>
              <w:ind w:left="20"/>
              <w:spacing w:after="0"/>
              <w:rPr>
                <w:sz w:val="20"/>
                <w:szCs w:val="20"/>
                <w:color w:val="auto"/>
              </w:rPr>
            </w:pPr>
            <w:r>
              <w:rPr>
                <w:rFonts w:ascii="Arial" w:cs="Arial" w:eastAsia="Arial" w:hAnsi="Arial"/>
                <w:sz w:val="13"/>
                <w:szCs w:val="13"/>
                <w:color w:val="333333"/>
              </w:rPr>
              <w:t>$3,830.3</w:t>
            </w:r>
          </w:p>
        </w:tc>
        <w:tc>
          <w:tcPr>
            <w:tcW w:w="580" w:type="dxa"/>
            <w:vAlign w:val="bottom"/>
            <w:gridSpan w:val="2"/>
          </w:tcPr>
          <w:p>
            <w:pPr>
              <w:ind w:left="20"/>
              <w:spacing w:after="0"/>
              <w:rPr>
                <w:sz w:val="20"/>
                <w:szCs w:val="20"/>
                <w:color w:val="auto"/>
              </w:rPr>
            </w:pPr>
            <w:r>
              <w:rPr>
                <w:rFonts w:ascii="Arial" w:cs="Arial" w:eastAsia="Arial" w:hAnsi="Arial"/>
                <w:sz w:val="13"/>
                <w:szCs w:val="13"/>
                <w:color w:val="333333"/>
              </w:rPr>
              <w:t>$​3,868.2</w:t>
            </w:r>
          </w:p>
        </w:tc>
        <w:tc>
          <w:tcPr>
            <w:tcW w:w="700" w:type="dxa"/>
            <w:vAlign w:val="bottom"/>
            <w:gridSpan w:val="2"/>
          </w:tcPr>
          <w:p>
            <w:pPr>
              <w:ind w:left="20"/>
              <w:spacing w:after="0"/>
              <w:rPr>
                <w:sz w:val="20"/>
                <w:szCs w:val="20"/>
                <w:color w:val="auto"/>
              </w:rPr>
            </w:pPr>
            <w:r>
              <w:rPr>
                <w:rFonts w:ascii="Arial" w:cs="Arial" w:eastAsia="Arial" w:hAnsi="Arial"/>
                <w:sz w:val="13"/>
                <w:szCs w:val="13"/>
                <w:color w:val="333333"/>
              </w:rPr>
              <w:t>$​3,906.2</w:t>
            </w:r>
          </w:p>
        </w:tc>
        <w:tc>
          <w:tcPr>
            <w:tcW w:w="920" w:type="dxa"/>
            <w:vAlign w:val="bottom"/>
          </w:tcPr>
          <w:p>
            <w:pPr>
              <w:ind w:left="40"/>
              <w:spacing w:after="0"/>
              <w:rPr>
                <w:sz w:val="20"/>
                <w:szCs w:val="20"/>
                <w:color w:val="auto"/>
              </w:rPr>
            </w:pPr>
            <w:r>
              <w:rPr>
                <w:rFonts w:ascii="Arial" w:cs="Arial" w:eastAsia="Arial" w:hAnsi="Arial"/>
                <w:sz w:val="13"/>
                <w:szCs w:val="13"/>
                <w:color w:val="333333"/>
              </w:rPr>
              <w:t>$3,771.4</w:t>
            </w:r>
          </w:p>
        </w:tc>
        <w:tc>
          <w:tcPr>
            <w:tcW w:w="980" w:type="dxa"/>
            <w:vAlign w:val="bottom"/>
            <w:gridSpan w:val="2"/>
          </w:tcPr>
          <w:p>
            <w:pPr>
              <w:spacing w:after="0"/>
              <w:rPr>
                <w:sz w:val="20"/>
                <w:szCs w:val="20"/>
                <w:color w:val="auto"/>
              </w:rPr>
            </w:pPr>
            <w:r>
              <w:rPr>
                <w:rFonts w:ascii="Arial" w:cs="Arial" w:eastAsia="Arial" w:hAnsi="Arial"/>
                <w:sz w:val="13"/>
                <w:szCs w:val="13"/>
                <w:color w:val="333333"/>
              </w:rPr>
              <w:t>85%</w:t>
            </w:r>
          </w:p>
        </w:tc>
        <w:tc>
          <w:tcPr>
            <w:tcW w:w="0" w:type="dxa"/>
            <w:vAlign w:val="bottom"/>
          </w:tcPr>
          <w:p>
            <w:pPr>
              <w:spacing w:after="0"/>
              <w:rPr>
                <w:sz w:val="1"/>
                <w:szCs w:val="1"/>
                <w:color w:val="auto"/>
              </w:rPr>
            </w:pPr>
          </w:p>
        </w:tc>
      </w:tr>
      <w:tr>
        <w:trPr>
          <w:trHeight w:val="306"/>
        </w:trPr>
        <w:tc>
          <w:tcPr>
            <w:tcW w:w="6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Arial" w:cs="Arial" w:eastAsia="Arial" w:hAnsi="Arial"/>
                <w:sz w:val="13"/>
                <w:szCs w:val="13"/>
                <w:b w:val="1"/>
                <w:bCs w:val="1"/>
                <w:color w:val="333333"/>
              </w:rPr>
              <w:t>adjusted</w:t>
            </w:r>
            <w:r>
              <w:rPr>
                <w:rFonts w:ascii="Arial" w:cs="Arial" w:eastAsia="Arial" w:hAnsi="Arial"/>
                <w:sz w:val="22"/>
                <w:szCs w:val="22"/>
                <w:b w:val="1"/>
                <w:bCs w:val="1"/>
                <w:color w:val="333333"/>
                <w:vertAlign w:val="superscript"/>
              </w:rPr>
              <w:t>(1)</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60" w:type="dxa"/>
            <w:vAlign w:val="bottom"/>
            <w:shd w:val="clear" w:color="auto" w:fill="D9D9D9"/>
          </w:tcPr>
          <w:p>
            <w:pPr>
              <w:spacing w:after="0"/>
              <w:rPr>
                <w:sz w:val="24"/>
                <w:szCs w:val="24"/>
                <w:color w:val="auto"/>
              </w:rPr>
            </w:pPr>
          </w:p>
        </w:tc>
        <w:tc>
          <w:tcPr>
            <w:tcW w:w="980" w:type="dxa"/>
            <w:vAlign w:val="bottom"/>
            <w:shd w:val="clear" w:color="auto" w:fill="D9D9D9"/>
          </w:tcPr>
          <w:p>
            <w:pPr>
              <w:ind w:left="40"/>
              <w:spacing w:after="0"/>
              <w:rPr>
                <w:sz w:val="20"/>
                <w:szCs w:val="20"/>
                <w:color w:val="auto"/>
              </w:rPr>
            </w:pPr>
            <w:r>
              <w:rPr>
                <w:rFonts w:ascii="Arial" w:cs="Arial" w:eastAsia="Arial" w:hAnsi="Arial"/>
                <w:sz w:val="13"/>
                <w:szCs w:val="13"/>
                <w:b w:val="1"/>
                <w:bCs w:val="1"/>
                <w:color w:val="333333"/>
              </w:rPr>
              <w:t>Stock Price</w:t>
            </w:r>
          </w:p>
        </w:tc>
        <w:tc>
          <w:tcPr>
            <w:tcW w:w="720" w:type="dxa"/>
            <w:vAlign w:val="bottom"/>
            <w:shd w:val="clear" w:color="auto" w:fill="D9D9D9"/>
          </w:tcPr>
          <w:p>
            <w:pPr>
              <w:spacing w:after="0"/>
              <w:rPr>
                <w:sz w:val="24"/>
                <w:szCs w:val="24"/>
                <w:color w:val="auto"/>
              </w:rPr>
            </w:pPr>
          </w:p>
        </w:tc>
        <w:tc>
          <w:tcPr>
            <w:tcW w:w="76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600" w:type="dxa"/>
            <w:vAlign w:val="bottom"/>
            <w:shd w:val="clear" w:color="auto" w:fill="D9D9D9"/>
          </w:tcPr>
          <w:p>
            <w:pPr>
              <w:spacing w:after="0"/>
              <w:rPr>
                <w:sz w:val="24"/>
                <w:szCs w:val="24"/>
                <w:color w:val="auto"/>
              </w:rPr>
            </w:pPr>
          </w:p>
        </w:tc>
        <w:tc>
          <w:tcPr>
            <w:tcW w:w="600" w:type="dxa"/>
            <w:vAlign w:val="bottom"/>
            <w:shd w:val="clear" w:color="auto" w:fill="D9D9D9"/>
          </w:tcPr>
          <w:p>
            <w:pPr>
              <w:spacing w:after="0"/>
              <w:rPr>
                <w:sz w:val="24"/>
                <w:szCs w:val="24"/>
                <w:color w:val="auto"/>
              </w:rPr>
            </w:pPr>
          </w:p>
        </w:tc>
        <w:tc>
          <w:tcPr>
            <w:tcW w:w="580" w:type="dxa"/>
            <w:vAlign w:val="bottom"/>
            <w:shd w:val="clear" w:color="auto" w:fill="D9D9D9"/>
          </w:tcPr>
          <w:p>
            <w:pPr>
              <w:spacing w:after="0"/>
              <w:rPr>
                <w:sz w:val="24"/>
                <w:szCs w:val="24"/>
                <w:color w:val="auto"/>
              </w:rPr>
            </w:pPr>
          </w:p>
        </w:tc>
        <w:tc>
          <w:tcPr>
            <w:tcW w:w="580" w:type="dxa"/>
            <w:vAlign w:val="bottom"/>
            <w:shd w:val="clear" w:color="auto" w:fill="D9D9D9"/>
          </w:tcPr>
          <w:p>
            <w:pPr>
              <w:spacing w:after="0"/>
              <w:rPr>
                <w:sz w:val="24"/>
                <w:szCs w:val="24"/>
                <w:color w:val="auto"/>
              </w:rPr>
            </w:pPr>
          </w:p>
        </w:tc>
        <w:tc>
          <w:tcPr>
            <w:tcW w:w="46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0" w:type="dxa"/>
            <w:vAlign w:val="bottom"/>
            <w:shd w:val="clear" w:color="auto" w:fill="D9D9D9"/>
          </w:tcPr>
          <w:p>
            <w:pPr>
              <w:spacing w:after="0"/>
              <w:rPr>
                <w:sz w:val="13"/>
                <w:szCs w:val="13"/>
                <w:color w:val="auto"/>
              </w:rPr>
            </w:pPr>
          </w:p>
        </w:tc>
        <w:tc>
          <w:tcPr>
            <w:tcW w:w="980" w:type="dxa"/>
            <w:vAlign w:val="bottom"/>
            <w:shd w:val="clear" w:color="auto" w:fill="D9D9D9"/>
          </w:tcPr>
          <w:p>
            <w:pPr>
              <w:ind w:left="40"/>
              <w:spacing w:after="0"/>
              <w:rPr>
                <w:sz w:val="20"/>
                <w:szCs w:val="20"/>
                <w:color w:val="auto"/>
              </w:rPr>
            </w:pPr>
            <w:r>
              <w:rPr>
                <w:rFonts w:ascii="Arial" w:cs="Arial" w:eastAsia="Arial" w:hAnsi="Arial"/>
                <w:sz w:val="13"/>
                <w:szCs w:val="13"/>
                <w:b w:val="1"/>
                <w:bCs w:val="1"/>
                <w:color w:val="333333"/>
              </w:rPr>
              <w:t>Growth vs.</w:t>
            </w:r>
          </w:p>
        </w:tc>
        <w:tc>
          <w:tcPr>
            <w:tcW w:w="72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30%</w:t>
            </w:r>
          </w:p>
        </w:tc>
        <w:tc>
          <w:tcPr>
            <w:tcW w:w="7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≥5%</w:t>
            </w:r>
          </w:p>
        </w:tc>
        <w:tc>
          <w:tcPr>
            <w:tcW w:w="70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≥2.5%</w:t>
            </w:r>
          </w:p>
        </w:tc>
        <w:tc>
          <w:tcPr>
            <w:tcW w:w="60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0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580" w:type="dxa"/>
            <w:vAlign w:val="bottom"/>
            <w:shd w:val="clear" w:color="auto" w:fill="D9D9D9"/>
          </w:tcPr>
          <w:p>
            <w:pPr>
              <w:ind w:left="20"/>
              <w:spacing w:after="0"/>
              <w:rPr>
                <w:sz w:val="20"/>
                <w:szCs w:val="20"/>
                <w:color w:val="auto"/>
              </w:rPr>
            </w:pPr>
            <w:r>
              <w:rPr>
                <w:rFonts w:ascii="Arial" w:cs="Arial" w:eastAsia="Arial" w:hAnsi="Arial"/>
                <w:sz w:val="13"/>
                <w:szCs w:val="13"/>
                <w:color w:val="333333"/>
              </w:rPr>
              <w:t>≥5%</w:t>
            </w:r>
          </w:p>
        </w:tc>
        <w:tc>
          <w:tcPr>
            <w:tcW w:w="580" w:type="dxa"/>
            <w:vAlign w:val="bottom"/>
            <w:shd w:val="clear" w:color="auto" w:fill="D9D9D9"/>
          </w:tcPr>
          <w:p>
            <w:pPr>
              <w:ind w:left="20"/>
              <w:spacing w:after="0"/>
              <w:rPr>
                <w:sz w:val="20"/>
                <w:szCs w:val="20"/>
                <w:color w:val="auto"/>
              </w:rPr>
            </w:pPr>
            <w:r>
              <w:rPr>
                <w:rFonts w:ascii="Arial" w:cs="Arial" w:eastAsia="Arial" w:hAnsi="Arial"/>
                <w:sz w:val="13"/>
                <w:szCs w:val="13"/>
                <w:color w:val="333333"/>
              </w:rPr>
              <w:t>-</w:t>
            </w:r>
          </w:p>
        </w:tc>
        <w:tc>
          <w:tcPr>
            <w:tcW w:w="460" w:type="dxa"/>
            <w:vAlign w:val="bottom"/>
            <w:shd w:val="clear" w:color="auto" w:fill="D9D9D9"/>
          </w:tcPr>
          <w:p>
            <w:pPr>
              <w:ind w:left="20"/>
              <w:spacing w:after="0"/>
              <w:rPr>
                <w:sz w:val="20"/>
                <w:szCs w:val="20"/>
                <w:color w:val="auto"/>
              </w:rPr>
            </w:pPr>
            <w:r>
              <w:rPr>
                <w:rFonts w:ascii="Arial" w:cs="Arial" w:eastAsia="Arial" w:hAnsi="Arial"/>
                <w:sz w:val="13"/>
                <w:szCs w:val="13"/>
                <w:color w:val="333333"/>
              </w:rPr>
              <w:t>-</w:t>
            </w:r>
          </w:p>
        </w:tc>
        <w:tc>
          <w:tcPr>
            <w:tcW w:w="120" w:type="dxa"/>
            <w:vAlign w:val="bottom"/>
            <w:shd w:val="clear" w:color="auto" w:fill="D9D9D9"/>
          </w:tcPr>
          <w:p>
            <w:pPr>
              <w:spacing w:after="0"/>
              <w:rPr>
                <w:sz w:val="13"/>
                <w:szCs w:val="13"/>
                <w:color w:val="auto"/>
              </w:rPr>
            </w:pPr>
          </w:p>
        </w:tc>
        <w:tc>
          <w:tcPr>
            <w:tcW w:w="700" w:type="dxa"/>
            <w:vAlign w:val="bottom"/>
            <w:gridSpan w:val="2"/>
            <w:shd w:val="clear" w:color="auto" w:fill="D9D9D9"/>
          </w:tcPr>
          <w:p>
            <w:pPr>
              <w:ind w:left="20"/>
              <w:spacing w:after="0"/>
              <w:rPr>
                <w:sz w:val="20"/>
                <w:szCs w:val="20"/>
                <w:color w:val="auto"/>
              </w:rPr>
            </w:pPr>
            <w:r>
              <w:rPr>
                <w:rFonts w:ascii="Arial" w:cs="Arial" w:eastAsia="Arial" w:hAnsi="Arial"/>
                <w:sz w:val="13"/>
                <w:szCs w:val="13"/>
                <w:color w:val="333333"/>
              </w:rPr>
              <w:t>≥7.5%</w:t>
            </w:r>
          </w:p>
        </w:tc>
        <w:tc>
          <w:tcPr>
            <w:tcW w:w="92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20.7%</w:t>
            </w:r>
          </w:p>
        </w:tc>
        <w:tc>
          <w:tcPr>
            <w:tcW w:w="980" w:type="dxa"/>
            <w:vAlign w:val="bottom"/>
            <w:gridSpan w:val="2"/>
            <w:shd w:val="clear" w:color="auto" w:fill="D9D9D9"/>
          </w:tcPr>
          <w:p>
            <w:pPr>
              <w:spacing w:after="0"/>
              <w:rPr>
                <w:sz w:val="20"/>
                <w:szCs w:val="20"/>
                <w:color w:val="auto"/>
              </w:rPr>
            </w:pPr>
            <w:r>
              <w:rPr>
                <w:rFonts w:ascii="Arial" w:cs="Arial" w:eastAsia="Arial" w:hAnsi="Arial"/>
                <w:sz w:val="13"/>
                <w:szCs w:val="13"/>
                <w:color w:val="333333"/>
              </w:rPr>
              <w:t>150%</w:t>
            </w:r>
          </w:p>
        </w:tc>
        <w:tc>
          <w:tcPr>
            <w:tcW w:w="0" w:type="dxa"/>
            <w:vAlign w:val="bottom"/>
          </w:tcPr>
          <w:p>
            <w:pPr>
              <w:spacing w:after="0"/>
              <w:rPr>
                <w:sz w:val="1"/>
                <w:szCs w:val="1"/>
                <w:color w:val="auto"/>
              </w:rPr>
            </w:pPr>
          </w:p>
        </w:tc>
      </w:tr>
      <w:tr>
        <w:trPr>
          <w:trHeight w:val="306"/>
        </w:trPr>
        <w:tc>
          <w:tcPr>
            <w:tcW w:w="60" w:type="dxa"/>
            <w:vAlign w:val="bottom"/>
            <w:shd w:val="clear" w:color="auto" w:fill="D9D9D9"/>
          </w:tcPr>
          <w:p>
            <w:pPr>
              <w:spacing w:after="0"/>
              <w:rPr>
                <w:sz w:val="24"/>
                <w:szCs w:val="24"/>
                <w:color w:val="auto"/>
              </w:rPr>
            </w:pPr>
          </w:p>
        </w:tc>
        <w:tc>
          <w:tcPr>
            <w:tcW w:w="980" w:type="dxa"/>
            <w:vAlign w:val="bottom"/>
            <w:shd w:val="clear" w:color="auto" w:fill="D9D9D9"/>
          </w:tcPr>
          <w:p>
            <w:pPr>
              <w:ind w:left="40"/>
              <w:spacing w:after="0"/>
              <w:rPr>
                <w:sz w:val="20"/>
                <w:szCs w:val="20"/>
                <w:color w:val="auto"/>
              </w:rPr>
            </w:pPr>
            <w:r>
              <w:rPr>
                <w:rFonts w:ascii="Arial" w:cs="Arial" w:eastAsia="Arial" w:hAnsi="Arial"/>
                <w:sz w:val="13"/>
                <w:szCs w:val="13"/>
                <w:b w:val="1"/>
                <w:bCs w:val="1"/>
                <w:color w:val="333333"/>
              </w:rPr>
              <w:t>S&amp;P 500</w:t>
            </w:r>
            <w:r>
              <w:rPr>
                <w:rFonts w:ascii="Arial" w:cs="Arial" w:eastAsia="Arial" w:hAnsi="Arial"/>
                <w:sz w:val="22"/>
                <w:szCs w:val="22"/>
                <w:b w:val="1"/>
                <w:bCs w:val="1"/>
                <w:color w:val="333333"/>
                <w:vertAlign w:val="superscript"/>
              </w:rPr>
              <w:t>(2)</w:t>
            </w:r>
          </w:p>
        </w:tc>
        <w:tc>
          <w:tcPr>
            <w:tcW w:w="720" w:type="dxa"/>
            <w:vAlign w:val="bottom"/>
            <w:shd w:val="clear" w:color="auto" w:fill="D9D9D9"/>
          </w:tcPr>
          <w:p>
            <w:pPr>
              <w:spacing w:after="0"/>
              <w:rPr>
                <w:sz w:val="24"/>
                <w:szCs w:val="24"/>
                <w:color w:val="auto"/>
              </w:rPr>
            </w:pPr>
          </w:p>
        </w:tc>
        <w:tc>
          <w:tcPr>
            <w:tcW w:w="76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600" w:type="dxa"/>
            <w:vAlign w:val="bottom"/>
            <w:shd w:val="clear" w:color="auto" w:fill="D9D9D9"/>
          </w:tcPr>
          <w:p>
            <w:pPr>
              <w:spacing w:after="0"/>
              <w:rPr>
                <w:sz w:val="24"/>
                <w:szCs w:val="24"/>
                <w:color w:val="auto"/>
              </w:rPr>
            </w:pPr>
          </w:p>
        </w:tc>
        <w:tc>
          <w:tcPr>
            <w:tcW w:w="600" w:type="dxa"/>
            <w:vAlign w:val="bottom"/>
            <w:shd w:val="clear" w:color="auto" w:fill="D9D9D9"/>
          </w:tcPr>
          <w:p>
            <w:pPr>
              <w:spacing w:after="0"/>
              <w:rPr>
                <w:sz w:val="24"/>
                <w:szCs w:val="24"/>
                <w:color w:val="auto"/>
              </w:rPr>
            </w:pPr>
          </w:p>
        </w:tc>
        <w:tc>
          <w:tcPr>
            <w:tcW w:w="580" w:type="dxa"/>
            <w:vAlign w:val="bottom"/>
            <w:shd w:val="clear" w:color="auto" w:fill="D9D9D9"/>
          </w:tcPr>
          <w:p>
            <w:pPr>
              <w:spacing w:after="0"/>
              <w:rPr>
                <w:sz w:val="24"/>
                <w:szCs w:val="24"/>
                <w:color w:val="auto"/>
              </w:rPr>
            </w:pPr>
          </w:p>
        </w:tc>
        <w:tc>
          <w:tcPr>
            <w:tcW w:w="580" w:type="dxa"/>
            <w:vAlign w:val="bottom"/>
            <w:shd w:val="clear" w:color="auto" w:fill="D9D9D9"/>
          </w:tcPr>
          <w:p>
            <w:pPr>
              <w:spacing w:after="0"/>
              <w:rPr>
                <w:sz w:val="24"/>
                <w:szCs w:val="24"/>
                <w:color w:val="auto"/>
              </w:rPr>
            </w:pPr>
          </w:p>
        </w:tc>
        <w:tc>
          <w:tcPr>
            <w:tcW w:w="46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0" w:type="dxa"/>
            <w:vAlign w:val="bottom"/>
            <w:shd w:val="clear" w:color="auto" w:fill="D9D9D9"/>
          </w:tcPr>
          <w:p>
            <w:pPr>
              <w:spacing w:after="0"/>
              <w:rPr>
                <w:sz w:val="5"/>
                <w:szCs w:val="5"/>
                <w:color w:val="auto"/>
              </w:rPr>
            </w:pPr>
          </w:p>
        </w:tc>
        <w:tc>
          <w:tcPr>
            <w:tcW w:w="980" w:type="dxa"/>
            <w:vAlign w:val="bottom"/>
            <w:shd w:val="clear" w:color="auto" w:fill="D9D9D9"/>
          </w:tcPr>
          <w:p>
            <w:pPr>
              <w:spacing w:after="0"/>
              <w:rPr>
                <w:sz w:val="5"/>
                <w:szCs w:val="5"/>
                <w:color w:val="auto"/>
              </w:rPr>
            </w:pPr>
          </w:p>
        </w:tc>
        <w:tc>
          <w:tcPr>
            <w:tcW w:w="720" w:type="dxa"/>
            <w:vAlign w:val="bottom"/>
            <w:shd w:val="clear" w:color="auto" w:fill="D9D9D9"/>
          </w:tcPr>
          <w:p>
            <w:pPr>
              <w:spacing w:after="0"/>
              <w:rPr>
                <w:sz w:val="5"/>
                <w:szCs w:val="5"/>
                <w:color w:val="auto"/>
              </w:rPr>
            </w:pPr>
          </w:p>
        </w:tc>
        <w:tc>
          <w:tcPr>
            <w:tcW w:w="760" w:type="dxa"/>
            <w:vAlign w:val="bottom"/>
            <w:shd w:val="clear" w:color="auto" w:fill="D9D9D9"/>
          </w:tcPr>
          <w:p>
            <w:pPr>
              <w:spacing w:after="0"/>
              <w:rPr>
                <w:sz w:val="5"/>
                <w:szCs w:val="5"/>
                <w:color w:val="auto"/>
              </w:rPr>
            </w:pPr>
          </w:p>
        </w:tc>
        <w:tc>
          <w:tcPr>
            <w:tcW w:w="700" w:type="dxa"/>
            <w:vAlign w:val="bottom"/>
            <w:shd w:val="clear" w:color="auto" w:fill="D9D9D9"/>
          </w:tcPr>
          <w:p>
            <w:pPr>
              <w:spacing w:after="0"/>
              <w:rPr>
                <w:sz w:val="5"/>
                <w:szCs w:val="5"/>
                <w:color w:val="auto"/>
              </w:rPr>
            </w:pPr>
          </w:p>
        </w:tc>
        <w:tc>
          <w:tcPr>
            <w:tcW w:w="600" w:type="dxa"/>
            <w:vAlign w:val="bottom"/>
            <w:shd w:val="clear" w:color="auto" w:fill="D9D9D9"/>
          </w:tcPr>
          <w:p>
            <w:pPr>
              <w:spacing w:after="0"/>
              <w:rPr>
                <w:sz w:val="5"/>
                <w:szCs w:val="5"/>
                <w:color w:val="auto"/>
              </w:rPr>
            </w:pPr>
          </w:p>
        </w:tc>
        <w:tc>
          <w:tcPr>
            <w:tcW w:w="600" w:type="dxa"/>
            <w:vAlign w:val="bottom"/>
            <w:shd w:val="clear" w:color="auto" w:fill="D9D9D9"/>
          </w:tcPr>
          <w:p>
            <w:pPr>
              <w:spacing w:after="0"/>
              <w:rPr>
                <w:sz w:val="5"/>
                <w:szCs w:val="5"/>
                <w:color w:val="auto"/>
              </w:rPr>
            </w:pPr>
          </w:p>
        </w:tc>
        <w:tc>
          <w:tcPr>
            <w:tcW w:w="580" w:type="dxa"/>
            <w:vAlign w:val="bottom"/>
            <w:shd w:val="clear" w:color="auto" w:fill="D9D9D9"/>
          </w:tcPr>
          <w:p>
            <w:pPr>
              <w:spacing w:after="0"/>
              <w:rPr>
                <w:sz w:val="5"/>
                <w:szCs w:val="5"/>
                <w:color w:val="auto"/>
              </w:rPr>
            </w:pPr>
          </w:p>
        </w:tc>
        <w:tc>
          <w:tcPr>
            <w:tcW w:w="580" w:type="dxa"/>
            <w:vAlign w:val="bottom"/>
            <w:shd w:val="clear" w:color="auto" w:fill="D9D9D9"/>
          </w:tcPr>
          <w:p>
            <w:pPr>
              <w:spacing w:after="0"/>
              <w:rPr>
                <w:sz w:val="5"/>
                <w:szCs w:val="5"/>
                <w:color w:val="auto"/>
              </w:rPr>
            </w:pPr>
          </w:p>
        </w:tc>
        <w:tc>
          <w:tcPr>
            <w:tcW w:w="460" w:type="dxa"/>
            <w:vAlign w:val="bottom"/>
            <w:shd w:val="clear" w:color="auto" w:fill="D9D9D9"/>
          </w:tcPr>
          <w:p>
            <w:pPr>
              <w:spacing w:after="0"/>
              <w:rPr>
                <w:sz w:val="5"/>
                <w:szCs w:val="5"/>
                <w:color w:val="auto"/>
              </w:rPr>
            </w:pPr>
          </w:p>
        </w:tc>
        <w:tc>
          <w:tcPr>
            <w:tcW w:w="120" w:type="dxa"/>
            <w:vAlign w:val="bottom"/>
            <w:shd w:val="clear" w:color="auto" w:fill="D9D9D9"/>
          </w:tcPr>
          <w:p>
            <w:pPr>
              <w:spacing w:after="0"/>
              <w:rPr>
                <w:sz w:val="5"/>
                <w:szCs w:val="5"/>
                <w:color w:val="auto"/>
              </w:rPr>
            </w:pPr>
          </w:p>
        </w:tc>
        <w:tc>
          <w:tcPr>
            <w:tcW w:w="200" w:type="dxa"/>
            <w:vAlign w:val="bottom"/>
            <w:shd w:val="clear" w:color="auto" w:fill="D9D9D9"/>
          </w:tcPr>
          <w:p>
            <w:pPr>
              <w:spacing w:after="0"/>
              <w:rPr>
                <w:sz w:val="5"/>
                <w:szCs w:val="5"/>
                <w:color w:val="auto"/>
              </w:rPr>
            </w:pPr>
          </w:p>
        </w:tc>
        <w:tc>
          <w:tcPr>
            <w:tcW w:w="500" w:type="dxa"/>
            <w:vAlign w:val="bottom"/>
            <w:shd w:val="clear" w:color="auto" w:fill="D9D9D9"/>
          </w:tcPr>
          <w:p>
            <w:pPr>
              <w:spacing w:after="0"/>
              <w:rPr>
                <w:sz w:val="5"/>
                <w:szCs w:val="5"/>
                <w:color w:val="auto"/>
              </w:rPr>
            </w:pPr>
          </w:p>
        </w:tc>
        <w:tc>
          <w:tcPr>
            <w:tcW w:w="920" w:type="dxa"/>
            <w:vAlign w:val="bottom"/>
            <w:shd w:val="clear" w:color="auto" w:fill="D9D9D9"/>
          </w:tcPr>
          <w:p>
            <w:pPr>
              <w:spacing w:after="0"/>
              <w:rPr>
                <w:sz w:val="5"/>
                <w:szCs w:val="5"/>
                <w:color w:val="auto"/>
              </w:rPr>
            </w:pPr>
          </w:p>
        </w:tc>
        <w:tc>
          <w:tcPr>
            <w:tcW w:w="140" w:type="dxa"/>
            <w:vAlign w:val="bottom"/>
            <w:shd w:val="clear" w:color="auto" w:fill="D9D9D9"/>
          </w:tcPr>
          <w:p>
            <w:pPr>
              <w:spacing w:after="0"/>
              <w:rPr>
                <w:sz w:val="5"/>
                <w:szCs w:val="5"/>
                <w:color w:val="auto"/>
              </w:rPr>
            </w:pPr>
          </w:p>
        </w:tc>
        <w:tc>
          <w:tcPr>
            <w:tcW w:w="84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333333"/>
              </w:rPr>
              <w:t>At or</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Arial" w:cs="Arial" w:eastAsia="Arial" w:hAnsi="Arial"/>
                <w:sz w:val="13"/>
                <w:szCs w:val="13"/>
                <w:b w:val="1"/>
                <w:bCs w:val="1"/>
                <w:color w:val="333333"/>
              </w:rPr>
              <w:t>Quarterly</w:t>
            </w:r>
          </w:p>
        </w:tc>
        <w:tc>
          <w:tcPr>
            <w:tcW w:w="72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333333"/>
              </w:rPr>
              <w:t>below</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vMerge w:val="restart"/>
          </w:tcPr>
          <w:p>
            <w:pPr>
              <w:ind w:left="40"/>
              <w:spacing w:after="0"/>
              <w:rPr>
                <w:sz w:val="20"/>
                <w:szCs w:val="20"/>
                <w:color w:val="auto"/>
              </w:rPr>
            </w:pPr>
            <w:r>
              <w:rPr>
                <w:rFonts w:ascii="Arial" w:cs="Arial" w:eastAsia="Arial" w:hAnsi="Arial"/>
                <w:sz w:val="13"/>
                <w:szCs w:val="13"/>
                <w:color w:val="333333"/>
              </w:rPr>
              <w:t>20%</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333333"/>
              </w:rPr>
              <w:t>plan in</w:t>
            </w:r>
          </w:p>
        </w:tc>
        <w:tc>
          <w:tcPr>
            <w:tcW w:w="700" w:type="dxa"/>
            <w:vAlign w:val="bottom"/>
            <w:vMerge w:val="restart"/>
          </w:tcPr>
          <w:p>
            <w:pPr>
              <w:ind w:left="40"/>
              <w:spacing w:after="0"/>
              <w:rPr>
                <w:sz w:val="20"/>
                <w:szCs w:val="20"/>
                <w:color w:val="auto"/>
              </w:rPr>
            </w:pPr>
            <w:r>
              <w:rPr>
                <w:rFonts w:ascii="Arial" w:cs="Arial" w:eastAsia="Arial" w:hAnsi="Arial"/>
                <w:sz w:val="13"/>
                <w:szCs w:val="13"/>
                <w:color w:val="333333"/>
              </w:rPr>
              <w:t>-</w:t>
            </w:r>
          </w:p>
        </w:tc>
        <w:tc>
          <w:tcPr>
            <w:tcW w:w="600" w:type="dxa"/>
            <w:vAlign w:val="bottom"/>
            <w:vMerge w:val="restart"/>
          </w:tcPr>
          <w:p>
            <w:pPr>
              <w:ind w:left="60"/>
              <w:spacing w:after="0"/>
              <w:rPr>
                <w:sz w:val="20"/>
                <w:szCs w:val="20"/>
                <w:color w:val="auto"/>
              </w:rPr>
            </w:pPr>
            <w:r>
              <w:rPr>
                <w:rFonts w:ascii="Arial" w:cs="Arial" w:eastAsia="Arial" w:hAnsi="Arial"/>
                <w:sz w:val="13"/>
                <w:szCs w:val="13"/>
                <w:color w:val="333333"/>
              </w:rPr>
              <w:t>-</w:t>
            </w:r>
          </w:p>
        </w:tc>
        <w:tc>
          <w:tcPr>
            <w:tcW w:w="600" w:type="dxa"/>
            <w:vAlign w:val="bottom"/>
            <w:vMerge w:val="restart"/>
          </w:tcPr>
          <w:p>
            <w:pPr>
              <w:ind w:left="40"/>
              <w:spacing w:after="0"/>
              <w:rPr>
                <w:sz w:val="20"/>
                <w:szCs w:val="20"/>
                <w:color w:val="auto"/>
              </w:rPr>
            </w:pPr>
            <w:r>
              <w:rPr>
                <w:rFonts w:ascii="Arial" w:cs="Arial" w:eastAsia="Arial" w:hAnsi="Arial"/>
                <w:sz w:val="13"/>
                <w:szCs w:val="13"/>
                <w:color w:val="333333"/>
              </w:rPr>
              <w:t>-</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333333"/>
              </w:rPr>
              <w:t>-</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333333"/>
              </w:rPr>
              <w:t>-</w:t>
            </w:r>
          </w:p>
        </w:tc>
        <w:tc>
          <w:tcPr>
            <w:tcW w:w="460" w:type="dxa"/>
            <w:vAlign w:val="bottom"/>
            <w:vMerge w:val="restart"/>
          </w:tcPr>
          <w:p>
            <w:pPr>
              <w:ind w:left="20"/>
              <w:spacing w:after="0"/>
              <w:rPr>
                <w:sz w:val="20"/>
                <w:szCs w:val="20"/>
                <w:color w:val="auto"/>
              </w:rPr>
            </w:pPr>
            <w:r>
              <w:rPr>
                <w:rFonts w:ascii="Arial" w:cs="Arial" w:eastAsia="Arial" w:hAnsi="Arial"/>
                <w:sz w:val="13"/>
                <w:szCs w:val="13"/>
                <w:color w:val="333333"/>
              </w:rPr>
              <w:t>-</w:t>
            </w:r>
          </w:p>
        </w:tc>
        <w:tc>
          <w:tcPr>
            <w:tcW w:w="120" w:type="dxa"/>
            <w:vAlign w:val="bottom"/>
          </w:tcPr>
          <w:p>
            <w:pPr>
              <w:spacing w:after="0"/>
              <w:rPr>
                <w:sz w:val="5"/>
                <w:szCs w:val="5"/>
                <w:color w:val="auto"/>
              </w:rPr>
            </w:pPr>
          </w:p>
        </w:tc>
        <w:tc>
          <w:tcPr>
            <w:tcW w:w="200" w:type="dxa"/>
            <w:vAlign w:val="bottom"/>
            <w:vMerge w:val="restart"/>
          </w:tcPr>
          <w:p>
            <w:pPr>
              <w:ind w:left="20"/>
              <w:spacing w:after="0"/>
              <w:rPr>
                <w:sz w:val="20"/>
                <w:szCs w:val="20"/>
                <w:color w:val="auto"/>
              </w:rPr>
            </w:pPr>
            <w:r>
              <w:rPr>
                <w:rFonts w:ascii="Arial" w:cs="Arial" w:eastAsia="Arial" w:hAnsi="Arial"/>
                <w:sz w:val="13"/>
                <w:szCs w:val="13"/>
                <w:color w:val="333333"/>
              </w:rPr>
              <w:t>-</w:t>
            </w:r>
          </w:p>
        </w:tc>
        <w:tc>
          <w:tcPr>
            <w:tcW w:w="500" w:type="dxa"/>
            <w:vAlign w:val="bottom"/>
          </w:tcPr>
          <w:p>
            <w:pPr>
              <w:spacing w:after="0"/>
              <w:rPr>
                <w:sz w:val="5"/>
                <w:szCs w:val="5"/>
                <w:color w:val="auto"/>
              </w:rPr>
            </w:pPr>
          </w:p>
        </w:tc>
        <w:tc>
          <w:tcPr>
            <w:tcW w:w="920" w:type="dxa"/>
            <w:vAlign w:val="bottom"/>
            <w:vMerge w:val="restart"/>
          </w:tcPr>
          <w:p>
            <w:pPr>
              <w:ind w:left="40"/>
              <w:spacing w:after="0"/>
              <w:rPr>
                <w:sz w:val="20"/>
                <w:szCs w:val="20"/>
                <w:color w:val="auto"/>
              </w:rPr>
            </w:pPr>
            <w:r>
              <w:rPr>
                <w:rFonts w:ascii="Arial" w:cs="Arial" w:eastAsia="Arial" w:hAnsi="Arial"/>
                <w:sz w:val="13"/>
                <w:szCs w:val="13"/>
                <w:color w:val="333333"/>
              </w:rPr>
              <w:t>Achieved</w:t>
            </w:r>
          </w:p>
        </w:tc>
        <w:tc>
          <w:tcPr>
            <w:tcW w:w="980" w:type="dxa"/>
            <w:vAlign w:val="bottom"/>
            <w:gridSpan w:val="2"/>
            <w:vMerge w:val="restart"/>
          </w:tcPr>
          <w:p>
            <w:pPr>
              <w:spacing w:after="0"/>
              <w:rPr>
                <w:sz w:val="20"/>
                <w:szCs w:val="20"/>
                <w:color w:val="auto"/>
              </w:rPr>
            </w:pPr>
            <w:r>
              <w:rPr>
                <w:rFonts w:ascii="Arial" w:cs="Arial" w:eastAsia="Arial" w:hAnsi="Arial"/>
                <w:sz w:val="13"/>
                <w:szCs w:val="13"/>
                <w:color w:val="333333"/>
              </w:rPr>
              <w:t>100%</w:t>
            </w: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980" w:type="dxa"/>
            <w:vAlign w:val="bottom"/>
            <w:vMerge w:val="restart"/>
          </w:tcPr>
          <w:p>
            <w:pPr>
              <w:ind w:left="40"/>
              <w:spacing w:after="0" w:line="234" w:lineRule="exact"/>
              <w:rPr>
                <w:sz w:val="20"/>
                <w:szCs w:val="20"/>
                <w:color w:val="auto"/>
              </w:rPr>
            </w:pPr>
            <w:r>
              <w:rPr>
                <w:rFonts w:ascii="Arial" w:cs="Arial" w:eastAsia="Arial" w:hAnsi="Arial"/>
                <w:sz w:val="13"/>
                <w:szCs w:val="13"/>
                <w:b w:val="1"/>
                <w:bCs w:val="1"/>
                <w:color w:val="333333"/>
                <w:w w:val="95"/>
              </w:rPr>
              <w:t>Expenses</w:t>
            </w:r>
            <w:r>
              <w:rPr>
                <w:rFonts w:ascii="Arial" w:cs="Arial" w:eastAsia="Arial" w:hAnsi="Arial"/>
                <w:sz w:val="22"/>
                <w:szCs w:val="22"/>
                <w:b w:val="1"/>
                <w:bCs w:val="1"/>
                <w:color w:val="333333"/>
                <w:w w:val="95"/>
                <w:vertAlign w:val="superscript"/>
              </w:rPr>
              <w:t>(1)(3)</w:t>
            </w:r>
          </w:p>
        </w:tc>
        <w:tc>
          <w:tcPr>
            <w:tcW w:w="7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333333"/>
              </w:rPr>
              <w:t>every</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333333"/>
              </w:rPr>
              <w:t>quarter</w:t>
            </w: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8"/>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218"/>
              <w:spacing w:after="0"/>
              <w:rPr>
                <w:sz w:val="20"/>
                <w:szCs w:val="20"/>
                <w:color w:val="auto"/>
              </w:rPr>
            </w:pPr>
            <w:r>
              <w:rPr>
                <w:rFonts w:ascii="Arial" w:cs="Arial" w:eastAsia="Arial" w:hAnsi="Arial"/>
                <w:sz w:val="13"/>
                <w:szCs w:val="13"/>
                <w:b w:val="1"/>
                <w:bCs w:val="1"/>
                <w:color w:val="auto"/>
              </w:rPr>
              <w:t>Target Payout</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$​225,000</w:t>
            </w:r>
          </w:p>
        </w:tc>
        <w:tc>
          <w:tcPr>
            <w:tcW w:w="0" w:type="dxa"/>
            <w:vAlign w:val="bottom"/>
          </w:tcPr>
          <w:p>
            <w:pPr>
              <w:spacing w:after="0"/>
              <w:rPr>
                <w:sz w:val="1"/>
                <w:szCs w:val="1"/>
                <w:color w:val="auto"/>
              </w:rPr>
            </w:pPr>
          </w:p>
        </w:tc>
      </w:tr>
      <w:tr>
        <w:trPr>
          <w:trHeight w:val="310"/>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gridSpan w:val="5"/>
          </w:tcPr>
          <w:p>
            <w:pPr>
              <w:jc w:val="right"/>
              <w:ind w:right="218"/>
              <w:spacing w:after="0"/>
              <w:rPr>
                <w:sz w:val="20"/>
                <w:szCs w:val="20"/>
                <w:color w:val="auto"/>
              </w:rPr>
            </w:pPr>
            <w:r>
              <w:rPr>
                <w:rFonts w:ascii="Arial" w:cs="Arial" w:eastAsia="Arial" w:hAnsi="Arial"/>
                <w:sz w:val="13"/>
                <w:szCs w:val="13"/>
                <w:b w:val="1"/>
                <w:bCs w:val="1"/>
                <w:color w:val="auto"/>
              </w:rPr>
              <w:t>Formulaic Total Payout %</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108%</w:t>
            </w: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gridSpan w:val="6"/>
          </w:tcPr>
          <w:p>
            <w:pPr>
              <w:jc w:val="right"/>
              <w:ind w:right="218"/>
              <w:spacing w:after="0"/>
              <w:rPr>
                <w:sz w:val="20"/>
                <w:szCs w:val="20"/>
                <w:color w:val="auto"/>
              </w:rPr>
            </w:pPr>
            <w:r>
              <w:rPr>
                <w:rFonts w:ascii="Arial" w:cs="Arial" w:eastAsia="Arial" w:hAnsi="Arial"/>
                <w:sz w:val="13"/>
                <w:szCs w:val="13"/>
                <w:b w:val="1"/>
                <w:bCs w:val="1"/>
                <w:color w:val="auto"/>
              </w:rPr>
              <w:t>Formulaic Initial Calculated Payout</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$​241,875</w:t>
            </w: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40" w:type="dxa"/>
            <w:vAlign w:val="bottom"/>
            <w:gridSpan w:val="4"/>
          </w:tcPr>
          <w:p>
            <w:pPr>
              <w:jc w:val="right"/>
              <w:ind w:right="218"/>
              <w:spacing w:after="0"/>
              <w:rPr>
                <w:sz w:val="20"/>
                <w:szCs w:val="20"/>
                <w:color w:val="auto"/>
              </w:rPr>
            </w:pPr>
            <w:r>
              <w:rPr>
                <w:rFonts w:ascii="Arial" w:cs="Arial" w:eastAsia="Arial" w:hAnsi="Arial"/>
                <w:sz w:val="13"/>
                <w:szCs w:val="13"/>
                <w:b w:val="1"/>
                <w:bCs w:val="1"/>
                <w:color w:val="auto"/>
              </w:rPr>
              <w:t>Less Target RSU value</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$180,000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gridSpan w:val="5"/>
          </w:tcPr>
          <w:p>
            <w:pPr>
              <w:jc w:val="right"/>
              <w:ind w:right="218"/>
              <w:spacing w:after="0"/>
              <w:rPr>
                <w:sz w:val="20"/>
                <w:szCs w:val="20"/>
                <w:color w:val="auto"/>
              </w:rPr>
            </w:pPr>
            <w:r>
              <w:rPr>
                <w:rFonts w:ascii="Arial" w:cs="Arial" w:eastAsia="Arial" w:hAnsi="Arial"/>
                <w:sz w:val="13"/>
                <w:szCs w:val="13"/>
                <w:b w:val="1"/>
                <w:bCs w:val="1"/>
                <w:color w:val="auto"/>
              </w:rPr>
              <w:t>Formulaic Cash Payout</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$​61,875</w:t>
            </w: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gridSpan w:val="3"/>
          </w:tcPr>
          <w:p>
            <w:pPr>
              <w:jc w:val="right"/>
              <w:ind w:right="218"/>
              <w:spacing w:after="0"/>
              <w:rPr>
                <w:sz w:val="20"/>
                <w:szCs w:val="20"/>
                <w:color w:val="auto"/>
              </w:rPr>
            </w:pPr>
            <w:r>
              <w:rPr>
                <w:rFonts w:ascii="Arial" w:cs="Arial" w:eastAsia="Arial" w:hAnsi="Arial"/>
                <w:sz w:val="13"/>
                <w:szCs w:val="13"/>
                <w:b w:val="1"/>
                <w:bCs w:val="1"/>
                <w:color w:val="auto"/>
              </w:rPr>
              <w:t>Actual Cash Payout</w:t>
            </w: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u w:val="single" w:color="auto"/>
                <w:color w:val="auto"/>
                <w:w w:val="82"/>
              </w:rPr>
              <w:t>$</w:t>
            </w:r>
            <w:r>
              <w:rPr>
                <w:rFonts w:ascii="Arial" w:cs="Arial" w:eastAsia="Arial" w:hAnsi="Arial"/>
                <w:sz w:val="13"/>
                <w:szCs w:val="13"/>
                <w:b w:val="1"/>
                <w:bCs w:val="1"/>
                <w:color w:val="auto"/>
                <w:w w:val="82"/>
              </w:rPr>
              <w:t>0</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840" w:hanging="190"/>
        <w:spacing w:after="0"/>
        <w:tabs>
          <w:tab w:leader="none" w:pos="840" w:val="left"/>
        </w:tabs>
        <w:numPr>
          <w:ilvl w:val="0"/>
          <w:numId w:val="65"/>
        </w:numPr>
        <w:rPr>
          <w:rFonts w:ascii="Arial" w:cs="Arial" w:eastAsia="Arial" w:hAnsi="Arial"/>
          <w:sz w:val="13"/>
          <w:szCs w:val="13"/>
          <w:i w:val="1"/>
          <w:iCs w:val="1"/>
          <w:color w:val="333333"/>
        </w:rPr>
      </w:pPr>
      <w:r>
        <w:rPr>
          <w:rFonts w:ascii="Arial" w:cs="Arial" w:eastAsia="Arial" w:hAnsi="Arial"/>
          <w:sz w:val="13"/>
          <w:szCs w:val="13"/>
          <w:i w:val="1"/>
          <w:iCs w:val="1"/>
          <w:color w:val="333333"/>
        </w:rPr>
        <w:t>Adjusted to be consistent with the macro-economic environment assumed in the 2023 budget, and excludes the impact of acquisitions and divestitures.</w:t>
      </w:r>
    </w:p>
    <w:p>
      <w:pPr>
        <w:spacing w:after="0" w:line="14" w:lineRule="exact"/>
        <w:rPr>
          <w:rFonts w:ascii="Arial" w:cs="Arial" w:eastAsia="Arial" w:hAnsi="Arial"/>
          <w:sz w:val="13"/>
          <w:szCs w:val="13"/>
          <w:i w:val="1"/>
          <w:iCs w:val="1"/>
          <w:color w:val="333333"/>
        </w:rPr>
      </w:pPr>
    </w:p>
    <w:p>
      <w:pPr>
        <w:ind w:left="840" w:hanging="190"/>
        <w:spacing w:after="0"/>
        <w:tabs>
          <w:tab w:leader="none" w:pos="840" w:val="left"/>
        </w:tabs>
        <w:numPr>
          <w:ilvl w:val="0"/>
          <w:numId w:val="65"/>
        </w:numPr>
        <w:rPr>
          <w:rFonts w:ascii="Arial" w:cs="Arial" w:eastAsia="Arial" w:hAnsi="Arial"/>
          <w:sz w:val="13"/>
          <w:szCs w:val="13"/>
          <w:i w:val="1"/>
          <w:iCs w:val="1"/>
          <w:color w:val="333333"/>
        </w:rPr>
      </w:pPr>
      <w:r>
        <w:rPr>
          <w:rFonts w:ascii="Arial" w:cs="Arial" w:eastAsia="Arial" w:hAnsi="Arial"/>
          <w:sz w:val="13"/>
          <w:szCs w:val="13"/>
          <w:i w:val="1"/>
          <w:iCs w:val="1"/>
          <w:color w:val="333333"/>
        </w:rPr>
        <w:t>Based on extent to which percentage growth in the Company’s stock price exceeds that of the S&amp;P 500 Index.</w:t>
      </w:r>
    </w:p>
    <w:p>
      <w:pPr>
        <w:spacing w:after="0" w:line="24" w:lineRule="exact"/>
        <w:rPr>
          <w:rFonts w:ascii="Arial" w:cs="Arial" w:eastAsia="Arial" w:hAnsi="Arial"/>
          <w:sz w:val="13"/>
          <w:szCs w:val="13"/>
          <w:i w:val="1"/>
          <w:iCs w:val="1"/>
          <w:color w:val="333333"/>
        </w:rPr>
      </w:pPr>
    </w:p>
    <w:p>
      <w:pPr>
        <w:ind w:left="840" w:hanging="190"/>
        <w:spacing w:after="0"/>
        <w:tabs>
          <w:tab w:leader="none" w:pos="840" w:val="left"/>
        </w:tabs>
        <w:numPr>
          <w:ilvl w:val="0"/>
          <w:numId w:val="65"/>
        </w:numPr>
        <w:rPr>
          <w:rFonts w:ascii="Arial" w:cs="Arial" w:eastAsia="Arial" w:hAnsi="Arial"/>
          <w:sz w:val="13"/>
          <w:szCs w:val="13"/>
          <w:i w:val="1"/>
          <w:iCs w:val="1"/>
          <w:color w:val="333333"/>
        </w:rPr>
      </w:pPr>
      <w:r>
        <w:rPr>
          <w:rFonts w:ascii="Arial" w:cs="Arial" w:eastAsia="Arial" w:hAnsi="Arial"/>
          <w:sz w:val="13"/>
          <w:szCs w:val="13"/>
          <w:i w:val="1"/>
          <w:iCs w:val="1"/>
          <w:color w:val="333333"/>
        </w:rPr>
        <w:t>This metric results in a 100% payout only if the applicable goal is achieved for every quarter; otherwise, the payout for this metric is 0%.</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CF1D4C"/>
        </w:rPr>
        <w:t>COMPENSATION DISCUSSION AND ANALYSIS</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Alissa B. Vickery: </w:t>
      </w:r>
      <w:r>
        <w:rPr>
          <w:rFonts w:ascii="Arial" w:cs="Arial" w:eastAsia="Arial" w:hAnsi="Arial"/>
          <w:sz w:val="16"/>
          <w:szCs w:val="16"/>
          <w:color w:val="333333"/>
        </w:rPr>
        <w:t>The cash portion of Ms. Vickery’s 2023 annual incentive was determined as follows:</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370"/>
        </w:trPr>
        <w:tc>
          <w:tcPr>
            <w:tcW w:w="120" w:type="dxa"/>
            <w:vAlign w:val="bottom"/>
            <w:shd w:val="clear" w:color="auto" w:fill="CF1D4C"/>
          </w:tcPr>
          <w:p>
            <w:pPr>
              <w:spacing w:after="0"/>
              <w:rPr>
                <w:sz w:val="24"/>
                <w:szCs w:val="24"/>
                <w:color w:val="auto"/>
              </w:rPr>
            </w:pPr>
          </w:p>
        </w:tc>
        <w:tc>
          <w:tcPr>
            <w:tcW w:w="1000" w:type="dxa"/>
            <w:vAlign w:val="bottom"/>
            <w:shd w:val="clear" w:color="auto" w:fill="CF1D4C"/>
          </w:tcPr>
          <w:p>
            <w:pPr>
              <w:spacing w:after="0"/>
              <w:rPr>
                <w:sz w:val="24"/>
                <w:szCs w:val="24"/>
                <w:color w:val="auto"/>
              </w:rPr>
            </w:pPr>
          </w:p>
        </w:tc>
        <w:tc>
          <w:tcPr>
            <w:tcW w:w="1060" w:type="dxa"/>
            <w:vAlign w:val="bottom"/>
            <w:shd w:val="clear" w:color="auto" w:fill="CF1D4C"/>
          </w:tcPr>
          <w:p>
            <w:pPr>
              <w:spacing w:after="0"/>
              <w:rPr>
                <w:sz w:val="24"/>
                <w:szCs w:val="24"/>
                <w:color w:val="auto"/>
              </w:rPr>
            </w:pPr>
          </w:p>
        </w:tc>
        <w:tc>
          <w:tcPr>
            <w:tcW w:w="1240" w:type="dxa"/>
            <w:vAlign w:val="bottom"/>
            <w:shd w:val="clear" w:color="auto" w:fill="CF1D4C"/>
          </w:tcPr>
          <w:p>
            <w:pPr>
              <w:spacing w:after="0"/>
              <w:rPr>
                <w:sz w:val="24"/>
                <w:szCs w:val="24"/>
                <w:color w:val="auto"/>
              </w:rPr>
            </w:pPr>
          </w:p>
        </w:tc>
        <w:tc>
          <w:tcPr>
            <w:tcW w:w="920" w:type="dxa"/>
            <w:vAlign w:val="bottom"/>
            <w:shd w:val="clear" w:color="auto" w:fill="CF1D4C"/>
          </w:tcPr>
          <w:p>
            <w:pPr>
              <w:spacing w:after="0"/>
              <w:rPr>
                <w:sz w:val="24"/>
                <w:szCs w:val="24"/>
                <w:color w:val="auto"/>
              </w:rPr>
            </w:pPr>
          </w:p>
        </w:tc>
        <w:tc>
          <w:tcPr>
            <w:tcW w:w="860" w:type="dxa"/>
            <w:vAlign w:val="bottom"/>
            <w:shd w:val="clear" w:color="auto" w:fill="CF1D4C"/>
          </w:tcPr>
          <w:p>
            <w:pPr>
              <w:ind w:left="260"/>
              <w:spacing w:after="0"/>
              <w:rPr>
                <w:sz w:val="20"/>
                <w:szCs w:val="20"/>
                <w:color w:val="auto"/>
              </w:rPr>
            </w:pPr>
            <w:r>
              <w:rPr>
                <w:rFonts w:ascii="Arial" w:cs="Arial" w:eastAsia="Arial" w:hAnsi="Arial"/>
                <w:sz w:val="13"/>
                <w:szCs w:val="13"/>
                <w:b w:val="1"/>
                <w:bCs w:val="1"/>
                <w:color w:val="FFFFFF"/>
              </w:rPr>
              <w:t>GOALS</w:t>
            </w:r>
          </w:p>
        </w:tc>
        <w:tc>
          <w:tcPr>
            <w:tcW w:w="900" w:type="dxa"/>
            <w:vAlign w:val="bottom"/>
            <w:shd w:val="clear" w:color="auto" w:fill="CF1D4C"/>
          </w:tcPr>
          <w:p>
            <w:pPr>
              <w:spacing w:after="0"/>
              <w:rPr>
                <w:sz w:val="24"/>
                <w:szCs w:val="24"/>
                <w:color w:val="auto"/>
              </w:rPr>
            </w:pPr>
          </w:p>
        </w:tc>
        <w:tc>
          <w:tcPr>
            <w:tcW w:w="140" w:type="dxa"/>
            <w:vAlign w:val="bottom"/>
            <w:shd w:val="clear" w:color="auto" w:fill="CF1D4C"/>
          </w:tcPr>
          <w:p>
            <w:pPr>
              <w:spacing w:after="0"/>
              <w:rPr>
                <w:sz w:val="24"/>
                <w:szCs w:val="24"/>
                <w:color w:val="auto"/>
              </w:rPr>
            </w:pPr>
          </w:p>
        </w:tc>
        <w:tc>
          <w:tcPr>
            <w:tcW w:w="1220" w:type="dxa"/>
            <w:vAlign w:val="bottom"/>
            <w:shd w:val="clear" w:color="auto" w:fill="CF1D4C"/>
          </w:tcPr>
          <w:p>
            <w:pPr>
              <w:spacing w:after="0"/>
              <w:rPr>
                <w:sz w:val="24"/>
                <w:szCs w:val="24"/>
                <w:color w:val="auto"/>
              </w:rPr>
            </w:pPr>
          </w:p>
        </w:tc>
        <w:tc>
          <w:tcPr>
            <w:tcW w:w="1300" w:type="dxa"/>
            <w:vAlign w:val="bottom"/>
            <w:shd w:val="clear" w:color="auto" w:fill="CF1D4C"/>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20" w:type="dxa"/>
            <w:vAlign w:val="bottom"/>
            <w:shd w:val="clear" w:color="auto" w:fill="CF1D4C"/>
          </w:tcPr>
          <w:p>
            <w:pPr>
              <w:spacing w:after="0"/>
              <w:rPr>
                <w:sz w:val="24"/>
                <w:szCs w:val="24"/>
                <w:color w:val="auto"/>
              </w:rPr>
            </w:pPr>
          </w:p>
        </w:tc>
        <w:tc>
          <w:tcPr>
            <w:tcW w:w="1000" w:type="dxa"/>
            <w:vAlign w:val="bottom"/>
            <w:shd w:val="clear" w:color="auto" w:fill="CF1D4C"/>
          </w:tcPr>
          <w:p>
            <w:pPr>
              <w:ind w:left="60"/>
              <w:spacing w:after="0"/>
              <w:rPr>
                <w:sz w:val="20"/>
                <w:szCs w:val="20"/>
                <w:color w:val="auto"/>
              </w:rPr>
            </w:pPr>
            <w:r>
              <w:rPr>
                <w:rFonts w:ascii="Arial" w:cs="Arial" w:eastAsia="Arial" w:hAnsi="Arial"/>
                <w:sz w:val="13"/>
                <w:szCs w:val="13"/>
                <w:b w:val="1"/>
                <w:bCs w:val="1"/>
                <w:color w:val="FFFFFF"/>
              </w:rPr>
              <w:t>Performance</w:t>
            </w:r>
          </w:p>
        </w:tc>
        <w:tc>
          <w:tcPr>
            <w:tcW w:w="1060" w:type="dxa"/>
            <w:vAlign w:val="bottom"/>
            <w:shd w:val="clear" w:color="auto" w:fill="CF1D4C"/>
          </w:tcPr>
          <w:p>
            <w:pPr>
              <w:ind w:left="180"/>
              <w:spacing w:after="0"/>
              <w:rPr>
                <w:sz w:val="20"/>
                <w:szCs w:val="20"/>
                <w:color w:val="auto"/>
              </w:rPr>
            </w:pPr>
            <w:r>
              <w:rPr>
                <w:rFonts w:ascii="Arial" w:cs="Arial" w:eastAsia="Arial" w:hAnsi="Arial"/>
                <w:sz w:val="13"/>
                <w:szCs w:val="13"/>
                <w:b w:val="1"/>
                <w:bCs w:val="1"/>
                <w:color w:val="FFFFFF"/>
              </w:rPr>
              <w:t>Weighting</w:t>
            </w:r>
          </w:p>
        </w:tc>
        <w:tc>
          <w:tcPr>
            <w:tcW w:w="1240" w:type="dxa"/>
            <w:vAlign w:val="bottom"/>
            <w:vMerge w:val="restart"/>
            <w:shd w:val="clear" w:color="auto" w:fill="CF1D4C"/>
          </w:tcPr>
          <w:p>
            <w:pPr>
              <w:ind w:left="280"/>
              <w:spacing w:after="0"/>
              <w:rPr>
                <w:sz w:val="20"/>
                <w:szCs w:val="20"/>
                <w:color w:val="auto"/>
              </w:rPr>
            </w:pPr>
            <w:r>
              <w:rPr>
                <w:rFonts w:ascii="Arial" w:cs="Arial" w:eastAsia="Arial" w:hAnsi="Arial"/>
                <w:sz w:val="13"/>
                <w:szCs w:val="13"/>
                <w:b w:val="1"/>
                <w:bCs w:val="1"/>
                <w:color w:val="FFFFFF"/>
              </w:rPr>
              <w:t>Target </w:t>
            </w:r>
          </w:p>
        </w:tc>
        <w:tc>
          <w:tcPr>
            <w:tcW w:w="920" w:type="dxa"/>
            <w:vAlign w:val="bottom"/>
            <w:shd w:val="clear" w:color="auto" w:fill="CF1D4C"/>
          </w:tcPr>
          <w:p>
            <w:pPr>
              <w:ind w:left="140"/>
              <w:spacing w:after="0"/>
              <w:rPr>
                <w:sz w:val="20"/>
                <w:szCs w:val="20"/>
                <w:color w:val="auto"/>
              </w:rPr>
            </w:pPr>
            <w:r>
              <w:rPr>
                <w:rFonts w:ascii="Arial" w:cs="Arial" w:eastAsia="Arial" w:hAnsi="Arial"/>
                <w:sz w:val="13"/>
                <w:szCs w:val="13"/>
                <w:b w:val="1"/>
                <w:bCs w:val="1"/>
                <w:color w:val="FFFFFF"/>
              </w:rPr>
              <w:t>Threshold</w:t>
            </w:r>
          </w:p>
        </w:tc>
        <w:tc>
          <w:tcPr>
            <w:tcW w:w="860" w:type="dxa"/>
            <w:vAlign w:val="bottom"/>
            <w:shd w:val="clear" w:color="auto" w:fill="CF1D4C"/>
          </w:tcPr>
          <w:p>
            <w:pPr>
              <w:ind w:left="160"/>
              <w:spacing w:after="0"/>
              <w:rPr>
                <w:sz w:val="20"/>
                <w:szCs w:val="20"/>
                <w:color w:val="auto"/>
              </w:rPr>
            </w:pPr>
            <w:r>
              <w:rPr>
                <w:rFonts w:ascii="Arial" w:cs="Arial" w:eastAsia="Arial" w:hAnsi="Arial"/>
                <w:sz w:val="13"/>
                <w:szCs w:val="13"/>
                <w:b w:val="1"/>
                <w:bCs w:val="1"/>
                <w:color w:val="FFFFFF"/>
              </w:rPr>
              <w:t>Target</w:t>
            </w:r>
          </w:p>
        </w:tc>
        <w:tc>
          <w:tcPr>
            <w:tcW w:w="900" w:type="dxa"/>
            <w:vAlign w:val="bottom"/>
            <w:shd w:val="clear" w:color="auto" w:fill="CF1D4C"/>
          </w:tcPr>
          <w:p>
            <w:pPr>
              <w:ind w:left="160"/>
              <w:spacing w:after="0"/>
              <w:rPr>
                <w:sz w:val="20"/>
                <w:szCs w:val="20"/>
                <w:color w:val="auto"/>
              </w:rPr>
            </w:pPr>
            <w:r>
              <w:rPr>
                <w:rFonts w:ascii="Arial" w:cs="Arial" w:eastAsia="Arial" w:hAnsi="Arial"/>
                <w:sz w:val="13"/>
                <w:szCs w:val="13"/>
                <w:b w:val="1"/>
                <w:bCs w:val="1"/>
                <w:color w:val="FFFFFF"/>
              </w:rPr>
              <w:t>Maximum</w:t>
            </w:r>
          </w:p>
        </w:tc>
        <w:tc>
          <w:tcPr>
            <w:tcW w:w="1360" w:type="dxa"/>
            <w:vAlign w:val="bottom"/>
            <w:gridSpan w:val="2"/>
            <w:shd w:val="clear" w:color="auto" w:fill="CF1D4C"/>
          </w:tcPr>
          <w:p>
            <w:pPr>
              <w:ind w:left="260"/>
              <w:spacing w:after="0"/>
              <w:rPr>
                <w:sz w:val="20"/>
                <w:szCs w:val="20"/>
                <w:color w:val="auto"/>
              </w:rPr>
            </w:pPr>
            <w:r>
              <w:rPr>
                <w:rFonts w:ascii="Arial" w:cs="Arial" w:eastAsia="Arial" w:hAnsi="Arial"/>
                <w:sz w:val="13"/>
                <w:szCs w:val="13"/>
                <w:b w:val="1"/>
                <w:bCs w:val="1"/>
                <w:color w:val="FFFFFF"/>
              </w:rPr>
              <w:t>2023</w:t>
            </w:r>
          </w:p>
        </w:tc>
        <w:tc>
          <w:tcPr>
            <w:tcW w:w="1300" w:type="dxa"/>
            <w:vAlign w:val="bottom"/>
            <w:shd w:val="clear" w:color="auto" w:fill="CF1D4C"/>
          </w:tcPr>
          <w:p>
            <w:pPr>
              <w:ind w:left="320"/>
              <w:spacing w:after="0"/>
              <w:rPr>
                <w:sz w:val="20"/>
                <w:szCs w:val="20"/>
                <w:color w:val="auto"/>
              </w:rPr>
            </w:pPr>
            <w:r>
              <w:rPr>
                <w:rFonts w:ascii="Arial" w:cs="Arial" w:eastAsia="Arial" w:hAnsi="Arial"/>
                <w:sz w:val="13"/>
                <w:szCs w:val="13"/>
                <w:b w:val="1"/>
                <w:bCs w:val="1"/>
                <w:color w:val="FFFFFF"/>
              </w:rPr>
              <w:t>% of Target</w:t>
            </w:r>
          </w:p>
        </w:tc>
        <w:tc>
          <w:tcPr>
            <w:tcW w:w="0" w:type="dxa"/>
            <w:vAlign w:val="bottom"/>
          </w:tcPr>
          <w:p>
            <w:pPr>
              <w:spacing w:after="0"/>
              <w:rPr>
                <w:sz w:val="1"/>
                <w:szCs w:val="1"/>
                <w:color w:val="auto"/>
              </w:rPr>
            </w:pPr>
          </w:p>
        </w:tc>
      </w:tr>
      <w:tr>
        <w:trPr>
          <w:trHeight w:val="100"/>
        </w:trPr>
        <w:tc>
          <w:tcPr>
            <w:tcW w:w="120" w:type="dxa"/>
            <w:vAlign w:val="bottom"/>
            <w:shd w:val="clear" w:color="auto" w:fill="CF1D4C"/>
          </w:tcPr>
          <w:p>
            <w:pPr>
              <w:spacing w:after="0"/>
              <w:rPr>
                <w:sz w:val="8"/>
                <w:szCs w:val="8"/>
                <w:color w:val="auto"/>
              </w:rPr>
            </w:pPr>
          </w:p>
        </w:tc>
        <w:tc>
          <w:tcPr>
            <w:tcW w:w="1000" w:type="dxa"/>
            <w:vAlign w:val="bottom"/>
            <w:vMerge w:val="restart"/>
            <w:shd w:val="clear" w:color="auto" w:fill="CF1D4C"/>
          </w:tcPr>
          <w:p>
            <w:pPr>
              <w:ind w:left="60"/>
              <w:spacing w:after="0"/>
              <w:rPr>
                <w:sz w:val="20"/>
                <w:szCs w:val="20"/>
                <w:color w:val="auto"/>
              </w:rPr>
            </w:pPr>
            <w:r>
              <w:rPr>
                <w:rFonts w:ascii="Arial" w:cs="Arial" w:eastAsia="Arial" w:hAnsi="Arial"/>
                <w:sz w:val="13"/>
                <w:szCs w:val="13"/>
                <w:b w:val="1"/>
                <w:bCs w:val="1"/>
                <w:color w:val="FFFFFF"/>
              </w:rPr>
              <w:t>Metric</w:t>
            </w:r>
          </w:p>
        </w:tc>
        <w:tc>
          <w:tcPr>
            <w:tcW w:w="1060" w:type="dxa"/>
            <w:vAlign w:val="bottom"/>
            <w:vMerge w:val="restart"/>
            <w:shd w:val="clear" w:color="auto" w:fill="CF1D4C"/>
          </w:tcPr>
          <w:p>
            <w:pPr>
              <w:ind w:left="180"/>
              <w:spacing w:after="0"/>
              <w:rPr>
                <w:sz w:val="20"/>
                <w:szCs w:val="20"/>
                <w:color w:val="auto"/>
              </w:rPr>
            </w:pPr>
            <w:r>
              <w:rPr>
                <w:rFonts w:ascii="Arial" w:cs="Arial" w:eastAsia="Arial" w:hAnsi="Arial"/>
                <w:sz w:val="13"/>
                <w:szCs w:val="13"/>
                <w:b w:val="1"/>
                <w:bCs w:val="1"/>
                <w:color w:val="FFFFFF"/>
              </w:rPr>
              <w:t> </w:t>
            </w:r>
          </w:p>
        </w:tc>
        <w:tc>
          <w:tcPr>
            <w:tcW w:w="1240" w:type="dxa"/>
            <w:vAlign w:val="bottom"/>
            <w:vMerge w:val="continue"/>
            <w:shd w:val="clear" w:color="auto" w:fill="CF1D4C"/>
          </w:tcPr>
          <w:p>
            <w:pPr>
              <w:spacing w:after="0"/>
              <w:rPr>
                <w:sz w:val="8"/>
                <w:szCs w:val="8"/>
                <w:color w:val="auto"/>
              </w:rPr>
            </w:pPr>
          </w:p>
        </w:tc>
        <w:tc>
          <w:tcPr>
            <w:tcW w:w="920" w:type="dxa"/>
            <w:vAlign w:val="bottom"/>
            <w:vMerge w:val="restart"/>
            <w:shd w:val="clear" w:color="auto" w:fill="CF1D4C"/>
          </w:tcPr>
          <w:p>
            <w:pPr>
              <w:ind w:left="140"/>
              <w:spacing w:after="0"/>
              <w:rPr>
                <w:sz w:val="20"/>
                <w:szCs w:val="20"/>
                <w:color w:val="auto"/>
              </w:rPr>
            </w:pPr>
            <w:r>
              <w:rPr>
                <w:rFonts w:ascii="Arial" w:cs="Arial" w:eastAsia="Arial" w:hAnsi="Arial"/>
                <w:sz w:val="13"/>
                <w:szCs w:val="13"/>
                <w:b w:val="1"/>
                <w:bCs w:val="1"/>
                <w:color w:val="FFFFFF"/>
              </w:rPr>
              <w:t>(50%)</w:t>
            </w:r>
          </w:p>
        </w:tc>
        <w:tc>
          <w:tcPr>
            <w:tcW w:w="860" w:type="dxa"/>
            <w:vAlign w:val="bottom"/>
            <w:vMerge w:val="restart"/>
            <w:shd w:val="clear" w:color="auto" w:fill="CF1D4C"/>
          </w:tcPr>
          <w:p>
            <w:pPr>
              <w:ind w:left="160"/>
              <w:spacing w:after="0"/>
              <w:rPr>
                <w:sz w:val="20"/>
                <w:szCs w:val="20"/>
                <w:color w:val="auto"/>
              </w:rPr>
            </w:pPr>
            <w:r>
              <w:rPr>
                <w:rFonts w:ascii="Arial" w:cs="Arial" w:eastAsia="Arial" w:hAnsi="Arial"/>
                <w:sz w:val="13"/>
                <w:szCs w:val="13"/>
                <w:b w:val="1"/>
                <w:bCs w:val="1"/>
                <w:color w:val="FFFFFF"/>
              </w:rPr>
              <w:t>(100%)</w:t>
            </w:r>
          </w:p>
        </w:tc>
        <w:tc>
          <w:tcPr>
            <w:tcW w:w="900" w:type="dxa"/>
            <w:vAlign w:val="bottom"/>
            <w:vMerge w:val="restart"/>
            <w:shd w:val="clear" w:color="auto" w:fill="CF1D4C"/>
          </w:tcPr>
          <w:p>
            <w:pPr>
              <w:ind w:left="160"/>
              <w:spacing w:after="0"/>
              <w:rPr>
                <w:sz w:val="20"/>
                <w:szCs w:val="20"/>
                <w:color w:val="auto"/>
              </w:rPr>
            </w:pPr>
            <w:r>
              <w:rPr>
                <w:rFonts w:ascii="Arial" w:cs="Arial" w:eastAsia="Arial" w:hAnsi="Arial"/>
                <w:sz w:val="13"/>
                <w:szCs w:val="13"/>
                <w:b w:val="1"/>
                <w:bCs w:val="1"/>
                <w:color w:val="FFFFFF"/>
              </w:rPr>
              <w:t>(125%)</w:t>
            </w:r>
          </w:p>
        </w:tc>
        <w:tc>
          <w:tcPr>
            <w:tcW w:w="140" w:type="dxa"/>
            <w:vAlign w:val="bottom"/>
            <w:shd w:val="clear" w:color="auto" w:fill="CF1D4C"/>
          </w:tcPr>
          <w:p>
            <w:pPr>
              <w:spacing w:after="0"/>
              <w:rPr>
                <w:sz w:val="8"/>
                <w:szCs w:val="8"/>
                <w:color w:val="auto"/>
              </w:rPr>
            </w:pPr>
          </w:p>
        </w:tc>
        <w:tc>
          <w:tcPr>
            <w:tcW w:w="1220" w:type="dxa"/>
            <w:vAlign w:val="bottom"/>
            <w:vMerge w:val="restart"/>
            <w:shd w:val="clear" w:color="auto" w:fill="CF1D4C"/>
          </w:tcPr>
          <w:p>
            <w:pPr>
              <w:ind w:left="120"/>
              <w:spacing w:after="0"/>
              <w:rPr>
                <w:sz w:val="20"/>
                <w:szCs w:val="20"/>
                <w:color w:val="auto"/>
              </w:rPr>
            </w:pPr>
            <w:r>
              <w:rPr>
                <w:rFonts w:ascii="Arial" w:cs="Arial" w:eastAsia="Arial" w:hAnsi="Arial"/>
                <w:sz w:val="13"/>
                <w:szCs w:val="13"/>
                <w:b w:val="1"/>
                <w:bCs w:val="1"/>
                <w:color w:val="FFFFFF"/>
              </w:rPr>
              <w:t>Achievement</w:t>
            </w:r>
          </w:p>
        </w:tc>
        <w:tc>
          <w:tcPr>
            <w:tcW w:w="1300" w:type="dxa"/>
            <w:vAlign w:val="bottom"/>
            <w:vMerge w:val="restart"/>
            <w:shd w:val="clear" w:color="auto" w:fill="CF1D4C"/>
          </w:tcPr>
          <w:p>
            <w:pPr>
              <w:ind w:left="320"/>
              <w:spacing w:after="0"/>
              <w:rPr>
                <w:sz w:val="20"/>
                <w:szCs w:val="20"/>
                <w:color w:val="auto"/>
              </w:rPr>
            </w:pPr>
            <w:r>
              <w:rPr>
                <w:rFonts w:ascii="Arial" w:cs="Arial" w:eastAsia="Arial" w:hAnsi="Arial"/>
                <w:sz w:val="13"/>
                <w:szCs w:val="13"/>
                <w:b w:val="1"/>
                <w:bCs w:val="1"/>
                <w:color w:val="FFFFFF"/>
              </w:rPr>
              <w:t>Earned</w:t>
            </w:r>
          </w:p>
        </w:tc>
        <w:tc>
          <w:tcPr>
            <w:tcW w:w="0" w:type="dxa"/>
            <w:vAlign w:val="bottom"/>
          </w:tcPr>
          <w:p>
            <w:pPr>
              <w:spacing w:after="0"/>
              <w:rPr>
                <w:sz w:val="1"/>
                <w:szCs w:val="1"/>
                <w:color w:val="auto"/>
              </w:rPr>
            </w:pPr>
          </w:p>
        </w:tc>
      </w:tr>
      <w:tr>
        <w:trPr>
          <w:trHeight w:val="81"/>
        </w:trPr>
        <w:tc>
          <w:tcPr>
            <w:tcW w:w="120" w:type="dxa"/>
            <w:vAlign w:val="bottom"/>
            <w:shd w:val="clear" w:color="auto" w:fill="CF1D4C"/>
          </w:tcPr>
          <w:p>
            <w:pPr>
              <w:spacing w:after="0"/>
              <w:rPr>
                <w:sz w:val="7"/>
                <w:szCs w:val="7"/>
                <w:color w:val="auto"/>
              </w:rPr>
            </w:pPr>
          </w:p>
        </w:tc>
        <w:tc>
          <w:tcPr>
            <w:tcW w:w="1000" w:type="dxa"/>
            <w:vAlign w:val="bottom"/>
            <w:vMerge w:val="continue"/>
            <w:shd w:val="clear" w:color="auto" w:fill="CF1D4C"/>
          </w:tcPr>
          <w:p>
            <w:pPr>
              <w:spacing w:after="0"/>
              <w:rPr>
                <w:sz w:val="7"/>
                <w:szCs w:val="7"/>
                <w:color w:val="auto"/>
              </w:rPr>
            </w:pPr>
          </w:p>
        </w:tc>
        <w:tc>
          <w:tcPr>
            <w:tcW w:w="1060" w:type="dxa"/>
            <w:vAlign w:val="bottom"/>
            <w:vMerge w:val="continue"/>
            <w:shd w:val="clear" w:color="auto" w:fill="CF1D4C"/>
          </w:tcPr>
          <w:p>
            <w:pPr>
              <w:spacing w:after="0"/>
              <w:rPr>
                <w:sz w:val="7"/>
                <w:szCs w:val="7"/>
                <w:color w:val="auto"/>
              </w:rPr>
            </w:pPr>
          </w:p>
        </w:tc>
        <w:tc>
          <w:tcPr>
            <w:tcW w:w="1240" w:type="dxa"/>
            <w:vAlign w:val="bottom"/>
            <w:shd w:val="clear" w:color="auto" w:fill="CF1D4C"/>
          </w:tcPr>
          <w:p>
            <w:pPr>
              <w:spacing w:after="0"/>
              <w:rPr>
                <w:sz w:val="7"/>
                <w:szCs w:val="7"/>
                <w:color w:val="auto"/>
              </w:rPr>
            </w:pPr>
          </w:p>
        </w:tc>
        <w:tc>
          <w:tcPr>
            <w:tcW w:w="920" w:type="dxa"/>
            <w:vAlign w:val="bottom"/>
            <w:vMerge w:val="continue"/>
            <w:shd w:val="clear" w:color="auto" w:fill="CF1D4C"/>
          </w:tcPr>
          <w:p>
            <w:pPr>
              <w:spacing w:after="0"/>
              <w:rPr>
                <w:sz w:val="7"/>
                <w:szCs w:val="7"/>
                <w:color w:val="auto"/>
              </w:rPr>
            </w:pPr>
          </w:p>
        </w:tc>
        <w:tc>
          <w:tcPr>
            <w:tcW w:w="860" w:type="dxa"/>
            <w:vAlign w:val="bottom"/>
            <w:vMerge w:val="continue"/>
            <w:shd w:val="clear" w:color="auto" w:fill="CF1D4C"/>
          </w:tcPr>
          <w:p>
            <w:pPr>
              <w:spacing w:after="0"/>
              <w:rPr>
                <w:sz w:val="7"/>
                <w:szCs w:val="7"/>
                <w:color w:val="auto"/>
              </w:rPr>
            </w:pPr>
          </w:p>
        </w:tc>
        <w:tc>
          <w:tcPr>
            <w:tcW w:w="900" w:type="dxa"/>
            <w:vAlign w:val="bottom"/>
            <w:vMerge w:val="continue"/>
            <w:shd w:val="clear" w:color="auto" w:fill="CF1D4C"/>
          </w:tcPr>
          <w:p>
            <w:pPr>
              <w:spacing w:after="0"/>
              <w:rPr>
                <w:sz w:val="7"/>
                <w:szCs w:val="7"/>
                <w:color w:val="auto"/>
              </w:rPr>
            </w:pPr>
          </w:p>
        </w:tc>
        <w:tc>
          <w:tcPr>
            <w:tcW w:w="140" w:type="dxa"/>
            <w:vAlign w:val="bottom"/>
            <w:shd w:val="clear" w:color="auto" w:fill="CF1D4C"/>
          </w:tcPr>
          <w:p>
            <w:pPr>
              <w:spacing w:after="0"/>
              <w:rPr>
                <w:sz w:val="7"/>
                <w:szCs w:val="7"/>
                <w:color w:val="auto"/>
              </w:rPr>
            </w:pPr>
          </w:p>
        </w:tc>
        <w:tc>
          <w:tcPr>
            <w:tcW w:w="1220" w:type="dxa"/>
            <w:vAlign w:val="bottom"/>
            <w:vMerge w:val="continue"/>
            <w:shd w:val="clear" w:color="auto" w:fill="CF1D4C"/>
          </w:tcPr>
          <w:p>
            <w:pPr>
              <w:spacing w:after="0"/>
              <w:rPr>
                <w:sz w:val="7"/>
                <w:szCs w:val="7"/>
                <w:color w:val="auto"/>
              </w:rPr>
            </w:pPr>
          </w:p>
        </w:tc>
        <w:tc>
          <w:tcPr>
            <w:tcW w:w="1300" w:type="dxa"/>
            <w:vAlign w:val="bottom"/>
            <w:vMerge w:val="continue"/>
            <w:shd w:val="clear" w:color="auto" w:fill="CF1D4C"/>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20" w:type="dxa"/>
            <w:vAlign w:val="bottom"/>
            <w:shd w:val="clear" w:color="auto" w:fill="CF1D4C"/>
          </w:tcPr>
          <w:p>
            <w:pPr>
              <w:spacing w:after="0"/>
              <w:rPr>
                <w:sz w:val="13"/>
                <w:szCs w:val="13"/>
                <w:color w:val="auto"/>
              </w:rPr>
            </w:pPr>
          </w:p>
        </w:tc>
        <w:tc>
          <w:tcPr>
            <w:tcW w:w="1000" w:type="dxa"/>
            <w:vAlign w:val="bottom"/>
            <w:shd w:val="clear" w:color="auto" w:fill="CF1D4C"/>
          </w:tcPr>
          <w:p>
            <w:pPr>
              <w:spacing w:after="0"/>
              <w:rPr>
                <w:sz w:val="13"/>
                <w:szCs w:val="13"/>
                <w:color w:val="auto"/>
              </w:rPr>
            </w:pPr>
          </w:p>
        </w:tc>
        <w:tc>
          <w:tcPr>
            <w:tcW w:w="1060" w:type="dxa"/>
            <w:vAlign w:val="bottom"/>
            <w:shd w:val="clear" w:color="auto" w:fill="CF1D4C"/>
          </w:tcPr>
          <w:p>
            <w:pPr>
              <w:spacing w:after="0"/>
              <w:rPr>
                <w:sz w:val="13"/>
                <w:szCs w:val="13"/>
                <w:color w:val="auto"/>
              </w:rPr>
            </w:pPr>
          </w:p>
        </w:tc>
        <w:tc>
          <w:tcPr>
            <w:tcW w:w="1240" w:type="dxa"/>
            <w:vAlign w:val="bottom"/>
            <w:shd w:val="clear" w:color="auto" w:fill="CF1D4C"/>
          </w:tcPr>
          <w:p>
            <w:pPr>
              <w:spacing w:after="0"/>
              <w:rPr>
                <w:sz w:val="13"/>
                <w:szCs w:val="13"/>
                <w:color w:val="auto"/>
              </w:rPr>
            </w:pPr>
          </w:p>
        </w:tc>
        <w:tc>
          <w:tcPr>
            <w:tcW w:w="920" w:type="dxa"/>
            <w:vAlign w:val="bottom"/>
            <w:shd w:val="clear" w:color="auto" w:fill="CF1D4C"/>
          </w:tcPr>
          <w:p>
            <w:pPr>
              <w:spacing w:after="0"/>
              <w:rPr>
                <w:sz w:val="13"/>
                <w:szCs w:val="13"/>
                <w:color w:val="auto"/>
              </w:rPr>
            </w:pPr>
          </w:p>
        </w:tc>
        <w:tc>
          <w:tcPr>
            <w:tcW w:w="860" w:type="dxa"/>
            <w:vAlign w:val="bottom"/>
            <w:shd w:val="clear" w:color="auto" w:fill="CF1D4C"/>
          </w:tcPr>
          <w:p>
            <w:pPr>
              <w:spacing w:after="0"/>
              <w:rPr>
                <w:sz w:val="13"/>
                <w:szCs w:val="13"/>
                <w:color w:val="auto"/>
              </w:rPr>
            </w:pPr>
          </w:p>
        </w:tc>
        <w:tc>
          <w:tcPr>
            <w:tcW w:w="900" w:type="dxa"/>
            <w:vAlign w:val="bottom"/>
            <w:shd w:val="clear" w:color="auto" w:fill="CF1D4C"/>
          </w:tcPr>
          <w:p>
            <w:pPr>
              <w:spacing w:after="0"/>
              <w:rPr>
                <w:sz w:val="13"/>
                <w:szCs w:val="13"/>
                <w:color w:val="auto"/>
              </w:rPr>
            </w:pPr>
          </w:p>
        </w:tc>
        <w:tc>
          <w:tcPr>
            <w:tcW w:w="140" w:type="dxa"/>
            <w:vAlign w:val="bottom"/>
            <w:shd w:val="clear" w:color="auto" w:fill="CF1D4C"/>
          </w:tcPr>
          <w:p>
            <w:pPr>
              <w:spacing w:after="0"/>
              <w:rPr>
                <w:sz w:val="13"/>
                <w:szCs w:val="13"/>
                <w:color w:val="auto"/>
              </w:rPr>
            </w:pPr>
          </w:p>
        </w:tc>
        <w:tc>
          <w:tcPr>
            <w:tcW w:w="1220" w:type="dxa"/>
            <w:vAlign w:val="bottom"/>
            <w:shd w:val="clear" w:color="auto" w:fill="CF1D4C"/>
          </w:tcPr>
          <w:p>
            <w:pPr>
              <w:spacing w:after="0"/>
              <w:rPr>
                <w:sz w:val="13"/>
                <w:szCs w:val="13"/>
                <w:color w:val="auto"/>
              </w:rPr>
            </w:pPr>
          </w:p>
        </w:tc>
        <w:tc>
          <w:tcPr>
            <w:tcW w:w="1300" w:type="dxa"/>
            <w:vAlign w:val="bottom"/>
            <w:shd w:val="clear" w:color="auto" w:fill="CF1D4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-402590</wp:posOffset>
            </wp:positionV>
            <wp:extent cx="161163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146"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1120" w:type="dxa"/>
            <w:vAlign w:val="bottom"/>
            <w:vMerge w:val="restart"/>
          </w:tcPr>
          <w:p>
            <w:pPr>
              <w:ind w:left="180"/>
              <w:spacing w:after="0"/>
              <w:rPr>
                <w:sz w:val="20"/>
                <w:szCs w:val="20"/>
                <w:color w:val="auto"/>
              </w:rPr>
            </w:pPr>
            <w:r>
              <w:rPr>
                <w:rFonts w:ascii="Arial" w:cs="Arial" w:eastAsia="Arial" w:hAnsi="Arial"/>
                <w:sz w:val="14"/>
                <w:szCs w:val="14"/>
                <w:color w:val="333333"/>
              </w:rPr>
              <w:t>Quarterly</w:t>
            </w:r>
          </w:p>
        </w:tc>
        <w:tc>
          <w:tcPr>
            <w:tcW w:w="900" w:type="dxa"/>
            <w:vAlign w:val="bottom"/>
          </w:tcPr>
          <w:p>
            <w:pPr>
              <w:spacing w:after="0"/>
              <w:rPr>
                <w:sz w:val="14"/>
                <w:szCs w:val="14"/>
                <w:color w:val="auto"/>
              </w:rPr>
            </w:pPr>
          </w:p>
        </w:tc>
        <w:tc>
          <w:tcPr>
            <w:tcW w:w="1360" w:type="dxa"/>
            <w:vAlign w:val="bottom"/>
          </w:tcPr>
          <w:p>
            <w:pPr>
              <w:ind w:left="440"/>
              <w:spacing w:after="0"/>
              <w:rPr>
                <w:sz w:val="20"/>
                <w:szCs w:val="20"/>
                <w:color w:val="auto"/>
              </w:rPr>
            </w:pPr>
            <w:r>
              <w:rPr>
                <w:rFonts w:ascii="Arial" w:cs="Arial" w:eastAsia="Arial" w:hAnsi="Arial"/>
                <w:sz w:val="14"/>
                <w:szCs w:val="14"/>
                <w:color w:val="333333"/>
              </w:rPr>
              <w:t>At or below</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120" w:type="dxa"/>
            <w:vAlign w:val="bottom"/>
            <w:vMerge w:val="continue"/>
          </w:tcPr>
          <w:p>
            <w:pPr>
              <w:spacing w:after="0"/>
              <w:rPr>
                <w:sz w:val="12"/>
                <w:szCs w:val="12"/>
                <w:color w:val="auto"/>
              </w:rPr>
            </w:pPr>
          </w:p>
        </w:tc>
        <w:tc>
          <w:tcPr>
            <w:tcW w:w="900" w:type="dxa"/>
            <w:vAlign w:val="bottom"/>
            <w:vMerge w:val="restart"/>
          </w:tcPr>
          <w:p>
            <w:pPr>
              <w:jc w:val="right"/>
              <w:ind w:right="368"/>
              <w:spacing w:after="0"/>
              <w:rPr>
                <w:sz w:val="20"/>
                <w:szCs w:val="20"/>
                <w:color w:val="auto"/>
              </w:rPr>
            </w:pPr>
            <w:r>
              <w:rPr>
                <w:rFonts w:ascii="Arial" w:cs="Arial" w:eastAsia="Arial" w:hAnsi="Arial"/>
                <w:sz w:val="14"/>
                <w:szCs w:val="14"/>
                <w:color w:val="333333"/>
              </w:rPr>
              <w:t>20%</w:t>
            </w:r>
          </w:p>
        </w:tc>
        <w:tc>
          <w:tcPr>
            <w:tcW w:w="1360" w:type="dxa"/>
            <w:vAlign w:val="bottom"/>
          </w:tcPr>
          <w:p>
            <w:pPr>
              <w:ind w:left="440"/>
              <w:spacing w:after="0" w:line="145" w:lineRule="exact"/>
              <w:rPr>
                <w:sz w:val="20"/>
                <w:szCs w:val="20"/>
                <w:color w:val="auto"/>
              </w:rPr>
            </w:pPr>
            <w:r>
              <w:rPr>
                <w:rFonts w:ascii="Arial" w:cs="Arial" w:eastAsia="Arial" w:hAnsi="Arial"/>
                <w:sz w:val="14"/>
                <w:szCs w:val="14"/>
                <w:color w:val="333333"/>
              </w:rPr>
              <w:t>plan in</w:t>
            </w:r>
          </w:p>
        </w:tc>
        <w:tc>
          <w:tcPr>
            <w:tcW w:w="900" w:type="dxa"/>
            <w:vAlign w:val="bottom"/>
            <w:vMerge w:val="restart"/>
          </w:tcPr>
          <w:p>
            <w:pPr>
              <w:ind w:left="180"/>
              <w:spacing w:after="0"/>
              <w:rPr>
                <w:sz w:val="20"/>
                <w:szCs w:val="20"/>
                <w:color w:val="auto"/>
              </w:rPr>
            </w:pPr>
            <w:r>
              <w:rPr>
                <w:rFonts w:ascii="Arial" w:cs="Arial" w:eastAsia="Arial" w:hAnsi="Arial"/>
                <w:sz w:val="14"/>
                <w:szCs w:val="14"/>
                <w:color w:val="333333"/>
              </w:rPr>
              <w:t>-</w:t>
            </w:r>
          </w:p>
        </w:tc>
        <w:tc>
          <w:tcPr>
            <w:tcW w:w="900" w:type="dxa"/>
            <w:vAlign w:val="bottom"/>
            <w:vMerge w:val="restart"/>
          </w:tcPr>
          <w:p>
            <w:pPr>
              <w:ind w:left="220"/>
              <w:spacing w:after="0"/>
              <w:rPr>
                <w:sz w:val="20"/>
                <w:szCs w:val="20"/>
                <w:color w:val="auto"/>
              </w:rPr>
            </w:pPr>
            <w:r>
              <w:rPr>
                <w:rFonts w:ascii="Arial" w:cs="Arial" w:eastAsia="Arial" w:hAnsi="Arial"/>
                <w:sz w:val="14"/>
                <w:szCs w:val="14"/>
                <w:color w:val="333333"/>
              </w:rPr>
              <w:t>-</w:t>
            </w:r>
          </w:p>
        </w:tc>
        <w:tc>
          <w:tcPr>
            <w:tcW w:w="300" w:type="dxa"/>
            <w:vAlign w:val="bottom"/>
            <w:vMerge w:val="restart"/>
          </w:tcPr>
          <w:p>
            <w:pPr>
              <w:ind w:left="180"/>
              <w:spacing w:after="0"/>
              <w:rPr>
                <w:sz w:val="20"/>
                <w:szCs w:val="20"/>
                <w:color w:val="auto"/>
              </w:rPr>
            </w:pPr>
            <w:r>
              <w:rPr>
                <w:rFonts w:ascii="Arial" w:cs="Arial" w:eastAsia="Arial" w:hAnsi="Arial"/>
                <w:sz w:val="14"/>
                <w:szCs w:val="14"/>
                <w:color w:val="333333"/>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vMerge w:val="restart"/>
          </w:tcPr>
          <w:p>
            <w:pPr>
              <w:ind w:left="280"/>
              <w:spacing w:after="0"/>
              <w:rPr>
                <w:sz w:val="20"/>
                <w:szCs w:val="20"/>
                <w:color w:val="auto"/>
              </w:rPr>
            </w:pPr>
            <w:r>
              <w:rPr>
                <w:rFonts w:ascii="Arial" w:cs="Arial" w:eastAsia="Arial" w:hAnsi="Arial"/>
                <w:sz w:val="14"/>
                <w:szCs w:val="14"/>
                <w:color w:val="333333"/>
              </w:rPr>
              <w:t>Not achieved</w:t>
            </w:r>
          </w:p>
        </w:tc>
        <w:tc>
          <w:tcPr>
            <w:tcW w:w="980" w:type="dxa"/>
            <w:vAlign w:val="bottom"/>
            <w:gridSpan w:val="2"/>
            <w:vMerge w:val="restart"/>
          </w:tcPr>
          <w:p>
            <w:pPr>
              <w:spacing w:after="0"/>
              <w:rPr>
                <w:sz w:val="20"/>
                <w:szCs w:val="20"/>
                <w:color w:val="auto"/>
              </w:rPr>
            </w:pPr>
            <w:r>
              <w:rPr>
                <w:rFonts w:ascii="Arial" w:cs="Arial" w:eastAsia="Arial" w:hAnsi="Arial"/>
                <w:sz w:val="14"/>
                <w:szCs w:val="14"/>
                <w:color w:val="333333"/>
              </w:rPr>
              <w:t>0%</w:t>
            </w:r>
          </w:p>
        </w:tc>
        <w:tc>
          <w:tcPr>
            <w:tcW w:w="0" w:type="dxa"/>
            <w:vAlign w:val="bottom"/>
          </w:tcPr>
          <w:p>
            <w:pPr>
              <w:spacing w:after="0"/>
              <w:rPr>
                <w:sz w:val="1"/>
                <w:szCs w:val="1"/>
                <w:color w:val="auto"/>
              </w:rPr>
            </w:pPr>
          </w:p>
        </w:tc>
      </w:tr>
      <w:tr>
        <w:trPr>
          <w:trHeight w:val="126"/>
        </w:trPr>
        <w:tc>
          <w:tcPr>
            <w:tcW w:w="1120" w:type="dxa"/>
            <w:vAlign w:val="bottom"/>
            <w:vMerge w:val="restart"/>
          </w:tcPr>
          <w:p>
            <w:pPr>
              <w:ind w:left="180"/>
              <w:spacing w:after="0" w:line="179" w:lineRule="exact"/>
              <w:rPr>
                <w:sz w:val="20"/>
                <w:szCs w:val="20"/>
                <w:color w:val="auto"/>
              </w:rPr>
            </w:pPr>
            <w:r>
              <w:rPr>
                <w:rFonts w:ascii="Arial" w:cs="Arial" w:eastAsia="Arial" w:hAnsi="Arial"/>
                <w:sz w:val="13"/>
                <w:szCs w:val="13"/>
                <w:color w:val="333333"/>
              </w:rPr>
              <w:t>Expenses</w:t>
            </w:r>
            <w:r>
              <w:rPr>
                <w:rFonts w:ascii="Arial" w:cs="Arial" w:eastAsia="Arial" w:hAnsi="Arial"/>
                <w:sz w:val="20"/>
                <w:szCs w:val="20"/>
                <w:color w:val="333333"/>
                <w:vertAlign w:val="superscript"/>
              </w:rPr>
              <w:t>(1)</w:t>
            </w:r>
          </w:p>
        </w:tc>
        <w:tc>
          <w:tcPr>
            <w:tcW w:w="900" w:type="dxa"/>
            <w:vAlign w:val="bottom"/>
            <w:vMerge w:val="continue"/>
          </w:tcPr>
          <w:p>
            <w:pPr>
              <w:spacing w:after="0"/>
              <w:rPr>
                <w:sz w:val="10"/>
                <w:szCs w:val="10"/>
                <w:color w:val="auto"/>
              </w:rPr>
            </w:pPr>
          </w:p>
        </w:tc>
        <w:tc>
          <w:tcPr>
            <w:tcW w:w="1360" w:type="dxa"/>
            <w:vAlign w:val="bottom"/>
            <w:vMerge w:val="restart"/>
          </w:tcPr>
          <w:p>
            <w:pPr>
              <w:ind w:left="440"/>
              <w:spacing w:after="0"/>
              <w:rPr>
                <w:sz w:val="20"/>
                <w:szCs w:val="20"/>
                <w:color w:val="auto"/>
              </w:rPr>
            </w:pPr>
            <w:r>
              <w:rPr>
                <w:rFonts w:ascii="Arial" w:cs="Arial" w:eastAsia="Arial" w:hAnsi="Arial"/>
                <w:sz w:val="14"/>
                <w:szCs w:val="14"/>
                <w:color w:val="333333"/>
              </w:rPr>
              <w:t>every</w:t>
            </w:r>
          </w:p>
        </w:tc>
        <w:tc>
          <w:tcPr>
            <w:tcW w:w="9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12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tcPr>
          <w:p>
            <w:pPr>
              <w:ind w:left="440"/>
              <w:spacing w:after="0"/>
              <w:rPr>
                <w:sz w:val="20"/>
                <w:szCs w:val="20"/>
                <w:color w:val="auto"/>
              </w:rPr>
            </w:pPr>
            <w:r>
              <w:rPr>
                <w:rFonts w:ascii="Arial" w:cs="Arial" w:eastAsia="Arial" w:hAnsi="Arial"/>
                <w:sz w:val="14"/>
                <w:szCs w:val="14"/>
                <w:color w:val="333333"/>
              </w:rPr>
              <w:t>quarter</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120" w:type="dxa"/>
            <w:vAlign w:val="bottom"/>
            <w:shd w:val="clear" w:color="auto" w:fill="D9D9D9"/>
          </w:tcPr>
          <w:p>
            <w:pPr>
              <w:ind w:left="180"/>
              <w:spacing w:after="0"/>
              <w:rPr>
                <w:sz w:val="20"/>
                <w:szCs w:val="20"/>
                <w:color w:val="auto"/>
              </w:rPr>
            </w:pPr>
            <w:r>
              <w:rPr>
                <w:rFonts w:ascii="Arial" w:cs="Arial" w:eastAsia="Arial" w:hAnsi="Arial"/>
                <w:sz w:val="14"/>
                <w:szCs w:val="14"/>
                <w:color w:val="333333"/>
              </w:rPr>
              <w:t>Strategic</w:t>
            </w:r>
          </w:p>
        </w:tc>
        <w:tc>
          <w:tcPr>
            <w:tcW w:w="900" w:type="dxa"/>
            <w:vAlign w:val="bottom"/>
            <w:vMerge w:val="restart"/>
            <w:shd w:val="clear" w:color="auto" w:fill="D9D9D9"/>
          </w:tcPr>
          <w:p>
            <w:pPr>
              <w:jc w:val="right"/>
              <w:ind w:right="368"/>
              <w:spacing w:after="0"/>
              <w:rPr>
                <w:sz w:val="20"/>
                <w:szCs w:val="20"/>
                <w:color w:val="auto"/>
              </w:rPr>
            </w:pPr>
            <w:r>
              <w:rPr>
                <w:rFonts w:ascii="Arial" w:cs="Arial" w:eastAsia="Arial" w:hAnsi="Arial"/>
                <w:sz w:val="14"/>
                <w:szCs w:val="14"/>
                <w:color w:val="333333"/>
              </w:rPr>
              <w:t>80%</w:t>
            </w:r>
          </w:p>
        </w:tc>
        <w:tc>
          <w:tcPr>
            <w:tcW w:w="1360" w:type="dxa"/>
            <w:vAlign w:val="bottom"/>
            <w:shd w:val="clear" w:color="auto" w:fill="D9D9D9"/>
          </w:tcPr>
          <w:p>
            <w:pPr>
              <w:ind w:left="440"/>
              <w:spacing w:after="0"/>
              <w:rPr>
                <w:sz w:val="20"/>
                <w:szCs w:val="20"/>
                <w:color w:val="auto"/>
              </w:rPr>
            </w:pPr>
            <w:r>
              <w:rPr>
                <w:rFonts w:ascii="Arial" w:cs="Arial" w:eastAsia="Arial" w:hAnsi="Arial"/>
                <w:sz w:val="14"/>
                <w:szCs w:val="14"/>
                <w:color w:val="333333"/>
              </w:rPr>
              <w:t>Achieve 2</w:t>
            </w:r>
          </w:p>
        </w:tc>
        <w:tc>
          <w:tcPr>
            <w:tcW w:w="900" w:type="dxa"/>
            <w:vAlign w:val="bottom"/>
            <w:shd w:val="clear" w:color="auto" w:fill="D9D9D9"/>
          </w:tcPr>
          <w:p>
            <w:pPr>
              <w:ind w:left="180"/>
              <w:spacing w:after="0"/>
              <w:rPr>
                <w:sz w:val="20"/>
                <w:szCs w:val="20"/>
                <w:color w:val="auto"/>
              </w:rPr>
            </w:pPr>
            <w:r>
              <w:rPr>
                <w:rFonts w:ascii="Arial" w:cs="Arial" w:eastAsia="Arial" w:hAnsi="Arial"/>
                <w:sz w:val="14"/>
                <w:szCs w:val="14"/>
                <w:color w:val="333333"/>
              </w:rPr>
              <w:t>Achieve</w:t>
            </w:r>
          </w:p>
        </w:tc>
        <w:tc>
          <w:tcPr>
            <w:tcW w:w="900" w:type="dxa"/>
            <w:vAlign w:val="bottom"/>
            <w:shd w:val="clear" w:color="auto" w:fill="D9D9D9"/>
          </w:tcPr>
          <w:p>
            <w:pPr>
              <w:ind w:left="220"/>
              <w:spacing w:after="0"/>
              <w:rPr>
                <w:sz w:val="20"/>
                <w:szCs w:val="20"/>
                <w:color w:val="auto"/>
              </w:rPr>
            </w:pPr>
            <w:r>
              <w:rPr>
                <w:rFonts w:ascii="Arial" w:cs="Arial" w:eastAsia="Arial" w:hAnsi="Arial"/>
                <w:sz w:val="14"/>
                <w:szCs w:val="14"/>
                <w:color w:val="333333"/>
              </w:rPr>
              <w:t>Achieve</w:t>
            </w:r>
          </w:p>
        </w:tc>
        <w:tc>
          <w:tcPr>
            <w:tcW w:w="720" w:type="dxa"/>
            <w:vAlign w:val="bottom"/>
            <w:gridSpan w:val="3"/>
            <w:shd w:val="clear" w:color="auto" w:fill="D9D9D9"/>
          </w:tcPr>
          <w:p>
            <w:pPr>
              <w:ind w:left="180"/>
              <w:spacing w:after="0"/>
              <w:rPr>
                <w:sz w:val="20"/>
                <w:szCs w:val="20"/>
                <w:color w:val="auto"/>
              </w:rPr>
            </w:pPr>
            <w:r>
              <w:rPr>
                <w:rFonts w:ascii="Arial" w:cs="Arial" w:eastAsia="Arial" w:hAnsi="Arial"/>
                <w:sz w:val="14"/>
                <w:szCs w:val="14"/>
                <w:color w:val="333333"/>
              </w:rPr>
              <w:t>Achieve</w:t>
            </w:r>
          </w:p>
        </w:tc>
        <w:tc>
          <w:tcPr>
            <w:tcW w:w="180" w:type="dxa"/>
            <w:vAlign w:val="bottom"/>
            <w:shd w:val="clear" w:color="auto" w:fill="D9D9D9"/>
          </w:tcPr>
          <w:p>
            <w:pPr>
              <w:spacing w:after="0"/>
              <w:rPr>
                <w:sz w:val="24"/>
                <w:szCs w:val="24"/>
                <w:color w:val="auto"/>
              </w:rPr>
            </w:pPr>
          </w:p>
        </w:tc>
        <w:tc>
          <w:tcPr>
            <w:tcW w:w="1700" w:type="dxa"/>
            <w:vAlign w:val="bottom"/>
            <w:vMerge w:val="restart"/>
            <w:shd w:val="clear" w:color="auto" w:fill="D9D9D9"/>
          </w:tcPr>
          <w:p>
            <w:pPr>
              <w:ind w:left="280"/>
              <w:spacing w:after="0"/>
              <w:rPr>
                <w:sz w:val="20"/>
                <w:szCs w:val="20"/>
                <w:color w:val="auto"/>
              </w:rPr>
            </w:pPr>
            <w:r>
              <w:rPr>
                <w:rFonts w:ascii="Arial" w:cs="Arial" w:eastAsia="Arial" w:hAnsi="Arial"/>
                <w:sz w:val="14"/>
                <w:szCs w:val="14"/>
                <w:color w:val="333333"/>
              </w:rPr>
              <w:t>Achieved 3 goals</w:t>
            </w:r>
          </w:p>
        </w:tc>
        <w:tc>
          <w:tcPr>
            <w:tcW w:w="980" w:type="dxa"/>
            <w:vAlign w:val="bottom"/>
            <w:gridSpan w:val="2"/>
            <w:vMerge w:val="restart"/>
            <w:shd w:val="clear" w:color="auto" w:fill="D9D9D9"/>
          </w:tcPr>
          <w:p>
            <w:pPr>
              <w:spacing w:after="0"/>
              <w:rPr>
                <w:sz w:val="20"/>
                <w:szCs w:val="20"/>
                <w:color w:val="auto"/>
              </w:rPr>
            </w:pPr>
            <w:r>
              <w:rPr>
                <w:rFonts w:ascii="Arial" w:cs="Arial" w:eastAsia="Arial" w:hAnsi="Arial"/>
                <w:sz w:val="14"/>
                <w:szCs w:val="14"/>
                <w:color w:val="333333"/>
              </w:rPr>
              <w:t>125%</w:t>
            </w:r>
          </w:p>
        </w:tc>
        <w:tc>
          <w:tcPr>
            <w:tcW w:w="0" w:type="dxa"/>
            <w:vAlign w:val="bottom"/>
          </w:tcPr>
          <w:p>
            <w:pPr>
              <w:spacing w:after="0"/>
              <w:rPr>
                <w:sz w:val="1"/>
                <w:szCs w:val="1"/>
                <w:color w:val="auto"/>
              </w:rPr>
            </w:pPr>
          </w:p>
        </w:tc>
      </w:tr>
      <w:tr>
        <w:trPr>
          <w:trHeight w:val="126"/>
        </w:trPr>
        <w:tc>
          <w:tcPr>
            <w:tcW w:w="1120" w:type="dxa"/>
            <w:vAlign w:val="bottom"/>
            <w:vMerge w:val="restart"/>
            <w:shd w:val="clear" w:color="auto" w:fill="D9D9D9"/>
          </w:tcPr>
          <w:p>
            <w:pPr>
              <w:ind w:left="180"/>
              <w:spacing w:after="0"/>
              <w:rPr>
                <w:sz w:val="20"/>
                <w:szCs w:val="20"/>
                <w:color w:val="auto"/>
              </w:rPr>
            </w:pPr>
            <w:r>
              <w:rPr>
                <w:rFonts w:ascii="Arial" w:cs="Arial" w:eastAsia="Arial" w:hAnsi="Arial"/>
                <w:sz w:val="14"/>
                <w:szCs w:val="14"/>
                <w:color w:val="333333"/>
              </w:rPr>
              <w:t>Initiatives</w:t>
            </w:r>
            <w:r>
              <w:rPr>
                <w:rFonts w:ascii="Arial" w:cs="Arial" w:eastAsia="Arial" w:hAnsi="Arial"/>
                <w:sz w:val="23"/>
                <w:szCs w:val="23"/>
                <w:color w:val="333333"/>
                <w:vertAlign w:val="superscript"/>
              </w:rPr>
              <w:t>(2)</w:t>
            </w:r>
          </w:p>
        </w:tc>
        <w:tc>
          <w:tcPr>
            <w:tcW w:w="900" w:type="dxa"/>
            <w:vAlign w:val="bottom"/>
            <w:vMerge w:val="continue"/>
            <w:shd w:val="clear" w:color="auto" w:fill="D9D9D9"/>
          </w:tcPr>
          <w:p>
            <w:pPr>
              <w:spacing w:after="0"/>
              <w:rPr>
                <w:sz w:val="10"/>
                <w:szCs w:val="10"/>
                <w:color w:val="auto"/>
              </w:rPr>
            </w:pPr>
          </w:p>
        </w:tc>
        <w:tc>
          <w:tcPr>
            <w:tcW w:w="1360" w:type="dxa"/>
            <w:vAlign w:val="bottom"/>
            <w:vMerge w:val="restart"/>
            <w:shd w:val="clear" w:color="auto" w:fill="D9D9D9"/>
          </w:tcPr>
          <w:p>
            <w:pPr>
              <w:ind w:left="440"/>
              <w:spacing w:after="0"/>
              <w:rPr>
                <w:sz w:val="20"/>
                <w:szCs w:val="20"/>
                <w:color w:val="auto"/>
              </w:rPr>
            </w:pPr>
            <w:r>
              <w:rPr>
                <w:rFonts w:ascii="Arial" w:cs="Arial" w:eastAsia="Arial" w:hAnsi="Arial"/>
                <w:sz w:val="14"/>
                <w:szCs w:val="14"/>
                <w:color w:val="333333"/>
              </w:rPr>
              <w:t>goals</w:t>
            </w:r>
          </w:p>
        </w:tc>
        <w:tc>
          <w:tcPr>
            <w:tcW w:w="900" w:type="dxa"/>
            <w:vAlign w:val="bottom"/>
            <w:vMerge w:val="restart"/>
            <w:shd w:val="clear" w:color="auto" w:fill="D9D9D9"/>
          </w:tcPr>
          <w:p>
            <w:pPr>
              <w:ind w:left="180"/>
              <w:spacing w:after="0"/>
              <w:rPr>
                <w:sz w:val="20"/>
                <w:szCs w:val="20"/>
                <w:color w:val="auto"/>
              </w:rPr>
            </w:pPr>
            <w:r>
              <w:rPr>
                <w:rFonts w:ascii="Arial" w:cs="Arial" w:eastAsia="Arial" w:hAnsi="Arial"/>
                <w:sz w:val="14"/>
                <w:szCs w:val="14"/>
                <w:color w:val="333333"/>
              </w:rPr>
              <w:t>1 goal</w:t>
            </w:r>
          </w:p>
        </w:tc>
        <w:tc>
          <w:tcPr>
            <w:tcW w:w="900" w:type="dxa"/>
            <w:vAlign w:val="bottom"/>
            <w:vMerge w:val="restart"/>
            <w:shd w:val="clear" w:color="auto" w:fill="D9D9D9"/>
          </w:tcPr>
          <w:p>
            <w:pPr>
              <w:ind w:left="220"/>
              <w:spacing w:after="0"/>
              <w:rPr>
                <w:sz w:val="20"/>
                <w:szCs w:val="20"/>
                <w:color w:val="auto"/>
              </w:rPr>
            </w:pPr>
            <w:r>
              <w:rPr>
                <w:rFonts w:ascii="Arial" w:cs="Arial" w:eastAsia="Arial" w:hAnsi="Arial"/>
                <w:sz w:val="14"/>
                <w:szCs w:val="14"/>
                <w:color w:val="333333"/>
              </w:rPr>
              <w:t>2 goals</w:t>
            </w:r>
          </w:p>
        </w:tc>
        <w:tc>
          <w:tcPr>
            <w:tcW w:w="720" w:type="dxa"/>
            <w:vAlign w:val="bottom"/>
            <w:gridSpan w:val="3"/>
            <w:vMerge w:val="restart"/>
            <w:shd w:val="clear" w:color="auto" w:fill="D9D9D9"/>
          </w:tcPr>
          <w:p>
            <w:pPr>
              <w:ind w:left="180"/>
              <w:spacing w:after="0"/>
              <w:rPr>
                <w:sz w:val="20"/>
                <w:szCs w:val="20"/>
                <w:color w:val="auto"/>
              </w:rPr>
            </w:pPr>
            <w:r>
              <w:rPr>
                <w:rFonts w:ascii="Arial" w:cs="Arial" w:eastAsia="Arial" w:hAnsi="Arial"/>
                <w:sz w:val="14"/>
                <w:szCs w:val="14"/>
                <w:color w:val="333333"/>
              </w:rPr>
              <w:t>3 goals</w:t>
            </w:r>
          </w:p>
        </w:tc>
        <w:tc>
          <w:tcPr>
            <w:tcW w:w="180" w:type="dxa"/>
            <w:vAlign w:val="bottom"/>
            <w:shd w:val="clear" w:color="auto" w:fill="D9D9D9"/>
          </w:tcPr>
          <w:p>
            <w:pPr>
              <w:spacing w:after="0"/>
              <w:rPr>
                <w:sz w:val="10"/>
                <w:szCs w:val="10"/>
                <w:color w:val="auto"/>
              </w:rPr>
            </w:pPr>
          </w:p>
        </w:tc>
        <w:tc>
          <w:tcPr>
            <w:tcW w:w="1700" w:type="dxa"/>
            <w:vAlign w:val="bottom"/>
            <w:vMerge w:val="continue"/>
            <w:shd w:val="clear" w:color="auto" w:fill="D9D9D9"/>
          </w:tcPr>
          <w:p>
            <w:pPr>
              <w:spacing w:after="0"/>
              <w:rPr>
                <w:sz w:val="10"/>
                <w:szCs w:val="10"/>
                <w:color w:val="auto"/>
              </w:rPr>
            </w:pPr>
          </w:p>
        </w:tc>
        <w:tc>
          <w:tcPr>
            <w:tcW w:w="980" w:type="dxa"/>
            <w:vAlign w:val="bottom"/>
            <w:gridSpan w:val="2"/>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1120" w:type="dxa"/>
            <w:vAlign w:val="bottom"/>
            <w:tcBorders>
              <w:bottom w:val="single" w:sz="8" w:color="D9D9D9"/>
            </w:tcBorders>
            <w:vMerge w:val="continue"/>
            <w:shd w:val="clear" w:color="auto" w:fill="D9D9D9"/>
          </w:tcPr>
          <w:p>
            <w:pPr>
              <w:spacing w:after="0"/>
              <w:rPr>
                <w:sz w:val="20"/>
                <w:szCs w:val="20"/>
                <w:color w:val="auto"/>
              </w:rPr>
            </w:pPr>
          </w:p>
        </w:tc>
        <w:tc>
          <w:tcPr>
            <w:tcW w:w="900" w:type="dxa"/>
            <w:vAlign w:val="bottom"/>
            <w:tcBorders>
              <w:bottom w:val="single" w:sz="8" w:color="D9D9D9"/>
            </w:tcBorders>
            <w:shd w:val="clear" w:color="auto" w:fill="D9D9D9"/>
          </w:tcPr>
          <w:p>
            <w:pPr>
              <w:spacing w:after="0"/>
              <w:rPr>
                <w:sz w:val="20"/>
                <w:szCs w:val="20"/>
                <w:color w:val="auto"/>
              </w:rPr>
            </w:pPr>
          </w:p>
        </w:tc>
        <w:tc>
          <w:tcPr>
            <w:tcW w:w="1360" w:type="dxa"/>
            <w:vAlign w:val="bottom"/>
            <w:tcBorders>
              <w:bottom w:val="single" w:sz="8" w:color="D9D9D9"/>
            </w:tcBorders>
            <w:vMerge w:val="continue"/>
            <w:shd w:val="clear" w:color="auto" w:fill="D9D9D9"/>
          </w:tcPr>
          <w:p>
            <w:pPr>
              <w:spacing w:after="0"/>
              <w:rPr>
                <w:sz w:val="20"/>
                <w:szCs w:val="20"/>
                <w:color w:val="auto"/>
              </w:rPr>
            </w:pPr>
          </w:p>
        </w:tc>
        <w:tc>
          <w:tcPr>
            <w:tcW w:w="900" w:type="dxa"/>
            <w:vAlign w:val="bottom"/>
            <w:tcBorders>
              <w:bottom w:val="single" w:sz="8" w:color="D9D9D9"/>
            </w:tcBorders>
            <w:vMerge w:val="continue"/>
            <w:shd w:val="clear" w:color="auto" w:fill="D9D9D9"/>
          </w:tcPr>
          <w:p>
            <w:pPr>
              <w:spacing w:after="0"/>
              <w:rPr>
                <w:sz w:val="20"/>
                <w:szCs w:val="20"/>
                <w:color w:val="auto"/>
              </w:rPr>
            </w:pPr>
          </w:p>
        </w:tc>
        <w:tc>
          <w:tcPr>
            <w:tcW w:w="900" w:type="dxa"/>
            <w:vAlign w:val="bottom"/>
            <w:tcBorders>
              <w:bottom w:val="single" w:sz="8" w:color="D9D9D9"/>
            </w:tcBorders>
            <w:vMerge w:val="continue"/>
            <w:shd w:val="clear" w:color="auto" w:fill="D9D9D9"/>
          </w:tcPr>
          <w:p>
            <w:pPr>
              <w:spacing w:after="0"/>
              <w:rPr>
                <w:sz w:val="20"/>
                <w:szCs w:val="20"/>
                <w:color w:val="auto"/>
              </w:rPr>
            </w:pPr>
          </w:p>
        </w:tc>
        <w:tc>
          <w:tcPr>
            <w:tcW w:w="720" w:type="dxa"/>
            <w:vAlign w:val="bottom"/>
            <w:tcBorders>
              <w:bottom w:val="single" w:sz="8" w:color="D9D9D9"/>
            </w:tcBorders>
            <w:gridSpan w:val="3"/>
            <w:vMerge w:val="continue"/>
            <w:shd w:val="clear" w:color="auto" w:fill="D9D9D9"/>
          </w:tcPr>
          <w:p>
            <w:pPr>
              <w:spacing w:after="0"/>
              <w:rPr>
                <w:sz w:val="20"/>
                <w:szCs w:val="20"/>
                <w:color w:val="auto"/>
              </w:rPr>
            </w:pPr>
          </w:p>
        </w:tc>
        <w:tc>
          <w:tcPr>
            <w:tcW w:w="180" w:type="dxa"/>
            <w:vAlign w:val="bottom"/>
            <w:tcBorders>
              <w:bottom w:val="single" w:sz="8" w:color="D9D9D9"/>
            </w:tcBorders>
            <w:shd w:val="clear" w:color="auto" w:fill="D9D9D9"/>
          </w:tcPr>
          <w:p>
            <w:pPr>
              <w:spacing w:after="0"/>
              <w:rPr>
                <w:sz w:val="20"/>
                <w:szCs w:val="20"/>
                <w:color w:val="auto"/>
              </w:rPr>
            </w:pPr>
          </w:p>
        </w:tc>
        <w:tc>
          <w:tcPr>
            <w:tcW w:w="170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820" w:type="dxa"/>
            <w:vAlign w:val="bottom"/>
            <w:tcBorders>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right"/>
              <w:ind w:right="408"/>
              <w:spacing w:after="0"/>
              <w:rPr>
                <w:sz w:val="20"/>
                <w:szCs w:val="20"/>
                <w:color w:val="auto"/>
              </w:rPr>
            </w:pPr>
            <w:r>
              <w:rPr>
                <w:rFonts w:ascii="Arial" w:cs="Arial" w:eastAsia="Arial" w:hAnsi="Arial"/>
                <w:sz w:val="14"/>
                <w:szCs w:val="14"/>
                <w:b w:val="1"/>
                <w:bCs w:val="1"/>
                <w:color w:val="auto"/>
              </w:rPr>
              <w:t>Target Payout</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$90,000</w:t>
            </w: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Formulaic Total Payout %</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00" w:type="dxa"/>
            <w:vAlign w:val="bottom"/>
            <w:gridSpan w:val="6"/>
          </w:tcPr>
          <w:p>
            <w:pPr>
              <w:jc w:val="right"/>
              <w:ind w:right="408"/>
              <w:spacing w:after="0"/>
              <w:rPr>
                <w:sz w:val="20"/>
                <w:szCs w:val="20"/>
                <w:color w:val="auto"/>
              </w:rPr>
            </w:pPr>
            <w:r>
              <w:rPr>
                <w:rFonts w:ascii="Arial" w:cs="Arial" w:eastAsia="Arial" w:hAnsi="Arial"/>
                <w:sz w:val="14"/>
                <w:szCs w:val="14"/>
                <w:b w:val="1"/>
                <w:bCs w:val="1"/>
                <w:color w:val="auto"/>
              </w:rPr>
              <w:t>Formulaic Initial Calculated Payout</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$90,000</w:t>
            </w: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Less Target RSU value</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$60,000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Formulaic Cash Payout</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$30,000</w:t>
            </w: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Actual Cash Payout</w:t>
            </w: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840" w:hanging="190"/>
        <w:spacing w:after="0"/>
        <w:tabs>
          <w:tab w:leader="none" w:pos="840" w:val="left"/>
        </w:tabs>
        <w:numPr>
          <w:ilvl w:val="0"/>
          <w:numId w:val="67"/>
        </w:numPr>
        <w:rPr>
          <w:rFonts w:ascii="Arial" w:cs="Arial" w:eastAsia="Arial" w:hAnsi="Arial"/>
          <w:sz w:val="13"/>
          <w:szCs w:val="13"/>
          <w:i w:val="1"/>
          <w:iCs w:val="1"/>
          <w:color w:val="333333"/>
        </w:rPr>
      </w:pPr>
      <w:r>
        <w:rPr>
          <w:rFonts w:ascii="Arial" w:cs="Arial" w:eastAsia="Arial" w:hAnsi="Arial"/>
          <w:sz w:val="13"/>
          <w:szCs w:val="13"/>
          <w:i w:val="1"/>
          <w:iCs w:val="1"/>
          <w:color w:val="333333"/>
        </w:rPr>
        <w:t>Adjusted to be consistent with the macro-economic environment assumed in the 2023 budget, and for addbacks and impact of acquisitions or</w:t>
      </w:r>
    </w:p>
    <w:p>
      <w:pPr>
        <w:ind w:left="660"/>
        <w:spacing w:after="0"/>
        <w:rPr>
          <w:rFonts w:ascii="Arial" w:cs="Arial" w:eastAsia="Arial" w:hAnsi="Arial"/>
          <w:sz w:val="13"/>
          <w:szCs w:val="13"/>
          <w:i w:val="1"/>
          <w:iCs w:val="1"/>
          <w:color w:val="333333"/>
        </w:rPr>
      </w:pPr>
      <w:r>
        <w:rPr>
          <w:rFonts w:ascii="Arial" w:cs="Arial" w:eastAsia="Arial" w:hAnsi="Arial"/>
          <w:sz w:val="13"/>
          <w:szCs w:val="13"/>
          <w:i w:val="1"/>
          <w:iCs w:val="1"/>
          <w:color w:val="333333"/>
        </w:rPr>
        <w:t>divestitures. This metric results in a 100% payout only if the applicable goal is achieved for every quarter; otherwise, the payout for this metric is 0%.</w:t>
      </w:r>
    </w:p>
    <w:p>
      <w:pPr>
        <w:spacing w:after="0" w:line="4" w:lineRule="exact"/>
        <w:rPr>
          <w:rFonts w:ascii="Arial" w:cs="Arial" w:eastAsia="Arial" w:hAnsi="Arial"/>
          <w:sz w:val="13"/>
          <w:szCs w:val="13"/>
          <w:i w:val="1"/>
          <w:iCs w:val="1"/>
          <w:color w:val="333333"/>
        </w:rPr>
      </w:pPr>
    </w:p>
    <w:p>
      <w:pPr>
        <w:ind w:left="660" w:right="319" w:hanging="10"/>
        <w:spacing w:after="0" w:line="238" w:lineRule="auto"/>
        <w:tabs>
          <w:tab w:leader="none" w:pos="849" w:val="left"/>
        </w:tabs>
        <w:numPr>
          <w:ilvl w:val="0"/>
          <w:numId w:val="67"/>
        </w:numPr>
        <w:rPr>
          <w:rFonts w:ascii="Arial" w:cs="Arial" w:eastAsia="Arial" w:hAnsi="Arial"/>
          <w:sz w:val="13"/>
          <w:szCs w:val="13"/>
          <w:i w:val="1"/>
          <w:iCs w:val="1"/>
          <w:color w:val="333333"/>
        </w:rPr>
      </w:pPr>
      <w:r>
        <w:rPr>
          <w:rFonts w:ascii="Arial" w:cs="Arial" w:eastAsia="Arial" w:hAnsi="Arial"/>
          <w:sz w:val="13"/>
          <w:szCs w:val="13"/>
          <w:i w:val="1"/>
          <w:iCs w:val="1"/>
          <w:color w:val="333333"/>
        </w:rPr>
        <w:t>(a) Reassess operating segments (achieved), (b) remediate particular reporting deficiency (achieved), and (c) automate stock release for vested equity (achieved).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Armando L. Netto: </w:t>
      </w:r>
      <w:r>
        <w:rPr>
          <w:rFonts w:ascii="Arial" w:cs="Arial" w:eastAsia="Arial" w:hAnsi="Arial"/>
          <w:sz w:val="16"/>
          <w:szCs w:val="16"/>
          <w:color w:val="333333"/>
        </w:rPr>
        <w:t>The cash portion of Mr. Netto’s 2023 annual incentive was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106680</wp:posOffset>
            </wp:positionV>
            <wp:extent cx="5554980" cy="8572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554980" cy="857250"/>
                    </a:xfrm>
                    <a:prstGeom prst="rect">
                      <a:avLst/>
                    </a:prstGeom>
                    <a:noFill/>
                  </pic:spPr>
                </pic:pic>
              </a:graphicData>
            </a:graphic>
          </wp:anchor>
        </w:drawing>
      </w:r>
    </w:p>
    <w:p>
      <w:pPr>
        <w:spacing w:after="0" w:line="351" w:lineRule="exact"/>
        <w:rPr>
          <w:sz w:val="20"/>
          <w:szCs w:val="20"/>
          <w:color w:val="auto"/>
        </w:rPr>
      </w:pPr>
    </w:p>
    <w:p>
      <w:pPr>
        <w:jc w:val="center"/>
        <w:ind w:right="-1260"/>
        <w:spacing w:after="0"/>
        <w:rPr>
          <w:sz w:val="20"/>
          <w:szCs w:val="20"/>
          <w:color w:val="auto"/>
        </w:rPr>
      </w:pPr>
      <w:r>
        <w:rPr>
          <w:rFonts w:ascii="Arial" w:cs="Arial" w:eastAsia="Arial" w:hAnsi="Arial"/>
          <w:sz w:val="12"/>
          <w:szCs w:val="12"/>
          <w:b w:val="1"/>
          <w:bCs w:val="1"/>
          <w:color w:val="FFFFFF"/>
        </w:rPr>
        <w:t>GOALS</w:t>
      </w:r>
    </w:p>
    <w:p>
      <w:pPr>
        <w:spacing w:after="0" w:line="9" w:lineRule="exact"/>
        <w:rPr>
          <w:sz w:val="20"/>
          <w:szCs w:val="20"/>
          <w:color w:val="auto"/>
        </w:rPr>
      </w:pPr>
    </w:p>
    <w:p>
      <w:pPr>
        <w:jc w:val="center"/>
        <w:ind w:right="-1260"/>
        <w:spacing w:after="0"/>
        <w:rPr>
          <w:sz w:val="20"/>
          <w:szCs w:val="20"/>
          <w:color w:val="auto"/>
        </w:rPr>
      </w:pPr>
      <w:r>
        <w:rPr>
          <w:rFonts w:ascii="Arial" w:cs="Arial" w:eastAsia="Arial" w:hAnsi="Arial"/>
          <w:sz w:val="12"/>
          <w:szCs w:val="12"/>
          <w:b w:val="1"/>
          <w:bCs w:val="1"/>
          <w:color w:val="FFFFFF"/>
        </w:rPr>
        <w:t>($ values in millions)</w:t>
      </w:r>
    </w:p>
    <w:p>
      <w:pPr>
        <w:spacing w:after="0" w:line="106"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920" w:type="dxa"/>
            <w:vAlign w:val="bottom"/>
            <w:shd w:val="clear" w:color="auto" w:fill="CF1D4C"/>
          </w:tcPr>
          <w:p>
            <w:pPr>
              <w:spacing w:after="0"/>
              <w:rPr>
                <w:sz w:val="19"/>
                <w:szCs w:val="19"/>
                <w:color w:val="auto"/>
              </w:rPr>
            </w:pPr>
          </w:p>
        </w:tc>
        <w:tc>
          <w:tcPr>
            <w:tcW w:w="740" w:type="dxa"/>
            <w:vAlign w:val="bottom"/>
            <w:shd w:val="clear" w:color="auto" w:fill="CF1D4C"/>
          </w:tcPr>
          <w:p>
            <w:pPr>
              <w:spacing w:after="0"/>
              <w:rPr>
                <w:sz w:val="19"/>
                <w:szCs w:val="19"/>
                <w:color w:val="auto"/>
              </w:rPr>
            </w:pPr>
          </w:p>
        </w:tc>
        <w:tc>
          <w:tcPr>
            <w:tcW w:w="860" w:type="dxa"/>
            <w:vAlign w:val="bottom"/>
            <w:vMerge w:val="restart"/>
            <w:shd w:val="clear" w:color="auto" w:fill="CF1D4C"/>
          </w:tcPr>
          <w:p>
            <w:pPr>
              <w:ind w:left="100"/>
              <w:spacing w:after="0"/>
              <w:rPr>
                <w:sz w:val="20"/>
                <w:szCs w:val="20"/>
                <w:color w:val="auto"/>
              </w:rPr>
            </w:pPr>
            <w:r>
              <w:rPr>
                <w:rFonts w:ascii="Arial" w:cs="Arial" w:eastAsia="Arial" w:hAnsi="Arial"/>
                <w:sz w:val="12"/>
                <w:szCs w:val="12"/>
                <w:b w:val="1"/>
                <w:bCs w:val="1"/>
                <w:color w:val="FFFFFF"/>
              </w:rPr>
              <w:t>Target</w:t>
            </w:r>
          </w:p>
        </w:tc>
        <w:tc>
          <w:tcPr>
            <w:tcW w:w="700" w:type="dxa"/>
            <w:vAlign w:val="bottom"/>
            <w:shd w:val="clear" w:color="auto" w:fill="CF1D4C"/>
          </w:tcPr>
          <w:p>
            <w:pPr>
              <w:spacing w:after="0"/>
              <w:rPr>
                <w:sz w:val="19"/>
                <w:szCs w:val="19"/>
                <w:color w:val="auto"/>
              </w:rPr>
            </w:pPr>
          </w:p>
        </w:tc>
        <w:tc>
          <w:tcPr>
            <w:tcW w:w="50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Below</w:t>
            </w:r>
          </w:p>
        </w:tc>
        <w:tc>
          <w:tcPr>
            <w:tcW w:w="50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Below</w:t>
            </w:r>
          </w:p>
        </w:tc>
        <w:tc>
          <w:tcPr>
            <w:tcW w:w="580" w:type="dxa"/>
            <w:vAlign w:val="bottom"/>
            <w:shd w:val="clear" w:color="auto" w:fill="CF1D4C"/>
          </w:tcPr>
          <w:p>
            <w:pPr>
              <w:spacing w:after="0"/>
              <w:rPr>
                <w:sz w:val="19"/>
                <w:szCs w:val="19"/>
                <w:color w:val="auto"/>
              </w:rPr>
            </w:pPr>
          </w:p>
        </w:tc>
        <w:tc>
          <w:tcPr>
            <w:tcW w:w="480" w:type="dxa"/>
            <w:vAlign w:val="bottom"/>
            <w:vMerge w:val="restart"/>
            <w:shd w:val="clear" w:color="auto" w:fill="CF1D4C"/>
          </w:tcPr>
          <w:p>
            <w:pPr>
              <w:ind w:left="40"/>
              <w:spacing w:after="0"/>
              <w:rPr>
                <w:sz w:val="20"/>
                <w:szCs w:val="20"/>
                <w:color w:val="auto"/>
              </w:rPr>
            </w:pPr>
            <w:r>
              <w:rPr>
                <w:rFonts w:ascii="Arial" w:cs="Arial" w:eastAsia="Arial" w:hAnsi="Arial"/>
                <w:sz w:val="12"/>
                <w:szCs w:val="12"/>
                <w:b w:val="1"/>
                <w:bCs w:val="1"/>
                <w:color w:val="FFFFFF"/>
              </w:rPr>
              <w:t>Above</w:t>
            </w:r>
          </w:p>
        </w:tc>
        <w:tc>
          <w:tcPr>
            <w:tcW w:w="70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Below</w:t>
            </w:r>
          </w:p>
        </w:tc>
        <w:tc>
          <w:tcPr>
            <w:tcW w:w="340" w:type="dxa"/>
            <w:vAlign w:val="bottom"/>
            <w:shd w:val="clear" w:color="auto" w:fill="CF1D4C"/>
          </w:tcPr>
          <w:p>
            <w:pPr>
              <w:spacing w:after="0"/>
              <w:rPr>
                <w:sz w:val="19"/>
                <w:szCs w:val="19"/>
                <w:color w:val="auto"/>
              </w:rPr>
            </w:pPr>
          </w:p>
        </w:tc>
        <w:tc>
          <w:tcPr>
            <w:tcW w:w="280" w:type="dxa"/>
            <w:vAlign w:val="bottom"/>
            <w:shd w:val="clear" w:color="auto" w:fill="CF1D4C"/>
          </w:tcPr>
          <w:p>
            <w:pPr>
              <w:spacing w:after="0"/>
              <w:rPr>
                <w:sz w:val="19"/>
                <w:szCs w:val="19"/>
                <w:color w:val="auto"/>
              </w:rPr>
            </w:pPr>
          </w:p>
        </w:tc>
        <w:tc>
          <w:tcPr>
            <w:tcW w:w="100" w:type="dxa"/>
            <w:vAlign w:val="bottom"/>
            <w:shd w:val="clear" w:color="auto" w:fill="CF1D4C"/>
          </w:tcPr>
          <w:p>
            <w:pPr>
              <w:spacing w:after="0"/>
              <w:rPr>
                <w:sz w:val="19"/>
                <w:szCs w:val="19"/>
                <w:color w:val="auto"/>
              </w:rPr>
            </w:pPr>
          </w:p>
        </w:tc>
        <w:tc>
          <w:tcPr>
            <w:tcW w:w="1000" w:type="dxa"/>
            <w:vAlign w:val="bottom"/>
            <w:shd w:val="clear" w:color="auto" w:fill="CF1D4C"/>
          </w:tcPr>
          <w:p>
            <w:pPr>
              <w:ind w:left="80"/>
              <w:spacing w:after="0"/>
              <w:rPr>
                <w:sz w:val="20"/>
                <w:szCs w:val="20"/>
                <w:color w:val="auto"/>
              </w:rPr>
            </w:pPr>
            <w:r>
              <w:rPr>
                <w:rFonts w:ascii="Arial" w:cs="Arial" w:eastAsia="Arial" w:hAnsi="Arial"/>
                <w:sz w:val="12"/>
                <w:szCs w:val="12"/>
                <w:b w:val="1"/>
                <w:bCs w:val="1"/>
                <w:color w:val="FFFFFF"/>
              </w:rPr>
              <w:t>2023</w:t>
            </w:r>
          </w:p>
        </w:tc>
        <w:tc>
          <w:tcPr>
            <w:tcW w:w="940" w:type="dxa"/>
            <w:vAlign w:val="bottom"/>
            <w:gridSpan w:val="2"/>
            <w:vMerge w:val="restart"/>
            <w:shd w:val="clear" w:color="auto" w:fill="CF1D4C"/>
          </w:tcPr>
          <w:p>
            <w:pPr>
              <w:spacing w:after="0"/>
              <w:rPr>
                <w:sz w:val="20"/>
                <w:szCs w:val="20"/>
                <w:color w:val="auto"/>
              </w:rPr>
            </w:pPr>
            <w:r>
              <w:rPr>
                <w:rFonts w:ascii="Arial" w:cs="Arial" w:eastAsia="Arial" w:hAnsi="Arial"/>
                <w:sz w:val="12"/>
                <w:szCs w:val="12"/>
                <w:b w:val="1"/>
                <w:bCs w:val="1"/>
                <w:color w:val="FFFFFF"/>
              </w:rPr>
              <w:t>% of</w:t>
            </w: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92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Performance</w:t>
            </w:r>
          </w:p>
        </w:tc>
        <w:tc>
          <w:tcPr>
            <w:tcW w:w="74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Weighting</w:t>
            </w:r>
          </w:p>
        </w:tc>
        <w:tc>
          <w:tcPr>
            <w:tcW w:w="860" w:type="dxa"/>
            <w:vAlign w:val="bottom"/>
            <w:vMerge w:val="continue"/>
            <w:shd w:val="clear" w:color="auto" w:fill="CF1D4C"/>
          </w:tcPr>
          <w:p>
            <w:pPr>
              <w:spacing w:after="0"/>
              <w:rPr>
                <w:sz w:val="5"/>
                <w:szCs w:val="5"/>
                <w:color w:val="auto"/>
              </w:rPr>
            </w:pPr>
          </w:p>
        </w:tc>
        <w:tc>
          <w:tcPr>
            <w:tcW w:w="70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Threshold</w:t>
            </w:r>
          </w:p>
        </w:tc>
        <w:tc>
          <w:tcPr>
            <w:tcW w:w="500" w:type="dxa"/>
            <w:vAlign w:val="bottom"/>
            <w:vMerge w:val="continue"/>
            <w:shd w:val="clear" w:color="auto" w:fill="CF1D4C"/>
          </w:tcPr>
          <w:p>
            <w:pPr>
              <w:spacing w:after="0"/>
              <w:rPr>
                <w:sz w:val="5"/>
                <w:szCs w:val="5"/>
                <w:color w:val="auto"/>
              </w:rPr>
            </w:pPr>
          </w:p>
        </w:tc>
        <w:tc>
          <w:tcPr>
            <w:tcW w:w="500" w:type="dxa"/>
            <w:vAlign w:val="bottom"/>
            <w:vMerge w:val="continue"/>
            <w:shd w:val="clear" w:color="auto" w:fill="CF1D4C"/>
          </w:tcPr>
          <w:p>
            <w:pPr>
              <w:spacing w:after="0"/>
              <w:rPr>
                <w:sz w:val="5"/>
                <w:szCs w:val="5"/>
                <w:color w:val="auto"/>
              </w:rPr>
            </w:pPr>
          </w:p>
        </w:tc>
        <w:tc>
          <w:tcPr>
            <w:tcW w:w="58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Target</w:t>
            </w:r>
          </w:p>
        </w:tc>
        <w:tc>
          <w:tcPr>
            <w:tcW w:w="480" w:type="dxa"/>
            <w:vAlign w:val="bottom"/>
            <w:vMerge w:val="continue"/>
            <w:shd w:val="clear" w:color="auto" w:fill="CF1D4C"/>
          </w:tcPr>
          <w:p>
            <w:pPr>
              <w:spacing w:after="0"/>
              <w:rPr>
                <w:sz w:val="5"/>
                <w:szCs w:val="5"/>
                <w:color w:val="auto"/>
              </w:rPr>
            </w:pPr>
          </w:p>
        </w:tc>
        <w:tc>
          <w:tcPr>
            <w:tcW w:w="700" w:type="dxa"/>
            <w:vAlign w:val="bottom"/>
            <w:vMerge w:val="continue"/>
            <w:shd w:val="clear" w:color="auto" w:fill="CF1D4C"/>
          </w:tcPr>
          <w:p>
            <w:pPr>
              <w:spacing w:after="0"/>
              <w:rPr>
                <w:sz w:val="5"/>
                <w:szCs w:val="5"/>
                <w:color w:val="auto"/>
              </w:rPr>
            </w:pPr>
          </w:p>
        </w:tc>
        <w:tc>
          <w:tcPr>
            <w:tcW w:w="720" w:type="dxa"/>
            <w:vAlign w:val="bottom"/>
            <w:gridSpan w:val="3"/>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Maximum</w:t>
            </w:r>
          </w:p>
        </w:tc>
        <w:tc>
          <w:tcPr>
            <w:tcW w:w="100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Achievement</w:t>
            </w:r>
          </w:p>
        </w:tc>
        <w:tc>
          <w:tcPr>
            <w:tcW w:w="940" w:type="dxa"/>
            <w:vAlign w:val="bottom"/>
            <w:gridSpan w:val="2"/>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920" w:type="dxa"/>
            <w:vAlign w:val="bottom"/>
            <w:vMerge w:val="continue"/>
            <w:shd w:val="clear" w:color="auto" w:fill="CF1D4C"/>
          </w:tcPr>
          <w:p>
            <w:pPr>
              <w:spacing w:after="0"/>
              <w:rPr>
                <w:sz w:val="10"/>
                <w:szCs w:val="10"/>
                <w:color w:val="auto"/>
              </w:rPr>
            </w:pPr>
          </w:p>
        </w:tc>
        <w:tc>
          <w:tcPr>
            <w:tcW w:w="740" w:type="dxa"/>
            <w:vAlign w:val="bottom"/>
            <w:vMerge w:val="continue"/>
            <w:shd w:val="clear" w:color="auto" w:fill="CF1D4C"/>
          </w:tcPr>
          <w:p>
            <w:pPr>
              <w:spacing w:after="0"/>
              <w:rPr>
                <w:sz w:val="10"/>
                <w:szCs w:val="10"/>
                <w:color w:val="auto"/>
              </w:rPr>
            </w:pPr>
          </w:p>
        </w:tc>
        <w:tc>
          <w:tcPr>
            <w:tcW w:w="860" w:type="dxa"/>
            <w:vAlign w:val="bottom"/>
            <w:shd w:val="clear" w:color="auto" w:fill="CF1D4C"/>
          </w:tcPr>
          <w:p>
            <w:pPr>
              <w:ind w:left="100"/>
              <w:spacing w:after="0" w:line="121" w:lineRule="exact"/>
              <w:rPr>
                <w:sz w:val="20"/>
                <w:szCs w:val="20"/>
                <w:color w:val="auto"/>
              </w:rPr>
            </w:pPr>
            <w:r>
              <w:rPr>
                <w:rFonts w:ascii="Arial" w:cs="Arial" w:eastAsia="Arial" w:hAnsi="Arial"/>
                <w:sz w:val="12"/>
                <w:szCs w:val="12"/>
                <w:b w:val="1"/>
                <w:bCs w:val="1"/>
                <w:color w:val="FFFFFF"/>
              </w:rPr>
              <w:t>($ values in</w:t>
            </w:r>
          </w:p>
        </w:tc>
        <w:tc>
          <w:tcPr>
            <w:tcW w:w="700" w:type="dxa"/>
            <w:vAlign w:val="bottom"/>
            <w:vMerge w:val="continue"/>
            <w:shd w:val="clear" w:color="auto" w:fill="CF1D4C"/>
          </w:tcPr>
          <w:p>
            <w:pPr>
              <w:spacing w:after="0"/>
              <w:rPr>
                <w:sz w:val="10"/>
                <w:szCs w:val="10"/>
                <w:color w:val="auto"/>
              </w:rPr>
            </w:pPr>
          </w:p>
        </w:tc>
        <w:tc>
          <w:tcPr>
            <w:tcW w:w="500" w:type="dxa"/>
            <w:vAlign w:val="bottom"/>
            <w:shd w:val="clear" w:color="auto" w:fill="CF1D4C"/>
          </w:tcPr>
          <w:p>
            <w:pPr>
              <w:ind w:left="80"/>
              <w:spacing w:after="0" w:line="121" w:lineRule="exact"/>
              <w:rPr>
                <w:sz w:val="20"/>
                <w:szCs w:val="20"/>
                <w:color w:val="auto"/>
              </w:rPr>
            </w:pPr>
            <w:r>
              <w:rPr>
                <w:rFonts w:ascii="Arial" w:cs="Arial" w:eastAsia="Arial" w:hAnsi="Arial"/>
                <w:sz w:val="12"/>
                <w:szCs w:val="12"/>
                <w:b w:val="1"/>
                <w:bCs w:val="1"/>
                <w:color w:val="FFFFFF"/>
              </w:rPr>
              <w:t>Target</w:t>
            </w:r>
          </w:p>
        </w:tc>
        <w:tc>
          <w:tcPr>
            <w:tcW w:w="500" w:type="dxa"/>
            <w:vAlign w:val="bottom"/>
            <w:shd w:val="clear" w:color="auto" w:fill="CF1D4C"/>
          </w:tcPr>
          <w:p>
            <w:pPr>
              <w:ind w:left="80"/>
              <w:spacing w:after="0" w:line="121" w:lineRule="exact"/>
              <w:rPr>
                <w:sz w:val="20"/>
                <w:szCs w:val="20"/>
                <w:color w:val="auto"/>
              </w:rPr>
            </w:pPr>
            <w:r>
              <w:rPr>
                <w:rFonts w:ascii="Arial" w:cs="Arial" w:eastAsia="Arial" w:hAnsi="Arial"/>
                <w:sz w:val="12"/>
                <w:szCs w:val="12"/>
                <w:b w:val="1"/>
                <w:bCs w:val="1"/>
                <w:color w:val="FFFFFF"/>
              </w:rPr>
              <w:t>Target</w:t>
            </w:r>
          </w:p>
        </w:tc>
        <w:tc>
          <w:tcPr>
            <w:tcW w:w="580" w:type="dxa"/>
            <w:vAlign w:val="bottom"/>
            <w:vMerge w:val="continue"/>
            <w:shd w:val="clear" w:color="auto" w:fill="CF1D4C"/>
          </w:tcPr>
          <w:p>
            <w:pPr>
              <w:spacing w:after="0"/>
              <w:rPr>
                <w:sz w:val="10"/>
                <w:szCs w:val="10"/>
                <w:color w:val="auto"/>
              </w:rPr>
            </w:pPr>
          </w:p>
        </w:tc>
        <w:tc>
          <w:tcPr>
            <w:tcW w:w="480" w:type="dxa"/>
            <w:vAlign w:val="bottom"/>
            <w:shd w:val="clear" w:color="auto" w:fill="CF1D4C"/>
          </w:tcPr>
          <w:p>
            <w:pPr>
              <w:ind w:left="40"/>
              <w:spacing w:after="0" w:line="121" w:lineRule="exact"/>
              <w:rPr>
                <w:sz w:val="20"/>
                <w:szCs w:val="20"/>
                <w:color w:val="auto"/>
              </w:rPr>
            </w:pPr>
            <w:r>
              <w:rPr>
                <w:rFonts w:ascii="Arial" w:cs="Arial" w:eastAsia="Arial" w:hAnsi="Arial"/>
                <w:sz w:val="12"/>
                <w:szCs w:val="12"/>
                <w:b w:val="1"/>
                <w:bCs w:val="1"/>
                <w:color w:val="FFFFFF"/>
              </w:rPr>
              <w:t>Target</w:t>
            </w:r>
          </w:p>
        </w:tc>
        <w:tc>
          <w:tcPr>
            <w:tcW w:w="700" w:type="dxa"/>
            <w:vAlign w:val="bottom"/>
            <w:shd w:val="clear" w:color="auto" w:fill="CF1D4C"/>
          </w:tcPr>
          <w:p>
            <w:pPr>
              <w:ind w:left="60"/>
              <w:spacing w:after="0" w:line="121" w:lineRule="exact"/>
              <w:rPr>
                <w:sz w:val="20"/>
                <w:szCs w:val="20"/>
                <w:color w:val="auto"/>
              </w:rPr>
            </w:pPr>
            <w:r>
              <w:rPr>
                <w:rFonts w:ascii="Arial" w:cs="Arial" w:eastAsia="Arial" w:hAnsi="Arial"/>
                <w:sz w:val="12"/>
                <w:szCs w:val="12"/>
                <w:b w:val="1"/>
                <w:bCs w:val="1"/>
                <w:color w:val="FFFFFF"/>
              </w:rPr>
              <w:t>Maximum</w:t>
            </w:r>
          </w:p>
        </w:tc>
        <w:tc>
          <w:tcPr>
            <w:tcW w:w="720" w:type="dxa"/>
            <w:vAlign w:val="bottom"/>
            <w:gridSpan w:val="3"/>
            <w:vMerge w:val="continue"/>
            <w:shd w:val="clear" w:color="auto" w:fill="CF1D4C"/>
          </w:tcPr>
          <w:p>
            <w:pPr>
              <w:spacing w:after="0"/>
              <w:rPr>
                <w:sz w:val="10"/>
                <w:szCs w:val="10"/>
                <w:color w:val="auto"/>
              </w:rPr>
            </w:pPr>
          </w:p>
        </w:tc>
        <w:tc>
          <w:tcPr>
            <w:tcW w:w="1000" w:type="dxa"/>
            <w:vAlign w:val="bottom"/>
            <w:vMerge w:val="continue"/>
            <w:shd w:val="clear" w:color="auto" w:fill="CF1D4C"/>
          </w:tcPr>
          <w:p>
            <w:pPr>
              <w:spacing w:after="0"/>
              <w:rPr>
                <w:sz w:val="10"/>
                <w:szCs w:val="10"/>
                <w:color w:val="auto"/>
              </w:rPr>
            </w:pPr>
          </w:p>
        </w:tc>
        <w:tc>
          <w:tcPr>
            <w:tcW w:w="940" w:type="dxa"/>
            <w:vAlign w:val="bottom"/>
            <w:gridSpan w:val="2"/>
            <w:shd w:val="clear" w:color="auto" w:fill="CF1D4C"/>
          </w:tcPr>
          <w:p>
            <w:pPr>
              <w:spacing w:after="0" w:line="121" w:lineRule="exact"/>
              <w:rPr>
                <w:sz w:val="20"/>
                <w:szCs w:val="20"/>
                <w:color w:val="auto"/>
              </w:rPr>
            </w:pPr>
            <w:r>
              <w:rPr>
                <w:rFonts w:ascii="Arial" w:cs="Arial" w:eastAsia="Arial" w:hAnsi="Arial"/>
                <w:sz w:val="12"/>
                <w:szCs w:val="12"/>
                <w:b w:val="1"/>
                <w:bCs w:val="1"/>
                <w:color w:val="FFFFFF"/>
              </w:rPr>
              <w:t>Target</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920" w:type="dxa"/>
            <w:vAlign w:val="bottom"/>
            <w:shd w:val="clear" w:color="auto" w:fill="CF1D4C"/>
          </w:tcPr>
          <w:p>
            <w:pPr>
              <w:ind w:left="60"/>
              <w:spacing w:after="0" w:line="82" w:lineRule="exact"/>
              <w:rPr>
                <w:sz w:val="20"/>
                <w:szCs w:val="20"/>
                <w:color w:val="auto"/>
              </w:rPr>
            </w:pPr>
            <w:r>
              <w:rPr>
                <w:rFonts w:ascii="Arial" w:cs="Arial" w:eastAsia="Arial" w:hAnsi="Arial"/>
                <w:sz w:val="9"/>
                <w:szCs w:val="9"/>
                <w:b w:val="1"/>
                <w:bCs w:val="1"/>
                <w:color w:val="FFFFFF"/>
              </w:rPr>
              <w:t>Metric</w:t>
            </w:r>
          </w:p>
        </w:tc>
        <w:tc>
          <w:tcPr>
            <w:tcW w:w="740" w:type="dxa"/>
            <w:vAlign w:val="bottom"/>
            <w:shd w:val="clear" w:color="auto" w:fill="CF1D4C"/>
          </w:tcPr>
          <w:p>
            <w:pPr>
              <w:ind w:left="60"/>
              <w:spacing w:after="0" w:line="82" w:lineRule="exact"/>
              <w:rPr>
                <w:sz w:val="20"/>
                <w:szCs w:val="20"/>
                <w:color w:val="auto"/>
              </w:rPr>
            </w:pPr>
            <w:r>
              <w:rPr>
                <w:rFonts w:ascii="Arial" w:cs="Arial" w:eastAsia="Arial" w:hAnsi="Arial"/>
                <w:sz w:val="9"/>
                <w:szCs w:val="9"/>
                <w:b w:val="1"/>
                <w:bCs w:val="1"/>
                <w:color w:val="FFFFFF"/>
              </w:rPr>
              <w:t> </w:t>
            </w:r>
          </w:p>
        </w:tc>
        <w:tc>
          <w:tcPr>
            <w:tcW w:w="860" w:type="dxa"/>
            <w:vAlign w:val="bottom"/>
            <w:vMerge w:val="restart"/>
            <w:shd w:val="clear" w:color="auto" w:fill="CF1D4C"/>
          </w:tcPr>
          <w:p>
            <w:pPr>
              <w:ind w:left="100"/>
              <w:spacing w:after="0"/>
              <w:rPr>
                <w:sz w:val="20"/>
                <w:szCs w:val="20"/>
                <w:color w:val="auto"/>
              </w:rPr>
            </w:pPr>
            <w:r>
              <w:rPr>
                <w:rFonts w:ascii="Arial" w:cs="Arial" w:eastAsia="Arial" w:hAnsi="Arial"/>
                <w:sz w:val="12"/>
                <w:szCs w:val="12"/>
                <w:b w:val="1"/>
                <w:bCs w:val="1"/>
                <w:color w:val="FFFFFF"/>
              </w:rPr>
              <w:t>millions)  </w:t>
            </w:r>
          </w:p>
        </w:tc>
        <w:tc>
          <w:tcPr>
            <w:tcW w:w="700" w:type="dxa"/>
            <w:vAlign w:val="bottom"/>
            <w:shd w:val="clear" w:color="auto" w:fill="CF1D4C"/>
          </w:tcPr>
          <w:p>
            <w:pPr>
              <w:ind w:left="60"/>
              <w:spacing w:after="0" w:line="82" w:lineRule="exact"/>
              <w:rPr>
                <w:sz w:val="20"/>
                <w:szCs w:val="20"/>
                <w:color w:val="auto"/>
              </w:rPr>
            </w:pPr>
            <w:r>
              <w:rPr>
                <w:rFonts w:ascii="Arial" w:cs="Arial" w:eastAsia="Arial" w:hAnsi="Arial"/>
                <w:sz w:val="9"/>
                <w:szCs w:val="9"/>
                <w:b w:val="1"/>
                <w:bCs w:val="1"/>
                <w:color w:val="FFFFFF"/>
              </w:rPr>
              <w:t>(50%)</w:t>
            </w:r>
          </w:p>
        </w:tc>
        <w:tc>
          <w:tcPr>
            <w:tcW w:w="50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(75%)</w:t>
            </w:r>
          </w:p>
        </w:tc>
        <w:tc>
          <w:tcPr>
            <w:tcW w:w="50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(85%)</w:t>
            </w:r>
          </w:p>
        </w:tc>
        <w:tc>
          <w:tcPr>
            <w:tcW w:w="580" w:type="dxa"/>
            <w:vAlign w:val="bottom"/>
            <w:shd w:val="clear" w:color="auto" w:fill="CF1D4C"/>
          </w:tcPr>
          <w:p>
            <w:pPr>
              <w:ind w:left="80"/>
              <w:spacing w:after="0" w:line="82" w:lineRule="exact"/>
              <w:rPr>
                <w:sz w:val="20"/>
                <w:szCs w:val="20"/>
                <w:color w:val="auto"/>
              </w:rPr>
            </w:pPr>
            <w:r>
              <w:rPr>
                <w:rFonts w:ascii="Arial" w:cs="Arial" w:eastAsia="Arial" w:hAnsi="Arial"/>
                <w:sz w:val="9"/>
                <w:szCs w:val="9"/>
                <w:b w:val="1"/>
                <w:bCs w:val="1"/>
                <w:color w:val="FFFFFF"/>
              </w:rPr>
              <w:t>(100%)</w:t>
            </w:r>
          </w:p>
        </w:tc>
        <w:tc>
          <w:tcPr>
            <w:tcW w:w="480" w:type="dxa"/>
            <w:vAlign w:val="bottom"/>
            <w:vMerge w:val="restart"/>
            <w:shd w:val="clear" w:color="auto" w:fill="CF1D4C"/>
          </w:tcPr>
          <w:p>
            <w:pPr>
              <w:ind w:left="40"/>
              <w:spacing w:after="0"/>
              <w:rPr>
                <w:sz w:val="20"/>
                <w:szCs w:val="20"/>
                <w:color w:val="auto"/>
              </w:rPr>
            </w:pPr>
            <w:r>
              <w:rPr>
                <w:rFonts w:ascii="Arial" w:cs="Arial" w:eastAsia="Arial" w:hAnsi="Arial"/>
                <w:sz w:val="12"/>
                <w:szCs w:val="12"/>
                <w:b w:val="1"/>
                <w:bCs w:val="1"/>
                <w:color w:val="FFFFFF"/>
              </w:rPr>
              <w:t>(125%)</w:t>
            </w:r>
          </w:p>
        </w:tc>
        <w:tc>
          <w:tcPr>
            <w:tcW w:w="70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(135%)</w:t>
            </w:r>
          </w:p>
        </w:tc>
        <w:tc>
          <w:tcPr>
            <w:tcW w:w="620" w:type="dxa"/>
            <w:vAlign w:val="bottom"/>
            <w:gridSpan w:val="2"/>
            <w:shd w:val="clear" w:color="auto" w:fill="CF1D4C"/>
          </w:tcPr>
          <w:p>
            <w:pPr>
              <w:ind w:left="80"/>
              <w:spacing w:after="0" w:line="82" w:lineRule="exact"/>
              <w:rPr>
                <w:sz w:val="20"/>
                <w:szCs w:val="20"/>
                <w:color w:val="auto"/>
              </w:rPr>
            </w:pPr>
            <w:r>
              <w:rPr>
                <w:rFonts w:ascii="Arial" w:cs="Arial" w:eastAsia="Arial" w:hAnsi="Arial"/>
                <w:sz w:val="9"/>
                <w:szCs w:val="9"/>
                <w:b w:val="1"/>
                <w:bCs w:val="1"/>
                <w:color w:val="FFFFFF"/>
              </w:rPr>
              <w:t>(150%)</w:t>
            </w:r>
          </w:p>
        </w:tc>
        <w:tc>
          <w:tcPr>
            <w:tcW w:w="100" w:type="dxa"/>
            <w:vAlign w:val="bottom"/>
            <w:shd w:val="clear" w:color="auto" w:fill="CF1D4C"/>
          </w:tcPr>
          <w:p>
            <w:pPr>
              <w:spacing w:after="0"/>
              <w:rPr>
                <w:sz w:val="7"/>
                <w:szCs w:val="7"/>
                <w:color w:val="auto"/>
              </w:rPr>
            </w:pPr>
          </w:p>
        </w:tc>
        <w:tc>
          <w:tcPr>
            <w:tcW w:w="1000" w:type="dxa"/>
            <w:vAlign w:val="bottom"/>
            <w:shd w:val="clear" w:color="auto" w:fill="CF1D4C"/>
          </w:tcPr>
          <w:p>
            <w:pPr>
              <w:ind w:left="80"/>
              <w:spacing w:after="0" w:line="82" w:lineRule="exact"/>
              <w:rPr>
                <w:sz w:val="20"/>
                <w:szCs w:val="20"/>
                <w:color w:val="auto"/>
              </w:rPr>
            </w:pPr>
            <w:r>
              <w:rPr>
                <w:rFonts w:ascii="Arial" w:cs="Arial" w:eastAsia="Arial" w:hAnsi="Arial"/>
                <w:sz w:val="9"/>
                <w:szCs w:val="9"/>
                <w:b w:val="1"/>
                <w:bCs w:val="1"/>
                <w:color w:val="FFFFFF"/>
              </w:rPr>
              <w:t>($ values in</w:t>
            </w:r>
          </w:p>
        </w:tc>
        <w:tc>
          <w:tcPr>
            <w:tcW w:w="940" w:type="dxa"/>
            <w:vAlign w:val="bottom"/>
            <w:gridSpan w:val="2"/>
            <w:vMerge w:val="restart"/>
            <w:shd w:val="clear" w:color="auto" w:fill="CF1D4C"/>
          </w:tcPr>
          <w:p>
            <w:pPr>
              <w:spacing w:after="0"/>
              <w:rPr>
                <w:sz w:val="20"/>
                <w:szCs w:val="20"/>
                <w:color w:val="auto"/>
              </w:rPr>
            </w:pPr>
            <w:r>
              <w:rPr>
                <w:rFonts w:ascii="Arial" w:cs="Arial" w:eastAsia="Arial" w:hAnsi="Arial"/>
                <w:sz w:val="12"/>
                <w:szCs w:val="12"/>
                <w:b w:val="1"/>
                <w:bCs w:val="1"/>
                <w:color w:val="FFFFFF"/>
              </w:rPr>
              <w:t>Earned</w:t>
            </w: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920" w:type="dxa"/>
            <w:vAlign w:val="bottom"/>
            <w:shd w:val="clear" w:color="auto" w:fill="CF1D4C"/>
          </w:tcPr>
          <w:p>
            <w:pPr>
              <w:spacing w:after="0"/>
              <w:rPr>
                <w:sz w:val="8"/>
                <w:szCs w:val="8"/>
                <w:color w:val="auto"/>
              </w:rPr>
            </w:pPr>
          </w:p>
        </w:tc>
        <w:tc>
          <w:tcPr>
            <w:tcW w:w="740" w:type="dxa"/>
            <w:vAlign w:val="bottom"/>
            <w:shd w:val="clear" w:color="auto" w:fill="CF1D4C"/>
          </w:tcPr>
          <w:p>
            <w:pPr>
              <w:spacing w:after="0"/>
              <w:rPr>
                <w:sz w:val="8"/>
                <w:szCs w:val="8"/>
                <w:color w:val="auto"/>
              </w:rPr>
            </w:pPr>
          </w:p>
        </w:tc>
        <w:tc>
          <w:tcPr>
            <w:tcW w:w="860" w:type="dxa"/>
            <w:vAlign w:val="bottom"/>
            <w:vMerge w:val="continue"/>
            <w:shd w:val="clear" w:color="auto" w:fill="CF1D4C"/>
          </w:tcPr>
          <w:p>
            <w:pPr>
              <w:spacing w:after="0"/>
              <w:rPr>
                <w:sz w:val="8"/>
                <w:szCs w:val="8"/>
                <w:color w:val="auto"/>
              </w:rPr>
            </w:pPr>
          </w:p>
        </w:tc>
        <w:tc>
          <w:tcPr>
            <w:tcW w:w="700" w:type="dxa"/>
            <w:vAlign w:val="bottom"/>
            <w:shd w:val="clear" w:color="auto" w:fill="CF1D4C"/>
          </w:tcPr>
          <w:p>
            <w:pPr>
              <w:spacing w:after="0"/>
              <w:rPr>
                <w:sz w:val="8"/>
                <w:szCs w:val="8"/>
                <w:color w:val="auto"/>
              </w:rPr>
            </w:pPr>
          </w:p>
        </w:tc>
        <w:tc>
          <w:tcPr>
            <w:tcW w:w="500" w:type="dxa"/>
            <w:vAlign w:val="bottom"/>
            <w:vMerge w:val="continue"/>
            <w:shd w:val="clear" w:color="auto" w:fill="CF1D4C"/>
          </w:tcPr>
          <w:p>
            <w:pPr>
              <w:spacing w:after="0"/>
              <w:rPr>
                <w:sz w:val="8"/>
                <w:szCs w:val="8"/>
                <w:color w:val="auto"/>
              </w:rPr>
            </w:pPr>
          </w:p>
        </w:tc>
        <w:tc>
          <w:tcPr>
            <w:tcW w:w="500" w:type="dxa"/>
            <w:vAlign w:val="bottom"/>
            <w:vMerge w:val="continue"/>
            <w:shd w:val="clear" w:color="auto" w:fill="CF1D4C"/>
          </w:tcPr>
          <w:p>
            <w:pPr>
              <w:spacing w:after="0"/>
              <w:rPr>
                <w:sz w:val="8"/>
                <w:szCs w:val="8"/>
                <w:color w:val="auto"/>
              </w:rPr>
            </w:pPr>
          </w:p>
        </w:tc>
        <w:tc>
          <w:tcPr>
            <w:tcW w:w="580" w:type="dxa"/>
            <w:vAlign w:val="bottom"/>
            <w:shd w:val="clear" w:color="auto" w:fill="CF1D4C"/>
          </w:tcPr>
          <w:p>
            <w:pPr>
              <w:spacing w:after="0"/>
              <w:rPr>
                <w:sz w:val="8"/>
                <w:szCs w:val="8"/>
                <w:color w:val="auto"/>
              </w:rPr>
            </w:pPr>
          </w:p>
        </w:tc>
        <w:tc>
          <w:tcPr>
            <w:tcW w:w="480" w:type="dxa"/>
            <w:vAlign w:val="bottom"/>
            <w:vMerge w:val="continue"/>
            <w:shd w:val="clear" w:color="auto" w:fill="CF1D4C"/>
          </w:tcPr>
          <w:p>
            <w:pPr>
              <w:spacing w:after="0"/>
              <w:rPr>
                <w:sz w:val="8"/>
                <w:szCs w:val="8"/>
                <w:color w:val="auto"/>
              </w:rPr>
            </w:pPr>
          </w:p>
        </w:tc>
        <w:tc>
          <w:tcPr>
            <w:tcW w:w="700" w:type="dxa"/>
            <w:vAlign w:val="bottom"/>
            <w:vMerge w:val="continue"/>
            <w:shd w:val="clear" w:color="auto" w:fill="CF1D4C"/>
          </w:tcPr>
          <w:p>
            <w:pPr>
              <w:spacing w:after="0"/>
              <w:rPr>
                <w:sz w:val="8"/>
                <w:szCs w:val="8"/>
                <w:color w:val="auto"/>
              </w:rPr>
            </w:pPr>
          </w:p>
        </w:tc>
        <w:tc>
          <w:tcPr>
            <w:tcW w:w="340" w:type="dxa"/>
            <w:vAlign w:val="bottom"/>
            <w:shd w:val="clear" w:color="auto" w:fill="CF1D4C"/>
          </w:tcPr>
          <w:p>
            <w:pPr>
              <w:spacing w:after="0"/>
              <w:rPr>
                <w:sz w:val="8"/>
                <w:szCs w:val="8"/>
                <w:color w:val="auto"/>
              </w:rPr>
            </w:pPr>
          </w:p>
        </w:tc>
        <w:tc>
          <w:tcPr>
            <w:tcW w:w="280" w:type="dxa"/>
            <w:vAlign w:val="bottom"/>
            <w:shd w:val="clear" w:color="auto" w:fill="CF1D4C"/>
          </w:tcPr>
          <w:p>
            <w:pPr>
              <w:spacing w:after="0"/>
              <w:rPr>
                <w:sz w:val="8"/>
                <w:szCs w:val="8"/>
                <w:color w:val="auto"/>
              </w:rPr>
            </w:pPr>
          </w:p>
        </w:tc>
        <w:tc>
          <w:tcPr>
            <w:tcW w:w="100" w:type="dxa"/>
            <w:vAlign w:val="bottom"/>
            <w:shd w:val="clear" w:color="auto" w:fill="CF1D4C"/>
          </w:tcPr>
          <w:p>
            <w:pPr>
              <w:spacing w:after="0"/>
              <w:rPr>
                <w:sz w:val="8"/>
                <w:szCs w:val="8"/>
                <w:color w:val="auto"/>
              </w:rPr>
            </w:pPr>
          </w:p>
        </w:tc>
        <w:tc>
          <w:tcPr>
            <w:tcW w:w="100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millions)</w:t>
            </w:r>
          </w:p>
        </w:tc>
        <w:tc>
          <w:tcPr>
            <w:tcW w:w="940" w:type="dxa"/>
            <w:vAlign w:val="bottom"/>
            <w:gridSpan w:val="2"/>
            <w:vMerge w:val="continue"/>
            <w:shd w:val="clear" w:color="auto" w:fill="CF1D4C"/>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920" w:type="dxa"/>
            <w:vAlign w:val="bottom"/>
            <w:shd w:val="clear" w:color="auto" w:fill="CF1D4C"/>
          </w:tcPr>
          <w:p>
            <w:pPr>
              <w:spacing w:after="0"/>
              <w:rPr>
                <w:sz w:val="5"/>
                <w:szCs w:val="5"/>
                <w:color w:val="auto"/>
              </w:rPr>
            </w:pPr>
          </w:p>
        </w:tc>
        <w:tc>
          <w:tcPr>
            <w:tcW w:w="740" w:type="dxa"/>
            <w:vAlign w:val="bottom"/>
            <w:shd w:val="clear" w:color="auto" w:fill="CF1D4C"/>
          </w:tcPr>
          <w:p>
            <w:pPr>
              <w:spacing w:after="0"/>
              <w:rPr>
                <w:sz w:val="5"/>
                <w:szCs w:val="5"/>
                <w:color w:val="auto"/>
              </w:rPr>
            </w:pPr>
          </w:p>
        </w:tc>
        <w:tc>
          <w:tcPr>
            <w:tcW w:w="860" w:type="dxa"/>
            <w:vAlign w:val="bottom"/>
            <w:shd w:val="clear" w:color="auto" w:fill="CF1D4C"/>
          </w:tcPr>
          <w:p>
            <w:pPr>
              <w:spacing w:after="0"/>
              <w:rPr>
                <w:sz w:val="5"/>
                <w:szCs w:val="5"/>
                <w:color w:val="auto"/>
              </w:rPr>
            </w:pPr>
          </w:p>
        </w:tc>
        <w:tc>
          <w:tcPr>
            <w:tcW w:w="700" w:type="dxa"/>
            <w:vAlign w:val="bottom"/>
            <w:shd w:val="clear" w:color="auto" w:fill="CF1D4C"/>
          </w:tcPr>
          <w:p>
            <w:pPr>
              <w:spacing w:after="0"/>
              <w:rPr>
                <w:sz w:val="5"/>
                <w:szCs w:val="5"/>
                <w:color w:val="auto"/>
              </w:rPr>
            </w:pPr>
          </w:p>
        </w:tc>
        <w:tc>
          <w:tcPr>
            <w:tcW w:w="500" w:type="dxa"/>
            <w:vAlign w:val="bottom"/>
            <w:shd w:val="clear" w:color="auto" w:fill="CF1D4C"/>
          </w:tcPr>
          <w:p>
            <w:pPr>
              <w:spacing w:after="0"/>
              <w:rPr>
                <w:sz w:val="5"/>
                <w:szCs w:val="5"/>
                <w:color w:val="auto"/>
              </w:rPr>
            </w:pPr>
          </w:p>
        </w:tc>
        <w:tc>
          <w:tcPr>
            <w:tcW w:w="500" w:type="dxa"/>
            <w:vAlign w:val="bottom"/>
            <w:shd w:val="clear" w:color="auto" w:fill="CF1D4C"/>
          </w:tcPr>
          <w:p>
            <w:pPr>
              <w:spacing w:after="0"/>
              <w:rPr>
                <w:sz w:val="5"/>
                <w:szCs w:val="5"/>
                <w:color w:val="auto"/>
              </w:rPr>
            </w:pPr>
          </w:p>
        </w:tc>
        <w:tc>
          <w:tcPr>
            <w:tcW w:w="580" w:type="dxa"/>
            <w:vAlign w:val="bottom"/>
            <w:shd w:val="clear" w:color="auto" w:fill="CF1D4C"/>
          </w:tcPr>
          <w:p>
            <w:pPr>
              <w:spacing w:after="0"/>
              <w:rPr>
                <w:sz w:val="5"/>
                <w:szCs w:val="5"/>
                <w:color w:val="auto"/>
              </w:rPr>
            </w:pPr>
          </w:p>
        </w:tc>
        <w:tc>
          <w:tcPr>
            <w:tcW w:w="480" w:type="dxa"/>
            <w:vAlign w:val="bottom"/>
            <w:shd w:val="clear" w:color="auto" w:fill="CF1D4C"/>
          </w:tcPr>
          <w:p>
            <w:pPr>
              <w:spacing w:after="0"/>
              <w:rPr>
                <w:sz w:val="5"/>
                <w:szCs w:val="5"/>
                <w:color w:val="auto"/>
              </w:rPr>
            </w:pPr>
          </w:p>
        </w:tc>
        <w:tc>
          <w:tcPr>
            <w:tcW w:w="700" w:type="dxa"/>
            <w:vAlign w:val="bottom"/>
            <w:shd w:val="clear" w:color="auto" w:fill="CF1D4C"/>
          </w:tcPr>
          <w:p>
            <w:pPr>
              <w:spacing w:after="0"/>
              <w:rPr>
                <w:sz w:val="5"/>
                <w:szCs w:val="5"/>
                <w:color w:val="auto"/>
              </w:rPr>
            </w:pPr>
          </w:p>
        </w:tc>
        <w:tc>
          <w:tcPr>
            <w:tcW w:w="340" w:type="dxa"/>
            <w:vAlign w:val="bottom"/>
            <w:shd w:val="clear" w:color="auto" w:fill="CF1D4C"/>
          </w:tcPr>
          <w:p>
            <w:pPr>
              <w:spacing w:after="0"/>
              <w:rPr>
                <w:sz w:val="5"/>
                <w:szCs w:val="5"/>
                <w:color w:val="auto"/>
              </w:rPr>
            </w:pPr>
          </w:p>
        </w:tc>
        <w:tc>
          <w:tcPr>
            <w:tcW w:w="280" w:type="dxa"/>
            <w:vAlign w:val="bottom"/>
            <w:shd w:val="clear" w:color="auto" w:fill="CF1D4C"/>
          </w:tcPr>
          <w:p>
            <w:pPr>
              <w:spacing w:after="0"/>
              <w:rPr>
                <w:sz w:val="5"/>
                <w:szCs w:val="5"/>
                <w:color w:val="auto"/>
              </w:rPr>
            </w:pPr>
          </w:p>
        </w:tc>
        <w:tc>
          <w:tcPr>
            <w:tcW w:w="100" w:type="dxa"/>
            <w:vAlign w:val="bottom"/>
            <w:shd w:val="clear" w:color="auto" w:fill="CF1D4C"/>
          </w:tcPr>
          <w:p>
            <w:pPr>
              <w:spacing w:after="0"/>
              <w:rPr>
                <w:sz w:val="5"/>
                <w:szCs w:val="5"/>
                <w:color w:val="auto"/>
              </w:rPr>
            </w:pPr>
          </w:p>
        </w:tc>
        <w:tc>
          <w:tcPr>
            <w:tcW w:w="1000" w:type="dxa"/>
            <w:vAlign w:val="bottom"/>
            <w:vMerge w:val="continue"/>
            <w:shd w:val="clear" w:color="auto" w:fill="CF1D4C"/>
          </w:tcPr>
          <w:p>
            <w:pPr>
              <w:spacing w:after="0"/>
              <w:rPr>
                <w:sz w:val="5"/>
                <w:szCs w:val="5"/>
                <w:color w:val="auto"/>
              </w:rPr>
            </w:pPr>
          </w:p>
        </w:tc>
        <w:tc>
          <w:tcPr>
            <w:tcW w:w="140" w:type="dxa"/>
            <w:vAlign w:val="bottom"/>
            <w:shd w:val="clear" w:color="auto" w:fill="CF1D4C"/>
          </w:tcPr>
          <w:p>
            <w:pPr>
              <w:spacing w:after="0"/>
              <w:rPr>
                <w:sz w:val="5"/>
                <w:szCs w:val="5"/>
                <w:color w:val="auto"/>
              </w:rPr>
            </w:pPr>
          </w:p>
        </w:tc>
        <w:tc>
          <w:tcPr>
            <w:tcW w:w="800" w:type="dxa"/>
            <w:vAlign w:val="bottom"/>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120" w:type="dxa"/>
            <w:vAlign w:val="bottom"/>
          </w:tcPr>
          <w:p>
            <w:pPr>
              <w:spacing w:after="0"/>
              <w:rPr>
                <w:sz w:val="7"/>
                <w:szCs w:val="7"/>
                <w:color w:val="auto"/>
              </w:rPr>
            </w:pPr>
          </w:p>
        </w:tc>
        <w:tc>
          <w:tcPr>
            <w:tcW w:w="920" w:type="dxa"/>
            <w:vAlign w:val="bottom"/>
            <w:shd w:val="clear" w:color="auto" w:fill="CF1D4C"/>
          </w:tcPr>
          <w:p>
            <w:pPr>
              <w:spacing w:after="0"/>
              <w:rPr>
                <w:sz w:val="7"/>
                <w:szCs w:val="7"/>
                <w:color w:val="auto"/>
              </w:rPr>
            </w:pPr>
          </w:p>
        </w:tc>
        <w:tc>
          <w:tcPr>
            <w:tcW w:w="740" w:type="dxa"/>
            <w:vAlign w:val="bottom"/>
            <w:shd w:val="clear" w:color="auto" w:fill="CF1D4C"/>
          </w:tcPr>
          <w:p>
            <w:pPr>
              <w:spacing w:after="0"/>
              <w:rPr>
                <w:sz w:val="7"/>
                <w:szCs w:val="7"/>
                <w:color w:val="auto"/>
              </w:rPr>
            </w:pPr>
          </w:p>
        </w:tc>
        <w:tc>
          <w:tcPr>
            <w:tcW w:w="860" w:type="dxa"/>
            <w:vAlign w:val="bottom"/>
            <w:shd w:val="clear" w:color="auto" w:fill="CF1D4C"/>
          </w:tcPr>
          <w:p>
            <w:pPr>
              <w:spacing w:after="0"/>
              <w:rPr>
                <w:sz w:val="7"/>
                <w:szCs w:val="7"/>
                <w:color w:val="auto"/>
              </w:rPr>
            </w:pPr>
          </w:p>
        </w:tc>
        <w:tc>
          <w:tcPr>
            <w:tcW w:w="700" w:type="dxa"/>
            <w:vAlign w:val="bottom"/>
            <w:shd w:val="clear" w:color="auto" w:fill="CF1D4C"/>
          </w:tcPr>
          <w:p>
            <w:pPr>
              <w:spacing w:after="0"/>
              <w:rPr>
                <w:sz w:val="7"/>
                <w:szCs w:val="7"/>
                <w:color w:val="auto"/>
              </w:rPr>
            </w:pPr>
          </w:p>
        </w:tc>
        <w:tc>
          <w:tcPr>
            <w:tcW w:w="500" w:type="dxa"/>
            <w:vAlign w:val="bottom"/>
            <w:shd w:val="clear" w:color="auto" w:fill="CF1D4C"/>
          </w:tcPr>
          <w:p>
            <w:pPr>
              <w:spacing w:after="0"/>
              <w:rPr>
                <w:sz w:val="7"/>
                <w:szCs w:val="7"/>
                <w:color w:val="auto"/>
              </w:rPr>
            </w:pPr>
          </w:p>
        </w:tc>
        <w:tc>
          <w:tcPr>
            <w:tcW w:w="500" w:type="dxa"/>
            <w:vAlign w:val="bottom"/>
            <w:shd w:val="clear" w:color="auto" w:fill="CF1D4C"/>
          </w:tcPr>
          <w:p>
            <w:pPr>
              <w:spacing w:after="0"/>
              <w:rPr>
                <w:sz w:val="7"/>
                <w:szCs w:val="7"/>
                <w:color w:val="auto"/>
              </w:rPr>
            </w:pPr>
          </w:p>
        </w:tc>
        <w:tc>
          <w:tcPr>
            <w:tcW w:w="580" w:type="dxa"/>
            <w:vAlign w:val="bottom"/>
            <w:shd w:val="clear" w:color="auto" w:fill="CF1D4C"/>
          </w:tcPr>
          <w:p>
            <w:pPr>
              <w:spacing w:after="0"/>
              <w:rPr>
                <w:sz w:val="7"/>
                <w:szCs w:val="7"/>
                <w:color w:val="auto"/>
              </w:rPr>
            </w:pPr>
          </w:p>
        </w:tc>
        <w:tc>
          <w:tcPr>
            <w:tcW w:w="480" w:type="dxa"/>
            <w:vAlign w:val="bottom"/>
            <w:shd w:val="clear" w:color="auto" w:fill="CF1D4C"/>
          </w:tcPr>
          <w:p>
            <w:pPr>
              <w:spacing w:after="0"/>
              <w:rPr>
                <w:sz w:val="7"/>
                <w:szCs w:val="7"/>
                <w:color w:val="auto"/>
              </w:rPr>
            </w:pPr>
          </w:p>
        </w:tc>
        <w:tc>
          <w:tcPr>
            <w:tcW w:w="700" w:type="dxa"/>
            <w:vAlign w:val="bottom"/>
            <w:shd w:val="clear" w:color="auto" w:fill="CF1D4C"/>
          </w:tcPr>
          <w:p>
            <w:pPr>
              <w:spacing w:after="0"/>
              <w:rPr>
                <w:sz w:val="7"/>
                <w:szCs w:val="7"/>
                <w:color w:val="auto"/>
              </w:rPr>
            </w:pPr>
          </w:p>
        </w:tc>
        <w:tc>
          <w:tcPr>
            <w:tcW w:w="340" w:type="dxa"/>
            <w:vAlign w:val="bottom"/>
            <w:shd w:val="clear" w:color="auto" w:fill="CF1D4C"/>
          </w:tcPr>
          <w:p>
            <w:pPr>
              <w:spacing w:after="0"/>
              <w:rPr>
                <w:sz w:val="7"/>
                <w:szCs w:val="7"/>
                <w:color w:val="auto"/>
              </w:rPr>
            </w:pPr>
          </w:p>
        </w:tc>
        <w:tc>
          <w:tcPr>
            <w:tcW w:w="280" w:type="dxa"/>
            <w:vAlign w:val="bottom"/>
            <w:shd w:val="clear" w:color="auto" w:fill="CF1D4C"/>
          </w:tcPr>
          <w:p>
            <w:pPr>
              <w:spacing w:after="0"/>
              <w:rPr>
                <w:sz w:val="7"/>
                <w:szCs w:val="7"/>
                <w:color w:val="auto"/>
              </w:rPr>
            </w:pPr>
          </w:p>
        </w:tc>
        <w:tc>
          <w:tcPr>
            <w:tcW w:w="100" w:type="dxa"/>
            <w:vAlign w:val="bottom"/>
            <w:shd w:val="clear" w:color="auto" w:fill="CF1D4C"/>
          </w:tcPr>
          <w:p>
            <w:pPr>
              <w:spacing w:after="0"/>
              <w:rPr>
                <w:sz w:val="7"/>
                <w:szCs w:val="7"/>
                <w:color w:val="auto"/>
              </w:rPr>
            </w:pPr>
          </w:p>
        </w:tc>
        <w:tc>
          <w:tcPr>
            <w:tcW w:w="1000" w:type="dxa"/>
            <w:vAlign w:val="bottom"/>
            <w:shd w:val="clear" w:color="auto" w:fill="CF1D4C"/>
          </w:tcPr>
          <w:p>
            <w:pPr>
              <w:spacing w:after="0"/>
              <w:rPr>
                <w:sz w:val="7"/>
                <w:szCs w:val="7"/>
                <w:color w:val="auto"/>
              </w:rPr>
            </w:pPr>
          </w:p>
        </w:tc>
        <w:tc>
          <w:tcPr>
            <w:tcW w:w="140" w:type="dxa"/>
            <w:vAlign w:val="bottom"/>
            <w:shd w:val="clear" w:color="auto" w:fill="CF1D4C"/>
          </w:tcPr>
          <w:p>
            <w:pPr>
              <w:spacing w:after="0"/>
              <w:rPr>
                <w:sz w:val="7"/>
                <w:szCs w:val="7"/>
                <w:color w:val="auto"/>
              </w:rPr>
            </w:pPr>
          </w:p>
        </w:tc>
        <w:tc>
          <w:tcPr>
            <w:tcW w:w="800" w:type="dxa"/>
            <w:vAlign w:val="bottom"/>
            <w:shd w:val="clear" w:color="auto" w:fill="CF1D4C"/>
          </w:tcPr>
          <w:p>
            <w:pPr>
              <w:spacing w:after="0"/>
              <w:rPr>
                <w:sz w:val="7"/>
                <w:szCs w:val="7"/>
                <w:color w:val="auto"/>
              </w:rPr>
            </w:pPr>
          </w:p>
        </w:tc>
        <w:tc>
          <w:tcPr>
            <w:tcW w:w="0" w:type="dxa"/>
            <w:vAlign w:val="bottom"/>
          </w:tcPr>
          <w:p>
            <w:pPr>
              <w:spacing w:after="0"/>
              <w:rPr>
                <w:sz w:val="1"/>
                <w:szCs w:val="1"/>
                <w:color w:val="auto"/>
              </w:rPr>
            </w:pPr>
          </w:p>
        </w:tc>
      </w:tr>
      <w:tr>
        <w:trPr>
          <w:trHeight w:val="478"/>
        </w:trPr>
        <w:tc>
          <w:tcPr>
            <w:tcW w:w="12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333333"/>
              </w:rPr>
              <w:t>Brazil Sales</w:t>
            </w:r>
            <w:r>
              <w:rPr>
                <w:rFonts w:ascii="Arial" w:cs="Arial" w:eastAsia="Arial" w:hAnsi="Arial"/>
                <w:sz w:val="20"/>
                <w:szCs w:val="20"/>
                <w:b w:val="1"/>
                <w:bCs w:val="1"/>
                <w:color w:val="333333"/>
                <w:vertAlign w:val="superscript"/>
              </w:rPr>
              <w:t>(1)</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333333"/>
              </w:rPr>
              <w:t>30%</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333333"/>
              </w:rPr>
              <w:t>$​161.0</w:t>
            </w:r>
            <w:r>
              <w:rPr>
                <w:rFonts w:ascii="Arial" w:cs="Arial" w:eastAsia="Arial" w:hAnsi="Arial"/>
                <w:sz w:val="20"/>
                <w:szCs w:val="20"/>
                <w:b w:val="1"/>
                <w:bCs w:val="1"/>
                <w:color w:val="333333"/>
                <w:vertAlign w:val="superscript"/>
              </w:rPr>
              <w:t>(4)</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333333"/>
              </w:rPr>
              <w:t>$​144.9</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333333"/>
              </w:rPr>
              <w:t>$​153.0</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333333"/>
              </w:rPr>
              <w:t>$​156.2</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333333"/>
              </w:rPr>
              <w:t>$​161.0</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333333"/>
              </w:rPr>
              <w:t>$​169.0</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333333"/>
              </w:rPr>
              <w:t>$​172.3</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333333"/>
              </w:rPr>
              <w:t>$​177.1</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333333"/>
              </w:rPr>
              <w:t>$​170.7</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333333"/>
              </w:rPr>
              <w:t>130%</w:t>
            </w:r>
          </w:p>
        </w:tc>
        <w:tc>
          <w:tcPr>
            <w:tcW w:w="0" w:type="dxa"/>
            <w:vAlign w:val="bottom"/>
          </w:tcPr>
          <w:p>
            <w:pPr>
              <w:spacing w:after="0"/>
              <w:rPr>
                <w:sz w:val="1"/>
                <w:szCs w:val="1"/>
                <w:color w:val="auto"/>
              </w:rPr>
            </w:pPr>
          </w:p>
        </w:tc>
      </w:tr>
      <w:tr>
        <w:trPr>
          <w:trHeight w:val="292"/>
        </w:trPr>
        <w:tc>
          <w:tcPr>
            <w:tcW w:w="120" w:type="dxa"/>
            <w:vAlign w:val="bottom"/>
            <w:shd w:val="clear" w:color="auto" w:fill="D9D9D9"/>
          </w:tcPr>
          <w:p>
            <w:pPr>
              <w:spacing w:after="0"/>
              <w:rPr>
                <w:sz w:val="24"/>
                <w:szCs w:val="24"/>
                <w:color w:val="auto"/>
              </w:rPr>
            </w:pPr>
          </w:p>
        </w:tc>
        <w:tc>
          <w:tcPr>
            <w:tcW w:w="920" w:type="dxa"/>
            <w:vAlign w:val="bottom"/>
            <w:shd w:val="clear" w:color="auto" w:fill="D9D9D9"/>
          </w:tcPr>
          <w:p>
            <w:pPr>
              <w:ind w:left="60"/>
              <w:spacing w:after="0"/>
              <w:rPr>
                <w:sz w:val="20"/>
                <w:szCs w:val="20"/>
                <w:color w:val="auto"/>
              </w:rPr>
            </w:pPr>
            <w:r>
              <w:rPr>
                <w:rFonts w:ascii="Arial" w:cs="Arial" w:eastAsia="Arial" w:hAnsi="Arial"/>
                <w:sz w:val="12"/>
                <w:szCs w:val="12"/>
                <w:b w:val="1"/>
                <w:bCs w:val="1"/>
                <w:color w:val="333333"/>
              </w:rPr>
              <w:t>Revenue</w:t>
            </w:r>
          </w:p>
        </w:tc>
        <w:tc>
          <w:tcPr>
            <w:tcW w:w="740" w:type="dxa"/>
            <w:vAlign w:val="bottom"/>
            <w:shd w:val="clear" w:color="auto" w:fill="D9D9D9"/>
          </w:tcPr>
          <w:p>
            <w:pPr>
              <w:spacing w:after="0"/>
              <w:rPr>
                <w:sz w:val="24"/>
                <w:szCs w:val="24"/>
                <w:color w:val="auto"/>
              </w:rPr>
            </w:pPr>
          </w:p>
        </w:tc>
        <w:tc>
          <w:tcPr>
            <w:tcW w:w="860" w:type="dxa"/>
            <w:vAlign w:val="bottom"/>
            <w:shd w:val="clear" w:color="auto" w:fill="D9D9D9"/>
          </w:tcPr>
          <w:p>
            <w:pPr>
              <w:ind w:left="100"/>
              <w:spacing w:after="0"/>
              <w:rPr>
                <w:sz w:val="20"/>
                <w:szCs w:val="20"/>
                <w:color w:val="auto"/>
              </w:rPr>
            </w:pPr>
            <w:r>
              <w:rPr>
                <w:rFonts w:ascii="Arial" w:cs="Arial" w:eastAsia="Arial" w:hAnsi="Arial"/>
                <w:sz w:val="12"/>
                <w:szCs w:val="12"/>
                <w:b w:val="1"/>
                <w:bCs w:val="1"/>
                <w:color w:val="333333"/>
              </w:rPr>
              <w:t>At or above</w:t>
            </w:r>
          </w:p>
        </w:tc>
        <w:tc>
          <w:tcPr>
            <w:tcW w:w="70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580" w:type="dxa"/>
            <w:vAlign w:val="bottom"/>
            <w:shd w:val="clear" w:color="auto" w:fill="D9D9D9"/>
          </w:tcPr>
          <w:p>
            <w:pPr>
              <w:spacing w:after="0"/>
              <w:rPr>
                <w:sz w:val="24"/>
                <w:szCs w:val="24"/>
                <w:color w:val="auto"/>
              </w:rPr>
            </w:pPr>
          </w:p>
        </w:tc>
        <w:tc>
          <w:tcPr>
            <w:tcW w:w="48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2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00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Achieved all</w:t>
            </w:r>
          </w:p>
        </w:tc>
        <w:tc>
          <w:tcPr>
            <w:tcW w:w="140" w:type="dxa"/>
            <w:vAlign w:val="bottom"/>
            <w:shd w:val="clear" w:color="auto" w:fill="D9D9D9"/>
          </w:tcPr>
          <w:p>
            <w:pPr>
              <w:spacing w:after="0"/>
              <w:rPr>
                <w:sz w:val="24"/>
                <w:szCs w:val="24"/>
                <w:color w:val="auto"/>
              </w:rPr>
            </w:pPr>
          </w:p>
        </w:tc>
        <w:tc>
          <w:tcPr>
            <w:tcW w:w="8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 w:type="dxa"/>
            <w:vAlign w:val="bottom"/>
            <w:shd w:val="clear" w:color="auto" w:fill="D9D9D9"/>
          </w:tcPr>
          <w:p>
            <w:pPr>
              <w:spacing w:after="0"/>
              <w:rPr>
                <w:sz w:val="12"/>
                <w:szCs w:val="12"/>
                <w:color w:val="auto"/>
              </w:rPr>
            </w:pPr>
          </w:p>
        </w:tc>
        <w:tc>
          <w:tcPr>
            <w:tcW w:w="920" w:type="dxa"/>
            <w:vAlign w:val="bottom"/>
            <w:shd w:val="clear" w:color="auto" w:fill="D9D9D9"/>
          </w:tcPr>
          <w:p>
            <w:pPr>
              <w:ind w:left="60"/>
              <w:spacing w:after="0" w:line="149" w:lineRule="exact"/>
              <w:rPr>
                <w:sz w:val="20"/>
                <w:szCs w:val="20"/>
                <w:color w:val="auto"/>
              </w:rPr>
            </w:pPr>
            <w:r>
              <w:rPr>
                <w:rFonts w:ascii="Arial" w:cs="Arial" w:eastAsia="Arial" w:hAnsi="Arial"/>
                <w:sz w:val="11"/>
                <w:szCs w:val="11"/>
                <w:b w:val="1"/>
                <w:bCs w:val="1"/>
                <w:color w:val="333333"/>
              </w:rPr>
              <w:t>Initiatives</w:t>
            </w:r>
            <w:r>
              <w:rPr>
                <w:rFonts w:ascii="Arial" w:cs="Arial" w:eastAsia="Arial" w:hAnsi="Arial"/>
                <w:sz w:val="17"/>
                <w:szCs w:val="17"/>
                <w:b w:val="1"/>
                <w:bCs w:val="1"/>
                <w:color w:val="333333"/>
                <w:vertAlign w:val="superscript"/>
              </w:rPr>
              <w:t>(1)</w:t>
            </w:r>
          </w:p>
        </w:tc>
        <w:tc>
          <w:tcPr>
            <w:tcW w:w="740" w:type="dxa"/>
            <w:vAlign w:val="bottom"/>
            <w:shd w:val="clear" w:color="auto" w:fill="D9D9D9"/>
          </w:tcPr>
          <w:p>
            <w:pPr>
              <w:ind w:left="60"/>
              <w:spacing w:after="0"/>
              <w:rPr>
                <w:sz w:val="20"/>
                <w:szCs w:val="20"/>
                <w:color w:val="auto"/>
              </w:rPr>
            </w:pPr>
            <w:r>
              <w:rPr>
                <w:rFonts w:ascii="Arial" w:cs="Arial" w:eastAsia="Arial" w:hAnsi="Arial"/>
                <w:sz w:val="12"/>
                <w:szCs w:val="12"/>
                <w:b w:val="1"/>
                <w:bCs w:val="1"/>
                <w:color w:val="333333"/>
              </w:rPr>
              <w:t>20%</w:t>
            </w:r>
          </w:p>
        </w:tc>
        <w:tc>
          <w:tcPr>
            <w:tcW w:w="860" w:type="dxa"/>
            <w:vAlign w:val="bottom"/>
            <w:shd w:val="clear" w:color="auto" w:fill="D9D9D9"/>
          </w:tcPr>
          <w:p>
            <w:pPr>
              <w:ind w:left="100"/>
              <w:spacing w:after="0"/>
              <w:rPr>
                <w:sz w:val="20"/>
                <w:szCs w:val="20"/>
                <w:color w:val="auto"/>
              </w:rPr>
            </w:pPr>
            <w:r>
              <w:rPr>
                <w:rFonts w:ascii="Arial" w:cs="Arial" w:eastAsia="Arial" w:hAnsi="Arial"/>
                <w:sz w:val="12"/>
                <w:szCs w:val="12"/>
                <w:b w:val="1"/>
                <w:bCs w:val="1"/>
                <w:color w:val="333333"/>
              </w:rPr>
              <w:t>plan in each</w:t>
            </w:r>
          </w:p>
        </w:tc>
        <w:tc>
          <w:tcPr>
            <w:tcW w:w="700" w:type="dxa"/>
            <w:vAlign w:val="bottom"/>
            <w:shd w:val="clear" w:color="auto" w:fill="D9D9D9"/>
          </w:tcPr>
          <w:p>
            <w:pPr>
              <w:ind w:left="60"/>
              <w:spacing w:after="0"/>
              <w:rPr>
                <w:sz w:val="20"/>
                <w:szCs w:val="20"/>
                <w:color w:val="auto"/>
              </w:rPr>
            </w:pPr>
            <w:r>
              <w:rPr>
                <w:rFonts w:ascii="Arial" w:cs="Arial" w:eastAsia="Arial" w:hAnsi="Arial"/>
                <w:sz w:val="12"/>
                <w:szCs w:val="12"/>
                <w:b w:val="1"/>
                <w:bCs w:val="1"/>
                <w:color w:val="333333"/>
              </w:rPr>
              <w:t>≥98%</w:t>
            </w:r>
          </w:p>
        </w:tc>
        <w:tc>
          <w:tcPr>
            <w:tcW w:w="50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≥99%</w:t>
            </w:r>
          </w:p>
        </w:tc>
        <w:tc>
          <w:tcPr>
            <w:tcW w:w="50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w:t>
            </w:r>
          </w:p>
        </w:tc>
        <w:tc>
          <w:tcPr>
            <w:tcW w:w="58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≥100%</w:t>
            </w:r>
          </w:p>
        </w:tc>
        <w:tc>
          <w:tcPr>
            <w:tcW w:w="480" w:type="dxa"/>
            <w:vAlign w:val="bottom"/>
            <w:shd w:val="clear" w:color="auto" w:fill="D9D9D9"/>
          </w:tcPr>
          <w:p>
            <w:pPr>
              <w:ind w:left="40"/>
              <w:spacing w:after="0"/>
              <w:rPr>
                <w:sz w:val="20"/>
                <w:szCs w:val="20"/>
                <w:color w:val="auto"/>
              </w:rPr>
            </w:pPr>
            <w:r>
              <w:rPr>
                <w:rFonts w:ascii="Arial" w:cs="Arial" w:eastAsia="Arial" w:hAnsi="Arial"/>
                <w:sz w:val="12"/>
                <w:szCs w:val="12"/>
                <w:b w:val="1"/>
                <w:bCs w:val="1"/>
                <w:color w:val="333333"/>
              </w:rPr>
              <w:t>≥101%</w:t>
            </w:r>
          </w:p>
        </w:tc>
        <w:tc>
          <w:tcPr>
            <w:tcW w:w="700" w:type="dxa"/>
            <w:vAlign w:val="bottom"/>
            <w:shd w:val="clear" w:color="auto" w:fill="D9D9D9"/>
          </w:tcPr>
          <w:p>
            <w:pPr>
              <w:ind w:left="60"/>
              <w:spacing w:after="0"/>
              <w:rPr>
                <w:sz w:val="20"/>
                <w:szCs w:val="20"/>
                <w:color w:val="auto"/>
              </w:rPr>
            </w:pPr>
            <w:r>
              <w:rPr>
                <w:rFonts w:ascii="Arial" w:cs="Arial" w:eastAsia="Arial" w:hAnsi="Arial"/>
                <w:sz w:val="12"/>
                <w:szCs w:val="12"/>
                <w:b w:val="1"/>
                <w:bCs w:val="1"/>
                <w:color w:val="333333"/>
              </w:rPr>
              <w:t>-</w:t>
            </w:r>
          </w:p>
        </w:tc>
        <w:tc>
          <w:tcPr>
            <w:tcW w:w="720" w:type="dxa"/>
            <w:vAlign w:val="bottom"/>
            <w:gridSpan w:val="3"/>
            <w:shd w:val="clear" w:color="auto" w:fill="D9D9D9"/>
          </w:tcPr>
          <w:p>
            <w:pPr>
              <w:ind w:left="80"/>
              <w:spacing w:after="0"/>
              <w:rPr>
                <w:sz w:val="20"/>
                <w:szCs w:val="20"/>
                <w:color w:val="auto"/>
              </w:rPr>
            </w:pPr>
            <w:r>
              <w:rPr>
                <w:rFonts w:ascii="Arial" w:cs="Arial" w:eastAsia="Arial" w:hAnsi="Arial"/>
                <w:sz w:val="12"/>
                <w:szCs w:val="12"/>
                <w:b w:val="1"/>
                <w:bCs w:val="1"/>
                <w:color w:val="333333"/>
              </w:rPr>
              <w:t>≥102%</w:t>
            </w:r>
          </w:p>
        </w:tc>
        <w:tc>
          <w:tcPr>
            <w:tcW w:w="100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4 quarters</w:t>
            </w:r>
          </w:p>
        </w:tc>
        <w:tc>
          <w:tcPr>
            <w:tcW w:w="940" w:type="dxa"/>
            <w:vAlign w:val="bottom"/>
            <w:gridSpan w:val="2"/>
            <w:shd w:val="clear" w:color="auto" w:fill="D9D9D9"/>
          </w:tcPr>
          <w:p>
            <w:pPr>
              <w:spacing w:after="0"/>
              <w:rPr>
                <w:sz w:val="20"/>
                <w:szCs w:val="20"/>
                <w:color w:val="auto"/>
              </w:rPr>
            </w:pPr>
            <w:r>
              <w:rPr>
                <w:rFonts w:ascii="Arial" w:cs="Arial" w:eastAsia="Arial" w:hAnsi="Arial"/>
                <w:sz w:val="12"/>
                <w:szCs w:val="12"/>
                <w:b w:val="1"/>
                <w:bCs w:val="1"/>
                <w:color w:val="333333"/>
              </w:rPr>
              <w:t>150%</w:t>
            </w:r>
          </w:p>
        </w:tc>
        <w:tc>
          <w:tcPr>
            <w:tcW w:w="0" w:type="dxa"/>
            <w:vAlign w:val="bottom"/>
          </w:tcPr>
          <w:p>
            <w:pPr>
              <w:spacing w:after="0"/>
              <w:rPr>
                <w:sz w:val="1"/>
                <w:szCs w:val="1"/>
                <w:color w:val="auto"/>
              </w:rPr>
            </w:pPr>
          </w:p>
        </w:tc>
      </w:tr>
      <w:tr>
        <w:trPr>
          <w:trHeight w:val="169"/>
        </w:trPr>
        <w:tc>
          <w:tcPr>
            <w:tcW w:w="120" w:type="dxa"/>
            <w:vAlign w:val="bottom"/>
            <w:tcBorders>
              <w:bottom w:val="single" w:sz="8" w:color="D9D9D9"/>
            </w:tcBorders>
            <w:shd w:val="clear" w:color="auto" w:fill="D9D9D9"/>
          </w:tcPr>
          <w:p>
            <w:pPr>
              <w:spacing w:after="0"/>
              <w:rPr>
                <w:sz w:val="14"/>
                <w:szCs w:val="14"/>
                <w:color w:val="auto"/>
              </w:rPr>
            </w:pPr>
          </w:p>
        </w:tc>
        <w:tc>
          <w:tcPr>
            <w:tcW w:w="920" w:type="dxa"/>
            <w:vAlign w:val="bottom"/>
            <w:tcBorders>
              <w:bottom w:val="single" w:sz="8" w:color="D9D9D9"/>
            </w:tcBorders>
            <w:shd w:val="clear" w:color="auto" w:fill="D9D9D9"/>
          </w:tcPr>
          <w:p>
            <w:pPr>
              <w:spacing w:after="0"/>
              <w:rPr>
                <w:sz w:val="14"/>
                <w:szCs w:val="14"/>
                <w:color w:val="auto"/>
              </w:rPr>
            </w:pPr>
          </w:p>
        </w:tc>
        <w:tc>
          <w:tcPr>
            <w:tcW w:w="740" w:type="dxa"/>
            <w:vAlign w:val="bottom"/>
            <w:tcBorders>
              <w:bottom w:val="single" w:sz="8" w:color="D9D9D9"/>
            </w:tcBorders>
            <w:shd w:val="clear" w:color="auto" w:fill="D9D9D9"/>
          </w:tcPr>
          <w:p>
            <w:pPr>
              <w:spacing w:after="0"/>
              <w:rPr>
                <w:sz w:val="14"/>
                <w:szCs w:val="14"/>
                <w:color w:val="auto"/>
              </w:rPr>
            </w:pPr>
          </w:p>
        </w:tc>
        <w:tc>
          <w:tcPr>
            <w:tcW w:w="86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12"/>
                <w:szCs w:val="12"/>
                <w:b w:val="1"/>
                <w:bCs w:val="1"/>
                <w:color w:val="333333"/>
              </w:rPr>
              <w:t>quarter</w:t>
            </w:r>
          </w:p>
        </w:tc>
        <w:tc>
          <w:tcPr>
            <w:tcW w:w="700" w:type="dxa"/>
            <w:vAlign w:val="bottom"/>
            <w:tcBorders>
              <w:bottom w:val="single" w:sz="8" w:color="D9D9D9"/>
            </w:tcBorders>
            <w:shd w:val="clear" w:color="auto" w:fill="D9D9D9"/>
          </w:tcPr>
          <w:p>
            <w:pPr>
              <w:spacing w:after="0"/>
              <w:rPr>
                <w:sz w:val="14"/>
                <w:szCs w:val="14"/>
                <w:color w:val="auto"/>
              </w:rPr>
            </w:pPr>
          </w:p>
        </w:tc>
        <w:tc>
          <w:tcPr>
            <w:tcW w:w="500" w:type="dxa"/>
            <w:vAlign w:val="bottom"/>
            <w:tcBorders>
              <w:bottom w:val="single" w:sz="8" w:color="D9D9D9"/>
            </w:tcBorders>
            <w:shd w:val="clear" w:color="auto" w:fill="D9D9D9"/>
          </w:tcPr>
          <w:p>
            <w:pPr>
              <w:spacing w:after="0"/>
              <w:rPr>
                <w:sz w:val="14"/>
                <w:szCs w:val="14"/>
                <w:color w:val="auto"/>
              </w:rPr>
            </w:pPr>
          </w:p>
        </w:tc>
        <w:tc>
          <w:tcPr>
            <w:tcW w:w="500" w:type="dxa"/>
            <w:vAlign w:val="bottom"/>
            <w:tcBorders>
              <w:bottom w:val="single" w:sz="8" w:color="D9D9D9"/>
            </w:tcBorders>
            <w:shd w:val="clear" w:color="auto" w:fill="D9D9D9"/>
          </w:tcPr>
          <w:p>
            <w:pPr>
              <w:spacing w:after="0"/>
              <w:rPr>
                <w:sz w:val="14"/>
                <w:szCs w:val="14"/>
                <w:color w:val="auto"/>
              </w:rPr>
            </w:pPr>
          </w:p>
        </w:tc>
        <w:tc>
          <w:tcPr>
            <w:tcW w:w="580" w:type="dxa"/>
            <w:vAlign w:val="bottom"/>
            <w:tcBorders>
              <w:bottom w:val="single" w:sz="8" w:color="D9D9D9"/>
            </w:tcBorders>
            <w:shd w:val="clear" w:color="auto" w:fill="D9D9D9"/>
          </w:tcPr>
          <w:p>
            <w:pPr>
              <w:spacing w:after="0"/>
              <w:rPr>
                <w:sz w:val="14"/>
                <w:szCs w:val="14"/>
                <w:color w:val="auto"/>
              </w:rPr>
            </w:pPr>
          </w:p>
        </w:tc>
        <w:tc>
          <w:tcPr>
            <w:tcW w:w="480" w:type="dxa"/>
            <w:vAlign w:val="bottom"/>
            <w:tcBorders>
              <w:bottom w:val="single" w:sz="8" w:color="D9D9D9"/>
            </w:tcBorders>
            <w:shd w:val="clear" w:color="auto" w:fill="D9D9D9"/>
          </w:tcPr>
          <w:p>
            <w:pPr>
              <w:spacing w:after="0"/>
              <w:rPr>
                <w:sz w:val="14"/>
                <w:szCs w:val="14"/>
                <w:color w:val="auto"/>
              </w:rPr>
            </w:pPr>
          </w:p>
        </w:tc>
        <w:tc>
          <w:tcPr>
            <w:tcW w:w="700" w:type="dxa"/>
            <w:vAlign w:val="bottom"/>
            <w:tcBorders>
              <w:bottom w:val="single" w:sz="8" w:color="D9D9D9"/>
            </w:tcBorders>
            <w:shd w:val="clear" w:color="auto" w:fill="D9D9D9"/>
          </w:tcPr>
          <w:p>
            <w:pPr>
              <w:spacing w:after="0"/>
              <w:rPr>
                <w:sz w:val="14"/>
                <w:szCs w:val="14"/>
                <w:color w:val="auto"/>
              </w:rPr>
            </w:pPr>
          </w:p>
        </w:tc>
        <w:tc>
          <w:tcPr>
            <w:tcW w:w="340" w:type="dxa"/>
            <w:vAlign w:val="bottom"/>
            <w:tcBorders>
              <w:bottom w:val="single" w:sz="8" w:color="D9D9D9"/>
            </w:tcBorders>
            <w:shd w:val="clear" w:color="auto" w:fill="D9D9D9"/>
          </w:tcPr>
          <w:p>
            <w:pPr>
              <w:spacing w:after="0"/>
              <w:rPr>
                <w:sz w:val="14"/>
                <w:szCs w:val="14"/>
                <w:color w:val="auto"/>
              </w:rPr>
            </w:pPr>
          </w:p>
        </w:tc>
        <w:tc>
          <w:tcPr>
            <w:tcW w:w="28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00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D9D9D9"/>
            </w:tcBorders>
            <w:shd w:val="clear" w:color="auto" w:fill="D9D9D9"/>
          </w:tcPr>
          <w:p>
            <w:pPr>
              <w:spacing w:after="0"/>
              <w:rPr>
                <w:sz w:val="14"/>
                <w:szCs w:val="14"/>
                <w:color w:val="auto"/>
              </w:rPr>
            </w:pPr>
          </w:p>
        </w:tc>
        <w:tc>
          <w:tcPr>
            <w:tcW w:w="80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333333"/>
              </w:rPr>
              <w:t>At or below</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20" w:type="dxa"/>
            <w:vAlign w:val="bottom"/>
          </w:tcPr>
          <w:p>
            <w:pPr>
              <w:ind w:left="60"/>
              <w:spacing w:after="0" w:line="202" w:lineRule="exact"/>
              <w:rPr>
                <w:sz w:val="20"/>
                <w:szCs w:val="20"/>
                <w:color w:val="auto"/>
              </w:rPr>
            </w:pPr>
            <w:r>
              <w:rPr>
                <w:rFonts w:ascii="Arial" w:cs="Arial" w:eastAsia="Arial" w:hAnsi="Arial"/>
                <w:sz w:val="12"/>
                <w:szCs w:val="12"/>
                <w:b w:val="1"/>
                <w:bCs w:val="1"/>
                <w:color w:val="333333"/>
                <w:w w:val="94"/>
              </w:rPr>
              <w:t>Expenses</w:t>
            </w:r>
            <w:r>
              <w:rPr>
                <w:rFonts w:ascii="Arial" w:cs="Arial" w:eastAsia="Arial" w:hAnsi="Arial"/>
                <w:sz w:val="20"/>
                <w:szCs w:val="20"/>
                <w:b w:val="1"/>
                <w:bCs w:val="1"/>
                <w:color w:val="333333"/>
                <w:w w:val="94"/>
                <w:vertAlign w:val="superscript"/>
              </w:rPr>
              <w:t>(1)(2)</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333333"/>
              </w:rPr>
              <w:t>20%</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333333"/>
              </w:rPr>
              <w:t>plan in</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333333"/>
              </w:rPr>
              <w:t>-</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333333"/>
              </w:rPr>
              <w:t>-</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333333"/>
              </w:rPr>
              <w:t>-</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333333"/>
              </w:rPr>
              <w:t>-</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333333"/>
              </w:rPr>
              <w: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333333"/>
              </w:rPr>
              <w:t>-</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333333"/>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2"/>
                <w:szCs w:val="12"/>
                <w:b w:val="1"/>
                <w:bCs w:val="1"/>
                <w:color w:val="333333"/>
              </w:rPr>
              <w:t>Achieved</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333333"/>
              </w:rPr>
              <w:t>100%</w:t>
            </w: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ind w:left="100"/>
              <w:spacing w:after="0" w:line="68" w:lineRule="exact"/>
              <w:rPr>
                <w:sz w:val="20"/>
                <w:szCs w:val="20"/>
                <w:color w:val="auto"/>
              </w:rPr>
            </w:pPr>
            <w:r>
              <w:rPr>
                <w:rFonts w:ascii="Arial" w:cs="Arial" w:eastAsia="Arial" w:hAnsi="Arial"/>
                <w:sz w:val="7"/>
                <w:szCs w:val="7"/>
                <w:b w:val="1"/>
                <w:bCs w:val="1"/>
                <w:color w:val="333333"/>
              </w:rPr>
              <w:t>every</w:t>
            </w: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333333"/>
              </w:rPr>
              <w:t>quarter</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20" w:type="dxa"/>
            <w:vAlign w:val="bottom"/>
            <w:shd w:val="clear" w:color="auto" w:fill="D9D9D9"/>
          </w:tcPr>
          <w:p>
            <w:pPr>
              <w:spacing w:after="0"/>
              <w:rPr>
                <w:sz w:val="21"/>
                <w:szCs w:val="21"/>
                <w:color w:val="auto"/>
              </w:rPr>
            </w:pPr>
          </w:p>
        </w:tc>
        <w:tc>
          <w:tcPr>
            <w:tcW w:w="920" w:type="dxa"/>
            <w:vAlign w:val="bottom"/>
            <w:shd w:val="clear" w:color="auto" w:fill="D9D9D9"/>
          </w:tcPr>
          <w:p>
            <w:pPr>
              <w:ind w:left="60"/>
              <w:spacing w:after="0"/>
              <w:rPr>
                <w:sz w:val="20"/>
                <w:szCs w:val="20"/>
                <w:color w:val="auto"/>
              </w:rPr>
            </w:pPr>
            <w:r>
              <w:rPr>
                <w:rFonts w:ascii="Arial" w:cs="Arial" w:eastAsia="Arial" w:hAnsi="Arial"/>
                <w:sz w:val="12"/>
                <w:szCs w:val="12"/>
                <w:b w:val="1"/>
                <w:bCs w:val="1"/>
                <w:color w:val="333333"/>
              </w:rPr>
              <w:t>Growth</w:t>
            </w:r>
          </w:p>
        </w:tc>
        <w:tc>
          <w:tcPr>
            <w:tcW w:w="740" w:type="dxa"/>
            <w:vAlign w:val="bottom"/>
            <w:shd w:val="clear" w:color="auto" w:fill="D9D9D9"/>
          </w:tcPr>
          <w:p>
            <w:pPr>
              <w:ind w:left="60"/>
              <w:spacing w:after="0"/>
              <w:rPr>
                <w:sz w:val="20"/>
                <w:szCs w:val="20"/>
                <w:color w:val="auto"/>
              </w:rPr>
            </w:pPr>
            <w:r>
              <w:rPr>
                <w:rFonts w:ascii="Arial" w:cs="Arial" w:eastAsia="Arial" w:hAnsi="Arial"/>
                <w:sz w:val="12"/>
                <w:szCs w:val="12"/>
                <w:b w:val="1"/>
                <w:bCs w:val="1"/>
                <w:color w:val="333333"/>
              </w:rPr>
              <w:t>30%</w:t>
            </w:r>
          </w:p>
        </w:tc>
        <w:tc>
          <w:tcPr>
            <w:tcW w:w="860" w:type="dxa"/>
            <w:vAlign w:val="bottom"/>
            <w:shd w:val="clear" w:color="auto" w:fill="D9D9D9"/>
          </w:tcPr>
          <w:p>
            <w:pPr>
              <w:ind w:left="100"/>
              <w:spacing w:after="0"/>
              <w:rPr>
                <w:sz w:val="20"/>
                <w:szCs w:val="20"/>
                <w:color w:val="auto"/>
              </w:rPr>
            </w:pPr>
            <w:r>
              <w:rPr>
                <w:rFonts w:ascii="Arial" w:cs="Arial" w:eastAsia="Arial" w:hAnsi="Arial"/>
                <w:sz w:val="12"/>
                <w:szCs w:val="12"/>
                <w:b w:val="1"/>
                <w:bCs w:val="1"/>
                <w:color w:val="333333"/>
              </w:rPr>
              <w:t>Achieve</w:t>
            </w:r>
          </w:p>
        </w:tc>
        <w:tc>
          <w:tcPr>
            <w:tcW w:w="700" w:type="dxa"/>
            <w:vAlign w:val="bottom"/>
            <w:shd w:val="clear" w:color="auto" w:fill="D9D9D9"/>
          </w:tcPr>
          <w:p>
            <w:pPr>
              <w:ind w:left="60"/>
              <w:spacing w:after="0"/>
              <w:rPr>
                <w:sz w:val="20"/>
                <w:szCs w:val="20"/>
                <w:color w:val="auto"/>
              </w:rPr>
            </w:pPr>
            <w:r>
              <w:rPr>
                <w:rFonts w:ascii="Arial" w:cs="Arial" w:eastAsia="Arial" w:hAnsi="Arial"/>
                <w:sz w:val="12"/>
                <w:szCs w:val="12"/>
                <w:b w:val="1"/>
                <w:bCs w:val="1"/>
                <w:color w:val="333333"/>
              </w:rPr>
              <w:t>Achieve</w:t>
            </w:r>
          </w:p>
        </w:tc>
        <w:tc>
          <w:tcPr>
            <w:tcW w:w="50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N/A</w:t>
            </w:r>
          </w:p>
        </w:tc>
        <w:tc>
          <w:tcPr>
            <w:tcW w:w="50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N/A</w:t>
            </w:r>
          </w:p>
        </w:tc>
        <w:tc>
          <w:tcPr>
            <w:tcW w:w="58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Achieve</w:t>
            </w:r>
          </w:p>
        </w:tc>
        <w:tc>
          <w:tcPr>
            <w:tcW w:w="480" w:type="dxa"/>
            <w:vAlign w:val="bottom"/>
            <w:shd w:val="clear" w:color="auto" w:fill="D9D9D9"/>
          </w:tcPr>
          <w:p>
            <w:pPr>
              <w:ind w:left="40"/>
              <w:spacing w:after="0"/>
              <w:rPr>
                <w:sz w:val="20"/>
                <w:szCs w:val="20"/>
                <w:color w:val="auto"/>
              </w:rPr>
            </w:pPr>
            <w:r>
              <w:rPr>
                <w:rFonts w:ascii="Arial" w:cs="Arial" w:eastAsia="Arial" w:hAnsi="Arial"/>
                <w:sz w:val="12"/>
                <w:szCs w:val="12"/>
                <w:b w:val="1"/>
                <w:bCs w:val="1"/>
                <w:color w:val="333333"/>
              </w:rPr>
              <w:t>N/A</w:t>
            </w:r>
          </w:p>
        </w:tc>
        <w:tc>
          <w:tcPr>
            <w:tcW w:w="700" w:type="dxa"/>
            <w:vAlign w:val="bottom"/>
            <w:shd w:val="clear" w:color="auto" w:fill="D9D9D9"/>
          </w:tcPr>
          <w:p>
            <w:pPr>
              <w:ind w:left="60"/>
              <w:spacing w:after="0"/>
              <w:rPr>
                <w:sz w:val="20"/>
                <w:szCs w:val="20"/>
                <w:color w:val="auto"/>
              </w:rPr>
            </w:pPr>
            <w:r>
              <w:rPr>
                <w:rFonts w:ascii="Arial" w:cs="Arial" w:eastAsia="Arial" w:hAnsi="Arial"/>
                <w:sz w:val="12"/>
                <w:szCs w:val="12"/>
                <w:b w:val="1"/>
                <w:bCs w:val="1"/>
                <w:color w:val="333333"/>
              </w:rPr>
              <w:t>N/A</w:t>
            </w:r>
          </w:p>
        </w:tc>
        <w:tc>
          <w:tcPr>
            <w:tcW w:w="720" w:type="dxa"/>
            <w:vAlign w:val="bottom"/>
            <w:gridSpan w:val="3"/>
            <w:shd w:val="clear" w:color="auto" w:fill="D9D9D9"/>
          </w:tcPr>
          <w:p>
            <w:pPr>
              <w:ind w:left="80"/>
              <w:spacing w:after="0"/>
              <w:rPr>
                <w:sz w:val="20"/>
                <w:szCs w:val="20"/>
                <w:color w:val="auto"/>
              </w:rPr>
            </w:pPr>
            <w:r>
              <w:rPr>
                <w:rFonts w:ascii="Arial" w:cs="Arial" w:eastAsia="Arial" w:hAnsi="Arial"/>
                <w:sz w:val="12"/>
                <w:szCs w:val="12"/>
                <w:b w:val="1"/>
                <w:bCs w:val="1"/>
                <w:color w:val="333333"/>
              </w:rPr>
              <w:t>Achieve</w:t>
            </w:r>
          </w:p>
        </w:tc>
        <w:tc>
          <w:tcPr>
            <w:tcW w:w="100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Achieved 1</w:t>
            </w:r>
          </w:p>
        </w:tc>
        <w:tc>
          <w:tcPr>
            <w:tcW w:w="940" w:type="dxa"/>
            <w:vAlign w:val="bottom"/>
            <w:gridSpan w:val="2"/>
            <w:shd w:val="clear" w:color="auto" w:fill="D9D9D9"/>
          </w:tcPr>
          <w:p>
            <w:pPr>
              <w:spacing w:after="0"/>
              <w:rPr>
                <w:sz w:val="20"/>
                <w:szCs w:val="20"/>
                <w:color w:val="auto"/>
              </w:rPr>
            </w:pPr>
            <w:r>
              <w:rPr>
                <w:rFonts w:ascii="Arial" w:cs="Arial" w:eastAsia="Arial" w:hAnsi="Arial"/>
                <w:sz w:val="12"/>
                <w:szCs w:val="12"/>
                <w:b w:val="1"/>
                <w:bCs w:val="1"/>
                <w:color w:val="333333"/>
              </w:rPr>
              <w:t>50%</w:t>
            </w:r>
          </w:p>
        </w:tc>
        <w:tc>
          <w:tcPr>
            <w:tcW w:w="0" w:type="dxa"/>
            <w:vAlign w:val="bottom"/>
          </w:tcPr>
          <w:p>
            <w:pPr>
              <w:spacing w:after="0"/>
              <w:rPr>
                <w:sz w:val="1"/>
                <w:szCs w:val="1"/>
                <w:color w:val="auto"/>
              </w:rPr>
            </w:pPr>
          </w:p>
        </w:tc>
      </w:tr>
      <w:tr>
        <w:trPr>
          <w:trHeight w:val="280"/>
        </w:trPr>
        <w:tc>
          <w:tcPr>
            <w:tcW w:w="120" w:type="dxa"/>
            <w:vAlign w:val="bottom"/>
            <w:shd w:val="clear" w:color="auto" w:fill="D9D9D9"/>
          </w:tcPr>
          <w:p>
            <w:pPr>
              <w:spacing w:after="0"/>
              <w:rPr>
                <w:sz w:val="24"/>
                <w:szCs w:val="24"/>
                <w:color w:val="auto"/>
              </w:rPr>
            </w:pPr>
          </w:p>
        </w:tc>
        <w:tc>
          <w:tcPr>
            <w:tcW w:w="920" w:type="dxa"/>
            <w:vAlign w:val="bottom"/>
            <w:shd w:val="clear" w:color="auto" w:fill="D9D9D9"/>
          </w:tcPr>
          <w:p>
            <w:pPr>
              <w:ind w:left="60"/>
              <w:spacing w:after="0"/>
              <w:rPr>
                <w:sz w:val="20"/>
                <w:szCs w:val="20"/>
                <w:color w:val="auto"/>
              </w:rPr>
            </w:pPr>
            <w:r>
              <w:rPr>
                <w:rFonts w:ascii="Arial" w:cs="Arial" w:eastAsia="Arial" w:hAnsi="Arial"/>
                <w:sz w:val="12"/>
                <w:szCs w:val="12"/>
                <w:b w:val="1"/>
                <w:bCs w:val="1"/>
                <w:color w:val="333333"/>
              </w:rPr>
              <w:t>Initiatives</w:t>
            </w:r>
            <w:r>
              <w:rPr>
                <w:rFonts w:ascii="Arial" w:cs="Arial" w:eastAsia="Arial" w:hAnsi="Arial"/>
                <w:sz w:val="20"/>
                <w:szCs w:val="20"/>
                <w:b w:val="1"/>
                <w:bCs w:val="1"/>
                <w:color w:val="333333"/>
                <w:vertAlign w:val="superscript"/>
              </w:rPr>
              <w:t>(3)</w:t>
            </w:r>
          </w:p>
        </w:tc>
        <w:tc>
          <w:tcPr>
            <w:tcW w:w="740" w:type="dxa"/>
            <w:vAlign w:val="bottom"/>
            <w:shd w:val="clear" w:color="auto" w:fill="D9D9D9"/>
          </w:tcPr>
          <w:p>
            <w:pPr>
              <w:spacing w:after="0"/>
              <w:rPr>
                <w:sz w:val="24"/>
                <w:szCs w:val="24"/>
                <w:color w:val="auto"/>
              </w:rPr>
            </w:pPr>
          </w:p>
        </w:tc>
        <w:tc>
          <w:tcPr>
            <w:tcW w:w="860" w:type="dxa"/>
            <w:vAlign w:val="bottom"/>
            <w:shd w:val="clear" w:color="auto" w:fill="D9D9D9"/>
          </w:tcPr>
          <w:p>
            <w:pPr>
              <w:ind w:left="100"/>
              <w:spacing w:after="0"/>
              <w:rPr>
                <w:sz w:val="20"/>
                <w:szCs w:val="20"/>
                <w:color w:val="auto"/>
              </w:rPr>
            </w:pPr>
            <w:r>
              <w:rPr>
                <w:rFonts w:ascii="Arial" w:cs="Arial" w:eastAsia="Arial" w:hAnsi="Arial"/>
                <w:sz w:val="12"/>
                <w:szCs w:val="12"/>
                <w:b w:val="1"/>
                <w:bCs w:val="1"/>
                <w:color w:val="333333"/>
              </w:rPr>
              <w:t>2 goals</w:t>
            </w:r>
          </w:p>
        </w:tc>
        <w:tc>
          <w:tcPr>
            <w:tcW w:w="700" w:type="dxa"/>
            <w:vAlign w:val="bottom"/>
            <w:shd w:val="clear" w:color="auto" w:fill="D9D9D9"/>
          </w:tcPr>
          <w:p>
            <w:pPr>
              <w:ind w:left="60"/>
              <w:spacing w:after="0"/>
              <w:rPr>
                <w:sz w:val="20"/>
                <w:szCs w:val="20"/>
                <w:color w:val="auto"/>
              </w:rPr>
            </w:pPr>
            <w:r>
              <w:rPr>
                <w:rFonts w:ascii="Arial" w:cs="Arial" w:eastAsia="Arial" w:hAnsi="Arial"/>
                <w:sz w:val="12"/>
                <w:szCs w:val="12"/>
                <w:b w:val="1"/>
                <w:bCs w:val="1"/>
                <w:color w:val="333333"/>
              </w:rPr>
              <w:t>1 goal</w:t>
            </w:r>
          </w:p>
        </w:tc>
        <w:tc>
          <w:tcPr>
            <w:tcW w:w="50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58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2 goals</w:t>
            </w:r>
          </w:p>
        </w:tc>
        <w:tc>
          <w:tcPr>
            <w:tcW w:w="48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720" w:type="dxa"/>
            <w:vAlign w:val="bottom"/>
            <w:gridSpan w:val="3"/>
            <w:shd w:val="clear" w:color="auto" w:fill="D9D9D9"/>
          </w:tcPr>
          <w:p>
            <w:pPr>
              <w:ind w:left="80"/>
              <w:spacing w:after="0"/>
              <w:rPr>
                <w:sz w:val="20"/>
                <w:szCs w:val="20"/>
                <w:color w:val="auto"/>
              </w:rPr>
            </w:pPr>
            <w:r>
              <w:rPr>
                <w:rFonts w:ascii="Arial" w:cs="Arial" w:eastAsia="Arial" w:hAnsi="Arial"/>
                <w:sz w:val="12"/>
                <w:szCs w:val="12"/>
                <w:b w:val="1"/>
                <w:bCs w:val="1"/>
                <w:color w:val="333333"/>
              </w:rPr>
              <w:t>3 goals</w:t>
            </w:r>
          </w:p>
        </w:tc>
        <w:tc>
          <w:tcPr>
            <w:tcW w:w="100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goal</w:t>
            </w:r>
          </w:p>
        </w:tc>
        <w:tc>
          <w:tcPr>
            <w:tcW w:w="140" w:type="dxa"/>
            <w:vAlign w:val="bottom"/>
            <w:shd w:val="clear" w:color="auto" w:fill="D9D9D9"/>
          </w:tcPr>
          <w:p>
            <w:pPr>
              <w:spacing w:after="0"/>
              <w:rPr>
                <w:sz w:val="24"/>
                <w:szCs w:val="24"/>
                <w:color w:val="auto"/>
              </w:rPr>
            </w:pPr>
          </w:p>
        </w:tc>
        <w:tc>
          <w:tcPr>
            <w:tcW w:w="8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21"/>
              <w:spacing w:after="0"/>
              <w:rPr>
                <w:sz w:val="20"/>
                <w:szCs w:val="20"/>
                <w:color w:val="auto"/>
              </w:rPr>
            </w:pPr>
            <w:r>
              <w:rPr>
                <w:rFonts w:ascii="Arial" w:cs="Arial" w:eastAsia="Arial" w:hAnsi="Arial"/>
                <w:sz w:val="12"/>
                <w:szCs w:val="12"/>
                <w:b w:val="1"/>
                <w:bCs w:val="1"/>
                <w:color w:val="auto"/>
              </w:rPr>
              <w:t>Target payout</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$​377,316</w:t>
            </w:r>
            <w:r>
              <w:rPr>
                <w:rFonts w:ascii="Arial" w:cs="Arial" w:eastAsia="Arial" w:hAnsi="Arial"/>
                <w:sz w:val="20"/>
                <w:szCs w:val="20"/>
                <w:b w:val="1"/>
                <w:bCs w:val="1"/>
                <w:color w:val="auto"/>
                <w:vertAlign w:val="superscript"/>
              </w:rPr>
              <w:t>(4)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gridSpan w:val="4"/>
          </w:tcPr>
          <w:p>
            <w:pPr>
              <w:jc w:val="right"/>
              <w:ind w:right="21"/>
              <w:spacing w:after="0"/>
              <w:rPr>
                <w:sz w:val="20"/>
                <w:szCs w:val="20"/>
                <w:color w:val="auto"/>
              </w:rPr>
            </w:pPr>
            <w:r>
              <w:rPr>
                <w:rFonts w:ascii="Arial" w:cs="Arial" w:eastAsia="Arial" w:hAnsi="Arial"/>
                <w:sz w:val="12"/>
                <w:szCs w:val="12"/>
                <w:b w:val="1"/>
                <w:bCs w:val="1"/>
                <w:color w:val="auto"/>
              </w:rPr>
              <w:t>Formulaic Total Payout %</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104%</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20" w:type="dxa"/>
            <w:vAlign w:val="bottom"/>
            <w:gridSpan w:val="5"/>
          </w:tcPr>
          <w:p>
            <w:pPr>
              <w:jc w:val="right"/>
              <w:ind w:right="21"/>
              <w:spacing w:after="0"/>
              <w:rPr>
                <w:sz w:val="20"/>
                <w:szCs w:val="20"/>
                <w:color w:val="auto"/>
              </w:rPr>
            </w:pPr>
            <w:r>
              <w:rPr>
                <w:rFonts w:ascii="Arial" w:cs="Arial" w:eastAsia="Arial" w:hAnsi="Arial"/>
                <w:sz w:val="12"/>
                <w:szCs w:val="12"/>
                <w:b w:val="1"/>
                <w:bCs w:val="1"/>
                <w:color w:val="auto"/>
              </w:rPr>
              <w:t>Formulaic Initial Calculated Payout</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$​392,408</w:t>
            </w:r>
            <w:r>
              <w:rPr>
                <w:rFonts w:ascii="Arial" w:cs="Arial" w:eastAsia="Arial" w:hAnsi="Arial"/>
                <w:sz w:val="20"/>
                <w:szCs w:val="20"/>
                <w:b w:val="1"/>
                <w:bCs w:val="1"/>
                <w:color w:val="auto"/>
                <w:vertAlign w:val="superscript"/>
              </w:rPr>
              <w:t>(4)</w:t>
            </w: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4"/>
              </w:rPr>
              <w:t>Less</w:t>
            </w:r>
          </w:p>
        </w:tc>
        <w:tc>
          <w:tcPr>
            <w:tcW w:w="1100" w:type="dxa"/>
            <w:vAlign w:val="bottom"/>
            <w:gridSpan w:val="2"/>
          </w:tcPr>
          <w:p>
            <w:pPr>
              <w:jc w:val="right"/>
              <w:ind w:right="21"/>
              <w:spacing w:after="0"/>
              <w:rPr>
                <w:sz w:val="20"/>
                <w:szCs w:val="20"/>
                <w:color w:val="auto"/>
              </w:rPr>
            </w:pPr>
            <w:r>
              <w:rPr>
                <w:rFonts w:ascii="Arial" w:cs="Arial" w:eastAsia="Arial" w:hAnsi="Arial"/>
                <w:sz w:val="12"/>
                <w:szCs w:val="12"/>
                <w:b w:val="1"/>
                <w:bCs w:val="1"/>
                <w:color w:val="auto"/>
              </w:rPr>
              <w:t>Target RSU value</w:t>
            </w:r>
          </w:p>
        </w:tc>
        <w:tc>
          <w:tcPr>
            <w:tcW w:w="940" w:type="dxa"/>
            <w:vAlign w:val="bottom"/>
            <w:gridSpan w:val="2"/>
          </w:tcPr>
          <w:p>
            <w:pPr>
              <w:spacing w:after="0" w:line="199" w:lineRule="exact"/>
              <w:rPr>
                <w:sz w:val="20"/>
                <w:szCs w:val="20"/>
                <w:color w:val="auto"/>
              </w:rPr>
            </w:pPr>
            <w:r>
              <w:rPr>
                <w:rFonts w:ascii="Arial" w:cs="Arial" w:eastAsia="Arial" w:hAnsi="Arial"/>
                <w:sz w:val="12"/>
                <w:szCs w:val="12"/>
                <w:b w:val="1"/>
                <w:bCs w:val="1"/>
                <w:color w:val="auto"/>
              </w:rPr>
              <w:t>$290,883</w:t>
            </w:r>
            <w:r>
              <w:rPr>
                <w:rFonts w:ascii="Arial" w:cs="Arial" w:eastAsia="Arial" w:hAnsi="Arial"/>
                <w:sz w:val="20"/>
                <w:szCs w:val="20"/>
                <w:b w:val="1"/>
                <w:bCs w:val="1"/>
                <w:color w:val="auto"/>
                <w:vertAlign w:val="superscript"/>
              </w:rPr>
              <w:t>(4)</w:t>
            </w:r>
          </w:p>
        </w:tc>
        <w:tc>
          <w:tcPr>
            <w:tcW w:w="0" w:type="dxa"/>
            <w:vAlign w:val="bottom"/>
          </w:tcPr>
          <w:p>
            <w:pPr>
              <w:spacing w:after="0"/>
              <w:rPr>
                <w:sz w:val="1"/>
                <w:szCs w:val="1"/>
                <w:color w:val="auto"/>
              </w:rPr>
            </w:pPr>
          </w:p>
        </w:tc>
      </w:tr>
      <w:tr>
        <w:trPr>
          <w:trHeight w:val="334"/>
        </w:trPr>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gridSpan w:val="4"/>
          </w:tcPr>
          <w:p>
            <w:pPr>
              <w:jc w:val="right"/>
              <w:ind w:right="21"/>
              <w:spacing w:after="0"/>
              <w:rPr>
                <w:sz w:val="20"/>
                <w:szCs w:val="20"/>
                <w:color w:val="auto"/>
              </w:rPr>
            </w:pPr>
            <w:r>
              <w:rPr>
                <w:rFonts w:ascii="Arial" w:cs="Arial" w:eastAsia="Arial" w:hAnsi="Arial"/>
                <w:sz w:val="12"/>
                <w:szCs w:val="12"/>
                <w:b w:val="1"/>
                <w:bCs w:val="1"/>
                <w:color w:val="auto"/>
              </w:rPr>
              <w:t>Formulaic Cash Payout</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$​101,525</w:t>
            </w:r>
          </w:p>
        </w:tc>
        <w:tc>
          <w:tcPr>
            <w:tcW w:w="0" w:type="dxa"/>
            <w:vAlign w:val="bottom"/>
          </w:tcPr>
          <w:p>
            <w:pPr>
              <w:spacing w:after="0"/>
              <w:rPr>
                <w:sz w:val="1"/>
                <w:szCs w:val="1"/>
                <w:color w:val="auto"/>
              </w:rPr>
            </w:pPr>
          </w:p>
        </w:tc>
      </w:tr>
      <w:tr>
        <w:trPr>
          <w:trHeight w:val="266"/>
        </w:trPr>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gridSpan w:val="3"/>
          </w:tcPr>
          <w:p>
            <w:pPr>
              <w:jc w:val="right"/>
              <w:ind w:right="21"/>
              <w:spacing w:after="0"/>
              <w:rPr>
                <w:sz w:val="20"/>
                <w:szCs w:val="20"/>
                <w:color w:val="auto"/>
              </w:rPr>
            </w:pPr>
            <w:r>
              <w:rPr>
                <w:rFonts w:ascii="Arial" w:cs="Arial" w:eastAsia="Arial" w:hAnsi="Arial"/>
                <w:sz w:val="12"/>
                <w:szCs w:val="12"/>
                <w:b w:val="1"/>
                <w:bCs w:val="1"/>
                <w:color w:val="auto"/>
              </w:rPr>
              <w:t>Actual Cash Payout</w:t>
            </w:r>
          </w:p>
        </w:tc>
        <w:tc>
          <w:tcPr>
            <w:tcW w:w="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u w:val="single" w:color="auto"/>
                <w:color w:val="auto"/>
                <w:w w:val="89"/>
              </w:rPr>
              <w:t>$</w:t>
            </w:r>
            <w:r>
              <w:rPr>
                <w:rFonts w:ascii="Arial" w:cs="Arial" w:eastAsia="Arial" w:hAnsi="Arial"/>
                <w:sz w:val="12"/>
                <w:szCs w:val="12"/>
                <w:b w:val="1"/>
                <w:bCs w:val="1"/>
                <w:color w:val="auto"/>
                <w:w w:val="89"/>
              </w:rPr>
              <w:t>0</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660" w:right="839" w:hanging="10"/>
        <w:spacing w:after="0"/>
        <w:tabs>
          <w:tab w:leader="none" w:pos="849" w:val="left"/>
        </w:tabs>
        <w:numPr>
          <w:ilvl w:val="0"/>
          <w:numId w:val="68"/>
        </w:numPr>
        <w:rPr>
          <w:rFonts w:ascii="Arial" w:cs="Arial" w:eastAsia="Arial" w:hAnsi="Arial"/>
          <w:sz w:val="13"/>
          <w:szCs w:val="13"/>
          <w:i w:val="1"/>
          <w:iCs w:val="1"/>
          <w:color w:val="333333"/>
        </w:rPr>
      </w:pPr>
      <w:r>
        <w:rPr>
          <w:rFonts w:ascii="Arial" w:cs="Arial" w:eastAsia="Arial" w:hAnsi="Arial"/>
          <w:sz w:val="13"/>
          <w:szCs w:val="13"/>
          <w:i w:val="1"/>
          <w:iCs w:val="1"/>
          <w:color w:val="333333"/>
        </w:rPr>
        <w:t>Adjusted to be consistent with the macro-economic environment assumed in the 2023 budget, and for addbacks and impact of acquisitions or divestitures.</w:t>
      </w:r>
    </w:p>
    <w:p>
      <w:pPr>
        <w:spacing w:after="0" w:line="11" w:lineRule="exact"/>
        <w:rPr>
          <w:rFonts w:ascii="Arial" w:cs="Arial" w:eastAsia="Arial" w:hAnsi="Arial"/>
          <w:sz w:val="13"/>
          <w:szCs w:val="13"/>
          <w:i w:val="1"/>
          <w:iCs w:val="1"/>
          <w:color w:val="333333"/>
        </w:rPr>
      </w:pPr>
    </w:p>
    <w:p>
      <w:pPr>
        <w:ind w:left="840" w:hanging="190"/>
        <w:spacing w:after="0"/>
        <w:tabs>
          <w:tab w:leader="none" w:pos="840" w:val="left"/>
        </w:tabs>
        <w:numPr>
          <w:ilvl w:val="0"/>
          <w:numId w:val="68"/>
        </w:numPr>
        <w:rPr>
          <w:rFonts w:ascii="Arial" w:cs="Arial" w:eastAsia="Arial" w:hAnsi="Arial"/>
          <w:sz w:val="13"/>
          <w:szCs w:val="13"/>
          <w:i w:val="1"/>
          <w:iCs w:val="1"/>
          <w:color w:val="333333"/>
        </w:rPr>
      </w:pPr>
      <w:r>
        <w:rPr>
          <w:rFonts w:ascii="Arial" w:cs="Arial" w:eastAsia="Arial" w:hAnsi="Arial"/>
          <w:sz w:val="13"/>
          <w:szCs w:val="13"/>
          <w:i w:val="1"/>
          <w:iCs w:val="1"/>
          <w:color w:val="333333"/>
        </w:rPr>
        <w:t>This metric results in a 100% payout only if the applicable goal is achieved for every quarter; otherwise, the payout for this metric is 0%.</w:t>
      </w:r>
    </w:p>
    <w:p>
      <w:pPr>
        <w:spacing w:after="0" w:line="9" w:lineRule="exact"/>
        <w:rPr>
          <w:rFonts w:ascii="Arial" w:cs="Arial" w:eastAsia="Arial" w:hAnsi="Arial"/>
          <w:sz w:val="13"/>
          <w:szCs w:val="13"/>
          <w:i w:val="1"/>
          <w:iCs w:val="1"/>
          <w:color w:val="333333"/>
        </w:rPr>
      </w:pPr>
    </w:p>
    <w:p>
      <w:pPr>
        <w:ind w:left="660" w:right="499" w:hanging="10"/>
        <w:spacing w:after="0" w:line="231" w:lineRule="auto"/>
        <w:tabs>
          <w:tab w:leader="none" w:pos="849" w:val="left"/>
        </w:tabs>
        <w:numPr>
          <w:ilvl w:val="0"/>
          <w:numId w:val="68"/>
        </w:numPr>
        <w:rPr>
          <w:rFonts w:ascii="Arial" w:cs="Arial" w:eastAsia="Arial" w:hAnsi="Arial"/>
          <w:sz w:val="13"/>
          <w:szCs w:val="13"/>
          <w:i w:val="1"/>
          <w:iCs w:val="1"/>
          <w:color w:val="333333"/>
        </w:rPr>
      </w:pPr>
      <w:r>
        <w:rPr>
          <w:rFonts w:ascii="Arial" w:cs="Arial" w:eastAsia="Arial" w:hAnsi="Arial"/>
          <w:sz w:val="13"/>
          <w:szCs w:val="13"/>
          <w:i w:val="1"/>
          <w:iCs w:val="1"/>
          <w:color w:val="333333"/>
        </w:rPr>
        <w:t>(a) deliver new joint venture sales plan (not achieved), (b) deliver a specified number of consumer fuel transactions (not achieved), and (c) deliver a specified number of cross selling opportunities (achieved).</w:t>
      </w:r>
    </w:p>
    <w:p>
      <w:pPr>
        <w:spacing w:after="0" w:line="12" w:lineRule="exact"/>
        <w:rPr>
          <w:rFonts w:ascii="Arial" w:cs="Arial" w:eastAsia="Arial" w:hAnsi="Arial"/>
          <w:sz w:val="13"/>
          <w:szCs w:val="13"/>
          <w:i w:val="1"/>
          <w:iCs w:val="1"/>
          <w:color w:val="333333"/>
        </w:rPr>
      </w:pPr>
    </w:p>
    <w:p>
      <w:pPr>
        <w:ind w:left="840" w:hanging="190"/>
        <w:spacing w:after="0"/>
        <w:tabs>
          <w:tab w:leader="none" w:pos="840" w:val="left"/>
        </w:tabs>
        <w:numPr>
          <w:ilvl w:val="0"/>
          <w:numId w:val="68"/>
        </w:numPr>
        <w:rPr>
          <w:rFonts w:ascii="Arial" w:cs="Arial" w:eastAsia="Arial" w:hAnsi="Arial"/>
          <w:sz w:val="13"/>
          <w:szCs w:val="13"/>
          <w:i w:val="1"/>
          <w:iCs w:val="1"/>
          <w:color w:val="333333"/>
        </w:rPr>
      </w:pPr>
      <w:r>
        <w:rPr>
          <w:rFonts w:ascii="Arial" w:cs="Arial" w:eastAsia="Arial" w:hAnsi="Arial"/>
          <w:sz w:val="13"/>
          <w:szCs w:val="13"/>
          <w:i w:val="1"/>
          <w:iCs w:val="1"/>
          <w:color w:val="333333"/>
        </w:rPr>
        <w:t>Amounts converted from BRL to USD using an average exchange rate of $1 to R$4.9915 for 2023.</w:t>
      </w:r>
    </w:p>
    <w:p>
      <w:pPr>
        <w:sectPr>
          <w:pgSz w:w="11900" w:h="16838" w:orient="portrait"/>
          <w:cols w:equalWidth="0" w:num="1">
            <w:col w:w="9539"/>
          </w:cols>
          <w:pgMar w:left="920" w:top="114" w:right="1440"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0"/>
          <w:szCs w:val="10"/>
          <w:b w:val="1"/>
          <w:bCs w:val="1"/>
          <w:color w:val="333333"/>
        </w:rPr>
        <w:t xml:space="preserve">42 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CF1D4C"/>
        </w:rPr>
        <w:t>COMPENSATION DISCUSSION AND ANALYSIS</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Alan King: </w:t>
      </w:r>
      <w:r>
        <w:rPr>
          <w:rFonts w:ascii="Arial" w:cs="Arial" w:eastAsia="Arial" w:hAnsi="Arial"/>
          <w:sz w:val="16"/>
          <w:szCs w:val="16"/>
          <w:color w:val="333333"/>
        </w:rPr>
        <w:t>The cash portion of Mr. King’s 2023 annual incentive was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114935</wp:posOffset>
            </wp:positionV>
            <wp:extent cx="5554980" cy="8572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554980" cy="857250"/>
                    </a:xfrm>
                    <a:prstGeom prst="rect">
                      <a:avLst/>
                    </a:prstGeom>
                    <a:noFill/>
                  </pic:spPr>
                </pic:pic>
              </a:graphicData>
            </a:graphic>
          </wp:anchor>
        </w:drawing>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FFFFFF"/>
        </w:rPr>
        <w:t>GOALS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FFFFFF"/>
        </w:rPr>
        <w:t>($ values in millions)</w:t>
      </w:r>
    </w:p>
    <w:p>
      <w:pPr>
        <w:spacing w:after="0" w:line="108" w:lineRule="exact"/>
        <w:rPr>
          <w:sz w:val="20"/>
          <w:szCs w:val="20"/>
          <w:color w:val="auto"/>
        </w:rPr>
      </w:pPr>
    </w:p>
    <w:tbl>
      <w:tblPr>
        <w:tblLayout w:type="fixed"/>
        <w:tblInd w:w="640" w:type="dxa"/>
        <w:tblCellMar>
          <w:top w:w="0" w:type="dxa"/>
          <w:left w:w="0" w:type="dxa"/>
          <w:bottom w:w="0" w:type="dxa"/>
          <w:right w:w="0" w:type="dxa"/>
        </w:tblCellMar>
      </w:tblPr>
      <w:tr>
        <w:trPr>
          <w:trHeight w:val="228"/>
        </w:trPr>
        <w:tc>
          <w:tcPr>
            <w:tcW w:w="120" w:type="dxa"/>
            <w:vAlign w:val="bottom"/>
          </w:tcPr>
          <w:p>
            <w:pPr>
              <w:spacing w:after="0"/>
              <w:rPr>
                <w:sz w:val="19"/>
                <w:szCs w:val="19"/>
                <w:color w:val="auto"/>
              </w:rPr>
            </w:pPr>
          </w:p>
        </w:tc>
        <w:tc>
          <w:tcPr>
            <w:tcW w:w="920" w:type="dxa"/>
            <w:vAlign w:val="bottom"/>
            <w:shd w:val="clear" w:color="auto" w:fill="CF1D4C"/>
          </w:tcPr>
          <w:p>
            <w:pPr>
              <w:spacing w:after="0"/>
              <w:rPr>
                <w:sz w:val="19"/>
                <w:szCs w:val="19"/>
                <w:color w:val="auto"/>
              </w:rPr>
            </w:pPr>
          </w:p>
        </w:tc>
        <w:tc>
          <w:tcPr>
            <w:tcW w:w="740" w:type="dxa"/>
            <w:vAlign w:val="bottom"/>
            <w:shd w:val="clear" w:color="auto" w:fill="CF1D4C"/>
          </w:tcPr>
          <w:p>
            <w:pPr>
              <w:spacing w:after="0"/>
              <w:rPr>
                <w:sz w:val="19"/>
                <w:szCs w:val="19"/>
                <w:color w:val="auto"/>
              </w:rPr>
            </w:pPr>
          </w:p>
        </w:tc>
        <w:tc>
          <w:tcPr>
            <w:tcW w:w="840" w:type="dxa"/>
            <w:vAlign w:val="bottom"/>
            <w:vMerge w:val="restart"/>
            <w:shd w:val="clear" w:color="auto" w:fill="CF1D4C"/>
          </w:tcPr>
          <w:p>
            <w:pPr>
              <w:ind w:left="100"/>
              <w:spacing w:after="0"/>
              <w:rPr>
                <w:sz w:val="20"/>
                <w:szCs w:val="20"/>
                <w:color w:val="auto"/>
              </w:rPr>
            </w:pPr>
            <w:r>
              <w:rPr>
                <w:rFonts w:ascii="Arial" w:cs="Arial" w:eastAsia="Arial" w:hAnsi="Arial"/>
                <w:sz w:val="12"/>
                <w:szCs w:val="12"/>
                <w:b w:val="1"/>
                <w:bCs w:val="1"/>
                <w:color w:val="FFFFFF"/>
              </w:rPr>
              <w:t>Target</w:t>
            </w:r>
          </w:p>
        </w:tc>
        <w:tc>
          <w:tcPr>
            <w:tcW w:w="740" w:type="dxa"/>
            <w:vAlign w:val="bottom"/>
            <w:shd w:val="clear" w:color="auto" w:fill="CF1D4C"/>
          </w:tcPr>
          <w:p>
            <w:pPr>
              <w:spacing w:after="0"/>
              <w:rPr>
                <w:sz w:val="19"/>
                <w:szCs w:val="19"/>
                <w:color w:val="auto"/>
              </w:rPr>
            </w:pPr>
          </w:p>
        </w:tc>
        <w:tc>
          <w:tcPr>
            <w:tcW w:w="52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Below</w:t>
            </w:r>
          </w:p>
        </w:tc>
        <w:tc>
          <w:tcPr>
            <w:tcW w:w="52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Below</w:t>
            </w:r>
          </w:p>
        </w:tc>
        <w:tc>
          <w:tcPr>
            <w:tcW w:w="580" w:type="dxa"/>
            <w:vAlign w:val="bottom"/>
            <w:shd w:val="clear" w:color="auto" w:fill="CF1D4C"/>
          </w:tcPr>
          <w:p>
            <w:pPr>
              <w:spacing w:after="0"/>
              <w:rPr>
                <w:sz w:val="19"/>
                <w:szCs w:val="19"/>
                <w:color w:val="auto"/>
              </w:rPr>
            </w:pPr>
          </w:p>
        </w:tc>
        <w:tc>
          <w:tcPr>
            <w:tcW w:w="480" w:type="dxa"/>
            <w:vAlign w:val="bottom"/>
            <w:vMerge w:val="restart"/>
            <w:shd w:val="clear" w:color="auto" w:fill="CF1D4C"/>
          </w:tcPr>
          <w:p>
            <w:pPr>
              <w:ind w:left="40"/>
              <w:spacing w:after="0"/>
              <w:rPr>
                <w:sz w:val="20"/>
                <w:szCs w:val="20"/>
                <w:color w:val="auto"/>
              </w:rPr>
            </w:pPr>
            <w:r>
              <w:rPr>
                <w:rFonts w:ascii="Arial" w:cs="Arial" w:eastAsia="Arial" w:hAnsi="Arial"/>
                <w:sz w:val="12"/>
                <w:szCs w:val="12"/>
                <w:b w:val="1"/>
                <w:bCs w:val="1"/>
                <w:color w:val="FFFFFF"/>
              </w:rPr>
              <w:t>Above</w:t>
            </w:r>
          </w:p>
        </w:tc>
        <w:tc>
          <w:tcPr>
            <w:tcW w:w="660" w:type="dxa"/>
            <w:vAlign w:val="bottom"/>
            <w:vMerge w:val="restart"/>
            <w:shd w:val="clear" w:color="auto" w:fill="CF1D4C"/>
          </w:tcPr>
          <w:p>
            <w:pPr>
              <w:ind w:left="40"/>
              <w:spacing w:after="0"/>
              <w:rPr>
                <w:sz w:val="20"/>
                <w:szCs w:val="20"/>
                <w:color w:val="auto"/>
              </w:rPr>
            </w:pPr>
            <w:r>
              <w:rPr>
                <w:rFonts w:ascii="Arial" w:cs="Arial" w:eastAsia="Arial" w:hAnsi="Arial"/>
                <w:sz w:val="12"/>
                <w:szCs w:val="12"/>
                <w:b w:val="1"/>
                <w:bCs w:val="1"/>
                <w:color w:val="FFFFFF"/>
              </w:rPr>
              <w:t>Below</w:t>
            </w:r>
          </w:p>
        </w:tc>
        <w:tc>
          <w:tcPr>
            <w:tcW w:w="700" w:type="dxa"/>
            <w:vAlign w:val="bottom"/>
            <w:shd w:val="clear" w:color="auto" w:fill="CF1D4C"/>
          </w:tcPr>
          <w:p>
            <w:pPr>
              <w:spacing w:after="0"/>
              <w:rPr>
                <w:sz w:val="19"/>
                <w:szCs w:val="19"/>
                <w:color w:val="auto"/>
              </w:rPr>
            </w:pPr>
          </w:p>
        </w:tc>
        <w:tc>
          <w:tcPr>
            <w:tcW w:w="920" w:type="dxa"/>
            <w:vAlign w:val="bottom"/>
            <w:shd w:val="clear" w:color="auto" w:fill="CF1D4C"/>
          </w:tcPr>
          <w:p>
            <w:pPr>
              <w:ind w:left="80"/>
              <w:spacing w:after="0"/>
              <w:rPr>
                <w:sz w:val="20"/>
                <w:szCs w:val="20"/>
                <w:color w:val="auto"/>
              </w:rPr>
            </w:pPr>
            <w:r>
              <w:rPr>
                <w:rFonts w:ascii="Arial" w:cs="Arial" w:eastAsia="Arial" w:hAnsi="Arial"/>
                <w:sz w:val="12"/>
                <w:szCs w:val="12"/>
                <w:b w:val="1"/>
                <w:bCs w:val="1"/>
                <w:color w:val="FFFFFF"/>
              </w:rPr>
              <w:t>2023</w:t>
            </w:r>
          </w:p>
        </w:tc>
        <w:tc>
          <w:tcPr>
            <w:tcW w:w="1020" w:type="dxa"/>
            <w:vAlign w:val="bottom"/>
            <w:shd w:val="clear" w:color="auto" w:fill="CF1D4C"/>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92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Performance</w:t>
            </w:r>
          </w:p>
        </w:tc>
        <w:tc>
          <w:tcPr>
            <w:tcW w:w="74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Weighting</w:t>
            </w:r>
          </w:p>
        </w:tc>
        <w:tc>
          <w:tcPr>
            <w:tcW w:w="840" w:type="dxa"/>
            <w:vAlign w:val="bottom"/>
            <w:vMerge w:val="continue"/>
            <w:shd w:val="clear" w:color="auto" w:fill="CF1D4C"/>
          </w:tcPr>
          <w:p>
            <w:pPr>
              <w:spacing w:after="0"/>
              <w:rPr>
                <w:sz w:val="5"/>
                <w:szCs w:val="5"/>
                <w:color w:val="auto"/>
              </w:rPr>
            </w:pPr>
          </w:p>
        </w:tc>
        <w:tc>
          <w:tcPr>
            <w:tcW w:w="74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Threshold</w:t>
            </w:r>
          </w:p>
        </w:tc>
        <w:tc>
          <w:tcPr>
            <w:tcW w:w="520" w:type="dxa"/>
            <w:vAlign w:val="bottom"/>
            <w:vMerge w:val="continue"/>
            <w:shd w:val="clear" w:color="auto" w:fill="CF1D4C"/>
          </w:tcPr>
          <w:p>
            <w:pPr>
              <w:spacing w:after="0"/>
              <w:rPr>
                <w:sz w:val="5"/>
                <w:szCs w:val="5"/>
                <w:color w:val="auto"/>
              </w:rPr>
            </w:pPr>
          </w:p>
        </w:tc>
        <w:tc>
          <w:tcPr>
            <w:tcW w:w="520" w:type="dxa"/>
            <w:vAlign w:val="bottom"/>
            <w:vMerge w:val="continue"/>
            <w:shd w:val="clear" w:color="auto" w:fill="CF1D4C"/>
          </w:tcPr>
          <w:p>
            <w:pPr>
              <w:spacing w:after="0"/>
              <w:rPr>
                <w:sz w:val="5"/>
                <w:szCs w:val="5"/>
                <w:color w:val="auto"/>
              </w:rPr>
            </w:pPr>
          </w:p>
        </w:tc>
        <w:tc>
          <w:tcPr>
            <w:tcW w:w="58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Target</w:t>
            </w:r>
          </w:p>
        </w:tc>
        <w:tc>
          <w:tcPr>
            <w:tcW w:w="480" w:type="dxa"/>
            <w:vAlign w:val="bottom"/>
            <w:vMerge w:val="continue"/>
            <w:shd w:val="clear" w:color="auto" w:fill="CF1D4C"/>
          </w:tcPr>
          <w:p>
            <w:pPr>
              <w:spacing w:after="0"/>
              <w:rPr>
                <w:sz w:val="5"/>
                <w:szCs w:val="5"/>
                <w:color w:val="auto"/>
              </w:rPr>
            </w:pPr>
          </w:p>
        </w:tc>
        <w:tc>
          <w:tcPr>
            <w:tcW w:w="660" w:type="dxa"/>
            <w:vAlign w:val="bottom"/>
            <w:vMerge w:val="continue"/>
            <w:shd w:val="clear" w:color="auto" w:fill="CF1D4C"/>
          </w:tcPr>
          <w:p>
            <w:pPr>
              <w:spacing w:after="0"/>
              <w:rPr>
                <w:sz w:val="5"/>
                <w:szCs w:val="5"/>
                <w:color w:val="auto"/>
              </w:rPr>
            </w:pPr>
          </w:p>
        </w:tc>
        <w:tc>
          <w:tcPr>
            <w:tcW w:w="70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Maximum</w:t>
            </w:r>
          </w:p>
        </w:tc>
        <w:tc>
          <w:tcPr>
            <w:tcW w:w="92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Achievement</w:t>
            </w:r>
          </w:p>
        </w:tc>
        <w:tc>
          <w:tcPr>
            <w:tcW w:w="102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 of Target</w:t>
            </w:r>
          </w:p>
        </w:tc>
        <w:tc>
          <w:tcPr>
            <w:tcW w:w="0" w:type="dxa"/>
            <w:vAlign w:val="bottom"/>
          </w:tcPr>
          <w:p>
            <w:pPr>
              <w:spacing w:after="0"/>
              <w:rPr>
                <w:sz w:val="1"/>
                <w:szCs w:val="1"/>
                <w:color w:val="auto"/>
              </w:rPr>
            </w:pPr>
          </w:p>
        </w:tc>
      </w:tr>
      <w:tr>
        <w:trPr>
          <w:trHeight w:val="123"/>
        </w:trPr>
        <w:tc>
          <w:tcPr>
            <w:tcW w:w="120" w:type="dxa"/>
            <w:vAlign w:val="bottom"/>
          </w:tcPr>
          <w:p>
            <w:pPr>
              <w:spacing w:after="0"/>
              <w:rPr>
                <w:sz w:val="10"/>
                <w:szCs w:val="10"/>
                <w:color w:val="auto"/>
              </w:rPr>
            </w:pPr>
          </w:p>
        </w:tc>
        <w:tc>
          <w:tcPr>
            <w:tcW w:w="920" w:type="dxa"/>
            <w:vAlign w:val="bottom"/>
            <w:vMerge w:val="continue"/>
            <w:shd w:val="clear" w:color="auto" w:fill="CF1D4C"/>
          </w:tcPr>
          <w:p>
            <w:pPr>
              <w:spacing w:after="0"/>
              <w:rPr>
                <w:sz w:val="10"/>
                <w:szCs w:val="10"/>
                <w:color w:val="auto"/>
              </w:rPr>
            </w:pPr>
          </w:p>
        </w:tc>
        <w:tc>
          <w:tcPr>
            <w:tcW w:w="740" w:type="dxa"/>
            <w:vAlign w:val="bottom"/>
            <w:vMerge w:val="continue"/>
            <w:shd w:val="clear" w:color="auto" w:fill="CF1D4C"/>
          </w:tcPr>
          <w:p>
            <w:pPr>
              <w:spacing w:after="0"/>
              <w:rPr>
                <w:sz w:val="10"/>
                <w:szCs w:val="10"/>
                <w:color w:val="auto"/>
              </w:rPr>
            </w:pPr>
          </w:p>
        </w:tc>
        <w:tc>
          <w:tcPr>
            <w:tcW w:w="840" w:type="dxa"/>
            <w:vAlign w:val="bottom"/>
            <w:shd w:val="clear" w:color="auto" w:fill="CF1D4C"/>
          </w:tcPr>
          <w:p>
            <w:pPr>
              <w:ind w:left="100"/>
              <w:spacing w:after="0" w:line="123" w:lineRule="exact"/>
              <w:rPr>
                <w:sz w:val="20"/>
                <w:szCs w:val="20"/>
                <w:color w:val="auto"/>
              </w:rPr>
            </w:pPr>
            <w:r>
              <w:rPr>
                <w:rFonts w:ascii="Arial" w:cs="Arial" w:eastAsia="Arial" w:hAnsi="Arial"/>
                <w:sz w:val="12"/>
                <w:szCs w:val="12"/>
                <w:b w:val="1"/>
                <w:bCs w:val="1"/>
                <w:color w:val="FFFFFF"/>
              </w:rPr>
              <w:t>($ values in</w:t>
            </w:r>
          </w:p>
        </w:tc>
        <w:tc>
          <w:tcPr>
            <w:tcW w:w="740" w:type="dxa"/>
            <w:vAlign w:val="bottom"/>
            <w:vMerge w:val="continue"/>
            <w:shd w:val="clear" w:color="auto" w:fill="CF1D4C"/>
          </w:tcPr>
          <w:p>
            <w:pPr>
              <w:spacing w:after="0"/>
              <w:rPr>
                <w:sz w:val="10"/>
                <w:szCs w:val="10"/>
                <w:color w:val="auto"/>
              </w:rPr>
            </w:pPr>
          </w:p>
        </w:tc>
        <w:tc>
          <w:tcPr>
            <w:tcW w:w="520" w:type="dxa"/>
            <w:vAlign w:val="bottom"/>
            <w:shd w:val="clear" w:color="auto" w:fill="CF1D4C"/>
          </w:tcPr>
          <w:p>
            <w:pPr>
              <w:ind w:left="80"/>
              <w:spacing w:after="0" w:line="123" w:lineRule="exact"/>
              <w:rPr>
                <w:sz w:val="20"/>
                <w:szCs w:val="20"/>
                <w:color w:val="auto"/>
              </w:rPr>
            </w:pPr>
            <w:r>
              <w:rPr>
                <w:rFonts w:ascii="Arial" w:cs="Arial" w:eastAsia="Arial" w:hAnsi="Arial"/>
                <w:sz w:val="12"/>
                <w:szCs w:val="12"/>
                <w:b w:val="1"/>
                <w:bCs w:val="1"/>
                <w:color w:val="FFFFFF"/>
              </w:rPr>
              <w:t>Target</w:t>
            </w:r>
          </w:p>
        </w:tc>
        <w:tc>
          <w:tcPr>
            <w:tcW w:w="520" w:type="dxa"/>
            <w:vAlign w:val="bottom"/>
            <w:shd w:val="clear" w:color="auto" w:fill="CF1D4C"/>
          </w:tcPr>
          <w:p>
            <w:pPr>
              <w:ind w:left="80"/>
              <w:spacing w:after="0" w:line="123" w:lineRule="exact"/>
              <w:rPr>
                <w:sz w:val="20"/>
                <w:szCs w:val="20"/>
                <w:color w:val="auto"/>
              </w:rPr>
            </w:pPr>
            <w:r>
              <w:rPr>
                <w:rFonts w:ascii="Arial" w:cs="Arial" w:eastAsia="Arial" w:hAnsi="Arial"/>
                <w:sz w:val="12"/>
                <w:szCs w:val="12"/>
                <w:b w:val="1"/>
                <w:bCs w:val="1"/>
                <w:color w:val="FFFFFF"/>
              </w:rPr>
              <w:t>Target</w:t>
            </w:r>
          </w:p>
        </w:tc>
        <w:tc>
          <w:tcPr>
            <w:tcW w:w="580" w:type="dxa"/>
            <w:vAlign w:val="bottom"/>
            <w:vMerge w:val="continue"/>
            <w:shd w:val="clear" w:color="auto" w:fill="CF1D4C"/>
          </w:tcPr>
          <w:p>
            <w:pPr>
              <w:spacing w:after="0"/>
              <w:rPr>
                <w:sz w:val="10"/>
                <w:szCs w:val="10"/>
                <w:color w:val="auto"/>
              </w:rPr>
            </w:pPr>
          </w:p>
        </w:tc>
        <w:tc>
          <w:tcPr>
            <w:tcW w:w="480" w:type="dxa"/>
            <w:vAlign w:val="bottom"/>
            <w:shd w:val="clear" w:color="auto" w:fill="CF1D4C"/>
          </w:tcPr>
          <w:p>
            <w:pPr>
              <w:ind w:left="40"/>
              <w:spacing w:after="0" w:line="123" w:lineRule="exact"/>
              <w:rPr>
                <w:sz w:val="20"/>
                <w:szCs w:val="20"/>
                <w:color w:val="auto"/>
              </w:rPr>
            </w:pPr>
            <w:r>
              <w:rPr>
                <w:rFonts w:ascii="Arial" w:cs="Arial" w:eastAsia="Arial" w:hAnsi="Arial"/>
                <w:sz w:val="12"/>
                <w:szCs w:val="12"/>
                <w:b w:val="1"/>
                <w:bCs w:val="1"/>
                <w:color w:val="FFFFFF"/>
              </w:rPr>
              <w:t>Target</w:t>
            </w:r>
          </w:p>
        </w:tc>
        <w:tc>
          <w:tcPr>
            <w:tcW w:w="660" w:type="dxa"/>
            <w:vAlign w:val="bottom"/>
            <w:shd w:val="clear" w:color="auto" w:fill="CF1D4C"/>
          </w:tcPr>
          <w:p>
            <w:pPr>
              <w:ind w:left="40"/>
              <w:spacing w:after="0" w:line="123" w:lineRule="exact"/>
              <w:rPr>
                <w:sz w:val="20"/>
                <w:szCs w:val="20"/>
                <w:color w:val="auto"/>
              </w:rPr>
            </w:pPr>
            <w:r>
              <w:rPr>
                <w:rFonts w:ascii="Arial" w:cs="Arial" w:eastAsia="Arial" w:hAnsi="Arial"/>
                <w:sz w:val="12"/>
                <w:szCs w:val="12"/>
                <w:b w:val="1"/>
                <w:bCs w:val="1"/>
                <w:color w:val="FFFFFF"/>
              </w:rPr>
              <w:t>Maximum</w:t>
            </w:r>
          </w:p>
        </w:tc>
        <w:tc>
          <w:tcPr>
            <w:tcW w:w="700" w:type="dxa"/>
            <w:vAlign w:val="bottom"/>
            <w:vMerge w:val="continue"/>
            <w:shd w:val="clear" w:color="auto" w:fill="CF1D4C"/>
          </w:tcPr>
          <w:p>
            <w:pPr>
              <w:spacing w:after="0"/>
              <w:rPr>
                <w:sz w:val="10"/>
                <w:szCs w:val="10"/>
                <w:color w:val="auto"/>
              </w:rPr>
            </w:pPr>
          </w:p>
        </w:tc>
        <w:tc>
          <w:tcPr>
            <w:tcW w:w="920" w:type="dxa"/>
            <w:vAlign w:val="bottom"/>
            <w:vMerge w:val="continue"/>
            <w:shd w:val="clear" w:color="auto" w:fill="CF1D4C"/>
          </w:tcPr>
          <w:p>
            <w:pPr>
              <w:spacing w:after="0"/>
              <w:rPr>
                <w:sz w:val="10"/>
                <w:szCs w:val="10"/>
                <w:color w:val="auto"/>
              </w:rPr>
            </w:pPr>
          </w:p>
        </w:tc>
        <w:tc>
          <w:tcPr>
            <w:tcW w:w="1020" w:type="dxa"/>
            <w:vAlign w:val="bottom"/>
            <w:vMerge w:val="continue"/>
            <w:shd w:val="clear" w:color="auto" w:fill="CF1D4C"/>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920" w:type="dxa"/>
            <w:vAlign w:val="bottom"/>
            <w:shd w:val="clear" w:color="auto" w:fill="CF1D4C"/>
          </w:tcPr>
          <w:p>
            <w:pPr>
              <w:ind w:left="60"/>
              <w:spacing w:after="0" w:line="80" w:lineRule="exact"/>
              <w:rPr>
                <w:sz w:val="20"/>
                <w:szCs w:val="20"/>
                <w:color w:val="auto"/>
              </w:rPr>
            </w:pPr>
            <w:r>
              <w:rPr>
                <w:rFonts w:ascii="Arial" w:cs="Arial" w:eastAsia="Arial" w:hAnsi="Arial"/>
                <w:sz w:val="9"/>
                <w:szCs w:val="9"/>
                <w:b w:val="1"/>
                <w:bCs w:val="1"/>
                <w:color w:val="FFFFFF"/>
              </w:rPr>
              <w:t>Metric</w:t>
            </w:r>
          </w:p>
        </w:tc>
        <w:tc>
          <w:tcPr>
            <w:tcW w:w="740" w:type="dxa"/>
            <w:vAlign w:val="bottom"/>
            <w:shd w:val="clear" w:color="auto" w:fill="CF1D4C"/>
          </w:tcPr>
          <w:p>
            <w:pPr>
              <w:ind w:left="60"/>
              <w:spacing w:after="0" w:line="80" w:lineRule="exact"/>
              <w:rPr>
                <w:sz w:val="20"/>
                <w:szCs w:val="20"/>
                <w:color w:val="auto"/>
              </w:rPr>
            </w:pPr>
            <w:r>
              <w:rPr>
                <w:rFonts w:ascii="Arial" w:cs="Arial" w:eastAsia="Arial" w:hAnsi="Arial"/>
                <w:sz w:val="9"/>
                <w:szCs w:val="9"/>
                <w:b w:val="1"/>
                <w:bCs w:val="1"/>
                <w:color w:val="FFFFFF"/>
              </w:rPr>
              <w:t> </w:t>
            </w:r>
          </w:p>
        </w:tc>
        <w:tc>
          <w:tcPr>
            <w:tcW w:w="840" w:type="dxa"/>
            <w:vAlign w:val="bottom"/>
            <w:vMerge w:val="restart"/>
            <w:shd w:val="clear" w:color="auto" w:fill="CF1D4C"/>
          </w:tcPr>
          <w:p>
            <w:pPr>
              <w:ind w:left="100"/>
              <w:spacing w:after="0"/>
              <w:rPr>
                <w:sz w:val="20"/>
                <w:szCs w:val="20"/>
                <w:color w:val="auto"/>
              </w:rPr>
            </w:pPr>
            <w:r>
              <w:rPr>
                <w:rFonts w:ascii="Arial" w:cs="Arial" w:eastAsia="Arial" w:hAnsi="Arial"/>
                <w:sz w:val="12"/>
                <w:szCs w:val="12"/>
                <w:b w:val="1"/>
                <w:bCs w:val="1"/>
                <w:color w:val="FFFFFF"/>
              </w:rPr>
              <w:t>millions)  </w:t>
            </w:r>
          </w:p>
        </w:tc>
        <w:tc>
          <w:tcPr>
            <w:tcW w:w="740" w:type="dxa"/>
            <w:vAlign w:val="bottom"/>
            <w:shd w:val="clear" w:color="auto" w:fill="CF1D4C"/>
          </w:tcPr>
          <w:p>
            <w:pPr>
              <w:ind w:left="80"/>
              <w:spacing w:after="0" w:line="80" w:lineRule="exact"/>
              <w:rPr>
                <w:sz w:val="20"/>
                <w:szCs w:val="20"/>
                <w:color w:val="auto"/>
              </w:rPr>
            </w:pPr>
            <w:r>
              <w:rPr>
                <w:rFonts w:ascii="Arial" w:cs="Arial" w:eastAsia="Arial" w:hAnsi="Arial"/>
                <w:sz w:val="9"/>
                <w:szCs w:val="9"/>
                <w:b w:val="1"/>
                <w:bCs w:val="1"/>
                <w:color w:val="FFFFFF"/>
              </w:rPr>
              <w:t>(50%)</w:t>
            </w:r>
          </w:p>
        </w:tc>
        <w:tc>
          <w:tcPr>
            <w:tcW w:w="52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(75%)</w:t>
            </w:r>
          </w:p>
        </w:tc>
        <w:tc>
          <w:tcPr>
            <w:tcW w:w="52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(85%)</w:t>
            </w:r>
          </w:p>
        </w:tc>
        <w:tc>
          <w:tcPr>
            <w:tcW w:w="580" w:type="dxa"/>
            <w:vAlign w:val="bottom"/>
            <w:shd w:val="clear" w:color="auto" w:fill="CF1D4C"/>
          </w:tcPr>
          <w:p>
            <w:pPr>
              <w:ind w:left="60"/>
              <w:spacing w:after="0" w:line="80" w:lineRule="exact"/>
              <w:rPr>
                <w:sz w:val="20"/>
                <w:szCs w:val="20"/>
                <w:color w:val="auto"/>
              </w:rPr>
            </w:pPr>
            <w:r>
              <w:rPr>
                <w:rFonts w:ascii="Arial" w:cs="Arial" w:eastAsia="Arial" w:hAnsi="Arial"/>
                <w:sz w:val="9"/>
                <w:szCs w:val="9"/>
                <w:b w:val="1"/>
                <w:bCs w:val="1"/>
                <w:color w:val="FFFFFF"/>
              </w:rPr>
              <w:t>(100%)</w:t>
            </w:r>
          </w:p>
        </w:tc>
        <w:tc>
          <w:tcPr>
            <w:tcW w:w="480" w:type="dxa"/>
            <w:vAlign w:val="bottom"/>
            <w:vMerge w:val="restart"/>
            <w:shd w:val="clear" w:color="auto" w:fill="CF1D4C"/>
          </w:tcPr>
          <w:p>
            <w:pPr>
              <w:ind w:left="40"/>
              <w:spacing w:after="0"/>
              <w:rPr>
                <w:sz w:val="20"/>
                <w:szCs w:val="20"/>
                <w:color w:val="auto"/>
              </w:rPr>
            </w:pPr>
            <w:r>
              <w:rPr>
                <w:rFonts w:ascii="Arial" w:cs="Arial" w:eastAsia="Arial" w:hAnsi="Arial"/>
                <w:sz w:val="12"/>
                <w:szCs w:val="12"/>
                <w:b w:val="1"/>
                <w:bCs w:val="1"/>
                <w:color w:val="FFFFFF"/>
              </w:rPr>
              <w:t>(125%)</w:t>
            </w:r>
          </w:p>
        </w:tc>
        <w:tc>
          <w:tcPr>
            <w:tcW w:w="660" w:type="dxa"/>
            <w:vAlign w:val="bottom"/>
            <w:vMerge w:val="restart"/>
            <w:shd w:val="clear" w:color="auto" w:fill="CF1D4C"/>
          </w:tcPr>
          <w:p>
            <w:pPr>
              <w:ind w:left="40"/>
              <w:spacing w:after="0"/>
              <w:rPr>
                <w:sz w:val="20"/>
                <w:szCs w:val="20"/>
                <w:color w:val="auto"/>
              </w:rPr>
            </w:pPr>
            <w:r>
              <w:rPr>
                <w:rFonts w:ascii="Arial" w:cs="Arial" w:eastAsia="Arial" w:hAnsi="Arial"/>
                <w:sz w:val="12"/>
                <w:szCs w:val="12"/>
                <w:b w:val="1"/>
                <w:bCs w:val="1"/>
                <w:color w:val="FFFFFF"/>
              </w:rPr>
              <w:t>(135%)</w:t>
            </w:r>
          </w:p>
        </w:tc>
        <w:tc>
          <w:tcPr>
            <w:tcW w:w="700" w:type="dxa"/>
            <w:vAlign w:val="bottom"/>
            <w:shd w:val="clear" w:color="auto" w:fill="CF1D4C"/>
          </w:tcPr>
          <w:p>
            <w:pPr>
              <w:ind w:left="80"/>
              <w:spacing w:after="0" w:line="80" w:lineRule="exact"/>
              <w:rPr>
                <w:sz w:val="20"/>
                <w:szCs w:val="20"/>
                <w:color w:val="auto"/>
              </w:rPr>
            </w:pPr>
            <w:r>
              <w:rPr>
                <w:rFonts w:ascii="Arial" w:cs="Arial" w:eastAsia="Arial" w:hAnsi="Arial"/>
                <w:sz w:val="9"/>
                <w:szCs w:val="9"/>
                <w:b w:val="1"/>
                <w:bCs w:val="1"/>
                <w:color w:val="FFFFFF"/>
              </w:rPr>
              <w:t>(150%)</w:t>
            </w:r>
          </w:p>
        </w:tc>
        <w:tc>
          <w:tcPr>
            <w:tcW w:w="920" w:type="dxa"/>
            <w:vAlign w:val="bottom"/>
            <w:shd w:val="clear" w:color="auto" w:fill="CF1D4C"/>
          </w:tcPr>
          <w:p>
            <w:pPr>
              <w:ind w:left="80"/>
              <w:spacing w:after="0" w:line="80" w:lineRule="exact"/>
              <w:rPr>
                <w:sz w:val="20"/>
                <w:szCs w:val="20"/>
                <w:color w:val="auto"/>
              </w:rPr>
            </w:pPr>
            <w:r>
              <w:rPr>
                <w:rFonts w:ascii="Arial" w:cs="Arial" w:eastAsia="Arial" w:hAnsi="Arial"/>
                <w:sz w:val="9"/>
                <w:szCs w:val="9"/>
                <w:b w:val="1"/>
                <w:bCs w:val="1"/>
                <w:color w:val="FFFFFF"/>
              </w:rPr>
              <w:t>($ values in</w:t>
            </w:r>
          </w:p>
        </w:tc>
        <w:tc>
          <w:tcPr>
            <w:tcW w:w="1020" w:type="dxa"/>
            <w:vAlign w:val="bottom"/>
            <w:shd w:val="clear" w:color="auto" w:fill="CF1D4C"/>
          </w:tcPr>
          <w:p>
            <w:pPr>
              <w:ind w:left="80"/>
              <w:spacing w:after="0" w:line="80" w:lineRule="exact"/>
              <w:rPr>
                <w:sz w:val="20"/>
                <w:szCs w:val="20"/>
                <w:color w:val="auto"/>
              </w:rPr>
            </w:pPr>
            <w:r>
              <w:rPr>
                <w:rFonts w:ascii="Arial" w:cs="Arial" w:eastAsia="Arial" w:hAnsi="Arial"/>
                <w:sz w:val="9"/>
                <w:szCs w:val="9"/>
                <w:b w:val="1"/>
                <w:bCs w:val="1"/>
                <w:color w:val="FFFFFF"/>
              </w:rPr>
              <w:t>Earned</w:t>
            </w: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920" w:type="dxa"/>
            <w:vAlign w:val="bottom"/>
            <w:shd w:val="clear" w:color="auto" w:fill="CF1D4C"/>
          </w:tcPr>
          <w:p>
            <w:pPr>
              <w:spacing w:after="0"/>
              <w:rPr>
                <w:sz w:val="8"/>
                <w:szCs w:val="8"/>
                <w:color w:val="auto"/>
              </w:rPr>
            </w:pPr>
          </w:p>
        </w:tc>
        <w:tc>
          <w:tcPr>
            <w:tcW w:w="740" w:type="dxa"/>
            <w:vAlign w:val="bottom"/>
            <w:shd w:val="clear" w:color="auto" w:fill="CF1D4C"/>
          </w:tcPr>
          <w:p>
            <w:pPr>
              <w:spacing w:after="0"/>
              <w:rPr>
                <w:sz w:val="8"/>
                <w:szCs w:val="8"/>
                <w:color w:val="auto"/>
              </w:rPr>
            </w:pPr>
          </w:p>
        </w:tc>
        <w:tc>
          <w:tcPr>
            <w:tcW w:w="840" w:type="dxa"/>
            <w:vAlign w:val="bottom"/>
            <w:vMerge w:val="continue"/>
            <w:shd w:val="clear" w:color="auto" w:fill="CF1D4C"/>
          </w:tcPr>
          <w:p>
            <w:pPr>
              <w:spacing w:after="0"/>
              <w:rPr>
                <w:sz w:val="8"/>
                <w:szCs w:val="8"/>
                <w:color w:val="auto"/>
              </w:rPr>
            </w:pPr>
          </w:p>
        </w:tc>
        <w:tc>
          <w:tcPr>
            <w:tcW w:w="740" w:type="dxa"/>
            <w:vAlign w:val="bottom"/>
            <w:shd w:val="clear" w:color="auto" w:fill="CF1D4C"/>
          </w:tcPr>
          <w:p>
            <w:pPr>
              <w:spacing w:after="0"/>
              <w:rPr>
                <w:sz w:val="8"/>
                <w:szCs w:val="8"/>
                <w:color w:val="auto"/>
              </w:rPr>
            </w:pPr>
          </w:p>
        </w:tc>
        <w:tc>
          <w:tcPr>
            <w:tcW w:w="520" w:type="dxa"/>
            <w:vAlign w:val="bottom"/>
            <w:vMerge w:val="continue"/>
            <w:shd w:val="clear" w:color="auto" w:fill="CF1D4C"/>
          </w:tcPr>
          <w:p>
            <w:pPr>
              <w:spacing w:after="0"/>
              <w:rPr>
                <w:sz w:val="8"/>
                <w:szCs w:val="8"/>
                <w:color w:val="auto"/>
              </w:rPr>
            </w:pPr>
          </w:p>
        </w:tc>
        <w:tc>
          <w:tcPr>
            <w:tcW w:w="520" w:type="dxa"/>
            <w:vAlign w:val="bottom"/>
            <w:vMerge w:val="continue"/>
            <w:shd w:val="clear" w:color="auto" w:fill="CF1D4C"/>
          </w:tcPr>
          <w:p>
            <w:pPr>
              <w:spacing w:after="0"/>
              <w:rPr>
                <w:sz w:val="8"/>
                <w:szCs w:val="8"/>
                <w:color w:val="auto"/>
              </w:rPr>
            </w:pPr>
          </w:p>
        </w:tc>
        <w:tc>
          <w:tcPr>
            <w:tcW w:w="580" w:type="dxa"/>
            <w:vAlign w:val="bottom"/>
            <w:shd w:val="clear" w:color="auto" w:fill="CF1D4C"/>
          </w:tcPr>
          <w:p>
            <w:pPr>
              <w:spacing w:after="0"/>
              <w:rPr>
                <w:sz w:val="8"/>
                <w:szCs w:val="8"/>
                <w:color w:val="auto"/>
              </w:rPr>
            </w:pPr>
          </w:p>
        </w:tc>
        <w:tc>
          <w:tcPr>
            <w:tcW w:w="480" w:type="dxa"/>
            <w:vAlign w:val="bottom"/>
            <w:vMerge w:val="continue"/>
            <w:shd w:val="clear" w:color="auto" w:fill="CF1D4C"/>
          </w:tcPr>
          <w:p>
            <w:pPr>
              <w:spacing w:after="0"/>
              <w:rPr>
                <w:sz w:val="8"/>
                <w:szCs w:val="8"/>
                <w:color w:val="auto"/>
              </w:rPr>
            </w:pPr>
          </w:p>
        </w:tc>
        <w:tc>
          <w:tcPr>
            <w:tcW w:w="660" w:type="dxa"/>
            <w:vAlign w:val="bottom"/>
            <w:vMerge w:val="continue"/>
            <w:shd w:val="clear" w:color="auto" w:fill="CF1D4C"/>
          </w:tcPr>
          <w:p>
            <w:pPr>
              <w:spacing w:after="0"/>
              <w:rPr>
                <w:sz w:val="8"/>
                <w:szCs w:val="8"/>
                <w:color w:val="auto"/>
              </w:rPr>
            </w:pPr>
          </w:p>
        </w:tc>
        <w:tc>
          <w:tcPr>
            <w:tcW w:w="700" w:type="dxa"/>
            <w:vAlign w:val="bottom"/>
            <w:shd w:val="clear" w:color="auto" w:fill="CF1D4C"/>
          </w:tcPr>
          <w:p>
            <w:pPr>
              <w:spacing w:after="0"/>
              <w:rPr>
                <w:sz w:val="8"/>
                <w:szCs w:val="8"/>
                <w:color w:val="auto"/>
              </w:rPr>
            </w:pPr>
          </w:p>
        </w:tc>
        <w:tc>
          <w:tcPr>
            <w:tcW w:w="92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millions)</w:t>
            </w:r>
          </w:p>
        </w:tc>
        <w:tc>
          <w:tcPr>
            <w:tcW w:w="1020" w:type="dxa"/>
            <w:vAlign w:val="bottom"/>
            <w:shd w:val="clear" w:color="auto" w:fill="CF1D4C"/>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920" w:type="dxa"/>
            <w:vAlign w:val="bottom"/>
            <w:shd w:val="clear" w:color="auto" w:fill="CF1D4C"/>
          </w:tcPr>
          <w:p>
            <w:pPr>
              <w:spacing w:after="0"/>
              <w:rPr>
                <w:sz w:val="5"/>
                <w:szCs w:val="5"/>
                <w:color w:val="auto"/>
              </w:rPr>
            </w:pPr>
          </w:p>
        </w:tc>
        <w:tc>
          <w:tcPr>
            <w:tcW w:w="740" w:type="dxa"/>
            <w:vAlign w:val="bottom"/>
            <w:shd w:val="clear" w:color="auto" w:fill="CF1D4C"/>
          </w:tcPr>
          <w:p>
            <w:pPr>
              <w:spacing w:after="0"/>
              <w:rPr>
                <w:sz w:val="5"/>
                <w:szCs w:val="5"/>
                <w:color w:val="auto"/>
              </w:rPr>
            </w:pPr>
          </w:p>
        </w:tc>
        <w:tc>
          <w:tcPr>
            <w:tcW w:w="840" w:type="dxa"/>
            <w:vAlign w:val="bottom"/>
            <w:shd w:val="clear" w:color="auto" w:fill="CF1D4C"/>
          </w:tcPr>
          <w:p>
            <w:pPr>
              <w:spacing w:after="0"/>
              <w:rPr>
                <w:sz w:val="5"/>
                <w:szCs w:val="5"/>
                <w:color w:val="auto"/>
              </w:rPr>
            </w:pPr>
          </w:p>
        </w:tc>
        <w:tc>
          <w:tcPr>
            <w:tcW w:w="740" w:type="dxa"/>
            <w:vAlign w:val="bottom"/>
            <w:shd w:val="clear" w:color="auto" w:fill="CF1D4C"/>
          </w:tcPr>
          <w:p>
            <w:pPr>
              <w:spacing w:after="0"/>
              <w:rPr>
                <w:sz w:val="5"/>
                <w:szCs w:val="5"/>
                <w:color w:val="auto"/>
              </w:rPr>
            </w:pPr>
          </w:p>
        </w:tc>
        <w:tc>
          <w:tcPr>
            <w:tcW w:w="520" w:type="dxa"/>
            <w:vAlign w:val="bottom"/>
            <w:shd w:val="clear" w:color="auto" w:fill="CF1D4C"/>
          </w:tcPr>
          <w:p>
            <w:pPr>
              <w:spacing w:after="0"/>
              <w:rPr>
                <w:sz w:val="5"/>
                <w:szCs w:val="5"/>
                <w:color w:val="auto"/>
              </w:rPr>
            </w:pPr>
          </w:p>
        </w:tc>
        <w:tc>
          <w:tcPr>
            <w:tcW w:w="520" w:type="dxa"/>
            <w:vAlign w:val="bottom"/>
            <w:shd w:val="clear" w:color="auto" w:fill="CF1D4C"/>
          </w:tcPr>
          <w:p>
            <w:pPr>
              <w:spacing w:after="0"/>
              <w:rPr>
                <w:sz w:val="5"/>
                <w:szCs w:val="5"/>
                <w:color w:val="auto"/>
              </w:rPr>
            </w:pPr>
          </w:p>
        </w:tc>
        <w:tc>
          <w:tcPr>
            <w:tcW w:w="580" w:type="dxa"/>
            <w:vAlign w:val="bottom"/>
            <w:shd w:val="clear" w:color="auto" w:fill="CF1D4C"/>
          </w:tcPr>
          <w:p>
            <w:pPr>
              <w:spacing w:after="0"/>
              <w:rPr>
                <w:sz w:val="5"/>
                <w:szCs w:val="5"/>
                <w:color w:val="auto"/>
              </w:rPr>
            </w:pPr>
          </w:p>
        </w:tc>
        <w:tc>
          <w:tcPr>
            <w:tcW w:w="480" w:type="dxa"/>
            <w:vAlign w:val="bottom"/>
            <w:shd w:val="clear" w:color="auto" w:fill="CF1D4C"/>
          </w:tcPr>
          <w:p>
            <w:pPr>
              <w:spacing w:after="0"/>
              <w:rPr>
                <w:sz w:val="5"/>
                <w:szCs w:val="5"/>
                <w:color w:val="auto"/>
              </w:rPr>
            </w:pPr>
          </w:p>
        </w:tc>
        <w:tc>
          <w:tcPr>
            <w:tcW w:w="660" w:type="dxa"/>
            <w:vAlign w:val="bottom"/>
            <w:shd w:val="clear" w:color="auto" w:fill="CF1D4C"/>
          </w:tcPr>
          <w:p>
            <w:pPr>
              <w:spacing w:after="0"/>
              <w:rPr>
                <w:sz w:val="5"/>
                <w:szCs w:val="5"/>
                <w:color w:val="auto"/>
              </w:rPr>
            </w:pPr>
          </w:p>
        </w:tc>
        <w:tc>
          <w:tcPr>
            <w:tcW w:w="700" w:type="dxa"/>
            <w:vAlign w:val="bottom"/>
            <w:shd w:val="clear" w:color="auto" w:fill="CF1D4C"/>
          </w:tcPr>
          <w:p>
            <w:pPr>
              <w:spacing w:after="0"/>
              <w:rPr>
                <w:sz w:val="5"/>
                <w:szCs w:val="5"/>
                <w:color w:val="auto"/>
              </w:rPr>
            </w:pPr>
          </w:p>
        </w:tc>
        <w:tc>
          <w:tcPr>
            <w:tcW w:w="920" w:type="dxa"/>
            <w:vAlign w:val="bottom"/>
            <w:vMerge w:val="continue"/>
            <w:shd w:val="clear" w:color="auto" w:fill="CF1D4C"/>
          </w:tcPr>
          <w:p>
            <w:pPr>
              <w:spacing w:after="0"/>
              <w:rPr>
                <w:sz w:val="5"/>
                <w:szCs w:val="5"/>
                <w:color w:val="auto"/>
              </w:rPr>
            </w:pPr>
          </w:p>
        </w:tc>
        <w:tc>
          <w:tcPr>
            <w:tcW w:w="1020" w:type="dxa"/>
            <w:vAlign w:val="bottom"/>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120" w:type="dxa"/>
            <w:vAlign w:val="bottom"/>
          </w:tcPr>
          <w:p>
            <w:pPr>
              <w:spacing w:after="0"/>
              <w:rPr>
                <w:sz w:val="7"/>
                <w:szCs w:val="7"/>
                <w:color w:val="auto"/>
              </w:rPr>
            </w:pPr>
          </w:p>
        </w:tc>
        <w:tc>
          <w:tcPr>
            <w:tcW w:w="920" w:type="dxa"/>
            <w:vAlign w:val="bottom"/>
            <w:shd w:val="clear" w:color="auto" w:fill="CF1D4C"/>
          </w:tcPr>
          <w:p>
            <w:pPr>
              <w:spacing w:after="0"/>
              <w:rPr>
                <w:sz w:val="7"/>
                <w:szCs w:val="7"/>
                <w:color w:val="auto"/>
              </w:rPr>
            </w:pPr>
          </w:p>
        </w:tc>
        <w:tc>
          <w:tcPr>
            <w:tcW w:w="740" w:type="dxa"/>
            <w:vAlign w:val="bottom"/>
            <w:shd w:val="clear" w:color="auto" w:fill="CF1D4C"/>
          </w:tcPr>
          <w:p>
            <w:pPr>
              <w:spacing w:after="0"/>
              <w:rPr>
                <w:sz w:val="7"/>
                <w:szCs w:val="7"/>
                <w:color w:val="auto"/>
              </w:rPr>
            </w:pPr>
          </w:p>
        </w:tc>
        <w:tc>
          <w:tcPr>
            <w:tcW w:w="840" w:type="dxa"/>
            <w:vAlign w:val="bottom"/>
            <w:shd w:val="clear" w:color="auto" w:fill="CF1D4C"/>
          </w:tcPr>
          <w:p>
            <w:pPr>
              <w:spacing w:after="0"/>
              <w:rPr>
                <w:sz w:val="7"/>
                <w:szCs w:val="7"/>
                <w:color w:val="auto"/>
              </w:rPr>
            </w:pPr>
          </w:p>
        </w:tc>
        <w:tc>
          <w:tcPr>
            <w:tcW w:w="740" w:type="dxa"/>
            <w:vAlign w:val="bottom"/>
            <w:shd w:val="clear" w:color="auto" w:fill="CF1D4C"/>
          </w:tcPr>
          <w:p>
            <w:pPr>
              <w:spacing w:after="0"/>
              <w:rPr>
                <w:sz w:val="7"/>
                <w:szCs w:val="7"/>
                <w:color w:val="auto"/>
              </w:rPr>
            </w:pPr>
          </w:p>
        </w:tc>
        <w:tc>
          <w:tcPr>
            <w:tcW w:w="520" w:type="dxa"/>
            <w:vAlign w:val="bottom"/>
            <w:shd w:val="clear" w:color="auto" w:fill="CF1D4C"/>
          </w:tcPr>
          <w:p>
            <w:pPr>
              <w:spacing w:after="0"/>
              <w:rPr>
                <w:sz w:val="7"/>
                <w:szCs w:val="7"/>
                <w:color w:val="auto"/>
              </w:rPr>
            </w:pPr>
          </w:p>
        </w:tc>
        <w:tc>
          <w:tcPr>
            <w:tcW w:w="520" w:type="dxa"/>
            <w:vAlign w:val="bottom"/>
            <w:shd w:val="clear" w:color="auto" w:fill="CF1D4C"/>
          </w:tcPr>
          <w:p>
            <w:pPr>
              <w:spacing w:after="0"/>
              <w:rPr>
                <w:sz w:val="7"/>
                <w:szCs w:val="7"/>
                <w:color w:val="auto"/>
              </w:rPr>
            </w:pPr>
          </w:p>
        </w:tc>
        <w:tc>
          <w:tcPr>
            <w:tcW w:w="580" w:type="dxa"/>
            <w:vAlign w:val="bottom"/>
            <w:shd w:val="clear" w:color="auto" w:fill="CF1D4C"/>
          </w:tcPr>
          <w:p>
            <w:pPr>
              <w:spacing w:after="0"/>
              <w:rPr>
                <w:sz w:val="7"/>
                <w:szCs w:val="7"/>
                <w:color w:val="auto"/>
              </w:rPr>
            </w:pPr>
          </w:p>
        </w:tc>
        <w:tc>
          <w:tcPr>
            <w:tcW w:w="480" w:type="dxa"/>
            <w:vAlign w:val="bottom"/>
            <w:shd w:val="clear" w:color="auto" w:fill="CF1D4C"/>
          </w:tcPr>
          <w:p>
            <w:pPr>
              <w:spacing w:after="0"/>
              <w:rPr>
                <w:sz w:val="7"/>
                <w:szCs w:val="7"/>
                <w:color w:val="auto"/>
              </w:rPr>
            </w:pPr>
          </w:p>
        </w:tc>
        <w:tc>
          <w:tcPr>
            <w:tcW w:w="660" w:type="dxa"/>
            <w:vAlign w:val="bottom"/>
            <w:shd w:val="clear" w:color="auto" w:fill="CF1D4C"/>
          </w:tcPr>
          <w:p>
            <w:pPr>
              <w:spacing w:after="0"/>
              <w:rPr>
                <w:sz w:val="7"/>
                <w:szCs w:val="7"/>
                <w:color w:val="auto"/>
              </w:rPr>
            </w:pPr>
          </w:p>
        </w:tc>
        <w:tc>
          <w:tcPr>
            <w:tcW w:w="700" w:type="dxa"/>
            <w:vAlign w:val="bottom"/>
            <w:shd w:val="clear" w:color="auto" w:fill="CF1D4C"/>
          </w:tcPr>
          <w:p>
            <w:pPr>
              <w:spacing w:after="0"/>
              <w:rPr>
                <w:sz w:val="7"/>
                <w:szCs w:val="7"/>
                <w:color w:val="auto"/>
              </w:rPr>
            </w:pPr>
          </w:p>
        </w:tc>
        <w:tc>
          <w:tcPr>
            <w:tcW w:w="920" w:type="dxa"/>
            <w:vAlign w:val="bottom"/>
            <w:shd w:val="clear" w:color="auto" w:fill="CF1D4C"/>
          </w:tcPr>
          <w:p>
            <w:pPr>
              <w:spacing w:after="0"/>
              <w:rPr>
                <w:sz w:val="7"/>
                <w:szCs w:val="7"/>
                <w:color w:val="auto"/>
              </w:rPr>
            </w:pPr>
          </w:p>
        </w:tc>
        <w:tc>
          <w:tcPr>
            <w:tcW w:w="1020" w:type="dxa"/>
            <w:vAlign w:val="bottom"/>
            <w:shd w:val="clear" w:color="auto" w:fill="CF1D4C"/>
          </w:tcPr>
          <w:p>
            <w:pPr>
              <w:spacing w:after="0"/>
              <w:rPr>
                <w:sz w:val="7"/>
                <w:szCs w:val="7"/>
                <w:color w:val="auto"/>
              </w:rPr>
            </w:pPr>
          </w:p>
        </w:tc>
        <w:tc>
          <w:tcPr>
            <w:tcW w:w="0" w:type="dxa"/>
            <w:vAlign w:val="bottom"/>
          </w:tcPr>
          <w:p>
            <w:pPr>
              <w:spacing w:after="0"/>
              <w:rPr>
                <w:sz w:val="1"/>
                <w:szCs w:val="1"/>
                <w:color w:val="auto"/>
              </w:rPr>
            </w:pPr>
          </w:p>
        </w:tc>
      </w:tr>
      <w:tr>
        <w:trPr>
          <w:trHeight w:val="316"/>
        </w:trPr>
        <w:tc>
          <w:tcPr>
            <w:tcW w:w="12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333333"/>
              </w:rPr>
              <w:t>Global Fleet</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333333"/>
              </w:rPr>
              <w:t>30%</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333333"/>
              </w:rPr>
              <w:t>$​168.7</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333333"/>
              </w:rPr>
              <w:t>$​151.8</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333333"/>
              </w:rPr>
              <w:t>$​160.3</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333333"/>
              </w:rPr>
              <w:t>$​163.6</w:t>
            </w: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333333"/>
              </w:rPr>
              <w:t>$​168.7</w:t>
            </w: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333333"/>
              </w:rPr>
              <w:t>$​177.1</w:t>
            </w: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333333"/>
              </w:rPr>
              <w:t>$​180.5</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333333"/>
              </w:rPr>
              <w:t>$​185.6</w:t>
            </w: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333333"/>
              </w:rPr>
              <w:t>$​153.5</w:t>
            </w:r>
          </w:p>
        </w:tc>
        <w:tc>
          <w:tcPr>
            <w:tcW w:w="1020" w:type="dxa"/>
            <w:vAlign w:val="bottom"/>
            <w:vMerge w:val="restart"/>
          </w:tcPr>
          <w:p>
            <w:pPr>
              <w:ind w:left="80"/>
              <w:spacing w:after="0"/>
              <w:rPr>
                <w:sz w:val="20"/>
                <w:szCs w:val="20"/>
                <w:color w:val="auto"/>
              </w:rPr>
            </w:pPr>
            <w:r>
              <w:rPr>
                <w:rFonts w:ascii="Arial" w:cs="Arial" w:eastAsia="Arial" w:hAnsi="Arial"/>
                <w:sz w:val="12"/>
                <w:szCs w:val="12"/>
                <w:b w:val="1"/>
                <w:bCs w:val="1"/>
                <w:color w:val="333333"/>
              </w:rPr>
              <w:t>50%</w:t>
            </w: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333333"/>
              </w:rPr>
              <w:t>Sales</w:t>
            </w:r>
            <w:r>
              <w:rPr>
                <w:rFonts w:ascii="Arial" w:cs="Arial" w:eastAsia="Arial" w:hAnsi="Arial"/>
                <w:sz w:val="20"/>
                <w:szCs w:val="20"/>
                <w:b w:val="1"/>
                <w:bCs w:val="1"/>
                <w:color w:val="333333"/>
                <w:vertAlign w:val="superscript"/>
              </w:rPr>
              <w:t>(1)</w:t>
            </w:r>
          </w:p>
        </w:tc>
        <w:tc>
          <w:tcPr>
            <w:tcW w:w="7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20" w:type="dxa"/>
            <w:vAlign w:val="bottom"/>
            <w:shd w:val="clear" w:color="auto" w:fill="D9D9D9"/>
          </w:tcPr>
          <w:p>
            <w:pPr>
              <w:spacing w:after="0"/>
              <w:rPr>
                <w:sz w:val="22"/>
                <w:szCs w:val="22"/>
                <w:color w:val="auto"/>
              </w:rPr>
            </w:pPr>
          </w:p>
        </w:tc>
        <w:tc>
          <w:tcPr>
            <w:tcW w:w="920" w:type="dxa"/>
            <w:vAlign w:val="bottom"/>
            <w:shd w:val="clear" w:color="auto" w:fill="D9D9D9"/>
          </w:tcPr>
          <w:p>
            <w:pPr>
              <w:ind w:left="60"/>
              <w:spacing w:after="0"/>
              <w:rPr>
                <w:sz w:val="20"/>
                <w:szCs w:val="20"/>
                <w:color w:val="auto"/>
              </w:rPr>
            </w:pPr>
            <w:r>
              <w:rPr>
                <w:rFonts w:ascii="Arial" w:cs="Arial" w:eastAsia="Arial" w:hAnsi="Arial"/>
                <w:sz w:val="12"/>
                <w:szCs w:val="12"/>
                <w:b w:val="1"/>
                <w:bCs w:val="1"/>
                <w:color w:val="333333"/>
              </w:rPr>
              <w:t>Revenue</w:t>
            </w:r>
          </w:p>
        </w:tc>
        <w:tc>
          <w:tcPr>
            <w:tcW w:w="740" w:type="dxa"/>
            <w:vAlign w:val="bottom"/>
            <w:vMerge w:val="restart"/>
            <w:shd w:val="clear" w:color="auto" w:fill="D9D9D9"/>
          </w:tcPr>
          <w:p>
            <w:pPr>
              <w:ind w:left="60"/>
              <w:spacing w:after="0"/>
              <w:rPr>
                <w:sz w:val="20"/>
                <w:szCs w:val="20"/>
                <w:color w:val="auto"/>
              </w:rPr>
            </w:pPr>
            <w:r>
              <w:rPr>
                <w:rFonts w:ascii="Arial" w:cs="Arial" w:eastAsia="Arial" w:hAnsi="Arial"/>
                <w:sz w:val="12"/>
                <w:szCs w:val="12"/>
                <w:b w:val="1"/>
                <w:bCs w:val="1"/>
                <w:color w:val="333333"/>
              </w:rPr>
              <w:t>20%</w:t>
            </w:r>
          </w:p>
        </w:tc>
        <w:tc>
          <w:tcPr>
            <w:tcW w:w="840" w:type="dxa"/>
            <w:vAlign w:val="bottom"/>
            <w:shd w:val="clear" w:color="auto" w:fill="D9D9D9"/>
          </w:tcPr>
          <w:p>
            <w:pPr>
              <w:ind w:left="100"/>
              <w:spacing w:after="0"/>
              <w:rPr>
                <w:sz w:val="20"/>
                <w:szCs w:val="20"/>
                <w:color w:val="auto"/>
              </w:rPr>
            </w:pPr>
            <w:r>
              <w:rPr>
                <w:rFonts w:ascii="Arial" w:cs="Arial" w:eastAsia="Arial" w:hAnsi="Arial"/>
                <w:sz w:val="12"/>
                <w:szCs w:val="12"/>
                <w:b w:val="1"/>
                <w:bCs w:val="1"/>
                <w:color w:val="333333"/>
              </w:rPr>
              <w:t>At plan</w:t>
            </w:r>
          </w:p>
        </w:tc>
        <w:tc>
          <w:tcPr>
            <w:tcW w:w="740" w:type="dxa"/>
            <w:vAlign w:val="bottom"/>
            <w:vMerge w:val="restart"/>
            <w:shd w:val="clear" w:color="auto" w:fill="D9D9D9"/>
          </w:tcPr>
          <w:p>
            <w:pPr>
              <w:ind w:left="80"/>
              <w:spacing w:after="0"/>
              <w:rPr>
                <w:sz w:val="20"/>
                <w:szCs w:val="20"/>
                <w:color w:val="auto"/>
              </w:rPr>
            </w:pPr>
            <w:r>
              <w:rPr>
                <w:rFonts w:ascii="Arial" w:cs="Arial" w:eastAsia="Arial" w:hAnsi="Arial"/>
                <w:sz w:val="12"/>
                <w:szCs w:val="12"/>
                <w:b w:val="1"/>
                <w:bCs w:val="1"/>
                <w:color w:val="333333"/>
              </w:rPr>
              <w:t>≥98%</w:t>
            </w:r>
          </w:p>
        </w:tc>
        <w:tc>
          <w:tcPr>
            <w:tcW w:w="520" w:type="dxa"/>
            <w:vAlign w:val="bottom"/>
            <w:vMerge w:val="restart"/>
            <w:shd w:val="clear" w:color="auto" w:fill="D9D9D9"/>
          </w:tcPr>
          <w:p>
            <w:pPr>
              <w:ind w:left="80"/>
              <w:spacing w:after="0"/>
              <w:rPr>
                <w:sz w:val="20"/>
                <w:szCs w:val="20"/>
                <w:color w:val="auto"/>
              </w:rPr>
            </w:pPr>
            <w:r>
              <w:rPr>
                <w:rFonts w:ascii="Arial" w:cs="Arial" w:eastAsia="Arial" w:hAnsi="Arial"/>
                <w:sz w:val="12"/>
                <w:szCs w:val="12"/>
                <w:b w:val="1"/>
                <w:bCs w:val="1"/>
                <w:color w:val="333333"/>
              </w:rPr>
              <w:t>≥99%</w:t>
            </w:r>
          </w:p>
        </w:tc>
        <w:tc>
          <w:tcPr>
            <w:tcW w:w="520" w:type="dxa"/>
            <w:vAlign w:val="bottom"/>
            <w:vMerge w:val="restart"/>
            <w:shd w:val="clear" w:color="auto" w:fill="D9D9D9"/>
          </w:tcPr>
          <w:p>
            <w:pPr>
              <w:ind w:left="80"/>
              <w:spacing w:after="0"/>
              <w:rPr>
                <w:sz w:val="20"/>
                <w:szCs w:val="20"/>
                <w:color w:val="auto"/>
              </w:rPr>
            </w:pPr>
            <w:r>
              <w:rPr>
                <w:rFonts w:ascii="Arial" w:cs="Arial" w:eastAsia="Arial" w:hAnsi="Arial"/>
                <w:sz w:val="12"/>
                <w:szCs w:val="12"/>
                <w:b w:val="1"/>
                <w:bCs w:val="1"/>
                <w:color w:val="333333"/>
              </w:rPr>
              <w:t>-</w:t>
            </w:r>
          </w:p>
        </w:tc>
        <w:tc>
          <w:tcPr>
            <w:tcW w:w="580" w:type="dxa"/>
            <w:vAlign w:val="bottom"/>
            <w:vMerge w:val="restart"/>
            <w:shd w:val="clear" w:color="auto" w:fill="D9D9D9"/>
          </w:tcPr>
          <w:p>
            <w:pPr>
              <w:ind w:left="60"/>
              <w:spacing w:after="0"/>
              <w:rPr>
                <w:sz w:val="20"/>
                <w:szCs w:val="20"/>
                <w:color w:val="auto"/>
              </w:rPr>
            </w:pPr>
            <w:r>
              <w:rPr>
                <w:rFonts w:ascii="Arial" w:cs="Arial" w:eastAsia="Arial" w:hAnsi="Arial"/>
                <w:sz w:val="12"/>
                <w:szCs w:val="12"/>
                <w:b w:val="1"/>
                <w:bCs w:val="1"/>
                <w:color w:val="333333"/>
              </w:rPr>
              <w:t>≥100%</w:t>
            </w:r>
          </w:p>
        </w:tc>
        <w:tc>
          <w:tcPr>
            <w:tcW w:w="480" w:type="dxa"/>
            <w:vAlign w:val="bottom"/>
            <w:vMerge w:val="restart"/>
            <w:shd w:val="clear" w:color="auto" w:fill="D9D9D9"/>
          </w:tcPr>
          <w:p>
            <w:pPr>
              <w:ind w:left="40"/>
              <w:spacing w:after="0"/>
              <w:rPr>
                <w:sz w:val="20"/>
                <w:szCs w:val="20"/>
                <w:color w:val="auto"/>
              </w:rPr>
            </w:pPr>
            <w:r>
              <w:rPr>
                <w:rFonts w:ascii="Arial" w:cs="Arial" w:eastAsia="Arial" w:hAnsi="Arial"/>
                <w:sz w:val="12"/>
                <w:szCs w:val="12"/>
                <w:b w:val="1"/>
                <w:bCs w:val="1"/>
                <w:color w:val="333333"/>
              </w:rPr>
              <w:t>≥101%</w:t>
            </w:r>
          </w:p>
        </w:tc>
        <w:tc>
          <w:tcPr>
            <w:tcW w:w="660" w:type="dxa"/>
            <w:vAlign w:val="bottom"/>
            <w:vMerge w:val="restart"/>
            <w:shd w:val="clear" w:color="auto" w:fill="D9D9D9"/>
          </w:tcPr>
          <w:p>
            <w:pPr>
              <w:ind w:left="40"/>
              <w:spacing w:after="0"/>
              <w:rPr>
                <w:sz w:val="20"/>
                <w:szCs w:val="20"/>
                <w:color w:val="auto"/>
              </w:rPr>
            </w:pPr>
            <w:r>
              <w:rPr>
                <w:rFonts w:ascii="Arial" w:cs="Arial" w:eastAsia="Arial" w:hAnsi="Arial"/>
                <w:sz w:val="12"/>
                <w:szCs w:val="12"/>
                <w:b w:val="1"/>
                <w:bCs w:val="1"/>
                <w:color w:val="333333"/>
              </w:rPr>
              <w:t>-</w:t>
            </w:r>
          </w:p>
        </w:tc>
        <w:tc>
          <w:tcPr>
            <w:tcW w:w="700" w:type="dxa"/>
            <w:vAlign w:val="bottom"/>
            <w:vMerge w:val="restart"/>
            <w:shd w:val="clear" w:color="auto" w:fill="D9D9D9"/>
          </w:tcPr>
          <w:p>
            <w:pPr>
              <w:ind w:left="80"/>
              <w:spacing w:after="0"/>
              <w:rPr>
                <w:sz w:val="20"/>
                <w:szCs w:val="20"/>
                <w:color w:val="auto"/>
              </w:rPr>
            </w:pPr>
            <w:r>
              <w:rPr>
                <w:rFonts w:ascii="Arial" w:cs="Arial" w:eastAsia="Arial" w:hAnsi="Arial"/>
                <w:sz w:val="12"/>
                <w:szCs w:val="12"/>
                <w:b w:val="1"/>
                <w:bCs w:val="1"/>
                <w:color w:val="333333"/>
              </w:rPr>
              <w:t>≥102%</w:t>
            </w:r>
          </w:p>
        </w:tc>
        <w:tc>
          <w:tcPr>
            <w:tcW w:w="92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Achieved</w:t>
            </w:r>
          </w:p>
        </w:tc>
        <w:tc>
          <w:tcPr>
            <w:tcW w:w="1020" w:type="dxa"/>
            <w:vAlign w:val="bottom"/>
            <w:vMerge w:val="restart"/>
            <w:shd w:val="clear" w:color="auto" w:fill="D9D9D9"/>
          </w:tcPr>
          <w:p>
            <w:pPr>
              <w:ind w:left="80"/>
              <w:spacing w:after="0"/>
              <w:rPr>
                <w:sz w:val="20"/>
                <w:szCs w:val="20"/>
                <w:color w:val="auto"/>
              </w:rPr>
            </w:pPr>
            <w:r>
              <w:rPr>
                <w:rFonts w:ascii="Arial" w:cs="Arial" w:eastAsia="Arial" w:hAnsi="Arial"/>
                <w:sz w:val="12"/>
                <w:szCs w:val="12"/>
                <w:b w:val="1"/>
                <w:bCs w:val="1"/>
                <w:color w:val="333333"/>
              </w:rPr>
              <w:t>75%</w:t>
            </w:r>
          </w:p>
        </w:tc>
        <w:tc>
          <w:tcPr>
            <w:tcW w:w="0" w:type="dxa"/>
            <w:vAlign w:val="bottom"/>
          </w:tcPr>
          <w:p>
            <w:pPr>
              <w:spacing w:after="0"/>
              <w:rPr>
                <w:sz w:val="1"/>
                <w:szCs w:val="1"/>
                <w:color w:val="auto"/>
              </w:rPr>
            </w:pPr>
          </w:p>
        </w:tc>
      </w:tr>
      <w:tr>
        <w:trPr>
          <w:trHeight w:val="122"/>
        </w:trPr>
        <w:tc>
          <w:tcPr>
            <w:tcW w:w="120" w:type="dxa"/>
            <w:vAlign w:val="bottom"/>
            <w:shd w:val="clear" w:color="auto" w:fill="D9D9D9"/>
          </w:tcPr>
          <w:p>
            <w:pPr>
              <w:spacing w:after="0"/>
              <w:rPr>
                <w:sz w:val="10"/>
                <w:szCs w:val="10"/>
                <w:color w:val="auto"/>
              </w:rPr>
            </w:pPr>
          </w:p>
        </w:tc>
        <w:tc>
          <w:tcPr>
            <w:tcW w:w="920" w:type="dxa"/>
            <w:vAlign w:val="bottom"/>
            <w:shd w:val="clear" w:color="auto" w:fill="D9D9D9"/>
          </w:tcPr>
          <w:p>
            <w:pPr>
              <w:ind w:left="620"/>
              <w:spacing w:after="0"/>
              <w:rPr>
                <w:sz w:val="20"/>
                <w:szCs w:val="20"/>
                <w:color w:val="auto"/>
              </w:rPr>
            </w:pPr>
            <w:r>
              <w:rPr>
                <w:rFonts w:ascii="Arial" w:cs="Arial" w:eastAsia="Arial" w:hAnsi="Arial"/>
                <w:sz w:val="10"/>
                <w:szCs w:val="10"/>
                <w:b w:val="1"/>
                <w:bCs w:val="1"/>
                <w:color w:val="333333"/>
              </w:rPr>
              <w:t>(1)(2)</w:t>
            </w:r>
          </w:p>
        </w:tc>
        <w:tc>
          <w:tcPr>
            <w:tcW w:w="740" w:type="dxa"/>
            <w:vAlign w:val="bottom"/>
            <w:vMerge w:val="continue"/>
            <w:shd w:val="clear" w:color="auto" w:fill="D9D9D9"/>
          </w:tcPr>
          <w:p>
            <w:pPr>
              <w:spacing w:after="0"/>
              <w:rPr>
                <w:sz w:val="10"/>
                <w:szCs w:val="10"/>
                <w:color w:val="auto"/>
              </w:rPr>
            </w:pPr>
          </w:p>
        </w:tc>
        <w:tc>
          <w:tcPr>
            <w:tcW w:w="840" w:type="dxa"/>
            <w:vAlign w:val="bottom"/>
            <w:shd w:val="clear" w:color="auto" w:fill="D9D9D9"/>
          </w:tcPr>
          <w:p>
            <w:pPr>
              <w:ind w:left="100"/>
              <w:spacing w:after="0" w:line="122" w:lineRule="exact"/>
              <w:rPr>
                <w:sz w:val="20"/>
                <w:szCs w:val="20"/>
                <w:color w:val="auto"/>
              </w:rPr>
            </w:pPr>
            <w:r>
              <w:rPr>
                <w:rFonts w:ascii="Arial" w:cs="Arial" w:eastAsia="Arial" w:hAnsi="Arial"/>
                <w:sz w:val="12"/>
                <w:szCs w:val="12"/>
                <w:b w:val="1"/>
                <w:bCs w:val="1"/>
                <w:color w:val="333333"/>
              </w:rPr>
              <w:t>for each</w:t>
            </w:r>
          </w:p>
        </w:tc>
        <w:tc>
          <w:tcPr>
            <w:tcW w:w="740" w:type="dxa"/>
            <w:vAlign w:val="bottom"/>
            <w:vMerge w:val="continue"/>
            <w:shd w:val="clear" w:color="auto" w:fill="D9D9D9"/>
          </w:tcPr>
          <w:p>
            <w:pPr>
              <w:spacing w:after="0"/>
              <w:rPr>
                <w:sz w:val="10"/>
                <w:szCs w:val="10"/>
                <w:color w:val="auto"/>
              </w:rPr>
            </w:pPr>
          </w:p>
        </w:tc>
        <w:tc>
          <w:tcPr>
            <w:tcW w:w="520" w:type="dxa"/>
            <w:vAlign w:val="bottom"/>
            <w:vMerge w:val="continue"/>
            <w:shd w:val="clear" w:color="auto" w:fill="D9D9D9"/>
          </w:tcPr>
          <w:p>
            <w:pPr>
              <w:spacing w:after="0"/>
              <w:rPr>
                <w:sz w:val="10"/>
                <w:szCs w:val="10"/>
                <w:color w:val="auto"/>
              </w:rPr>
            </w:pPr>
          </w:p>
        </w:tc>
        <w:tc>
          <w:tcPr>
            <w:tcW w:w="520" w:type="dxa"/>
            <w:vAlign w:val="bottom"/>
            <w:vMerge w:val="continue"/>
            <w:shd w:val="clear" w:color="auto" w:fill="D9D9D9"/>
          </w:tcPr>
          <w:p>
            <w:pPr>
              <w:spacing w:after="0"/>
              <w:rPr>
                <w:sz w:val="10"/>
                <w:szCs w:val="10"/>
                <w:color w:val="auto"/>
              </w:rPr>
            </w:pPr>
          </w:p>
        </w:tc>
        <w:tc>
          <w:tcPr>
            <w:tcW w:w="580" w:type="dxa"/>
            <w:vAlign w:val="bottom"/>
            <w:vMerge w:val="continue"/>
            <w:shd w:val="clear" w:color="auto" w:fill="D9D9D9"/>
          </w:tcPr>
          <w:p>
            <w:pPr>
              <w:spacing w:after="0"/>
              <w:rPr>
                <w:sz w:val="10"/>
                <w:szCs w:val="10"/>
                <w:color w:val="auto"/>
              </w:rPr>
            </w:pPr>
          </w:p>
        </w:tc>
        <w:tc>
          <w:tcPr>
            <w:tcW w:w="480" w:type="dxa"/>
            <w:vAlign w:val="bottom"/>
            <w:vMerge w:val="continue"/>
            <w:shd w:val="clear" w:color="auto" w:fill="D9D9D9"/>
          </w:tcPr>
          <w:p>
            <w:pPr>
              <w:spacing w:after="0"/>
              <w:rPr>
                <w:sz w:val="10"/>
                <w:szCs w:val="10"/>
                <w:color w:val="auto"/>
              </w:rPr>
            </w:pPr>
          </w:p>
        </w:tc>
        <w:tc>
          <w:tcPr>
            <w:tcW w:w="660" w:type="dxa"/>
            <w:vAlign w:val="bottom"/>
            <w:vMerge w:val="continue"/>
            <w:shd w:val="clear" w:color="auto" w:fill="D9D9D9"/>
          </w:tcPr>
          <w:p>
            <w:pPr>
              <w:spacing w:after="0"/>
              <w:rPr>
                <w:sz w:val="10"/>
                <w:szCs w:val="10"/>
                <w:color w:val="auto"/>
              </w:rPr>
            </w:pPr>
          </w:p>
        </w:tc>
        <w:tc>
          <w:tcPr>
            <w:tcW w:w="700" w:type="dxa"/>
            <w:vAlign w:val="bottom"/>
            <w:vMerge w:val="continue"/>
            <w:shd w:val="clear" w:color="auto" w:fill="D9D9D9"/>
          </w:tcPr>
          <w:p>
            <w:pPr>
              <w:spacing w:after="0"/>
              <w:rPr>
                <w:sz w:val="10"/>
                <w:szCs w:val="10"/>
                <w:color w:val="auto"/>
              </w:rPr>
            </w:pPr>
          </w:p>
        </w:tc>
        <w:tc>
          <w:tcPr>
            <w:tcW w:w="920" w:type="dxa"/>
            <w:vAlign w:val="bottom"/>
            <w:shd w:val="clear" w:color="auto" w:fill="D9D9D9"/>
          </w:tcPr>
          <w:p>
            <w:pPr>
              <w:ind w:left="80"/>
              <w:spacing w:after="0" w:line="122" w:lineRule="exact"/>
              <w:rPr>
                <w:sz w:val="20"/>
                <w:szCs w:val="20"/>
                <w:color w:val="auto"/>
              </w:rPr>
            </w:pPr>
            <w:r>
              <w:rPr>
                <w:rFonts w:ascii="Arial" w:cs="Arial" w:eastAsia="Arial" w:hAnsi="Arial"/>
                <w:sz w:val="12"/>
                <w:szCs w:val="12"/>
                <w:b w:val="1"/>
                <w:bCs w:val="1"/>
                <w:color w:val="333333"/>
              </w:rPr>
              <w:t>in 2 of 4</w:t>
            </w:r>
          </w:p>
        </w:tc>
        <w:tc>
          <w:tcPr>
            <w:tcW w:w="1020" w:type="dxa"/>
            <w:vAlign w:val="bottom"/>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shd w:val="clear" w:color="auto" w:fill="D9D9D9"/>
          </w:tcPr>
          <w:p>
            <w:pPr>
              <w:spacing w:after="0"/>
              <w:rPr>
                <w:sz w:val="9"/>
                <w:szCs w:val="9"/>
                <w:color w:val="auto"/>
              </w:rPr>
            </w:pPr>
          </w:p>
        </w:tc>
        <w:tc>
          <w:tcPr>
            <w:tcW w:w="920" w:type="dxa"/>
            <w:vAlign w:val="bottom"/>
            <w:shd w:val="clear" w:color="auto" w:fill="D9D9D9"/>
          </w:tcPr>
          <w:p>
            <w:pPr>
              <w:ind w:left="60"/>
              <w:spacing w:after="0" w:line="108" w:lineRule="exact"/>
              <w:rPr>
                <w:sz w:val="20"/>
                <w:szCs w:val="20"/>
                <w:color w:val="auto"/>
              </w:rPr>
            </w:pPr>
            <w:r>
              <w:rPr>
                <w:rFonts w:ascii="Arial" w:cs="Arial" w:eastAsia="Arial" w:hAnsi="Arial"/>
                <w:sz w:val="12"/>
                <w:szCs w:val="12"/>
                <w:b w:val="1"/>
                <w:bCs w:val="1"/>
                <w:color w:val="333333"/>
              </w:rPr>
              <w:t>Initiatives</w:t>
            </w:r>
          </w:p>
        </w:tc>
        <w:tc>
          <w:tcPr>
            <w:tcW w:w="740" w:type="dxa"/>
            <w:vAlign w:val="bottom"/>
            <w:shd w:val="clear" w:color="auto" w:fill="D9D9D9"/>
          </w:tcPr>
          <w:p>
            <w:pPr>
              <w:spacing w:after="0"/>
              <w:rPr>
                <w:sz w:val="9"/>
                <w:szCs w:val="9"/>
                <w:color w:val="auto"/>
              </w:rPr>
            </w:pPr>
          </w:p>
        </w:tc>
        <w:tc>
          <w:tcPr>
            <w:tcW w:w="840" w:type="dxa"/>
            <w:vAlign w:val="bottom"/>
            <w:vMerge w:val="restart"/>
            <w:shd w:val="clear" w:color="auto" w:fill="D9D9D9"/>
          </w:tcPr>
          <w:p>
            <w:pPr>
              <w:ind w:left="100"/>
              <w:spacing w:after="0"/>
              <w:rPr>
                <w:sz w:val="20"/>
                <w:szCs w:val="20"/>
                <w:color w:val="auto"/>
              </w:rPr>
            </w:pPr>
            <w:r>
              <w:rPr>
                <w:rFonts w:ascii="Arial" w:cs="Arial" w:eastAsia="Arial" w:hAnsi="Arial"/>
                <w:sz w:val="12"/>
                <w:szCs w:val="12"/>
                <w:b w:val="1"/>
                <w:bCs w:val="1"/>
                <w:color w:val="333333"/>
              </w:rPr>
              <w:t>quarter</w:t>
            </w:r>
          </w:p>
        </w:tc>
        <w:tc>
          <w:tcPr>
            <w:tcW w:w="740" w:type="dxa"/>
            <w:vAlign w:val="bottom"/>
            <w:shd w:val="clear" w:color="auto" w:fill="D9D9D9"/>
          </w:tcPr>
          <w:p>
            <w:pPr>
              <w:spacing w:after="0"/>
              <w:rPr>
                <w:sz w:val="9"/>
                <w:szCs w:val="9"/>
                <w:color w:val="auto"/>
              </w:rPr>
            </w:pPr>
          </w:p>
        </w:tc>
        <w:tc>
          <w:tcPr>
            <w:tcW w:w="520" w:type="dxa"/>
            <w:vAlign w:val="bottom"/>
            <w:shd w:val="clear" w:color="auto" w:fill="D9D9D9"/>
          </w:tcPr>
          <w:p>
            <w:pPr>
              <w:spacing w:after="0"/>
              <w:rPr>
                <w:sz w:val="9"/>
                <w:szCs w:val="9"/>
                <w:color w:val="auto"/>
              </w:rPr>
            </w:pPr>
          </w:p>
        </w:tc>
        <w:tc>
          <w:tcPr>
            <w:tcW w:w="52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480" w:type="dxa"/>
            <w:vAlign w:val="bottom"/>
            <w:shd w:val="clear" w:color="auto" w:fill="D9D9D9"/>
          </w:tcPr>
          <w:p>
            <w:pPr>
              <w:spacing w:after="0"/>
              <w:rPr>
                <w:sz w:val="9"/>
                <w:szCs w:val="9"/>
                <w:color w:val="auto"/>
              </w:rPr>
            </w:pPr>
          </w:p>
        </w:tc>
        <w:tc>
          <w:tcPr>
            <w:tcW w:w="660" w:type="dxa"/>
            <w:vAlign w:val="bottom"/>
            <w:shd w:val="clear" w:color="auto" w:fill="D9D9D9"/>
          </w:tcPr>
          <w:p>
            <w:pPr>
              <w:spacing w:after="0"/>
              <w:rPr>
                <w:sz w:val="9"/>
                <w:szCs w:val="9"/>
                <w:color w:val="auto"/>
              </w:rPr>
            </w:pPr>
          </w:p>
        </w:tc>
        <w:tc>
          <w:tcPr>
            <w:tcW w:w="700" w:type="dxa"/>
            <w:vAlign w:val="bottom"/>
            <w:shd w:val="clear" w:color="auto" w:fill="D9D9D9"/>
          </w:tcPr>
          <w:p>
            <w:pPr>
              <w:spacing w:after="0"/>
              <w:rPr>
                <w:sz w:val="9"/>
                <w:szCs w:val="9"/>
                <w:color w:val="auto"/>
              </w:rPr>
            </w:pPr>
          </w:p>
        </w:tc>
        <w:tc>
          <w:tcPr>
            <w:tcW w:w="920" w:type="dxa"/>
            <w:vAlign w:val="bottom"/>
            <w:vMerge w:val="restart"/>
            <w:shd w:val="clear" w:color="auto" w:fill="D9D9D9"/>
          </w:tcPr>
          <w:p>
            <w:pPr>
              <w:ind w:left="80"/>
              <w:spacing w:after="0"/>
              <w:rPr>
                <w:sz w:val="20"/>
                <w:szCs w:val="20"/>
                <w:color w:val="auto"/>
              </w:rPr>
            </w:pPr>
            <w:r>
              <w:rPr>
                <w:rFonts w:ascii="Arial" w:cs="Arial" w:eastAsia="Arial" w:hAnsi="Arial"/>
                <w:sz w:val="12"/>
                <w:szCs w:val="12"/>
                <w:b w:val="1"/>
                <w:bCs w:val="1"/>
                <w:color w:val="333333"/>
              </w:rPr>
              <w:t>quarters</w:t>
            </w:r>
          </w:p>
        </w:tc>
        <w:tc>
          <w:tcPr>
            <w:tcW w:w="102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20" w:type="dxa"/>
            <w:vAlign w:val="bottom"/>
            <w:shd w:val="clear" w:color="auto" w:fill="D9D9D9"/>
          </w:tcPr>
          <w:p>
            <w:pPr>
              <w:spacing w:after="0"/>
              <w:rPr>
                <w:sz w:val="5"/>
                <w:szCs w:val="5"/>
                <w:color w:val="auto"/>
              </w:rPr>
            </w:pPr>
          </w:p>
        </w:tc>
        <w:tc>
          <w:tcPr>
            <w:tcW w:w="920" w:type="dxa"/>
            <w:vAlign w:val="bottom"/>
            <w:shd w:val="clear" w:color="auto" w:fill="D9D9D9"/>
          </w:tcPr>
          <w:p>
            <w:pPr>
              <w:spacing w:after="0"/>
              <w:rPr>
                <w:sz w:val="5"/>
                <w:szCs w:val="5"/>
                <w:color w:val="auto"/>
              </w:rPr>
            </w:pPr>
          </w:p>
        </w:tc>
        <w:tc>
          <w:tcPr>
            <w:tcW w:w="740" w:type="dxa"/>
            <w:vAlign w:val="bottom"/>
            <w:shd w:val="clear" w:color="auto" w:fill="D9D9D9"/>
          </w:tcPr>
          <w:p>
            <w:pPr>
              <w:spacing w:after="0"/>
              <w:rPr>
                <w:sz w:val="5"/>
                <w:szCs w:val="5"/>
                <w:color w:val="auto"/>
              </w:rPr>
            </w:pPr>
          </w:p>
        </w:tc>
        <w:tc>
          <w:tcPr>
            <w:tcW w:w="840" w:type="dxa"/>
            <w:vAlign w:val="bottom"/>
            <w:vMerge w:val="continue"/>
            <w:shd w:val="clear" w:color="auto" w:fill="D9D9D9"/>
          </w:tcPr>
          <w:p>
            <w:pPr>
              <w:spacing w:after="0"/>
              <w:rPr>
                <w:sz w:val="5"/>
                <w:szCs w:val="5"/>
                <w:color w:val="auto"/>
              </w:rPr>
            </w:pPr>
          </w:p>
        </w:tc>
        <w:tc>
          <w:tcPr>
            <w:tcW w:w="740" w:type="dxa"/>
            <w:vAlign w:val="bottom"/>
            <w:shd w:val="clear" w:color="auto" w:fill="D9D9D9"/>
          </w:tcPr>
          <w:p>
            <w:pPr>
              <w:spacing w:after="0"/>
              <w:rPr>
                <w:sz w:val="5"/>
                <w:szCs w:val="5"/>
                <w:color w:val="auto"/>
              </w:rPr>
            </w:pPr>
          </w:p>
        </w:tc>
        <w:tc>
          <w:tcPr>
            <w:tcW w:w="520" w:type="dxa"/>
            <w:vAlign w:val="bottom"/>
            <w:shd w:val="clear" w:color="auto" w:fill="D9D9D9"/>
          </w:tcPr>
          <w:p>
            <w:pPr>
              <w:spacing w:after="0"/>
              <w:rPr>
                <w:sz w:val="5"/>
                <w:szCs w:val="5"/>
                <w:color w:val="auto"/>
              </w:rPr>
            </w:pPr>
          </w:p>
        </w:tc>
        <w:tc>
          <w:tcPr>
            <w:tcW w:w="520" w:type="dxa"/>
            <w:vAlign w:val="bottom"/>
            <w:shd w:val="clear" w:color="auto" w:fill="D9D9D9"/>
          </w:tcPr>
          <w:p>
            <w:pPr>
              <w:spacing w:after="0"/>
              <w:rPr>
                <w:sz w:val="5"/>
                <w:szCs w:val="5"/>
                <w:color w:val="auto"/>
              </w:rPr>
            </w:pPr>
          </w:p>
        </w:tc>
        <w:tc>
          <w:tcPr>
            <w:tcW w:w="580" w:type="dxa"/>
            <w:vAlign w:val="bottom"/>
            <w:shd w:val="clear" w:color="auto" w:fill="D9D9D9"/>
          </w:tcPr>
          <w:p>
            <w:pPr>
              <w:spacing w:after="0"/>
              <w:rPr>
                <w:sz w:val="5"/>
                <w:szCs w:val="5"/>
                <w:color w:val="auto"/>
              </w:rPr>
            </w:pPr>
          </w:p>
        </w:tc>
        <w:tc>
          <w:tcPr>
            <w:tcW w:w="480" w:type="dxa"/>
            <w:vAlign w:val="bottom"/>
            <w:shd w:val="clear" w:color="auto" w:fill="D9D9D9"/>
          </w:tcPr>
          <w:p>
            <w:pPr>
              <w:spacing w:after="0"/>
              <w:rPr>
                <w:sz w:val="5"/>
                <w:szCs w:val="5"/>
                <w:color w:val="auto"/>
              </w:rPr>
            </w:pPr>
          </w:p>
        </w:tc>
        <w:tc>
          <w:tcPr>
            <w:tcW w:w="660" w:type="dxa"/>
            <w:vAlign w:val="bottom"/>
            <w:shd w:val="clear" w:color="auto" w:fill="D9D9D9"/>
          </w:tcPr>
          <w:p>
            <w:pPr>
              <w:spacing w:after="0"/>
              <w:rPr>
                <w:sz w:val="5"/>
                <w:szCs w:val="5"/>
                <w:color w:val="auto"/>
              </w:rPr>
            </w:pPr>
          </w:p>
        </w:tc>
        <w:tc>
          <w:tcPr>
            <w:tcW w:w="700" w:type="dxa"/>
            <w:vAlign w:val="bottom"/>
            <w:shd w:val="clear" w:color="auto" w:fill="D9D9D9"/>
          </w:tcPr>
          <w:p>
            <w:pPr>
              <w:spacing w:after="0"/>
              <w:rPr>
                <w:sz w:val="5"/>
                <w:szCs w:val="5"/>
                <w:color w:val="auto"/>
              </w:rPr>
            </w:pPr>
          </w:p>
        </w:tc>
        <w:tc>
          <w:tcPr>
            <w:tcW w:w="920" w:type="dxa"/>
            <w:vAlign w:val="bottom"/>
            <w:vMerge w:val="continue"/>
            <w:shd w:val="clear" w:color="auto" w:fill="D9D9D9"/>
          </w:tcPr>
          <w:p>
            <w:pPr>
              <w:spacing w:after="0"/>
              <w:rPr>
                <w:sz w:val="5"/>
                <w:szCs w:val="5"/>
                <w:color w:val="auto"/>
              </w:rPr>
            </w:pPr>
          </w:p>
        </w:tc>
        <w:tc>
          <w:tcPr>
            <w:tcW w:w="102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20" w:type="dxa"/>
            <w:vAlign w:val="bottom"/>
            <w:shd w:val="clear" w:color="auto" w:fill="D9D9D9"/>
          </w:tcPr>
          <w:p>
            <w:pPr>
              <w:spacing w:after="0"/>
              <w:rPr>
                <w:sz w:val="6"/>
                <w:szCs w:val="6"/>
                <w:color w:val="auto"/>
              </w:rPr>
            </w:pPr>
          </w:p>
        </w:tc>
        <w:tc>
          <w:tcPr>
            <w:tcW w:w="920" w:type="dxa"/>
            <w:vAlign w:val="bottom"/>
            <w:shd w:val="clear" w:color="auto" w:fill="D9D9D9"/>
          </w:tcPr>
          <w:p>
            <w:pPr>
              <w:spacing w:after="0"/>
              <w:rPr>
                <w:sz w:val="6"/>
                <w:szCs w:val="6"/>
                <w:color w:val="auto"/>
              </w:rPr>
            </w:pPr>
          </w:p>
        </w:tc>
        <w:tc>
          <w:tcPr>
            <w:tcW w:w="740" w:type="dxa"/>
            <w:vAlign w:val="bottom"/>
            <w:shd w:val="clear" w:color="auto" w:fill="D9D9D9"/>
          </w:tcPr>
          <w:p>
            <w:pPr>
              <w:spacing w:after="0"/>
              <w:rPr>
                <w:sz w:val="6"/>
                <w:szCs w:val="6"/>
                <w:color w:val="auto"/>
              </w:rPr>
            </w:pPr>
          </w:p>
        </w:tc>
        <w:tc>
          <w:tcPr>
            <w:tcW w:w="840" w:type="dxa"/>
            <w:vAlign w:val="bottom"/>
            <w:shd w:val="clear" w:color="auto" w:fill="D9D9D9"/>
          </w:tcPr>
          <w:p>
            <w:pPr>
              <w:spacing w:after="0"/>
              <w:rPr>
                <w:sz w:val="6"/>
                <w:szCs w:val="6"/>
                <w:color w:val="auto"/>
              </w:rPr>
            </w:pPr>
          </w:p>
        </w:tc>
        <w:tc>
          <w:tcPr>
            <w:tcW w:w="740" w:type="dxa"/>
            <w:vAlign w:val="bottom"/>
            <w:shd w:val="clear" w:color="auto" w:fill="D9D9D9"/>
          </w:tcPr>
          <w:p>
            <w:pPr>
              <w:spacing w:after="0"/>
              <w:rPr>
                <w:sz w:val="6"/>
                <w:szCs w:val="6"/>
                <w:color w:val="auto"/>
              </w:rPr>
            </w:pPr>
          </w:p>
        </w:tc>
        <w:tc>
          <w:tcPr>
            <w:tcW w:w="520" w:type="dxa"/>
            <w:vAlign w:val="bottom"/>
            <w:shd w:val="clear" w:color="auto" w:fill="D9D9D9"/>
          </w:tcPr>
          <w:p>
            <w:pPr>
              <w:spacing w:after="0"/>
              <w:rPr>
                <w:sz w:val="6"/>
                <w:szCs w:val="6"/>
                <w:color w:val="auto"/>
              </w:rPr>
            </w:pPr>
          </w:p>
        </w:tc>
        <w:tc>
          <w:tcPr>
            <w:tcW w:w="520" w:type="dxa"/>
            <w:vAlign w:val="bottom"/>
            <w:shd w:val="clear" w:color="auto" w:fill="D9D9D9"/>
          </w:tcPr>
          <w:p>
            <w:pPr>
              <w:spacing w:after="0"/>
              <w:rPr>
                <w:sz w:val="6"/>
                <w:szCs w:val="6"/>
                <w:color w:val="auto"/>
              </w:rPr>
            </w:pPr>
          </w:p>
        </w:tc>
        <w:tc>
          <w:tcPr>
            <w:tcW w:w="580" w:type="dxa"/>
            <w:vAlign w:val="bottom"/>
            <w:shd w:val="clear" w:color="auto" w:fill="D9D9D9"/>
          </w:tcPr>
          <w:p>
            <w:pPr>
              <w:spacing w:after="0"/>
              <w:rPr>
                <w:sz w:val="6"/>
                <w:szCs w:val="6"/>
                <w:color w:val="auto"/>
              </w:rPr>
            </w:pPr>
          </w:p>
        </w:tc>
        <w:tc>
          <w:tcPr>
            <w:tcW w:w="480" w:type="dxa"/>
            <w:vAlign w:val="bottom"/>
            <w:shd w:val="clear" w:color="auto" w:fill="D9D9D9"/>
          </w:tcPr>
          <w:p>
            <w:pPr>
              <w:spacing w:after="0"/>
              <w:rPr>
                <w:sz w:val="6"/>
                <w:szCs w:val="6"/>
                <w:color w:val="auto"/>
              </w:rPr>
            </w:pPr>
          </w:p>
        </w:tc>
        <w:tc>
          <w:tcPr>
            <w:tcW w:w="660" w:type="dxa"/>
            <w:vAlign w:val="bottom"/>
            <w:shd w:val="clear" w:color="auto" w:fill="D9D9D9"/>
          </w:tcPr>
          <w:p>
            <w:pPr>
              <w:spacing w:after="0"/>
              <w:rPr>
                <w:sz w:val="6"/>
                <w:szCs w:val="6"/>
                <w:color w:val="auto"/>
              </w:rPr>
            </w:pPr>
          </w:p>
        </w:tc>
        <w:tc>
          <w:tcPr>
            <w:tcW w:w="700" w:type="dxa"/>
            <w:vAlign w:val="bottom"/>
            <w:shd w:val="clear" w:color="auto" w:fill="D9D9D9"/>
          </w:tcPr>
          <w:p>
            <w:pPr>
              <w:spacing w:after="0"/>
              <w:rPr>
                <w:sz w:val="6"/>
                <w:szCs w:val="6"/>
                <w:color w:val="auto"/>
              </w:rPr>
            </w:pPr>
          </w:p>
        </w:tc>
        <w:tc>
          <w:tcPr>
            <w:tcW w:w="920" w:type="dxa"/>
            <w:vAlign w:val="bottom"/>
            <w:shd w:val="clear" w:color="auto" w:fill="D9D9D9"/>
          </w:tcPr>
          <w:p>
            <w:pPr>
              <w:spacing w:after="0"/>
              <w:rPr>
                <w:sz w:val="6"/>
                <w:szCs w:val="6"/>
                <w:color w:val="auto"/>
              </w:rPr>
            </w:pPr>
          </w:p>
        </w:tc>
        <w:tc>
          <w:tcPr>
            <w:tcW w:w="102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333333"/>
              </w:rPr>
              <w:t>At or below</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333333"/>
                <w:w w:val="94"/>
              </w:rPr>
              <w:t>Expenses</w:t>
            </w:r>
            <w:r>
              <w:rPr>
                <w:rFonts w:ascii="Arial" w:cs="Arial" w:eastAsia="Arial" w:hAnsi="Arial"/>
                <w:sz w:val="20"/>
                <w:szCs w:val="20"/>
                <w:b w:val="1"/>
                <w:bCs w:val="1"/>
                <w:color w:val="333333"/>
                <w:w w:val="94"/>
                <w:vertAlign w:val="superscript"/>
              </w:rPr>
              <w:t>(1)(3)</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333333"/>
              </w:rPr>
              <w:t>20%</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333333"/>
              </w:rPr>
              <w:t>plan in</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333333"/>
              </w:rPr>
              <w:t>-</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333333"/>
              </w:rPr>
              <w:t>-</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333333"/>
              </w:rPr>
              <w:t>-</w:t>
            </w: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333333"/>
              </w:rPr>
              <w:t>-</w:t>
            </w: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333333"/>
              </w:rPr>
              <w:t>-</w:t>
            </w: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333333"/>
              </w:rPr>
              <w:t>-</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333333"/>
              </w:rPr>
              <w:t>-</w:t>
            </w: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333333"/>
              </w:rPr>
              <w:t>Achieved</w:t>
            </w:r>
          </w:p>
        </w:tc>
        <w:tc>
          <w:tcPr>
            <w:tcW w:w="1020" w:type="dxa"/>
            <w:vAlign w:val="bottom"/>
            <w:vMerge w:val="restart"/>
          </w:tcPr>
          <w:p>
            <w:pPr>
              <w:ind w:left="80"/>
              <w:spacing w:after="0"/>
              <w:rPr>
                <w:sz w:val="20"/>
                <w:szCs w:val="20"/>
                <w:color w:val="auto"/>
              </w:rPr>
            </w:pPr>
            <w:r>
              <w:rPr>
                <w:rFonts w:ascii="Arial" w:cs="Arial" w:eastAsia="Arial" w:hAnsi="Arial"/>
                <w:sz w:val="12"/>
                <w:szCs w:val="12"/>
                <w:b w:val="1"/>
                <w:bCs w:val="1"/>
                <w:color w:val="333333"/>
              </w:rPr>
              <w:t>100%</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333333"/>
              </w:rPr>
              <w:t>every</w:t>
            </w:r>
          </w:p>
        </w:tc>
        <w:tc>
          <w:tcPr>
            <w:tcW w:w="7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333333"/>
              </w:rPr>
              <w:t>quarter</w:t>
            </w: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20" w:type="dxa"/>
            <w:vAlign w:val="bottom"/>
            <w:shd w:val="clear" w:color="auto" w:fill="D9D9D9"/>
          </w:tcPr>
          <w:p>
            <w:pPr>
              <w:spacing w:after="0"/>
              <w:rPr>
                <w:sz w:val="24"/>
                <w:szCs w:val="24"/>
                <w:color w:val="auto"/>
              </w:rPr>
            </w:pPr>
          </w:p>
        </w:tc>
        <w:tc>
          <w:tcPr>
            <w:tcW w:w="920" w:type="dxa"/>
            <w:vAlign w:val="bottom"/>
            <w:shd w:val="clear" w:color="auto" w:fill="D9D9D9"/>
          </w:tcPr>
          <w:p>
            <w:pPr>
              <w:ind w:left="60"/>
              <w:spacing w:after="0"/>
              <w:rPr>
                <w:sz w:val="20"/>
                <w:szCs w:val="20"/>
                <w:color w:val="auto"/>
              </w:rPr>
            </w:pPr>
            <w:r>
              <w:rPr>
                <w:rFonts w:ascii="Arial" w:cs="Arial" w:eastAsia="Arial" w:hAnsi="Arial"/>
                <w:sz w:val="12"/>
                <w:szCs w:val="12"/>
                <w:b w:val="1"/>
                <w:bCs w:val="1"/>
                <w:color w:val="333333"/>
              </w:rPr>
              <w:t>Growth</w:t>
            </w:r>
          </w:p>
        </w:tc>
        <w:tc>
          <w:tcPr>
            <w:tcW w:w="740" w:type="dxa"/>
            <w:vAlign w:val="bottom"/>
            <w:shd w:val="clear" w:color="auto" w:fill="D9D9D9"/>
          </w:tcPr>
          <w:p>
            <w:pPr>
              <w:spacing w:after="0"/>
              <w:rPr>
                <w:sz w:val="24"/>
                <w:szCs w:val="24"/>
                <w:color w:val="auto"/>
              </w:rPr>
            </w:pPr>
          </w:p>
        </w:tc>
        <w:tc>
          <w:tcPr>
            <w:tcW w:w="840" w:type="dxa"/>
            <w:vAlign w:val="bottom"/>
            <w:shd w:val="clear" w:color="auto" w:fill="D9D9D9"/>
          </w:tcPr>
          <w:p>
            <w:pPr>
              <w:ind w:left="100"/>
              <w:spacing w:after="0"/>
              <w:rPr>
                <w:sz w:val="20"/>
                <w:szCs w:val="20"/>
                <w:color w:val="auto"/>
              </w:rPr>
            </w:pPr>
            <w:r>
              <w:rPr>
                <w:rFonts w:ascii="Arial" w:cs="Arial" w:eastAsia="Arial" w:hAnsi="Arial"/>
                <w:sz w:val="12"/>
                <w:szCs w:val="12"/>
                <w:b w:val="1"/>
                <w:bCs w:val="1"/>
                <w:color w:val="333333"/>
              </w:rPr>
              <w:t>Achieve</w:t>
            </w:r>
          </w:p>
        </w:tc>
        <w:tc>
          <w:tcPr>
            <w:tcW w:w="74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Achieve</w:t>
            </w:r>
          </w:p>
        </w:tc>
        <w:tc>
          <w:tcPr>
            <w:tcW w:w="520" w:type="dxa"/>
            <w:vAlign w:val="bottom"/>
            <w:shd w:val="clear" w:color="auto" w:fill="D9D9D9"/>
          </w:tcPr>
          <w:p>
            <w:pPr>
              <w:spacing w:after="0"/>
              <w:rPr>
                <w:sz w:val="24"/>
                <w:szCs w:val="24"/>
                <w:color w:val="auto"/>
              </w:rPr>
            </w:pPr>
          </w:p>
        </w:tc>
        <w:tc>
          <w:tcPr>
            <w:tcW w:w="520" w:type="dxa"/>
            <w:vAlign w:val="bottom"/>
            <w:shd w:val="clear" w:color="auto" w:fill="D9D9D9"/>
          </w:tcPr>
          <w:p>
            <w:pPr>
              <w:spacing w:after="0"/>
              <w:rPr>
                <w:sz w:val="24"/>
                <w:szCs w:val="24"/>
                <w:color w:val="auto"/>
              </w:rPr>
            </w:pPr>
          </w:p>
        </w:tc>
        <w:tc>
          <w:tcPr>
            <w:tcW w:w="580" w:type="dxa"/>
            <w:vAlign w:val="bottom"/>
            <w:shd w:val="clear" w:color="auto" w:fill="D9D9D9"/>
          </w:tcPr>
          <w:p>
            <w:pPr>
              <w:ind w:left="60"/>
              <w:spacing w:after="0"/>
              <w:rPr>
                <w:sz w:val="20"/>
                <w:szCs w:val="20"/>
                <w:color w:val="auto"/>
              </w:rPr>
            </w:pPr>
            <w:r>
              <w:rPr>
                <w:rFonts w:ascii="Arial" w:cs="Arial" w:eastAsia="Arial" w:hAnsi="Arial"/>
                <w:sz w:val="12"/>
                <w:szCs w:val="12"/>
                <w:b w:val="1"/>
                <w:bCs w:val="1"/>
                <w:color w:val="333333"/>
              </w:rPr>
              <w:t>Achieve</w:t>
            </w:r>
          </w:p>
        </w:tc>
        <w:tc>
          <w:tcPr>
            <w:tcW w:w="48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70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Achieve</w:t>
            </w:r>
          </w:p>
        </w:tc>
        <w:tc>
          <w:tcPr>
            <w:tcW w:w="92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Achieved</w:t>
            </w:r>
          </w:p>
        </w:tc>
        <w:tc>
          <w:tcPr>
            <w:tcW w:w="10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 w:type="dxa"/>
            <w:vAlign w:val="bottom"/>
            <w:shd w:val="clear" w:color="auto" w:fill="D9D9D9"/>
          </w:tcPr>
          <w:p>
            <w:pPr>
              <w:spacing w:after="0"/>
              <w:rPr>
                <w:sz w:val="12"/>
                <w:szCs w:val="12"/>
                <w:color w:val="auto"/>
              </w:rPr>
            </w:pPr>
          </w:p>
        </w:tc>
        <w:tc>
          <w:tcPr>
            <w:tcW w:w="920" w:type="dxa"/>
            <w:vAlign w:val="bottom"/>
            <w:shd w:val="clear" w:color="auto" w:fill="D9D9D9"/>
          </w:tcPr>
          <w:p>
            <w:pPr>
              <w:ind w:left="60"/>
              <w:spacing w:after="0" w:line="149" w:lineRule="exact"/>
              <w:rPr>
                <w:sz w:val="20"/>
                <w:szCs w:val="20"/>
                <w:color w:val="auto"/>
              </w:rPr>
            </w:pPr>
            <w:r>
              <w:rPr>
                <w:rFonts w:ascii="Arial" w:cs="Arial" w:eastAsia="Arial" w:hAnsi="Arial"/>
                <w:sz w:val="11"/>
                <w:szCs w:val="11"/>
                <w:b w:val="1"/>
                <w:bCs w:val="1"/>
                <w:color w:val="333333"/>
              </w:rPr>
              <w:t>Initiatives</w:t>
            </w:r>
            <w:r>
              <w:rPr>
                <w:rFonts w:ascii="Arial" w:cs="Arial" w:eastAsia="Arial" w:hAnsi="Arial"/>
                <w:sz w:val="17"/>
                <w:szCs w:val="17"/>
                <w:b w:val="1"/>
                <w:bCs w:val="1"/>
                <w:color w:val="333333"/>
                <w:vertAlign w:val="superscript"/>
              </w:rPr>
              <w:t>(4)</w:t>
            </w:r>
          </w:p>
        </w:tc>
        <w:tc>
          <w:tcPr>
            <w:tcW w:w="740" w:type="dxa"/>
            <w:vAlign w:val="bottom"/>
            <w:shd w:val="clear" w:color="auto" w:fill="D9D9D9"/>
          </w:tcPr>
          <w:p>
            <w:pPr>
              <w:ind w:left="60"/>
              <w:spacing w:after="0"/>
              <w:rPr>
                <w:sz w:val="20"/>
                <w:szCs w:val="20"/>
                <w:color w:val="auto"/>
              </w:rPr>
            </w:pPr>
            <w:r>
              <w:rPr>
                <w:rFonts w:ascii="Arial" w:cs="Arial" w:eastAsia="Arial" w:hAnsi="Arial"/>
                <w:sz w:val="12"/>
                <w:szCs w:val="12"/>
                <w:b w:val="1"/>
                <w:bCs w:val="1"/>
                <w:color w:val="333333"/>
              </w:rPr>
              <w:t>30%</w:t>
            </w:r>
          </w:p>
        </w:tc>
        <w:tc>
          <w:tcPr>
            <w:tcW w:w="840" w:type="dxa"/>
            <w:vAlign w:val="bottom"/>
            <w:shd w:val="clear" w:color="auto" w:fill="D9D9D9"/>
          </w:tcPr>
          <w:p>
            <w:pPr>
              <w:ind w:left="100"/>
              <w:spacing w:after="0"/>
              <w:rPr>
                <w:sz w:val="20"/>
                <w:szCs w:val="20"/>
                <w:color w:val="auto"/>
              </w:rPr>
            </w:pPr>
            <w:r>
              <w:rPr>
                <w:rFonts w:ascii="Arial" w:cs="Arial" w:eastAsia="Arial" w:hAnsi="Arial"/>
                <w:sz w:val="12"/>
                <w:szCs w:val="12"/>
                <w:b w:val="1"/>
                <w:bCs w:val="1"/>
                <w:color w:val="333333"/>
              </w:rPr>
              <w:t>2 goals</w:t>
            </w:r>
          </w:p>
        </w:tc>
        <w:tc>
          <w:tcPr>
            <w:tcW w:w="74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1 goal</w:t>
            </w:r>
          </w:p>
        </w:tc>
        <w:tc>
          <w:tcPr>
            <w:tcW w:w="52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N/A</w:t>
            </w:r>
          </w:p>
        </w:tc>
        <w:tc>
          <w:tcPr>
            <w:tcW w:w="52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N/A</w:t>
            </w:r>
          </w:p>
        </w:tc>
        <w:tc>
          <w:tcPr>
            <w:tcW w:w="580" w:type="dxa"/>
            <w:vAlign w:val="bottom"/>
            <w:shd w:val="clear" w:color="auto" w:fill="D9D9D9"/>
          </w:tcPr>
          <w:p>
            <w:pPr>
              <w:ind w:left="60"/>
              <w:spacing w:after="0"/>
              <w:rPr>
                <w:sz w:val="20"/>
                <w:szCs w:val="20"/>
                <w:color w:val="auto"/>
              </w:rPr>
            </w:pPr>
            <w:r>
              <w:rPr>
                <w:rFonts w:ascii="Arial" w:cs="Arial" w:eastAsia="Arial" w:hAnsi="Arial"/>
                <w:sz w:val="12"/>
                <w:szCs w:val="12"/>
                <w:b w:val="1"/>
                <w:bCs w:val="1"/>
                <w:color w:val="333333"/>
              </w:rPr>
              <w:t>2 goals</w:t>
            </w:r>
          </w:p>
        </w:tc>
        <w:tc>
          <w:tcPr>
            <w:tcW w:w="480" w:type="dxa"/>
            <w:vAlign w:val="bottom"/>
            <w:shd w:val="clear" w:color="auto" w:fill="D9D9D9"/>
          </w:tcPr>
          <w:p>
            <w:pPr>
              <w:ind w:left="40"/>
              <w:spacing w:after="0"/>
              <w:rPr>
                <w:sz w:val="20"/>
                <w:szCs w:val="20"/>
                <w:color w:val="auto"/>
              </w:rPr>
            </w:pPr>
            <w:r>
              <w:rPr>
                <w:rFonts w:ascii="Arial" w:cs="Arial" w:eastAsia="Arial" w:hAnsi="Arial"/>
                <w:sz w:val="12"/>
                <w:szCs w:val="12"/>
                <w:b w:val="1"/>
                <w:bCs w:val="1"/>
                <w:color w:val="333333"/>
              </w:rPr>
              <w:t>N/A</w:t>
            </w:r>
          </w:p>
        </w:tc>
        <w:tc>
          <w:tcPr>
            <w:tcW w:w="660" w:type="dxa"/>
            <w:vAlign w:val="bottom"/>
            <w:shd w:val="clear" w:color="auto" w:fill="D9D9D9"/>
          </w:tcPr>
          <w:p>
            <w:pPr>
              <w:ind w:left="40"/>
              <w:spacing w:after="0"/>
              <w:rPr>
                <w:sz w:val="20"/>
                <w:szCs w:val="20"/>
                <w:color w:val="auto"/>
              </w:rPr>
            </w:pPr>
            <w:r>
              <w:rPr>
                <w:rFonts w:ascii="Arial" w:cs="Arial" w:eastAsia="Arial" w:hAnsi="Arial"/>
                <w:sz w:val="12"/>
                <w:szCs w:val="12"/>
                <w:b w:val="1"/>
                <w:bCs w:val="1"/>
                <w:color w:val="333333"/>
              </w:rPr>
              <w:t>N/A</w:t>
            </w:r>
          </w:p>
        </w:tc>
        <w:tc>
          <w:tcPr>
            <w:tcW w:w="70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3 or more</w:t>
            </w:r>
          </w:p>
        </w:tc>
        <w:tc>
          <w:tcPr>
            <w:tcW w:w="92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1 goal</w:t>
            </w:r>
          </w:p>
        </w:tc>
        <w:tc>
          <w:tcPr>
            <w:tcW w:w="102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50%</w:t>
            </w:r>
          </w:p>
        </w:tc>
        <w:tc>
          <w:tcPr>
            <w:tcW w:w="0" w:type="dxa"/>
            <w:vAlign w:val="bottom"/>
          </w:tcPr>
          <w:p>
            <w:pPr>
              <w:spacing w:after="0"/>
              <w:rPr>
                <w:sz w:val="1"/>
                <w:szCs w:val="1"/>
                <w:color w:val="auto"/>
              </w:rPr>
            </w:pPr>
          </w:p>
        </w:tc>
      </w:tr>
      <w:tr>
        <w:trPr>
          <w:trHeight w:val="167"/>
        </w:trPr>
        <w:tc>
          <w:tcPr>
            <w:tcW w:w="120" w:type="dxa"/>
            <w:vAlign w:val="bottom"/>
            <w:shd w:val="clear" w:color="auto" w:fill="D9D9D9"/>
          </w:tcPr>
          <w:p>
            <w:pPr>
              <w:spacing w:after="0"/>
              <w:rPr>
                <w:sz w:val="14"/>
                <w:szCs w:val="14"/>
                <w:color w:val="auto"/>
              </w:rPr>
            </w:pPr>
          </w:p>
        </w:tc>
        <w:tc>
          <w:tcPr>
            <w:tcW w:w="920" w:type="dxa"/>
            <w:vAlign w:val="bottom"/>
            <w:shd w:val="clear" w:color="auto" w:fill="D9D9D9"/>
          </w:tcPr>
          <w:p>
            <w:pPr>
              <w:spacing w:after="0"/>
              <w:rPr>
                <w:sz w:val="14"/>
                <w:szCs w:val="14"/>
                <w:color w:val="auto"/>
              </w:rPr>
            </w:pPr>
          </w:p>
        </w:tc>
        <w:tc>
          <w:tcPr>
            <w:tcW w:w="74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740" w:type="dxa"/>
            <w:vAlign w:val="bottom"/>
            <w:shd w:val="clear" w:color="auto" w:fill="D9D9D9"/>
          </w:tcPr>
          <w:p>
            <w:pPr>
              <w:spacing w:after="0"/>
              <w:rPr>
                <w:sz w:val="14"/>
                <w:szCs w:val="14"/>
                <w:color w:val="auto"/>
              </w:rPr>
            </w:pPr>
          </w:p>
        </w:tc>
        <w:tc>
          <w:tcPr>
            <w:tcW w:w="520" w:type="dxa"/>
            <w:vAlign w:val="bottom"/>
            <w:shd w:val="clear" w:color="auto" w:fill="D9D9D9"/>
          </w:tcPr>
          <w:p>
            <w:pPr>
              <w:spacing w:after="0"/>
              <w:rPr>
                <w:sz w:val="14"/>
                <w:szCs w:val="14"/>
                <w:color w:val="auto"/>
              </w:rPr>
            </w:pPr>
          </w:p>
        </w:tc>
        <w:tc>
          <w:tcPr>
            <w:tcW w:w="520" w:type="dxa"/>
            <w:vAlign w:val="bottom"/>
            <w:shd w:val="clear" w:color="auto" w:fill="D9D9D9"/>
          </w:tcPr>
          <w:p>
            <w:pPr>
              <w:spacing w:after="0"/>
              <w:rPr>
                <w:sz w:val="14"/>
                <w:szCs w:val="14"/>
                <w:color w:val="auto"/>
              </w:rPr>
            </w:pPr>
          </w:p>
        </w:tc>
        <w:tc>
          <w:tcPr>
            <w:tcW w:w="580" w:type="dxa"/>
            <w:vAlign w:val="bottom"/>
            <w:shd w:val="clear" w:color="auto" w:fill="D9D9D9"/>
          </w:tcPr>
          <w:p>
            <w:pPr>
              <w:spacing w:after="0"/>
              <w:rPr>
                <w:sz w:val="14"/>
                <w:szCs w:val="14"/>
                <w:color w:val="auto"/>
              </w:rPr>
            </w:pPr>
          </w:p>
        </w:tc>
        <w:tc>
          <w:tcPr>
            <w:tcW w:w="480" w:type="dxa"/>
            <w:vAlign w:val="bottom"/>
            <w:shd w:val="clear" w:color="auto" w:fill="D9D9D9"/>
          </w:tcPr>
          <w:p>
            <w:pPr>
              <w:spacing w:after="0"/>
              <w:rPr>
                <w:sz w:val="14"/>
                <w:szCs w:val="14"/>
                <w:color w:val="auto"/>
              </w:rPr>
            </w:pPr>
          </w:p>
        </w:tc>
        <w:tc>
          <w:tcPr>
            <w:tcW w:w="660" w:type="dxa"/>
            <w:vAlign w:val="bottom"/>
            <w:shd w:val="clear" w:color="auto" w:fill="D9D9D9"/>
          </w:tcPr>
          <w:p>
            <w:pPr>
              <w:spacing w:after="0"/>
              <w:rPr>
                <w:sz w:val="14"/>
                <w:szCs w:val="14"/>
                <w:color w:val="auto"/>
              </w:rPr>
            </w:pPr>
          </w:p>
        </w:tc>
        <w:tc>
          <w:tcPr>
            <w:tcW w:w="700" w:type="dxa"/>
            <w:vAlign w:val="bottom"/>
            <w:shd w:val="clear" w:color="auto" w:fill="D9D9D9"/>
          </w:tcPr>
          <w:p>
            <w:pPr>
              <w:ind w:left="80"/>
              <w:spacing w:after="0"/>
              <w:rPr>
                <w:sz w:val="20"/>
                <w:szCs w:val="20"/>
                <w:color w:val="auto"/>
              </w:rPr>
            </w:pPr>
            <w:r>
              <w:rPr>
                <w:rFonts w:ascii="Arial" w:cs="Arial" w:eastAsia="Arial" w:hAnsi="Arial"/>
                <w:sz w:val="12"/>
                <w:szCs w:val="12"/>
                <w:b w:val="1"/>
                <w:bCs w:val="1"/>
                <w:color w:val="333333"/>
              </w:rPr>
              <w:t>goals</w:t>
            </w:r>
          </w:p>
        </w:tc>
        <w:tc>
          <w:tcPr>
            <w:tcW w:w="920" w:type="dxa"/>
            <w:vAlign w:val="bottom"/>
            <w:shd w:val="clear" w:color="auto" w:fill="D9D9D9"/>
          </w:tcPr>
          <w:p>
            <w:pPr>
              <w:spacing w:after="0"/>
              <w:rPr>
                <w:sz w:val="14"/>
                <w:szCs w:val="14"/>
                <w:color w:val="auto"/>
              </w:rPr>
            </w:pPr>
          </w:p>
        </w:tc>
        <w:tc>
          <w:tcPr>
            <w:tcW w:w="10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20" w:type="dxa"/>
            <w:vAlign w:val="bottom"/>
            <w:shd w:val="clear" w:color="auto" w:fill="D9D9D9"/>
          </w:tcPr>
          <w:p>
            <w:pPr>
              <w:spacing w:after="0" w:line="20" w:lineRule="exact"/>
              <w:rPr>
                <w:sz w:val="1"/>
                <w:szCs w:val="1"/>
                <w:color w:val="auto"/>
              </w:rPr>
            </w:pPr>
          </w:p>
        </w:tc>
        <w:tc>
          <w:tcPr>
            <w:tcW w:w="920" w:type="dxa"/>
            <w:vAlign w:val="bottom"/>
            <w:shd w:val="clear" w:color="auto" w:fill="D9D9D9"/>
          </w:tcPr>
          <w:p>
            <w:pPr>
              <w:spacing w:after="0" w:line="20" w:lineRule="exact"/>
              <w:rPr>
                <w:sz w:val="1"/>
                <w:szCs w:val="1"/>
                <w:color w:val="auto"/>
              </w:rPr>
            </w:pPr>
          </w:p>
        </w:tc>
        <w:tc>
          <w:tcPr>
            <w:tcW w:w="740" w:type="dxa"/>
            <w:vAlign w:val="bottom"/>
            <w:shd w:val="clear" w:color="auto" w:fill="D9D9D9"/>
          </w:tcPr>
          <w:p>
            <w:pPr>
              <w:spacing w:after="0" w:line="20" w:lineRule="exact"/>
              <w:rPr>
                <w:sz w:val="1"/>
                <w:szCs w:val="1"/>
                <w:color w:val="auto"/>
              </w:rPr>
            </w:pPr>
          </w:p>
        </w:tc>
        <w:tc>
          <w:tcPr>
            <w:tcW w:w="840" w:type="dxa"/>
            <w:vAlign w:val="bottom"/>
            <w:shd w:val="clear" w:color="auto" w:fill="D9D9D9"/>
          </w:tcPr>
          <w:p>
            <w:pPr>
              <w:spacing w:after="0" w:line="20" w:lineRule="exact"/>
              <w:rPr>
                <w:sz w:val="1"/>
                <w:szCs w:val="1"/>
                <w:color w:val="auto"/>
              </w:rPr>
            </w:pPr>
          </w:p>
        </w:tc>
        <w:tc>
          <w:tcPr>
            <w:tcW w:w="740" w:type="dxa"/>
            <w:vAlign w:val="bottom"/>
            <w:shd w:val="clear" w:color="auto" w:fill="D9D9D9"/>
          </w:tcPr>
          <w:p>
            <w:pPr>
              <w:spacing w:after="0" w:line="20" w:lineRule="exact"/>
              <w:rPr>
                <w:sz w:val="1"/>
                <w:szCs w:val="1"/>
                <w:color w:val="auto"/>
              </w:rPr>
            </w:pPr>
          </w:p>
        </w:tc>
        <w:tc>
          <w:tcPr>
            <w:tcW w:w="520" w:type="dxa"/>
            <w:vAlign w:val="bottom"/>
            <w:shd w:val="clear" w:color="auto" w:fill="D9D9D9"/>
          </w:tcPr>
          <w:p>
            <w:pPr>
              <w:spacing w:after="0" w:line="20" w:lineRule="exact"/>
              <w:rPr>
                <w:sz w:val="1"/>
                <w:szCs w:val="1"/>
                <w:color w:val="auto"/>
              </w:rPr>
            </w:pPr>
          </w:p>
        </w:tc>
        <w:tc>
          <w:tcPr>
            <w:tcW w:w="520" w:type="dxa"/>
            <w:vAlign w:val="bottom"/>
            <w:shd w:val="clear" w:color="auto" w:fill="D9D9D9"/>
          </w:tcPr>
          <w:p>
            <w:pPr>
              <w:spacing w:after="0" w:line="20" w:lineRule="exact"/>
              <w:rPr>
                <w:sz w:val="1"/>
                <w:szCs w:val="1"/>
                <w:color w:val="auto"/>
              </w:rPr>
            </w:pPr>
          </w:p>
        </w:tc>
        <w:tc>
          <w:tcPr>
            <w:tcW w:w="580" w:type="dxa"/>
            <w:vAlign w:val="bottom"/>
            <w:shd w:val="clear" w:color="auto" w:fill="D9D9D9"/>
          </w:tcPr>
          <w:p>
            <w:pPr>
              <w:spacing w:after="0" w:line="20" w:lineRule="exact"/>
              <w:rPr>
                <w:sz w:val="1"/>
                <w:szCs w:val="1"/>
                <w:color w:val="auto"/>
              </w:rPr>
            </w:pPr>
          </w:p>
        </w:tc>
        <w:tc>
          <w:tcPr>
            <w:tcW w:w="480" w:type="dxa"/>
            <w:vAlign w:val="bottom"/>
            <w:shd w:val="clear" w:color="auto" w:fill="D9D9D9"/>
          </w:tcPr>
          <w:p>
            <w:pPr>
              <w:spacing w:after="0" w:line="20" w:lineRule="exact"/>
              <w:rPr>
                <w:sz w:val="1"/>
                <w:szCs w:val="1"/>
                <w:color w:val="auto"/>
              </w:rPr>
            </w:pPr>
          </w:p>
        </w:tc>
        <w:tc>
          <w:tcPr>
            <w:tcW w:w="660" w:type="dxa"/>
            <w:vAlign w:val="bottom"/>
            <w:shd w:val="clear" w:color="auto" w:fill="D9D9D9"/>
          </w:tcPr>
          <w:p>
            <w:pPr>
              <w:spacing w:after="0" w:line="20" w:lineRule="exact"/>
              <w:rPr>
                <w:sz w:val="1"/>
                <w:szCs w:val="1"/>
                <w:color w:val="auto"/>
              </w:rPr>
            </w:pPr>
          </w:p>
        </w:tc>
        <w:tc>
          <w:tcPr>
            <w:tcW w:w="700" w:type="dxa"/>
            <w:vAlign w:val="bottom"/>
            <w:shd w:val="clear" w:color="auto" w:fill="D9D9D9"/>
          </w:tcPr>
          <w:p>
            <w:pPr>
              <w:spacing w:after="0" w:line="20" w:lineRule="exact"/>
              <w:rPr>
                <w:sz w:val="1"/>
                <w:szCs w:val="1"/>
                <w:color w:val="auto"/>
              </w:rPr>
            </w:pPr>
          </w:p>
        </w:tc>
        <w:tc>
          <w:tcPr>
            <w:tcW w:w="920" w:type="dxa"/>
            <w:vAlign w:val="bottom"/>
            <w:shd w:val="clear" w:color="auto" w:fill="D9D9D9"/>
          </w:tcPr>
          <w:p>
            <w:pPr>
              <w:spacing w:after="0" w:line="20" w:lineRule="exact"/>
              <w:rPr>
                <w:sz w:val="1"/>
                <w:szCs w:val="1"/>
                <w:color w:val="auto"/>
              </w:rPr>
            </w:pPr>
          </w:p>
        </w:tc>
        <w:tc>
          <w:tcPr>
            <w:tcW w:w="102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tbl>
      <w:tblPr>
        <w:tblLayout w:type="fixed"/>
        <w:tblInd w:w="6380" w:type="dxa"/>
        <w:tblCellMar>
          <w:top w:w="0" w:type="dxa"/>
          <w:left w:w="0" w:type="dxa"/>
          <w:bottom w:w="0" w:type="dxa"/>
          <w:right w:w="0" w:type="dxa"/>
        </w:tblCellMar>
      </w:tblPr>
      <w:tr>
        <w:trPr>
          <w:trHeight w:val="167"/>
        </w:trPr>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Target payout</w:t>
            </w: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w w:val="95"/>
              </w:rPr>
              <w:t>$​337,500</w:t>
            </w:r>
          </w:p>
        </w:tc>
      </w:tr>
      <w:tr>
        <w:trPr>
          <w:trHeight w:val="297"/>
        </w:trPr>
        <w:tc>
          <w:tcPr>
            <w:tcW w:w="2080" w:type="dxa"/>
            <w:vAlign w:val="bottom"/>
            <w:gridSpan w:val="3"/>
          </w:tcPr>
          <w:p>
            <w:pPr>
              <w:jc w:val="right"/>
              <w:spacing w:after="0"/>
              <w:rPr>
                <w:sz w:val="20"/>
                <w:szCs w:val="20"/>
                <w:color w:val="auto"/>
              </w:rPr>
            </w:pPr>
            <w:r>
              <w:rPr>
                <w:rFonts w:ascii="Arial" w:cs="Arial" w:eastAsia="Arial" w:hAnsi="Arial"/>
                <w:sz w:val="12"/>
                <w:szCs w:val="12"/>
                <w:b w:val="1"/>
                <w:bCs w:val="1"/>
                <w:color w:val="auto"/>
              </w:rPr>
              <w:t>Formulaic Total Payout %</w:t>
            </w: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67%</w:t>
            </w:r>
          </w:p>
        </w:tc>
      </w:tr>
      <w:tr>
        <w:trPr>
          <w:trHeight w:val="297"/>
        </w:trPr>
        <w:tc>
          <w:tcPr>
            <w:tcW w:w="2080" w:type="dxa"/>
            <w:vAlign w:val="bottom"/>
            <w:gridSpan w:val="3"/>
          </w:tcPr>
          <w:p>
            <w:pPr>
              <w:jc w:val="right"/>
              <w:spacing w:after="0"/>
              <w:rPr>
                <w:sz w:val="20"/>
                <w:szCs w:val="20"/>
                <w:color w:val="auto"/>
              </w:rPr>
            </w:pPr>
            <w:r>
              <w:rPr>
                <w:rFonts w:ascii="Arial" w:cs="Arial" w:eastAsia="Arial" w:hAnsi="Arial"/>
                <w:sz w:val="12"/>
                <w:szCs w:val="12"/>
                <w:b w:val="1"/>
                <w:bCs w:val="1"/>
                <w:color w:val="auto"/>
              </w:rPr>
              <w:t>Formulaic Initial Calculated Payout</w:t>
            </w: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w w:val="95"/>
              </w:rPr>
              <w:t>$​224,438</w:t>
            </w:r>
          </w:p>
        </w:tc>
      </w:tr>
      <w:tr>
        <w:trPr>
          <w:trHeight w:val="267"/>
        </w:trPr>
        <w:tc>
          <w:tcPr>
            <w:tcW w:w="70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12"/>
                <w:szCs w:val="12"/>
                <w:b w:val="1"/>
                <w:bCs w:val="1"/>
                <w:color w:val="auto"/>
                <w:w w:val="99"/>
              </w:rPr>
              <w:t>Less Target RSU value</w:t>
            </w: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w w:val="95"/>
              </w:rPr>
              <w:t>$270,000</w:t>
            </w:r>
          </w:p>
        </w:tc>
      </w:tr>
      <w:tr>
        <w:trPr>
          <w:trHeight w:val="20"/>
        </w:trPr>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7"/>
        </w:trPr>
        <w:tc>
          <w:tcPr>
            <w:tcW w:w="2080" w:type="dxa"/>
            <w:vAlign w:val="bottom"/>
            <w:gridSpan w:val="3"/>
          </w:tcPr>
          <w:p>
            <w:pPr>
              <w:jc w:val="right"/>
              <w:spacing w:after="0"/>
              <w:rPr>
                <w:sz w:val="20"/>
                <w:szCs w:val="20"/>
                <w:color w:val="auto"/>
              </w:rPr>
            </w:pPr>
            <w:r>
              <w:rPr>
                <w:rFonts w:ascii="Arial" w:cs="Arial" w:eastAsia="Arial" w:hAnsi="Arial"/>
                <w:sz w:val="12"/>
                <w:szCs w:val="12"/>
                <w:b w:val="1"/>
                <w:bCs w:val="1"/>
                <w:color w:val="auto"/>
              </w:rPr>
              <w:t>Formulaic Cash Payout</w:t>
            </w:r>
          </w:p>
        </w:tc>
        <w:tc>
          <w:tcPr>
            <w:tcW w:w="120" w:type="dxa"/>
            <w:vAlign w:val="bottom"/>
          </w:tcPr>
          <w:p>
            <w:pPr>
              <w:spacing w:after="0"/>
              <w:rPr>
                <w:sz w:val="20"/>
                <w:szCs w:val="20"/>
                <w:color w:val="auto"/>
              </w:rPr>
            </w:pPr>
            <w:r>
              <w:rPr>
                <w:rFonts w:ascii="Arial" w:cs="Arial" w:eastAsia="Arial" w:hAnsi="Arial"/>
                <w:sz w:val="12"/>
                <w:szCs w:val="12"/>
                <w:b w:val="1"/>
                <w:bCs w:val="1"/>
                <w:color w:val="auto"/>
                <w:w w:val="74"/>
              </w:rPr>
              <w:t>$0</w:t>
            </w:r>
          </w:p>
        </w:tc>
        <w:tc>
          <w:tcPr>
            <w:tcW w:w="380" w:type="dxa"/>
            <w:vAlign w:val="bottom"/>
          </w:tcPr>
          <w:p>
            <w:pPr>
              <w:spacing w:after="0"/>
              <w:rPr>
                <w:sz w:val="24"/>
                <w:szCs w:val="24"/>
                <w:color w:val="auto"/>
              </w:rPr>
            </w:pPr>
          </w:p>
        </w:tc>
      </w:tr>
      <w:tr>
        <w:trPr>
          <w:trHeight w:val="267"/>
        </w:trPr>
        <w:tc>
          <w:tcPr>
            <w:tcW w:w="70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12"/>
                <w:szCs w:val="12"/>
                <w:b w:val="1"/>
                <w:bCs w:val="1"/>
                <w:color w:val="auto"/>
              </w:rPr>
              <w:t>Actual Cash Payout</w:t>
            </w:r>
          </w:p>
        </w:tc>
        <w:tc>
          <w:tcPr>
            <w:tcW w:w="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u w:val="single" w:color="auto"/>
                <w:color w:val="auto"/>
                <w:w w:val="74"/>
              </w:rPr>
              <w:t>$</w:t>
            </w:r>
            <w:r>
              <w:rPr>
                <w:rFonts w:ascii="Arial" w:cs="Arial" w:eastAsia="Arial" w:hAnsi="Arial"/>
                <w:sz w:val="12"/>
                <w:szCs w:val="12"/>
                <w:b w:val="1"/>
                <w:bCs w:val="1"/>
                <w:color w:val="auto"/>
                <w:w w:val="74"/>
              </w:rPr>
              <w:t>0</w:t>
            </w:r>
          </w:p>
        </w:tc>
        <w:tc>
          <w:tcPr>
            <w:tcW w:w="380" w:type="dxa"/>
            <w:vAlign w:val="bottom"/>
          </w:tcPr>
          <w:p>
            <w:pPr>
              <w:spacing w:after="0"/>
              <w:rPr>
                <w:sz w:val="23"/>
                <w:szCs w:val="23"/>
                <w:color w:val="auto"/>
              </w:rPr>
            </w:pPr>
          </w:p>
        </w:tc>
      </w:tr>
    </w:tbl>
    <w:p>
      <w:pPr>
        <w:spacing w:after="0" w:line="254" w:lineRule="exact"/>
        <w:rPr>
          <w:sz w:val="20"/>
          <w:szCs w:val="20"/>
          <w:color w:val="auto"/>
        </w:rPr>
      </w:pPr>
    </w:p>
    <w:p>
      <w:pPr>
        <w:ind w:left="660" w:right="1340" w:hanging="10"/>
        <w:spacing w:after="0" w:line="235" w:lineRule="auto"/>
        <w:tabs>
          <w:tab w:leader="none" w:pos="849" w:val="left"/>
        </w:tabs>
        <w:numPr>
          <w:ilvl w:val="0"/>
          <w:numId w:val="70"/>
        </w:numPr>
        <w:rPr>
          <w:rFonts w:ascii="Arial" w:cs="Arial" w:eastAsia="Arial" w:hAnsi="Arial"/>
          <w:sz w:val="13"/>
          <w:szCs w:val="13"/>
          <w:i w:val="1"/>
          <w:iCs w:val="1"/>
          <w:color w:val="333333"/>
        </w:rPr>
      </w:pPr>
      <w:r>
        <w:rPr>
          <w:rFonts w:ascii="Arial" w:cs="Arial" w:eastAsia="Arial" w:hAnsi="Arial"/>
          <w:sz w:val="13"/>
          <w:szCs w:val="13"/>
          <w:i w:val="1"/>
          <w:iCs w:val="1"/>
          <w:color w:val="333333"/>
        </w:rPr>
        <w:t>Adjusted to be consistent with the macro-economic environment assumed in the 2023 budget, and for addbacks and impact of acquisitions or divestitures.</w:t>
      </w:r>
    </w:p>
    <w:p>
      <w:pPr>
        <w:ind w:left="660" w:right="800" w:hanging="10"/>
        <w:spacing w:after="0" w:line="231" w:lineRule="auto"/>
        <w:tabs>
          <w:tab w:leader="none" w:pos="849" w:val="left"/>
        </w:tabs>
        <w:numPr>
          <w:ilvl w:val="0"/>
          <w:numId w:val="70"/>
        </w:numPr>
        <w:rPr>
          <w:rFonts w:ascii="Arial" w:cs="Arial" w:eastAsia="Arial" w:hAnsi="Arial"/>
          <w:sz w:val="13"/>
          <w:szCs w:val="13"/>
          <w:i w:val="1"/>
          <w:iCs w:val="1"/>
          <w:color w:val="333333"/>
        </w:rPr>
      </w:pPr>
      <w:r>
        <w:rPr>
          <w:rFonts w:ascii="Arial" w:cs="Arial" w:eastAsia="Arial" w:hAnsi="Arial"/>
          <w:sz w:val="13"/>
          <w:szCs w:val="13"/>
          <w:i w:val="1"/>
          <w:iCs w:val="1"/>
          <w:color w:val="333333"/>
        </w:rPr>
        <w:t>For this metric, the stated goals apply to the target for each quarter. The final payout is determined based on the average of the payout percentages for the four quarters.</w:t>
      </w:r>
    </w:p>
    <w:p>
      <w:pPr>
        <w:spacing w:after="0" w:line="12" w:lineRule="exact"/>
        <w:rPr>
          <w:rFonts w:ascii="Arial" w:cs="Arial" w:eastAsia="Arial" w:hAnsi="Arial"/>
          <w:sz w:val="13"/>
          <w:szCs w:val="13"/>
          <w:i w:val="1"/>
          <w:iCs w:val="1"/>
          <w:color w:val="333333"/>
        </w:rPr>
      </w:pPr>
    </w:p>
    <w:p>
      <w:pPr>
        <w:ind w:left="840" w:hanging="190"/>
        <w:spacing w:after="0"/>
        <w:tabs>
          <w:tab w:leader="none" w:pos="840" w:val="left"/>
        </w:tabs>
        <w:numPr>
          <w:ilvl w:val="0"/>
          <w:numId w:val="70"/>
        </w:numPr>
        <w:rPr>
          <w:rFonts w:ascii="Arial" w:cs="Arial" w:eastAsia="Arial" w:hAnsi="Arial"/>
          <w:sz w:val="13"/>
          <w:szCs w:val="13"/>
          <w:i w:val="1"/>
          <w:iCs w:val="1"/>
          <w:color w:val="333333"/>
        </w:rPr>
      </w:pPr>
      <w:r>
        <w:rPr>
          <w:rFonts w:ascii="Arial" w:cs="Arial" w:eastAsia="Arial" w:hAnsi="Arial"/>
          <w:sz w:val="13"/>
          <w:szCs w:val="13"/>
          <w:i w:val="1"/>
          <w:iCs w:val="1"/>
          <w:color w:val="333333"/>
        </w:rPr>
        <w:t>This metric results in a 100% payout only if the applicable goal is achieved for every quarter; otherwise, the payout for this metric is 0%.</w:t>
      </w:r>
    </w:p>
    <w:p>
      <w:pPr>
        <w:spacing w:after="0" w:line="9" w:lineRule="exact"/>
        <w:rPr>
          <w:rFonts w:ascii="Arial" w:cs="Arial" w:eastAsia="Arial" w:hAnsi="Arial"/>
          <w:sz w:val="13"/>
          <w:szCs w:val="13"/>
          <w:i w:val="1"/>
          <w:iCs w:val="1"/>
          <w:color w:val="333333"/>
        </w:rPr>
      </w:pPr>
    </w:p>
    <w:p>
      <w:pPr>
        <w:ind w:left="660" w:right="960" w:hanging="10"/>
        <w:spacing w:after="0" w:line="231" w:lineRule="auto"/>
        <w:tabs>
          <w:tab w:leader="none" w:pos="849" w:val="left"/>
        </w:tabs>
        <w:numPr>
          <w:ilvl w:val="0"/>
          <w:numId w:val="70"/>
        </w:numPr>
        <w:rPr>
          <w:rFonts w:ascii="Arial" w:cs="Arial" w:eastAsia="Arial" w:hAnsi="Arial"/>
          <w:sz w:val="13"/>
          <w:szCs w:val="13"/>
          <w:i w:val="1"/>
          <w:iCs w:val="1"/>
          <w:color w:val="333333"/>
        </w:rPr>
      </w:pPr>
      <w:r>
        <w:rPr>
          <w:rFonts w:ascii="Arial" w:cs="Arial" w:eastAsia="Arial" w:hAnsi="Arial"/>
          <w:sz w:val="13"/>
          <w:szCs w:val="13"/>
          <w:i w:val="1"/>
          <w:iCs w:val="1"/>
          <w:color w:val="333333"/>
        </w:rPr>
        <w:t>(a) Launch of new product in NAT and acquire specific number of customers (not achieved), (b) launch 2-in-1 solution and deliver a specified level of revenue (not achieved), and (c) execute one strategic transaction (achieved).</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CF1D4C"/>
        </w:rPr>
        <w:t>COMPENSATION DISCUSSION AND ANALYSIS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Equity Awards</w:t>
      </w:r>
    </w:p>
    <w:p>
      <w:pPr>
        <w:spacing w:after="0" w:line="248" w:lineRule="exact"/>
        <w:rPr>
          <w:sz w:val="20"/>
          <w:szCs w:val="20"/>
          <w:color w:val="auto"/>
        </w:rPr>
      </w:pPr>
    </w:p>
    <w:p>
      <w:pPr>
        <w:ind w:left="660" w:right="40"/>
        <w:spacing w:after="0" w:line="264" w:lineRule="auto"/>
        <w:rPr>
          <w:sz w:val="20"/>
          <w:szCs w:val="20"/>
          <w:color w:val="auto"/>
        </w:rPr>
      </w:pPr>
      <w:r>
        <w:rPr>
          <w:rFonts w:ascii="Arial" w:cs="Arial" w:eastAsia="Arial" w:hAnsi="Arial"/>
          <w:sz w:val="16"/>
          <w:szCs w:val="16"/>
          <w:color w:val="333333"/>
        </w:rPr>
        <w:t>We believe that performance-based equity awards are effective tools for meeting our compensation goals because the conditions to vesting motivate the achievement of performance goals and the value of the grants will increase as the value of our stock price increases. We believe that performance-based equity awards also satisfy both the objective of aligning executives' pay outcomes with Company performance, and of aligning executives with shareholder value creation. We believe that stock options are also an effective tool for meeting our compensation goals because NEOs are rewarded only if our stock price increases relative to the stock option’s exercise price. To determine the size of each NEO’s equity awards, we consider the external market, individual performance history and relative job responsibilities.</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Other NEOs’ 2023 Equity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59"/>
        <w:spacing w:after="0" w:line="259" w:lineRule="auto"/>
        <w:rPr>
          <w:sz w:val="20"/>
          <w:szCs w:val="20"/>
          <w:color w:val="auto"/>
        </w:rPr>
      </w:pPr>
      <w:r>
        <w:rPr>
          <w:rFonts w:ascii="Arial" w:cs="Arial" w:eastAsia="Arial" w:hAnsi="Arial"/>
          <w:sz w:val="16"/>
          <w:szCs w:val="16"/>
          <w:color w:val="auto"/>
        </w:rPr>
        <w:t>Our CEO makes equity award grant recommendations for each executive officer, including our NEOs (other than himself). Grant recommendations are presented to the compensation committee for its review and approval.</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Performance Stock Option Award for CEO</w:t>
      </w:r>
    </w:p>
    <w:p>
      <w:pPr>
        <w:spacing w:after="0" w:line="248" w:lineRule="exact"/>
        <w:rPr>
          <w:sz w:val="20"/>
          <w:szCs w:val="20"/>
          <w:color w:val="auto"/>
        </w:rPr>
      </w:pPr>
    </w:p>
    <w:p>
      <w:pPr>
        <w:ind w:right="239"/>
        <w:spacing w:after="0" w:line="282" w:lineRule="auto"/>
        <w:rPr>
          <w:sz w:val="20"/>
          <w:szCs w:val="20"/>
          <w:color w:val="auto"/>
        </w:rPr>
      </w:pPr>
      <w:r>
        <w:rPr>
          <w:rFonts w:ascii="Arial" w:cs="Arial" w:eastAsia="Arial" w:hAnsi="Arial"/>
          <w:sz w:val="16"/>
          <w:szCs w:val="16"/>
          <w:color w:val="333333"/>
        </w:rPr>
        <w:t>In September 2021, as discussed above, the compensation committee approved the 2021 CEO Performance Option for Mr. Clarke. Other than the restricted stock granted to Mr. Clarke in lieu of a portion of his annual cash incentive award for 2023, Mr. Clarke did not receive any equity compensation awards in 2023.</w:t>
      </w:r>
    </w:p>
    <w:p>
      <w:pPr>
        <w:spacing w:after="0" w:line="1003" w:lineRule="exact"/>
        <w:rPr>
          <w:sz w:val="20"/>
          <w:szCs w:val="20"/>
          <w:color w:val="auto"/>
        </w:rPr>
      </w:pPr>
    </w:p>
    <w:p>
      <w:pPr>
        <w:sectPr>
          <w:pgSz w:w="11900" w:h="16838" w:orient="portrait"/>
          <w:cols w:equalWidth="0" w:num="2">
            <w:col w:w="4920" w:space="220"/>
            <w:col w:w="4399"/>
          </w:cols>
          <w:pgMar w:left="920" w:top="114" w:right="1440" w:bottom="1440" w:gutter="0" w:footer="0" w:header="0"/>
        </w:sectPr>
      </w:pPr>
    </w:p>
    <w:p>
      <w:pPr>
        <w:spacing w:after="0" w:line="48" w:lineRule="exact"/>
        <w:rPr>
          <w:sz w:val="20"/>
          <w:szCs w:val="20"/>
          <w:color w:val="auto"/>
        </w:rPr>
      </w:pPr>
    </w:p>
    <w:p>
      <w:pPr>
        <w:ind w:left="660" w:right="199"/>
        <w:spacing w:after="0" w:line="259" w:lineRule="auto"/>
        <w:rPr>
          <w:sz w:val="20"/>
          <w:szCs w:val="20"/>
          <w:color w:val="auto"/>
        </w:rPr>
      </w:pPr>
      <w:r>
        <w:rPr>
          <w:rFonts w:ascii="Arial" w:cs="Arial" w:eastAsia="Arial" w:hAnsi="Arial"/>
          <w:sz w:val="16"/>
          <w:szCs w:val="16"/>
          <w:color w:val="333333"/>
        </w:rPr>
        <w:t>In January and March 2023, we granted the equity-based incentive awards set forth in the table below to our NEOs, other than the CEO and Tom Panther. In May 2023, in connection with his hire, we granted the equity based incentive awards set forth in the table below to Tom Panther. The restricted stock granted in lieu of a portion of each NEO's 2023 annual cash incentive award opportunity is described above and is not included in the table below.</w:t>
      </w:r>
    </w:p>
    <w:p>
      <w:pPr>
        <w:spacing w:after="0" w:line="124" w:lineRule="exact"/>
        <w:rPr>
          <w:sz w:val="20"/>
          <w:szCs w:val="20"/>
          <w:color w:val="auto"/>
        </w:rPr>
      </w:pPr>
    </w:p>
    <w:tbl>
      <w:tblPr>
        <w:tblLayout w:type="fixed"/>
        <w:tblInd w:w="640" w:type="dxa"/>
        <w:tblCellMar>
          <w:top w:w="0" w:type="dxa"/>
          <w:left w:w="0" w:type="dxa"/>
          <w:bottom w:w="0" w:type="dxa"/>
          <w:right w:w="0" w:type="dxa"/>
        </w:tblCellMar>
      </w:tblPr>
      <w:tr>
        <w:trPr>
          <w:trHeight w:val="225"/>
        </w:trPr>
        <w:tc>
          <w:tcPr>
            <w:tcW w:w="600" w:type="dxa"/>
            <w:vAlign w:val="bottom"/>
            <w:shd w:val="clear" w:color="auto" w:fill="CF1D4C"/>
          </w:tcPr>
          <w:p>
            <w:pPr>
              <w:spacing w:after="0"/>
              <w:rPr>
                <w:sz w:val="19"/>
                <w:szCs w:val="19"/>
                <w:color w:val="auto"/>
              </w:rPr>
            </w:pPr>
          </w:p>
        </w:tc>
        <w:tc>
          <w:tcPr>
            <w:tcW w:w="800" w:type="dxa"/>
            <w:vAlign w:val="bottom"/>
            <w:shd w:val="clear" w:color="auto" w:fill="CF1D4C"/>
          </w:tcPr>
          <w:p>
            <w:pPr>
              <w:spacing w:after="0"/>
              <w:rPr>
                <w:sz w:val="19"/>
                <w:szCs w:val="19"/>
                <w:color w:val="auto"/>
              </w:rPr>
            </w:pPr>
          </w:p>
        </w:tc>
        <w:tc>
          <w:tcPr>
            <w:tcW w:w="980" w:type="dxa"/>
            <w:vAlign w:val="bottom"/>
            <w:vMerge w:val="restart"/>
            <w:shd w:val="clear" w:color="auto" w:fill="CF1D4C"/>
          </w:tcPr>
          <w:p>
            <w:pPr>
              <w:ind w:left="100"/>
              <w:spacing w:after="0"/>
              <w:rPr>
                <w:sz w:val="20"/>
                <w:szCs w:val="20"/>
                <w:color w:val="auto"/>
              </w:rPr>
            </w:pPr>
            <w:r>
              <w:rPr>
                <w:rFonts w:ascii="Arial" w:cs="Arial" w:eastAsia="Arial" w:hAnsi="Arial"/>
                <w:sz w:val="13"/>
                <w:szCs w:val="13"/>
                <w:b w:val="1"/>
                <w:bCs w:val="1"/>
                <w:color w:val="FFFFFF"/>
              </w:rPr>
              <w:t>Performance</w:t>
            </w:r>
          </w:p>
        </w:tc>
        <w:tc>
          <w:tcPr>
            <w:tcW w:w="840" w:type="dxa"/>
            <w:vAlign w:val="bottom"/>
            <w:vMerge w:val="restart"/>
            <w:shd w:val="clear" w:color="auto" w:fill="CF1D4C"/>
          </w:tcPr>
          <w:p>
            <w:pPr>
              <w:ind w:left="120"/>
              <w:spacing w:after="0"/>
              <w:rPr>
                <w:sz w:val="20"/>
                <w:szCs w:val="20"/>
                <w:color w:val="auto"/>
              </w:rPr>
            </w:pPr>
            <w:r>
              <w:rPr>
                <w:rFonts w:ascii="Arial" w:cs="Arial" w:eastAsia="Arial" w:hAnsi="Arial"/>
                <w:sz w:val="13"/>
                <w:szCs w:val="13"/>
                <w:b w:val="1"/>
                <w:bCs w:val="1"/>
                <w:color w:val="FFFFFF"/>
              </w:rPr>
              <w:t>Total</w:t>
            </w:r>
          </w:p>
        </w:tc>
        <w:tc>
          <w:tcPr>
            <w:tcW w:w="1040" w:type="dxa"/>
            <w:vAlign w:val="bottom"/>
            <w:vMerge w:val="restart"/>
            <w:shd w:val="clear" w:color="auto" w:fill="CF1D4C"/>
          </w:tcPr>
          <w:p>
            <w:pPr>
              <w:ind w:left="100"/>
              <w:spacing w:after="0"/>
              <w:rPr>
                <w:sz w:val="20"/>
                <w:szCs w:val="20"/>
                <w:color w:val="auto"/>
              </w:rPr>
            </w:pPr>
            <w:r>
              <w:rPr>
                <w:rFonts w:ascii="Arial" w:cs="Arial" w:eastAsia="Arial" w:hAnsi="Arial"/>
                <w:sz w:val="13"/>
                <w:szCs w:val="13"/>
                <w:b w:val="1"/>
                <w:bCs w:val="1"/>
                <w:color w:val="FFFFFF"/>
              </w:rPr>
              <w:t>Performance-</w:t>
            </w:r>
          </w:p>
        </w:tc>
        <w:tc>
          <w:tcPr>
            <w:tcW w:w="1060" w:type="dxa"/>
            <w:vAlign w:val="bottom"/>
            <w:vMerge w:val="restart"/>
            <w:shd w:val="clear" w:color="auto" w:fill="CF1D4C"/>
          </w:tcPr>
          <w:p>
            <w:pPr>
              <w:ind w:left="120"/>
              <w:spacing w:after="0"/>
              <w:rPr>
                <w:sz w:val="20"/>
                <w:szCs w:val="20"/>
                <w:color w:val="auto"/>
              </w:rPr>
            </w:pPr>
            <w:r>
              <w:rPr>
                <w:rFonts w:ascii="Arial" w:cs="Arial" w:eastAsia="Arial" w:hAnsi="Arial"/>
                <w:sz w:val="13"/>
                <w:szCs w:val="13"/>
                <w:b w:val="1"/>
                <w:bCs w:val="1"/>
                <w:color w:val="FFFFFF"/>
              </w:rPr>
              <w:t>Total Target</w:t>
            </w:r>
          </w:p>
        </w:tc>
        <w:tc>
          <w:tcPr>
            <w:tcW w:w="860" w:type="dxa"/>
            <w:vAlign w:val="bottom"/>
            <w:shd w:val="clear" w:color="auto" w:fill="CF1D4C"/>
          </w:tcPr>
          <w:p>
            <w:pPr>
              <w:ind w:left="140"/>
              <w:spacing w:after="0"/>
              <w:rPr>
                <w:sz w:val="20"/>
                <w:szCs w:val="20"/>
                <w:color w:val="auto"/>
              </w:rPr>
            </w:pPr>
            <w:r>
              <w:rPr>
                <w:rFonts w:ascii="Arial" w:cs="Arial" w:eastAsia="Arial" w:hAnsi="Arial"/>
                <w:sz w:val="13"/>
                <w:szCs w:val="13"/>
                <w:b w:val="1"/>
                <w:bCs w:val="1"/>
                <w:color w:val="FFFFFF"/>
              </w:rPr>
              <w:t>Special​</w:t>
            </w:r>
          </w:p>
        </w:tc>
        <w:tc>
          <w:tcPr>
            <w:tcW w:w="860" w:type="dxa"/>
            <w:vAlign w:val="bottom"/>
            <w:vMerge w:val="restart"/>
            <w:shd w:val="clear" w:color="auto" w:fill="CF1D4C"/>
          </w:tcPr>
          <w:p>
            <w:pPr>
              <w:ind w:left="100"/>
              <w:spacing w:after="0"/>
              <w:rPr>
                <w:sz w:val="20"/>
                <w:szCs w:val="20"/>
                <w:color w:val="auto"/>
              </w:rPr>
            </w:pPr>
            <w:r>
              <w:rPr>
                <w:rFonts w:ascii="Arial" w:cs="Arial" w:eastAsia="Arial" w:hAnsi="Arial"/>
                <w:sz w:val="13"/>
                <w:szCs w:val="13"/>
                <w:b w:val="1"/>
                <w:bCs w:val="1"/>
                <w:color w:val="FFFFFF"/>
              </w:rPr>
              <w:t>Special​</w:t>
            </w:r>
          </w:p>
        </w:tc>
        <w:tc>
          <w:tcPr>
            <w:tcW w:w="940" w:type="dxa"/>
            <w:vAlign w:val="bottom"/>
            <w:vMerge w:val="restart"/>
            <w:shd w:val="clear" w:color="auto" w:fill="CF1D4C"/>
          </w:tcPr>
          <w:p>
            <w:pPr>
              <w:ind w:left="120"/>
              <w:spacing w:after="0"/>
              <w:rPr>
                <w:sz w:val="20"/>
                <w:szCs w:val="20"/>
                <w:color w:val="auto"/>
              </w:rPr>
            </w:pPr>
            <w:r>
              <w:rPr>
                <w:rFonts w:ascii="Arial" w:cs="Arial" w:eastAsia="Arial" w:hAnsi="Arial"/>
                <w:sz w:val="13"/>
                <w:szCs w:val="13"/>
                <w:b w:val="1"/>
                <w:bCs w:val="1"/>
                <w:color w:val="FFFFFF"/>
              </w:rPr>
              <w:t>Stock​</w:t>
            </w:r>
          </w:p>
        </w:tc>
        <w:tc>
          <w:tcPr>
            <w:tcW w:w="780" w:type="dxa"/>
            <w:vAlign w:val="bottom"/>
            <w:shd w:val="clear" w:color="auto" w:fill="CF1D4C"/>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00" w:type="dxa"/>
            <w:vAlign w:val="bottom"/>
            <w:vMerge w:val="restart"/>
            <w:shd w:val="clear" w:color="auto" w:fill="CF1D4C"/>
          </w:tcPr>
          <w:p>
            <w:pPr>
              <w:ind w:left="180"/>
              <w:spacing w:after="0"/>
              <w:rPr>
                <w:sz w:val="20"/>
                <w:szCs w:val="20"/>
                <w:color w:val="auto"/>
              </w:rPr>
            </w:pPr>
            <w:r>
              <w:rPr>
                <w:rFonts w:ascii="Arial" w:cs="Arial" w:eastAsia="Arial" w:hAnsi="Arial"/>
                <w:sz w:val="13"/>
                <w:szCs w:val="13"/>
                <w:b w:val="1"/>
                <w:bCs w:val="1"/>
                <w:color w:val="FFFFFF"/>
                <w:w w:val="92"/>
              </w:rPr>
              <w:t>Named</w:t>
            </w:r>
          </w:p>
        </w:tc>
        <w:tc>
          <w:tcPr>
            <w:tcW w:w="800" w:type="dxa"/>
            <w:vAlign w:val="bottom"/>
            <w:shd w:val="clear" w:color="auto" w:fill="CF1D4C"/>
          </w:tcPr>
          <w:p>
            <w:pPr>
              <w:spacing w:after="0"/>
              <w:rPr>
                <w:sz w:val="11"/>
                <w:szCs w:val="11"/>
                <w:color w:val="auto"/>
              </w:rPr>
            </w:pPr>
          </w:p>
        </w:tc>
        <w:tc>
          <w:tcPr>
            <w:tcW w:w="980" w:type="dxa"/>
            <w:vAlign w:val="bottom"/>
            <w:vMerge w:val="continue"/>
            <w:shd w:val="clear" w:color="auto" w:fill="CF1D4C"/>
          </w:tcPr>
          <w:p>
            <w:pPr>
              <w:spacing w:after="0"/>
              <w:rPr>
                <w:sz w:val="11"/>
                <w:szCs w:val="11"/>
                <w:color w:val="auto"/>
              </w:rPr>
            </w:pPr>
          </w:p>
        </w:tc>
        <w:tc>
          <w:tcPr>
            <w:tcW w:w="840" w:type="dxa"/>
            <w:vAlign w:val="bottom"/>
            <w:vMerge w:val="continue"/>
            <w:shd w:val="clear" w:color="auto" w:fill="CF1D4C"/>
          </w:tcPr>
          <w:p>
            <w:pPr>
              <w:spacing w:after="0"/>
              <w:rPr>
                <w:sz w:val="11"/>
                <w:szCs w:val="11"/>
                <w:color w:val="auto"/>
              </w:rPr>
            </w:pPr>
          </w:p>
        </w:tc>
        <w:tc>
          <w:tcPr>
            <w:tcW w:w="1040" w:type="dxa"/>
            <w:vAlign w:val="bottom"/>
            <w:vMerge w:val="continue"/>
            <w:shd w:val="clear" w:color="auto" w:fill="CF1D4C"/>
          </w:tcPr>
          <w:p>
            <w:pPr>
              <w:spacing w:after="0"/>
              <w:rPr>
                <w:sz w:val="11"/>
                <w:szCs w:val="11"/>
                <w:color w:val="auto"/>
              </w:rPr>
            </w:pPr>
          </w:p>
        </w:tc>
        <w:tc>
          <w:tcPr>
            <w:tcW w:w="1060" w:type="dxa"/>
            <w:vAlign w:val="bottom"/>
            <w:vMerge w:val="continue"/>
            <w:shd w:val="clear" w:color="auto" w:fill="CF1D4C"/>
          </w:tcPr>
          <w:p>
            <w:pPr>
              <w:spacing w:after="0"/>
              <w:rPr>
                <w:sz w:val="11"/>
                <w:szCs w:val="11"/>
                <w:color w:val="auto"/>
              </w:rPr>
            </w:pPr>
          </w:p>
        </w:tc>
        <w:tc>
          <w:tcPr>
            <w:tcW w:w="860" w:type="dxa"/>
            <w:vAlign w:val="bottom"/>
            <w:shd w:val="clear" w:color="auto" w:fill="CF1D4C"/>
          </w:tcPr>
          <w:p>
            <w:pPr>
              <w:ind w:left="140"/>
              <w:spacing w:after="0" w:line="135" w:lineRule="exact"/>
              <w:rPr>
                <w:sz w:val="20"/>
                <w:szCs w:val="20"/>
                <w:color w:val="auto"/>
              </w:rPr>
            </w:pPr>
            <w:r>
              <w:rPr>
                <w:rFonts w:ascii="Arial" w:cs="Arial" w:eastAsia="Arial" w:hAnsi="Arial"/>
                <w:sz w:val="13"/>
                <w:szCs w:val="13"/>
                <w:b w:val="1"/>
                <w:bCs w:val="1"/>
                <w:color w:val="FFFFFF"/>
              </w:rPr>
              <w:t>Restricted</w:t>
            </w:r>
          </w:p>
        </w:tc>
        <w:tc>
          <w:tcPr>
            <w:tcW w:w="860" w:type="dxa"/>
            <w:vAlign w:val="bottom"/>
            <w:vMerge w:val="continue"/>
            <w:shd w:val="clear" w:color="auto" w:fill="CF1D4C"/>
          </w:tcPr>
          <w:p>
            <w:pPr>
              <w:spacing w:after="0"/>
              <w:rPr>
                <w:sz w:val="11"/>
                <w:szCs w:val="11"/>
                <w:color w:val="auto"/>
              </w:rPr>
            </w:pPr>
          </w:p>
        </w:tc>
        <w:tc>
          <w:tcPr>
            <w:tcW w:w="940" w:type="dxa"/>
            <w:vAlign w:val="bottom"/>
            <w:vMerge w:val="continue"/>
            <w:shd w:val="clear" w:color="auto" w:fill="CF1D4C"/>
          </w:tcPr>
          <w:p>
            <w:pPr>
              <w:spacing w:after="0"/>
              <w:rPr>
                <w:sz w:val="11"/>
                <w:szCs w:val="11"/>
                <w:color w:val="auto"/>
              </w:rPr>
            </w:pPr>
          </w:p>
        </w:tc>
        <w:tc>
          <w:tcPr>
            <w:tcW w:w="780" w:type="dxa"/>
            <w:vAlign w:val="bottom"/>
            <w:vMerge w:val="restart"/>
            <w:shd w:val="clear" w:color="auto" w:fill="CF1D4C"/>
          </w:tcPr>
          <w:p>
            <w:pPr>
              <w:ind w:left="80"/>
              <w:spacing w:after="0"/>
              <w:rPr>
                <w:sz w:val="20"/>
                <w:szCs w:val="20"/>
                <w:color w:val="auto"/>
              </w:rPr>
            </w:pPr>
            <w:r>
              <w:rPr>
                <w:rFonts w:ascii="Arial" w:cs="Arial" w:eastAsia="Arial" w:hAnsi="Arial"/>
                <w:sz w:val="13"/>
                <w:szCs w:val="13"/>
                <w:b w:val="1"/>
                <w:bCs w:val="1"/>
                <w:color w:val="FFFFFF"/>
              </w:rPr>
              <w:t>Stock​</w:t>
            </w:r>
          </w:p>
        </w:tc>
        <w:tc>
          <w:tcPr>
            <w:tcW w:w="0" w:type="dxa"/>
            <w:vAlign w:val="bottom"/>
          </w:tcPr>
          <w:p>
            <w:pPr>
              <w:spacing w:after="0"/>
              <w:rPr>
                <w:sz w:val="1"/>
                <w:szCs w:val="1"/>
                <w:color w:val="auto"/>
              </w:rPr>
            </w:pPr>
          </w:p>
        </w:tc>
      </w:tr>
      <w:tr>
        <w:trPr>
          <w:trHeight w:val="67"/>
        </w:trPr>
        <w:tc>
          <w:tcPr>
            <w:tcW w:w="600" w:type="dxa"/>
            <w:vAlign w:val="bottom"/>
            <w:vMerge w:val="continue"/>
            <w:shd w:val="clear" w:color="auto" w:fill="CF1D4C"/>
          </w:tcPr>
          <w:p>
            <w:pPr>
              <w:spacing w:after="0"/>
              <w:rPr>
                <w:sz w:val="5"/>
                <w:szCs w:val="5"/>
                <w:color w:val="auto"/>
              </w:rPr>
            </w:pPr>
          </w:p>
        </w:tc>
        <w:tc>
          <w:tcPr>
            <w:tcW w:w="800" w:type="dxa"/>
            <w:vAlign w:val="bottom"/>
            <w:shd w:val="clear" w:color="auto" w:fill="CF1D4C"/>
          </w:tcPr>
          <w:p>
            <w:pPr>
              <w:spacing w:after="0"/>
              <w:rPr>
                <w:sz w:val="5"/>
                <w:szCs w:val="5"/>
                <w:color w:val="auto"/>
              </w:rPr>
            </w:pPr>
          </w:p>
        </w:tc>
        <w:tc>
          <w:tcPr>
            <w:tcW w:w="98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3"/>
                <w:szCs w:val="13"/>
                <w:b w:val="1"/>
                <w:bCs w:val="1"/>
                <w:color w:val="FFFFFF"/>
              </w:rPr>
              <w:t>Shares</w:t>
            </w:r>
          </w:p>
        </w:tc>
        <w:tc>
          <w:tcPr>
            <w:tcW w:w="840" w:type="dxa"/>
            <w:vAlign w:val="bottom"/>
            <w:vMerge w:val="restart"/>
            <w:shd w:val="clear" w:color="auto" w:fill="CF1D4C"/>
          </w:tcPr>
          <w:p>
            <w:pPr>
              <w:ind w:left="120"/>
              <w:spacing w:after="0" w:line="135" w:lineRule="exact"/>
              <w:rPr>
                <w:sz w:val="20"/>
                <w:szCs w:val="20"/>
                <w:color w:val="auto"/>
              </w:rPr>
            </w:pPr>
            <w:r>
              <w:rPr>
                <w:rFonts w:ascii="Arial" w:cs="Arial" w:eastAsia="Arial" w:hAnsi="Arial"/>
                <w:sz w:val="13"/>
                <w:szCs w:val="13"/>
                <w:b w:val="1"/>
                <w:bCs w:val="1"/>
                <w:color w:val="FFFFFF"/>
              </w:rPr>
              <w:t>Perfor-</w:t>
            </w:r>
          </w:p>
        </w:tc>
        <w:tc>
          <w:tcPr>
            <w:tcW w:w="104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3"/>
                <w:szCs w:val="13"/>
                <w:b w:val="1"/>
                <w:bCs w:val="1"/>
                <w:color w:val="FFFFFF"/>
              </w:rPr>
              <w:t>Based RSUs</w:t>
            </w:r>
          </w:p>
        </w:tc>
        <w:tc>
          <w:tcPr>
            <w:tcW w:w="1060" w:type="dxa"/>
            <w:vAlign w:val="bottom"/>
            <w:vMerge w:val="restart"/>
            <w:shd w:val="clear" w:color="auto" w:fill="CF1D4C"/>
          </w:tcPr>
          <w:p>
            <w:pPr>
              <w:ind w:left="120"/>
              <w:spacing w:after="0" w:line="135" w:lineRule="exact"/>
              <w:rPr>
                <w:sz w:val="20"/>
                <w:szCs w:val="20"/>
                <w:color w:val="auto"/>
              </w:rPr>
            </w:pPr>
            <w:r>
              <w:rPr>
                <w:rFonts w:ascii="Arial" w:cs="Arial" w:eastAsia="Arial" w:hAnsi="Arial"/>
                <w:sz w:val="13"/>
                <w:szCs w:val="13"/>
                <w:b w:val="1"/>
                <w:bCs w:val="1"/>
                <w:color w:val="FFFFFF"/>
              </w:rPr>
              <w:t>Performance-</w:t>
            </w:r>
          </w:p>
        </w:tc>
        <w:tc>
          <w:tcPr>
            <w:tcW w:w="860" w:type="dxa"/>
            <w:vAlign w:val="bottom"/>
            <w:vMerge w:val="restart"/>
            <w:shd w:val="clear" w:color="auto" w:fill="CF1D4C"/>
          </w:tcPr>
          <w:p>
            <w:pPr>
              <w:ind w:left="140"/>
              <w:spacing w:after="0" w:line="135" w:lineRule="exact"/>
              <w:rPr>
                <w:sz w:val="20"/>
                <w:szCs w:val="20"/>
                <w:color w:val="auto"/>
              </w:rPr>
            </w:pPr>
            <w:r>
              <w:rPr>
                <w:rFonts w:ascii="Arial" w:cs="Arial" w:eastAsia="Arial" w:hAnsi="Arial"/>
                <w:sz w:val="13"/>
                <w:szCs w:val="13"/>
                <w:b w:val="1"/>
                <w:bCs w:val="1"/>
                <w:color w:val="FFFFFF"/>
              </w:rPr>
              <w:t>Stock</w:t>
            </w:r>
          </w:p>
        </w:tc>
        <w:tc>
          <w:tcPr>
            <w:tcW w:w="86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3"/>
                <w:szCs w:val="13"/>
                <w:b w:val="1"/>
                <w:bCs w:val="1"/>
                <w:color w:val="FFFFFF"/>
              </w:rPr>
              <w:t>Restricted</w:t>
            </w:r>
          </w:p>
        </w:tc>
        <w:tc>
          <w:tcPr>
            <w:tcW w:w="940" w:type="dxa"/>
            <w:vAlign w:val="bottom"/>
            <w:vMerge w:val="restart"/>
            <w:shd w:val="clear" w:color="auto" w:fill="CF1D4C"/>
          </w:tcPr>
          <w:p>
            <w:pPr>
              <w:ind w:left="120"/>
              <w:spacing w:after="0" w:line="135" w:lineRule="exact"/>
              <w:rPr>
                <w:sz w:val="20"/>
                <w:szCs w:val="20"/>
                <w:color w:val="auto"/>
              </w:rPr>
            </w:pPr>
            <w:r>
              <w:rPr>
                <w:rFonts w:ascii="Arial" w:cs="Arial" w:eastAsia="Arial" w:hAnsi="Arial"/>
                <w:sz w:val="13"/>
                <w:szCs w:val="13"/>
                <w:b w:val="1"/>
                <w:bCs w:val="1"/>
                <w:color w:val="FFFFFF"/>
              </w:rPr>
              <w:t>Options</w:t>
            </w:r>
          </w:p>
        </w:tc>
        <w:tc>
          <w:tcPr>
            <w:tcW w:w="78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00" w:type="dxa"/>
            <w:vAlign w:val="bottom"/>
            <w:gridSpan w:val="2"/>
            <w:vMerge w:val="restart"/>
            <w:shd w:val="clear" w:color="auto" w:fill="CF1D4C"/>
          </w:tcPr>
          <w:p>
            <w:pPr>
              <w:ind w:left="180"/>
              <w:spacing w:after="0" w:line="135" w:lineRule="exact"/>
              <w:rPr>
                <w:sz w:val="20"/>
                <w:szCs w:val="20"/>
                <w:color w:val="auto"/>
              </w:rPr>
            </w:pPr>
            <w:r>
              <w:rPr>
                <w:rFonts w:ascii="Arial" w:cs="Arial" w:eastAsia="Arial" w:hAnsi="Arial"/>
                <w:sz w:val="13"/>
                <w:szCs w:val="13"/>
                <w:b w:val="1"/>
                <w:bCs w:val="1"/>
                <w:color w:val="FFFFFF"/>
              </w:rPr>
              <w:t>Executive</w:t>
            </w:r>
          </w:p>
        </w:tc>
        <w:tc>
          <w:tcPr>
            <w:tcW w:w="980" w:type="dxa"/>
            <w:vAlign w:val="bottom"/>
            <w:vMerge w:val="continue"/>
            <w:shd w:val="clear" w:color="auto" w:fill="CF1D4C"/>
          </w:tcPr>
          <w:p>
            <w:pPr>
              <w:spacing w:after="0"/>
              <w:rPr>
                <w:sz w:val="5"/>
                <w:szCs w:val="5"/>
                <w:color w:val="auto"/>
              </w:rPr>
            </w:pPr>
          </w:p>
        </w:tc>
        <w:tc>
          <w:tcPr>
            <w:tcW w:w="840" w:type="dxa"/>
            <w:vAlign w:val="bottom"/>
            <w:vMerge w:val="continue"/>
            <w:shd w:val="clear" w:color="auto" w:fill="CF1D4C"/>
          </w:tcPr>
          <w:p>
            <w:pPr>
              <w:spacing w:after="0"/>
              <w:rPr>
                <w:sz w:val="5"/>
                <w:szCs w:val="5"/>
                <w:color w:val="auto"/>
              </w:rPr>
            </w:pPr>
          </w:p>
        </w:tc>
        <w:tc>
          <w:tcPr>
            <w:tcW w:w="1040" w:type="dxa"/>
            <w:vAlign w:val="bottom"/>
            <w:vMerge w:val="continue"/>
            <w:shd w:val="clear" w:color="auto" w:fill="CF1D4C"/>
          </w:tcPr>
          <w:p>
            <w:pPr>
              <w:spacing w:after="0"/>
              <w:rPr>
                <w:sz w:val="5"/>
                <w:szCs w:val="5"/>
                <w:color w:val="auto"/>
              </w:rPr>
            </w:pPr>
          </w:p>
        </w:tc>
        <w:tc>
          <w:tcPr>
            <w:tcW w:w="1060" w:type="dxa"/>
            <w:vAlign w:val="bottom"/>
            <w:vMerge w:val="continue"/>
            <w:shd w:val="clear" w:color="auto" w:fill="CF1D4C"/>
          </w:tcPr>
          <w:p>
            <w:pPr>
              <w:spacing w:after="0"/>
              <w:rPr>
                <w:sz w:val="5"/>
                <w:szCs w:val="5"/>
                <w:color w:val="auto"/>
              </w:rPr>
            </w:pPr>
          </w:p>
        </w:tc>
        <w:tc>
          <w:tcPr>
            <w:tcW w:w="860" w:type="dxa"/>
            <w:vAlign w:val="bottom"/>
            <w:vMerge w:val="continue"/>
            <w:shd w:val="clear" w:color="auto" w:fill="CF1D4C"/>
          </w:tcPr>
          <w:p>
            <w:pPr>
              <w:spacing w:after="0"/>
              <w:rPr>
                <w:sz w:val="5"/>
                <w:szCs w:val="5"/>
                <w:color w:val="auto"/>
              </w:rPr>
            </w:pPr>
          </w:p>
        </w:tc>
        <w:tc>
          <w:tcPr>
            <w:tcW w:w="860" w:type="dxa"/>
            <w:vAlign w:val="bottom"/>
            <w:vMerge w:val="continue"/>
            <w:shd w:val="clear" w:color="auto" w:fill="CF1D4C"/>
          </w:tcPr>
          <w:p>
            <w:pPr>
              <w:spacing w:after="0"/>
              <w:rPr>
                <w:sz w:val="5"/>
                <w:szCs w:val="5"/>
                <w:color w:val="auto"/>
              </w:rPr>
            </w:pPr>
          </w:p>
        </w:tc>
        <w:tc>
          <w:tcPr>
            <w:tcW w:w="940" w:type="dxa"/>
            <w:vAlign w:val="bottom"/>
            <w:vMerge w:val="continue"/>
            <w:shd w:val="clear" w:color="auto" w:fill="CF1D4C"/>
          </w:tcPr>
          <w:p>
            <w:pPr>
              <w:spacing w:after="0"/>
              <w:rPr>
                <w:sz w:val="5"/>
                <w:szCs w:val="5"/>
                <w:color w:val="auto"/>
              </w:rPr>
            </w:pPr>
          </w:p>
        </w:tc>
        <w:tc>
          <w:tcPr>
            <w:tcW w:w="780" w:type="dxa"/>
            <w:vAlign w:val="bottom"/>
            <w:vMerge w:val="restart"/>
            <w:shd w:val="clear" w:color="auto" w:fill="CF1D4C"/>
          </w:tcPr>
          <w:p>
            <w:pPr>
              <w:ind w:left="80"/>
              <w:spacing w:after="0" w:line="135" w:lineRule="exact"/>
              <w:rPr>
                <w:sz w:val="20"/>
                <w:szCs w:val="20"/>
                <w:color w:val="auto"/>
              </w:rPr>
            </w:pPr>
            <w:r>
              <w:rPr>
                <w:rFonts w:ascii="Arial" w:cs="Arial" w:eastAsia="Arial" w:hAnsi="Arial"/>
                <w:sz w:val="13"/>
                <w:szCs w:val="13"/>
                <w:b w:val="1"/>
                <w:bCs w:val="1"/>
                <w:color w:val="FFFFFF"/>
              </w:rPr>
              <w:t>Options</w:t>
            </w:r>
          </w:p>
        </w:tc>
        <w:tc>
          <w:tcPr>
            <w:tcW w:w="0" w:type="dxa"/>
            <w:vAlign w:val="bottom"/>
          </w:tcPr>
          <w:p>
            <w:pPr>
              <w:spacing w:after="0"/>
              <w:rPr>
                <w:sz w:val="1"/>
                <w:szCs w:val="1"/>
                <w:color w:val="auto"/>
              </w:rPr>
            </w:pPr>
          </w:p>
        </w:tc>
      </w:tr>
      <w:tr>
        <w:trPr>
          <w:trHeight w:val="68"/>
        </w:trPr>
        <w:tc>
          <w:tcPr>
            <w:tcW w:w="1400" w:type="dxa"/>
            <w:vAlign w:val="bottom"/>
            <w:gridSpan w:val="2"/>
            <w:vMerge w:val="continue"/>
            <w:shd w:val="clear" w:color="auto" w:fill="CF1D4C"/>
          </w:tcPr>
          <w:p>
            <w:pPr>
              <w:spacing w:after="0"/>
              <w:rPr>
                <w:sz w:val="5"/>
                <w:szCs w:val="5"/>
                <w:color w:val="auto"/>
              </w:rPr>
            </w:pPr>
          </w:p>
        </w:tc>
        <w:tc>
          <w:tcPr>
            <w:tcW w:w="98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3"/>
                <w:szCs w:val="13"/>
                <w:b w:val="1"/>
                <w:bCs w:val="1"/>
                <w:color w:val="FFFFFF"/>
              </w:rPr>
              <w:t>(Target $</w:t>
            </w:r>
          </w:p>
        </w:tc>
        <w:tc>
          <w:tcPr>
            <w:tcW w:w="840" w:type="dxa"/>
            <w:vAlign w:val="bottom"/>
            <w:vMerge w:val="restart"/>
            <w:shd w:val="clear" w:color="auto" w:fill="CF1D4C"/>
          </w:tcPr>
          <w:p>
            <w:pPr>
              <w:ind w:left="120"/>
              <w:spacing w:after="0" w:line="135" w:lineRule="exact"/>
              <w:rPr>
                <w:sz w:val="20"/>
                <w:szCs w:val="20"/>
                <w:color w:val="auto"/>
              </w:rPr>
            </w:pPr>
            <w:r>
              <w:rPr>
                <w:rFonts w:ascii="Arial" w:cs="Arial" w:eastAsia="Arial" w:hAnsi="Arial"/>
                <w:sz w:val="13"/>
                <w:szCs w:val="13"/>
                <w:b w:val="1"/>
                <w:bCs w:val="1"/>
                <w:color w:val="FFFFFF"/>
              </w:rPr>
              <w:t>mance</w:t>
            </w:r>
          </w:p>
        </w:tc>
        <w:tc>
          <w:tcPr>
            <w:tcW w:w="104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3"/>
                <w:szCs w:val="13"/>
                <w:b w:val="1"/>
                <w:bCs w:val="1"/>
                <w:color w:val="FFFFFF"/>
              </w:rPr>
              <w:t>(Target $</w:t>
            </w:r>
          </w:p>
        </w:tc>
        <w:tc>
          <w:tcPr>
            <w:tcW w:w="1060" w:type="dxa"/>
            <w:vAlign w:val="bottom"/>
            <w:vMerge w:val="restart"/>
            <w:shd w:val="clear" w:color="auto" w:fill="CF1D4C"/>
          </w:tcPr>
          <w:p>
            <w:pPr>
              <w:ind w:left="120"/>
              <w:spacing w:after="0" w:line="135" w:lineRule="exact"/>
              <w:rPr>
                <w:sz w:val="20"/>
                <w:szCs w:val="20"/>
                <w:color w:val="auto"/>
              </w:rPr>
            </w:pPr>
            <w:r>
              <w:rPr>
                <w:rFonts w:ascii="Arial" w:cs="Arial" w:eastAsia="Arial" w:hAnsi="Arial"/>
                <w:sz w:val="13"/>
                <w:szCs w:val="13"/>
                <w:b w:val="1"/>
                <w:bCs w:val="1"/>
                <w:color w:val="FFFFFF"/>
              </w:rPr>
              <w:t>Based</w:t>
            </w:r>
          </w:p>
        </w:tc>
        <w:tc>
          <w:tcPr>
            <w:tcW w:w="860" w:type="dxa"/>
            <w:vAlign w:val="bottom"/>
            <w:vMerge w:val="restart"/>
            <w:shd w:val="clear" w:color="auto" w:fill="CF1D4C"/>
          </w:tcPr>
          <w:p>
            <w:pPr>
              <w:ind w:left="140"/>
              <w:spacing w:after="0" w:line="135" w:lineRule="exact"/>
              <w:rPr>
                <w:sz w:val="20"/>
                <w:szCs w:val="20"/>
                <w:color w:val="auto"/>
              </w:rPr>
            </w:pPr>
            <w:r>
              <w:rPr>
                <w:rFonts w:ascii="Arial" w:cs="Arial" w:eastAsia="Arial" w:hAnsi="Arial"/>
                <w:sz w:val="13"/>
                <w:szCs w:val="13"/>
                <w:b w:val="1"/>
                <w:bCs w:val="1"/>
                <w:color w:val="FFFFFF"/>
              </w:rPr>
              <w:t>Awards</w:t>
            </w:r>
          </w:p>
        </w:tc>
        <w:tc>
          <w:tcPr>
            <w:tcW w:w="86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3"/>
                <w:szCs w:val="13"/>
                <w:b w:val="1"/>
                <w:bCs w:val="1"/>
                <w:color w:val="FFFFFF"/>
              </w:rPr>
              <w:t>Stock</w:t>
            </w:r>
          </w:p>
        </w:tc>
        <w:tc>
          <w:tcPr>
            <w:tcW w:w="940" w:type="dxa"/>
            <w:vAlign w:val="bottom"/>
            <w:vMerge w:val="restart"/>
            <w:shd w:val="clear" w:color="auto" w:fill="CF1D4C"/>
          </w:tcPr>
          <w:p>
            <w:pPr>
              <w:ind w:left="120"/>
              <w:spacing w:after="0" w:line="135" w:lineRule="exact"/>
              <w:rPr>
                <w:sz w:val="20"/>
                <w:szCs w:val="20"/>
                <w:color w:val="auto"/>
              </w:rPr>
            </w:pPr>
            <w:r>
              <w:rPr>
                <w:rFonts w:ascii="Arial" w:cs="Arial" w:eastAsia="Arial" w:hAnsi="Arial"/>
                <w:sz w:val="13"/>
                <w:szCs w:val="13"/>
                <w:b w:val="1"/>
                <w:bCs w:val="1"/>
                <w:color w:val="FFFFFF"/>
              </w:rPr>
              <w:t>(Target $</w:t>
            </w:r>
          </w:p>
        </w:tc>
        <w:tc>
          <w:tcPr>
            <w:tcW w:w="78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00" w:type="dxa"/>
            <w:vAlign w:val="bottom"/>
            <w:vMerge w:val="restart"/>
            <w:shd w:val="clear" w:color="auto" w:fill="CF1D4C"/>
          </w:tcPr>
          <w:p>
            <w:pPr>
              <w:ind w:left="180"/>
              <w:spacing w:after="0"/>
              <w:rPr>
                <w:sz w:val="20"/>
                <w:szCs w:val="20"/>
                <w:color w:val="auto"/>
              </w:rPr>
            </w:pPr>
            <w:r>
              <w:rPr>
                <w:rFonts w:ascii="Arial" w:cs="Arial" w:eastAsia="Arial" w:hAnsi="Arial"/>
                <w:sz w:val="13"/>
                <w:szCs w:val="13"/>
                <w:b w:val="1"/>
                <w:bCs w:val="1"/>
                <w:color w:val="FFFFFF"/>
                <w:w w:val="95"/>
              </w:rPr>
              <w:t>Officer</w:t>
            </w:r>
          </w:p>
        </w:tc>
        <w:tc>
          <w:tcPr>
            <w:tcW w:w="800" w:type="dxa"/>
            <w:vAlign w:val="bottom"/>
            <w:shd w:val="clear" w:color="auto" w:fill="CF1D4C"/>
          </w:tcPr>
          <w:p>
            <w:pPr>
              <w:spacing w:after="0"/>
              <w:rPr>
                <w:sz w:val="5"/>
                <w:szCs w:val="5"/>
                <w:color w:val="auto"/>
              </w:rPr>
            </w:pPr>
          </w:p>
        </w:tc>
        <w:tc>
          <w:tcPr>
            <w:tcW w:w="980" w:type="dxa"/>
            <w:vAlign w:val="bottom"/>
            <w:vMerge w:val="continue"/>
            <w:shd w:val="clear" w:color="auto" w:fill="CF1D4C"/>
          </w:tcPr>
          <w:p>
            <w:pPr>
              <w:spacing w:after="0"/>
              <w:rPr>
                <w:sz w:val="5"/>
                <w:szCs w:val="5"/>
                <w:color w:val="auto"/>
              </w:rPr>
            </w:pPr>
          </w:p>
        </w:tc>
        <w:tc>
          <w:tcPr>
            <w:tcW w:w="840" w:type="dxa"/>
            <w:vAlign w:val="bottom"/>
            <w:vMerge w:val="continue"/>
            <w:shd w:val="clear" w:color="auto" w:fill="CF1D4C"/>
          </w:tcPr>
          <w:p>
            <w:pPr>
              <w:spacing w:after="0"/>
              <w:rPr>
                <w:sz w:val="5"/>
                <w:szCs w:val="5"/>
                <w:color w:val="auto"/>
              </w:rPr>
            </w:pPr>
          </w:p>
        </w:tc>
        <w:tc>
          <w:tcPr>
            <w:tcW w:w="1040" w:type="dxa"/>
            <w:vAlign w:val="bottom"/>
            <w:vMerge w:val="continue"/>
            <w:shd w:val="clear" w:color="auto" w:fill="CF1D4C"/>
          </w:tcPr>
          <w:p>
            <w:pPr>
              <w:spacing w:after="0"/>
              <w:rPr>
                <w:sz w:val="5"/>
                <w:szCs w:val="5"/>
                <w:color w:val="auto"/>
              </w:rPr>
            </w:pPr>
          </w:p>
        </w:tc>
        <w:tc>
          <w:tcPr>
            <w:tcW w:w="1060" w:type="dxa"/>
            <w:vAlign w:val="bottom"/>
            <w:vMerge w:val="continue"/>
            <w:shd w:val="clear" w:color="auto" w:fill="CF1D4C"/>
          </w:tcPr>
          <w:p>
            <w:pPr>
              <w:spacing w:after="0"/>
              <w:rPr>
                <w:sz w:val="5"/>
                <w:szCs w:val="5"/>
                <w:color w:val="auto"/>
              </w:rPr>
            </w:pPr>
          </w:p>
        </w:tc>
        <w:tc>
          <w:tcPr>
            <w:tcW w:w="860" w:type="dxa"/>
            <w:vAlign w:val="bottom"/>
            <w:vMerge w:val="continue"/>
            <w:shd w:val="clear" w:color="auto" w:fill="CF1D4C"/>
          </w:tcPr>
          <w:p>
            <w:pPr>
              <w:spacing w:after="0"/>
              <w:rPr>
                <w:sz w:val="5"/>
                <w:szCs w:val="5"/>
                <w:color w:val="auto"/>
              </w:rPr>
            </w:pPr>
          </w:p>
        </w:tc>
        <w:tc>
          <w:tcPr>
            <w:tcW w:w="860" w:type="dxa"/>
            <w:vAlign w:val="bottom"/>
            <w:vMerge w:val="continue"/>
            <w:shd w:val="clear" w:color="auto" w:fill="CF1D4C"/>
          </w:tcPr>
          <w:p>
            <w:pPr>
              <w:spacing w:after="0"/>
              <w:rPr>
                <w:sz w:val="5"/>
                <w:szCs w:val="5"/>
                <w:color w:val="auto"/>
              </w:rPr>
            </w:pPr>
          </w:p>
        </w:tc>
        <w:tc>
          <w:tcPr>
            <w:tcW w:w="940" w:type="dxa"/>
            <w:vAlign w:val="bottom"/>
            <w:vMerge w:val="continue"/>
            <w:shd w:val="clear" w:color="auto" w:fill="CF1D4C"/>
          </w:tcPr>
          <w:p>
            <w:pPr>
              <w:spacing w:after="0"/>
              <w:rPr>
                <w:sz w:val="5"/>
                <w:szCs w:val="5"/>
                <w:color w:val="auto"/>
              </w:rPr>
            </w:pPr>
          </w:p>
        </w:tc>
        <w:tc>
          <w:tcPr>
            <w:tcW w:w="780" w:type="dxa"/>
            <w:vAlign w:val="bottom"/>
            <w:vMerge w:val="restart"/>
            <w:shd w:val="clear" w:color="auto" w:fill="CF1D4C"/>
          </w:tcPr>
          <w:p>
            <w:pPr>
              <w:ind w:left="80"/>
              <w:spacing w:after="0"/>
              <w:rPr>
                <w:sz w:val="20"/>
                <w:szCs w:val="20"/>
                <w:color w:val="auto"/>
              </w:rPr>
            </w:pPr>
            <w:r>
              <w:rPr>
                <w:rFonts w:ascii="Arial" w:cs="Arial" w:eastAsia="Arial" w:hAnsi="Arial"/>
                <w:sz w:val="13"/>
                <w:szCs w:val="13"/>
                <w:b w:val="1"/>
                <w:bCs w:val="1"/>
                <w:color w:val="FFFFFF"/>
              </w:rPr>
              <w:t>(# )</w:t>
            </w:r>
          </w:p>
        </w:tc>
        <w:tc>
          <w:tcPr>
            <w:tcW w:w="0" w:type="dxa"/>
            <w:vAlign w:val="bottom"/>
          </w:tcPr>
          <w:p>
            <w:pPr>
              <w:spacing w:after="0"/>
              <w:rPr>
                <w:sz w:val="1"/>
                <w:szCs w:val="1"/>
                <w:color w:val="auto"/>
              </w:rPr>
            </w:pPr>
          </w:p>
        </w:tc>
      </w:tr>
      <w:tr>
        <w:trPr>
          <w:trHeight w:val="104"/>
        </w:trPr>
        <w:tc>
          <w:tcPr>
            <w:tcW w:w="600" w:type="dxa"/>
            <w:vAlign w:val="bottom"/>
            <w:vMerge w:val="continue"/>
            <w:shd w:val="clear" w:color="auto" w:fill="CF1D4C"/>
          </w:tcPr>
          <w:p>
            <w:pPr>
              <w:spacing w:after="0"/>
              <w:rPr>
                <w:sz w:val="9"/>
                <w:szCs w:val="9"/>
                <w:color w:val="auto"/>
              </w:rPr>
            </w:pPr>
          </w:p>
        </w:tc>
        <w:tc>
          <w:tcPr>
            <w:tcW w:w="800" w:type="dxa"/>
            <w:vAlign w:val="bottom"/>
            <w:shd w:val="clear" w:color="auto" w:fill="CF1D4C"/>
          </w:tcPr>
          <w:p>
            <w:pPr>
              <w:spacing w:after="0"/>
              <w:rPr>
                <w:sz w:val="9"/>
                <w:szCs w:val="9"/>
                <w:color w:val="auto"/>
              </w:rPr>
            </w:pPr>
          </w:p>
        </w:tc>
        <w:tc>
          <w:tcPr>
            <w:tcW w:w="98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3"/>
                <w:szCs w:val="13"/>
                <w:b w:val="1"/>
                <w:bCs w:val="1"/>
                <w:color w:val="FFFFFF"/>
              </w:rPr>
              <w:t>Value)</w:t>
            </w:r>
          </w:p>
        </w:tc>
        <w:tc>
          <w:tcPr>
            <w:tcW w:w="840" w:type="dxa"/>
            <w:vAlign w:val="bottom"/>
            <w:vMerge w:val="restart"/>
            <w:shd w:val="clear" w:color="auto" w:fill="CF1D4C"/>
          </w:tcPr>
          <w:p>
            <w:pPr>
              <w:ind w:left="120"/>
              <w:spacing w:after="0" w:line="135" w:lineRule="exact"/>
              <w:rPr>
                <w:sz w:val="20"/>
                <w:szCs w:val="20"/>
                <w:color w:val="auto"/>
              </w:rPr>
            </w:pPr>
            <w:r>
              <w:rPr>
                <w:rFonts w:ascii="Arial" w:cs="Arial" w:eastAsia="Arial" w:hAnsi="Arial"/>
                <w:sz w:val="13"/>
                <w:szCs w:val="13"/>
                <w:b w:val="1"/>
                <w:bCs w:val="1"/>
                <w:color w:val="FFFFFF"/>
              </w:rPr>
              <w:t>Shares (#)</w:t>
            </w:r>
          </w:p>
        </w:tc>
        <w:tc>
          <w:tcPr>
            <w:tcW w:w="104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3"/>
                <w:szCs w:val="13"/>
                <w:b w:val="1"/>
                <w:bCs w:val="1"/>
                <w:color w:val="FFFFFF"/>
              </w:rPr>
              <w:t>Value)</w:t>
            </w:r>
          </w:p>
        </w:tc>
        <w:tc>
          <w:tcPr>
            <w:tcW w:w="1060" w:type="dxa"/>
            <w:vAlign w:val="bottom"/>
            <w:vMerge w:val="restart"/>
            <w:shd w:val="clear" w:color="auto" w:fill="CF1D4C"/>
          </w:tcPr>
          <w:p>
            <w:pPr>
              <w:ind w:left="120"/>
              <w:spacing w:after="0" w:line="135" w:lineRule="exact"/>
              <w:rPr>
                <w:sz w:val="20"/>
                <w:szCs w:val="20"/>
                <w:color w:val="auto"/>
              </w:rPr>
            </w:pPr>
            <w:r>
              <w:rPr>
                <w:rFonts w:ascii="Arial" w:cs="Arial" w:eastAsia="Arial" w:hAnsi="Arial"/>
                <w:sz w:val="13"/>
                <w:szCs w:val="13"/>
                <w:b w:val="1"/>
                <w:bCs w:val="1"/>
                <w:color w:val="FFFFFF"/>
              </w:rPr>
              <w:t>RSUs (#)</w:t>
            </w:r>
          </w:p>
        </w:tc>
        <w:tc>
          <w:tcPr>
            <w:tcW w:w="860" w:type="dxa"/>
            <w:vAlign w:val="bottom"/>
            <w:vMerge w:val="restart"/>
            <w:shd w:val="clear" w:color="auto" w:fill="CF1D4C"/>
          </w:tcPr>
          <w:p>
            <w:pPr>
              <w:ind w:left="140"/>
              <w:spacing w:after="0" w:line="135" w:lineRule="exact"/>
              <w:rPr>
                <w:sz w:val="20"/>
                <w:szCs w:val="20"/>
                <w:color w:val="auto"/>
              </w:rPr>
            </w:pPr>
            <w:r>
              <w:rPr>
                <w:rFonts w:ascii="Arial" w:cs="Arial" w:eastAsia="Arial" w:hAnsi="Arial"/>
                <w:sz w:val="13"/>
                <w:szCs w:val="13"/>
                <w:b w:val="1"/>
                <w:bCs w:val="1"/>
                <w:color w:val="FFFFFF"/>
              </w:rPr>
              <w:t>(Target $</w:t>
            </w:r>
          </w:p>
        </w:tc>
        <w:tc>
          <w:tcPr>
            <w:tcW w:w="86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3"/>
                <w:szCs w:val="13"/>
                <w:b w:val="1"/>
                <w:bCs w:val="1"/>
                <w:color w:val="FFFFFF"/>
              </w:rPr>
              <w:t>Awards (#)</w:t>
            </w:r>
          </w:p>
        </w:tc>
        <w:tc>
          <w:tcPr>
            <w:tcW w:w="940" w:type="dxa"/>
            <w:vAlign w:val="bottom"/>
            <w:vMerge w:val="restart"/>
            <w:shd w:val="clear" w:color="auto" w:fill="CF1D4C"/>
          </w:tcPr>
          <w:p>
            <w:pPr>
              <w:ind w:left="120"/>
              <w:spacing w:after="0" w:line="135" w:lineRule="exact"/>
              <w:rPr>
                <w:sz w:val="20"/>
                <w:szCs w:val="20"/>
                <w:color w:val="auto"/>
              </w:rPr>
            </w:pPr>
            <w:r>
              <w:rPr>
                <w:rFonts w:ascii="Arial" w:cs="Arial" w:eastAsia="Arial" w:hAnsi="Arial"/>
                <w:sz w:val="13"/>
                <w:szCs w:val="13"/>
                <w:b w:val="1"/>
                <w:bCs w:val="1"/>
                <w:color w:val="FFFFFF"/>
              </w:rPr>
              <w:t>Value)</w:t>
            </w:r>
          </w:p>
        </w:tc>
        <w:tc>
          <w:tcPr>
            <w:tcW w:w="780" w:type="dxa"/>
            <w:vAlign w:val="bottom"/>
            <w:vMerge w:val="continue"/>
            <w:shd w:val="clear" w:color="auto" w:fill="CF1D4C"/>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600" w:type="dxa"/>
            <w:vAlign w:val="bottom"/>
            <w:shd w:val="clear" w:color="auto" w:fill="CF1D4C"/>
          </w:tcPr>
          <w:p>
            <w:pPr>
              <w:spacing w:after="0"/>
              <w:rPr>
                <w:sz w:val="2"/>
                <w:szCs w:val="2"/>
                <w:color w:val="auto"/>
              </w:rPr>
            </w:pPr>
          </w:p>
        </w:tc>
        <w:tc>
          <w:tcPr>
            <w:tcW w:w="800" w:type="dxa"/>
            <w:vAlign w:val="bottom"/>
            <w:shd w:val="clear" w:color="auto" w:fill="CF1D4C"/>
          </w:tcPr>
          <w:p>
            <w:pPr>
              <w:spacing w:after="0"/>
              <w:rPr>
                <w:sz w:val="2"/>
                <w:szCs w:val="2"/>
                <w:color w:val="auto"/>
              </w:rPr>
            </w:pPr>
          </w:p>
        </w:tc>
        <w:tc>
          <w:tcPr>
            <w:tcW w:w="980" w:type="dxa"/>
            <w:vAlign w:val="bottom"/>
            <w:vMerge w:val="continue"/>
            <w:shd w:val="clear" w:color="auto" w:fill="CF1D4C"/>
          </w:tcPr>
          <w:p>
            <w:pPr>
              <w:spacing w:after="0"/>
              <w:rPr>
                <w:sz w:val="2"/>
                <w:szCs w:val="2"/>
                <w:color w:val="auto"/>
              </w:rPr>
            </w:pPr>
          </w:p>
        </w:tc>
        <w:tc>
          <w:tcPr>
            <w:tcW w:w="840" w:type="dxa"/>
            <w:vAlign w:val="bottom"/>
            <w:vMerge w:val="continue"/>
            <w:shd w:val="clear" w:color="auto" w:fill="CF1D4C"/>
          </w:tcPr>
          <w:p>
            <w:pPr>
              <w:spacing w:after="0"/>
              <w:rPr>
                <w:sz w:val="2"/>
                <w:szCs w:val="2"/>
                <w:color w:val="auto"/>
              </w:rPr>
            </w:pPr>
          </w:p>
        </w:tc>
        <w:tc>
          <w:tcPr>
            <w:tcW w:w="1040" w:type="dxa"/>
            <w:vAlign w:val="bottom"/>
            <w:vMerge w:val="continue"/>
            <w:shd w:val="clear" w:color="auto" w:fill="CF1D4C"/>
          </w:tcPr>
          <w:p>
            <w:pPr>
              <w:spacing w:after="0"/>
              <w:rPr>
                <w:sz w:val="2"/>
                <w:szCs w:val="2"/>
                <w:color w:val="auto"/>
              </w:rPr>
            </w:pPr>
          </w:p>
        </w:tc>
        <w:tc>
          <w:tcPr>
            <w:tcW w:w="1060" w:type="dxa"/>
            <w:vAlign w:val="bottom"/>
            <w:vMerge w:val="continue"/>
            <w:shd w:val="clear" w:color="auto" w:fill="CF1D4C"/>
          </w:tcPr>
          <w:p>
            <w:pPr>
              <w:spacing w:after="0"/>
              <w:rPr>
                <w:sz w:val="2"/>
                <w:szCs w:val="2"/>
                <w:color w:val="auto"/>
              </w:rPr>
            </w:pPr>
          </w:p>
        </w:tc>
        <w:tc>
          <w:tcPr>
            <w:tcW w:w="860" w:type="dxa"/>
            <w:vAlign w:val="bottom"/>
            <w:vMerge w:val="continue"/>
            <w:shd w:val="clear" w:color="auto" w:fill="CF1D4C"/>
          </w:tcPr>
          <w:p>
            <w:pPr>
              <w:spacing w:after="0"/>
              <w:rPr>
                <w:sz w:val="2"/>
                <w:szCs w:val="2"/>
                <w:color w:val="auto"/>
              </w:rPr>
            </w:pPr>
          </w:p>
        </w:tc>
        <w:tc>
          <w:tcPr>
            <w:tcW w:w="860" w:type="dxa"/>
            <w:vAlign w:val="bottom"/>
            <w:vMerge w:val="continue"/>
            <w:shd w:val="clear" w:color="auto" w:fill="CF1D4C"/>
          </w:tcPr>
          <w:p>
            <w:pPr>
              <w:spacing w:after="0"/>
              <w:rPr>
                <w:sz w:val="2"/>
                <w:szCs w:val="2"/>
                <w:color w:val="auto"/>
              </w:rPr>
            </w:pPr>
          </w:p>
        </w:tc>
        <w:tc>
          <w:tcPr>
            <w:tcW w:w="940" w:type="dxa"/>
            <w:vAlign w:val="bottom"/>
            <w:vMerge w:val="continue"/>
            <w:shd w:val="clear" w:color="auto" w:fill="CF1D4C"/>
          </w:tcPr>
          <w:p>
            <w:pPr>
              <w:spacing w:after="0"/>
              <w:rPr>
                <w:sz w:val="2"/>
                <w:szCs w:val="2"/>
                <w:color w:val="auto"/>
              </w:rPr>
            </w:pPr>
          </w:p>
        </w:tc>
        <w:tc>
          <w:tcPr>
            <w:tcW w:w="780" w:type="dxa"/>
            <w:vAlign w:val="bottom"/>
            <w:shd w:val="clear" w:color="auto" w:fill="CF1D4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00" w:type="dxa"/>
            <w:vAlign w:val="bottom"/>
            <w:shd w:val="clear" w:color="auto" w:fill="CF1D4C"/>
          </w:tcPr>
          <w:p>
            <w:pPr>
              <w:spacing w:after="0"/>
              <w:rPr>
                <w:sz w:val="14"/>
                <w:szCs w:val="14"/>
                <w:color w:val="auto"/>
              </w:rPr>
            </w:pPr>
          </w:p>
        </w:tc>
        <w:tc>
          <w:tcPr>
            <w:tcW w:w="800" w:type="dxa"/>
            <w:vAlign w:val="bottom"/>
            <w:shd w:val="clear" w:color="auto" w:fill="CF1D4C"/>
          </w:tcPr>
          <w:p>
            <w:pPr>
              <w:spacing w:after="0"/>
              <w:rPr>
                <w:sz w:val="14"/>
                <w:szCs w:val="14"/>
                <w:color w:val="auto"/>
              </w:rPr>
            </w:pPr>
          </w:p>
        </w:tc>
        <w:tc>
          <w:tcPr>
            <w:tcW w:w="980" w:type="dxa"/>
            <w:vAlign w:val="bottom"/>
            <w:shd w:val="clear" w:color="auto" w:fill="CF1D4C"/>
          </w:tcPr>
          <w:p>
            <w:pPr>
              <w:spacing w:after="0"/>
              <w:rPr>
                <w:sz w:val="14"/>
                <w:szCs w:val="14"/>
                <w:color w:val="auto"/>
              </w:rPr>
            </w:pPr>
          </w:p>
        </w:tc>
        <w:tc>
          <w:tcPr>
            <w:tcW w:w="840" w:type="dxa"/>
            <w:vAlign w:val="bottom"/>
            <w:shd w:val="clear" w:color="auto" w:fill="CF1D4C"/>
          </w:tcPr>
          <w:p>
            <w:pPr>
              <w:spacing w:after="0"/>
              <w:rPr>
                <w:sz w:val="14"/>
                <w:szCs w:val="14"/>
                <w:color w:val="auto"/>
              </w:rPr>
            </w:pPr>
          </w:p>
        </w:tc>
        <w:tc>
          <w:tcPr>
            <w:tcW w:w="1040" w:type="dxa"/>
            <w:vAlign w:val="bottom"/>
            <w:shd w:val="clear" w:color="auto" w:fill="CF1D4C"/>
          </w:tcPr>
          <w:p>
            <w:pPr>
              <w:spacing w:after="0"/>
              <w:rPr>
                <w:sz w:val="14"/>
                <w:szCs w:val="14"/>
                <w:color w:val="auto"/>
              </w:rPr>
            </w:pPr>
          </w:p>
        </w:tc>
        <w:tc>
          <w:tcPr>
            <w:tcW w:w="1060" w:type="dxa"/>
            <w:vAlign w:val="bottom"/>
            <w:shd w:val="clear" w:color="auto" w:fill="CF1D4C"/>
          </w:tcPr>
          <w:p>
            <w:pPr>
              <w:spacing w:after="0"/>
              <w:rPr>
                <w:sz w:val="14"/>
                <w:szCs w:val="14"/>
                <w:color w:val="auto"/>
              </w:rPr>
            </w:pPr>
          </w:p>
        </w:tc>
        <w:tc>
          <w:tcPr>
            <w:tcW w:w="860" w:type="dxa"/>
            <w:vAlign w:val="bottom"/>
            <w:shd w:val="clear" w:color="auto" w:fill="CF1D4C"/>
          </w:tcPr>
          <w:p>
            <w:pPr>
              <w:ind w:left="140"/>
              <w:spacing w:after="0"/>
              <w:rPr>
                <w:sz w:val="20"/>
                <w:szCs w:val="20"/>
                <w:color w:val="auto"/>
              </w:rPr>
            </w:pPr>
            <w:r>
              <w:rPr>
                <w:rFonts w:ascii="Arial" w:cs="Arial" w:eastAsia="Arial" w:hAnsi="Arial"/>
                <w:sz w:val="13"/>
                <w:szCs w:val="13"/>
                <w:b w:val="1"/>
                <w:bCs w:val="1"/>
                <w:color w:val="FFFFFF"/>
              </w:rPr>
              <w:t>Value)</w:t>
            </w:r>
          </w:p>
        </w:tc>
        <w:tc>
          <w:tcPr>
            <w:tcW w:w="860" w:type="dxa"/>
            <w:vAlign w:val="bottom"/>
            <w:shd w:val="clear" w:color="auto" w:fill="CF1D4C"/>
          </w:tcPr>
          <w:p>
            <w:pPr>
              <w:spacing w:after="0"/>
              <w:rPr>
                <w:sz w:val="14"/>
                <w:szCs w:val="14"/>
                <w:color w:val="auto"/>
              </w:rPr>
            </w:pPr>
          </w:p>
        </w:tc>
        <w:tc>
          <w:tcPr>
            <w:tcW w:w="940" w:type="dxa"/>
            <w:vAlign w:val="bottom"/>
            <w:shd w:val="clear" w:color="auto" w:fill="CF1D4C"/>
          </w:tcPr>
          <w:p>
            <w:pPr>
              <w:spacing w:after="0"/>
              <w:rPr>
                <w:sz w:val="14"/>
                <w:szCs w:val="14"/>
                <w:color w:val="auto"/>
              </w:rPr>
            </w:pPr>
          </w:p>
        </w:tc>
        <w:tc>
          <w:tcPr>
            <w:tcW w:w="780" w:type="dxa"/>
            <w:vAlign w:val="bottom"/>
            <w:shd w:val="clear" w:color="auto" w:fill="CF1D4C"/>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1400" w:type="dxa"/>
            <w:vAlign w:val="bottom"/>
            <w:gridSpan w:val="2"/>
            <w:shd w:val="clear" w:color="auto" w:fill="CF1D4C"/>
          </w:tcPr>
          <w:p>
            <w:pPr>
              <w:spacing w:after="0"/>
              <w:rPr>
                <w:sz w:val="7"/>
                <w:szCs w:val="7"/>
                <w:color w:val="auto"/>
              </w:rPr>
            </w:pPr>
          </w:p>
        </w:tc>
        <w:tc>
          <w:tcPr>
            <w:tcW w:w="980" w:type="dxa"/>
            <w:vAlign w:val="bottom"/>
            <w:shd w:val="clear" w:color="auto" w:fill="CF1D4C"/>
          </w:tcPr>
          <w:p>
            <w:pPr>
              <w:spacing w:after="0"/>
              <w:rPr>
                <w:sz w:val="7"/>
                <w:szCs w:val="7"/>
                <w:color w:val="auto"/>
              </w:rPr>
            </w:pPr>
          </w:p>
        </w:tc>
        <w:tc>
          <w:tcPr>
            <w:tcW w:w="840" w:type="dxa"/>
            <w:vAlign w:val="bottom"/>
            <w:shd w:val="clear" w:color="auto" w:fill="CF1D4C"/>
          </w:tcPr>
          <w:p>
            <w:pPr>
              <w:spacing w:after="0"/>
              <w:rPr>
                <w:sz w:val="7"/>
                <w:szCs w:val="7"/>
                <w:color w:val="auto"/>
              </w:rPr>
            </w:pPr>
          </w:p>
        </w:tc>
        <w:tc>
          <w:tcPr>
            <w:tcW w:w="1040" w:type="dxa"/>
            <w:vAlign w:val="bottom"/>
            <w:shd w:val="clear" w:color="auto" w:fill="CF1D4C"/>
          </w:tcPr>
          <w:p>
            <w:pPr>
              <w:spacing w:after="0"/>
              <w:rPr>
                <w:sz w:val="7"/>
                <w:szCs w:val="7"/>
                <w:color w:val="auto"/>
              </w:rPr>
            </w:pPr>
          </w:p>
        </w:tc>
        <w:tc>
          <w:tcPr>
            <w:tcW w:w="1060" w:type="dxa"/>
            <w:vAlign w:val="bottom"/>
            <w:shd w:val="clear" w:color="auto" w:fill="CF1D4C"/>
          </w:tcPr>
          <w:p>
            <w:pPr>
              <w:spacing w:after="0"/>
              <w:rPr>
                <w:sz w:val="7"/>
                <w:szCs w:val="7"/>
                <w:color w:val="auto"/>
              </w:rPr>
            </w:pPr>
          </w:p>
        </w:tc>
        <w:tc>
          <w:tcPr>
            <w:tcW w:w="860" w:type="dxa"/>
            <w:vAlign w:val="bottom"/>
            <w:shd w:val="clear" w:color="auto" w:fill="CF1D4C"/>
          </w:tcPr>
          <w:p>
            <w:pPr>
              <w:spacing w:after="0"/>
              <w:rPr>
                <w:sz w:val="7"/>
                <w:szCs w:val="7"/>
                <w:color w:val="auto"/>
              </w:rPr>
            </w:pPr>
          </w:p>
        </w:tc>
        <w:tc>
          <w:tcPr>
            <w:tcW w:w="860" w:type="dxa"/>
            <w:vAlign w:val="bottom"/>
            <w:shd w:val="clear" w:color="auto" w:fill="CF1D4C"/>
          </w:tcPr>
          <w:p>
            <w:pPr>
              <w:spacing w:after="0"/>
              <w:rPr>
                <w:sz w:val="7"/>
                <w:szCs w:val="7"/>
                <w:color w:val="auto"/>
              </w:rPr>
            </w:pPr>
          </w:p>
        </w:tc>
        <w:tc>
          <w:tcPr>
            <w:tcW w:w="1720" w:type="dxa"/>
            <w:vAlign w:val="bottom"/>
            <w:gridSpan w:val="2"/>
            <w:shd w:val="clear" w:color="auto" w:fill="CF1D4C"/>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400" w:type="dxa"/>
            <w:vAlign w:val="bottom"/>
            <w:gridSpan w:val="2"/>
          </w:tcPr>
          <w:p>
            <w:pPr>
              <w:ind w:left="180"/>
              <w:spacing w:after="0"/>
              <w:rPr>
                <w:sz w:val="20"/>
                <w:szCs w:val="20"/>
                <w:color w:val="auto"/>
              </w:rPr>
            </w:pPr>
            <w:r>
              <w:rPr>
                <w:rFonts w:ascii="Arial" w:cs="Arial" w:eastAsia="Arial" w:hAnsi="Arial"/>
                <w:sz w:val="14"/>
                <w:szCs w:val="14"/>
                <w:color w:val="333333"/>
              </w:rPr>
              <w:t>Tom Panther</w:t>
            </w:r>
          </w:p>
        </w:tc>
        <w:tc>
          <w:tcPr>
            <w:tcW w:w="980" w:type="dxa"/>
            <w:vAlign w:val="bottom"/>
          </w:tcPr>
          <w:p>
            <w:pPr>
              <w:ind w:left="100"/>
              <w:spacing w:after="0"/>
              <w:rPr>
                <w:sz w:val="20"/>
                <w:szCs w:val="20"/>
                <w:color w:val="auto"/>
              </w:rPr>
            </w:pPr>
            <w:r>
              <w:rPr>
                <w:rFonts w:ascii="Arial" w:cs="Arial" w:eastAsia="Arial" w:hAnsi="Arial"/>
                <w:sz w:val="14"/>
                <w:szCs w:val="14"/>
                <w:color w:val="333333"/>
              </w:rPr>
              <w:t>$​300,000</w:t>
            </w:r>
          </w:p>
        </w:tc>
        <w:tc>
          <w:tcPr>
            <w:tcW w:w="840" w:type="dxa"/>
            <w:vAlign w:val="bottom"/>
          </w:tcPr>
          <w:p>
            <w:pPr>
              <w:ind w:left="120"/>
              <w:spacing w:after="0"/>
              <w:rPr>
                <w:sz w:val="20"/>
                <w:szCs w:val="20"/>
                <w:color w:val="auto"/>
              </w:rPr>
            </w:pPr>
            <w:r>
              <w:rPr>
                <w:rFonts w:ascii="Arial" w:cs="Arial" w:eastAsia="Arial" w:hAnsi="Arial"/>
                <w:sz w:val="14"/>
                <w:szCs w:val="14"/>
                <w:color w:val="333333"/>
              </w:rPr>
              <w:t>​1,449</w:t>
            </w:r>
          </w:p>
        </w:tc>
        <w:tc>
          <w:tcPr>
            <w:tcW w:w="1040" w:type="dxa"/>
            <w:vAlign w:val="bottom"/>
          </w:tcPr>
          <w:p>
            <w:pPr>
              <w:ind w:left="100"/>
              <w:spacing w:after="0"/>
              <w:rPr>
                <w:sz w:val="20"/>
                <w:szCs w:val="20"/>
                <w:color w:val="auto"/>
              </w:rPr>
            </w:pPr>
            <w:r>
              <w:rPr>
                <w:rFonts w:ascii="Arial" w:cs="Arial" w:eastAsia="Arial" w:hAnsi="Arial"/>
                <w:sz w:val="14"/>
                <w:szCs w:val="14"/>
                <w:color w:val="333333"/>
              </w:rPr>
              <w:t>$​900,000</w:t>
            </w:r>
          </w:p>
        </w:tc>
        <w:tc>
          <w:tcPr>
            <w:tcW w:w="1060" w:type="dxa"/>
            <w:vAlign w:val="bottom"/>
          </w:tcPr>
          <w:p>
            <w:pPr>
              <w:ind w:left="120"/>
              <w:spacing w:after="0"/>
              <w:rPr>
                <w:sz w:val="20"/>
                <w:szCs w:val="20"/>
                <w:color w:val="auto"/>
              </w:rPr>
            </w:pPr>
            <w:r>
              <w:rPr>
                <w:rFonts w:ascii="Arial" w:cs="Arial" w:eastAsia="Arial" w:hAnsi="Arial"/>
                <w:sz w:val="14"/>
                <w:szCs w:val="14"/>
                <w:color w:val="333333"/>
              </w:rPr>
              <w:t>4,346​</w:t>
            </w:r>
          </w:p>
        </w:tc>
        <w:tc>
          <w:tcPr>
            <w:tcW w:w="860" w:type="dxa"/>
            <w:vAlign w:val="bottom"/>
          </w:tcPr>
          <w:p>
            <w:pPr>
              <w:ind w:left="140"/>
              <w:spacing w:after="0"/>
              <w:rPr>
                <w:sz w:val="20"/>
                <w:szCs w:val="20"/>
                <w:color w:val="auto"/>
              </w:rPr>
            </w:pPr>
            <w:r>
              <w:rPr>
                <w:rFonts w:ascii="Arial" w:cs="Arial" w:eastAsia="Arial" w:hAnsi="Arial"/>
                <w:sz w:val="14"/>
                <w:szCs w:val="14"/>
                <w:color w:val="333333"/>
              </w:rPr>
              <w:t>​—</w:t>
            </w:r>
          </w:p>
        </w:tc>
        <w:tc>
          <w:tcPr>
            <w:tcW w:w="860" w:type="dxa"/>
            <w:vAlign w:val="bottom"/>
          </w:tcPr>
          <w:p>
            <w:pPr>
              <w:ind w:left="100"/>
              <w:spacing w:after="0"/>
              <w:rPr>
                <w:sz w:val="20"/>
                <w:szCs w:val="20"/>
                <w:color w:val="auto"/>
              </w:rPr>
            </w:pPr>
            <w:r>
              <w:rPr>
                <w:rFonts w:ascii="Arial" w:cs="Arial" w:eastAsia="Arial" w:hAnsi="Arial"/>
                <w:sz w:val="14"/>
                <w:szCs w:val="14"/>
                <w:color w:val="333333"/>
              </w:rPr>
              <w:t>​—</w:t>
            </w:r>
          </w:p>
        </w:tc>
        <w:tc>
          <w:tcPr>
            <w:tcW w:w="1720" w:type="dxa"/>
            <w:vAlign w:val="bottom"/>
            <w:gridSpan w:val="2"/>
          </w:tcPr>
          <w:p>
            <w:pPr>
              <w:ind w:left="120"/>
              <w:spacing w:after="0"/>
              <w:rPr>
                <w:sz w:val="20"/>
                <w:szCs w:val="20"/>
                <w:color w:val="auto"/>
              </w:rPr>
            </w:pPr>
            <w:r>
              <w:rPr>
                <w:rFonts w:ascii="Arial" w:cs="Arial" w:eastAsia="Arial" w:hAnsi="Arial"/>
                <w:sz w:val="14"/>
                <w:szCs w:val="14"/>
                <w:color w:val="333333"/>
              </w:rPr>
              <w:t>$​1,200,000   17,002​</w:t>
            </w:r>
          </w:p>
        </w:tc>
        <w:tc>
          <w:tcPr>
            <w:tcW w:w="0" w:type="dxa"/>
            <w:vAlign w:val="bottom"/>
          </w:tcPr>
          <w:p>
            <w:pPr>
              <w:spacing w:after="0"/>
              <w:rPr>
                <w:sz w:val="1"/>
                <w:szCs w:val="1"/>
                <w:color w:val="auto"/>
              </w:rPr>
            </w:pPr>
          </w:p>
        </w:tc>
      </w:tr>
      <w:tr>
        <w:trPr>
          <w:trHeight w:val="89"/>
        </w:trPr>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600" w:type="dxa"/>
            <w:vAlign w:val="bottom"/>
            <w:shd w:val="clear" w:color="auto" w:fill="D9D9D9"/>
          </w:tcPr>
          <w:p>
            <w:pPr>
              <w:ind w:left="180"/>
              <w:spacing w:after="0"/>
              <w:rPr>
                <w:sz w:val="20"/>
                <w:szCs w:val="20"/>
                <w:color w:val="auto"/>
              </w:rPr>
            </w:pPr>
            <w:r>
              <w:rPr>
                <w:rFonts w:ascii="Arial" w:cs="Arial" w:eastAsia="Arial" w:hAnsi="Arial"/>
                <w:sz w:val="14"/>
                <w:szCs w:val="14"/>
                <w:color w:val="333333"/>
              </w:rPr>
              <w:t>Alissa​</w:t>
            </w:r>
          </w:p>
        </w:tc>
        <w:tc>
          <w:tcPr>
            <w:tcW w:w="800" w:type="dxa"/>
            <w:vAlign w:val="bottom"/>
            <w:shd w:val="clear" w:color="auto" w:fill="D9D9D9"/>
          </w:tcPr>
          <w:p>
            <w:pPr>
              <w:spacing w:after="0"/>
              <w:rPr>
                <w:sz w:val="20"/>
                <w:szCs w:val="20"/>
                <w:color w:val="auto"/>
              </w:rPr>
            </w:pPr>
            <w:r>
              <w:rPr>
                <w:rFonts w:ascii="Arial" w:cs="Arial" w:eastAsia="Arial" w:hAnsi="Arial"/>
                <w:sz w:val="14"/>
                <w:szCs w:val="14"/>
                <w:color w:val="333333"/>
              </w:rPr>
              <w:t>B. Vickery</w:t>
            </w:r>
          </w:p>
        </w:tc>
        <w:tc>
          <w:tcPr>
            <w:tcW w:w="980" w:type="dxa"/>
            <w:vAlign w:val="bottom"/>
            <w:shd w:val="clear" w:color="auto" w:fill="D9D9D9"/>
          </w:tcPr>
          <w:p>
            <w:pPr>
              <w:ind w:left="100"/>
              <w:spacing w:after="0"/>
              <w:rPr>
                <w:sz w:val="20"/>
                <w:szCs w:val="20"/>
                <w:color w:val="auto"/>
              </w:rPr>
            </w:pPr>
            <w:r>
              <w:rPr>
                <w:rFonts w:ascii="Arial" w:cs="Arial" w:eastAsia="Arial" w:hAnsi="Arial"/>
                <w:sz w:val="14"/>
                <w:szCs w:val="14"/>
                <w:color w:val="333333"/>
              </w:rPr>
              <w:t>$​250,000</w:t>
            </w:r>
          </w:p>
        </w:tc>
        <w:tc>
          <w:tcPr>
            <w:tcW w:w="840" w:type="dxa"/>
            <w:vAlign w:val="bottom"/>
            <w:shd w:val="clear" w:color="auto" w:fill="D9D9D9"/>
          </w:tcPr>
          <w:p>
            <w:pPr>
              <w:ind w:left="120"/>
              <w:spacing w:after="0"/>
              <w:rPr>
                <w:sz w:val="20"/>
                <w:szCs w:val="20"/>
                <w:color w:val="auto"/>
              </w:rPr>
            </w:pPr>
            <w:r>
              <w:rPr>
                <w:rFonts w:ascii="Arial" w:cs="Arial" w:eastAsia="Arial" w:hAnsi="Arial"/>
                <w:sz w:val="14"/>
                <w:szCs w:val="14"/>
                <w:color w:val="333333"/>
              </w:rPr>
              <w:t>1,171​</w:t>
            </w:r>
          </w:p>
        </w:tc>
        <w:tc>
          <w:tcPr>
            <w:tcW w:w="1040" w:type="dxa"/>
            <w:vAlign w:val="bottom"/>
            <w:shd w:val="clear" w:color="auto" w:fill="D9D9D9"/>
          </w:tcPr>
          <w:p>
            <w:pPr>
              <w:ind w:left="100"/>
              <w:spacing w:after="0"/>
              <w:rPr>
                <w:sz w:val="20"/>
                <w:szCs w:val="20"/>
                <w:color w:val="auto"/>
              </w:rPr>
            </w:pPr>
            <w:r>
              <w:rPr>
                <w:rFonts w:ascii="Arial" w:cs="Arial" w:eastAsia="Arial" w:hAnsi="Arial"/>
                <w:sz w:val="14"/>
                <w:szCs w:val="14"/>
                <w:color w:val="333333"/>
              </w:rPr>
              <w:t>—​</w:t>
            </w:r>
          </w:p>
        </w:tc>
        <w:tc>
          <w:tcPr>
            <w:tcW w:w="1060" w:type="dxa"/>
            <w:vAlign w:val="bottom"/>
            <w:shd w:val="clear" w:color="auto" w:fill="D9D9D9"/>
          </w:tcPr>
          <w:p>
            <w:pPr>
              <w:ind w:left="120"/>
              <w:spacing w:after="0"/>
              <w:rPr>
                <w:sz w:val="20"/>
                <w:szCs w:val="20"/>
                <w:color w:val="auto"/>
              </w:rPr>
            </w:pPr>
            <w:r>
              <w:rPr>
                <w:rFonts w:ascii="Arial" w:cs="Arial" w:eastAsia="Arial" w:hAnsi="Arial"/>
                <w:sz w:val="14"/>
                <w:szCs w:val="14"/>
                <w:color w:val="333333"/>
              </w:rPr>
              <w:t>—​</w:t>
            </w:r>
          </w:p>
        </w:tc>
        <w:tc>
          <w:tcPr>
            <w:tcW w:w="860" w:type="dxa"/>
            <w:vAlign w:val="bottom"/>
            <w:shd w:val="clear" w:color="auto" w:fill="D9D9D9"/>
          </w:tcPr>
          <w:p>
            <w:pPr>
              <w:ind w:left="140"/>
              <w:spacing w:after="0"/>
              <w:rPr>
                <w:sz w:val="20"/>
                <w:szCs w:val="20"/>
                <w:color w:val="auto"/>
              </w:rPr>
            </w:pPr>
            <w:r>
              <w:rPr>
                <w:rFonts w:ascii="Arial" w:cs="Arial" w:eastAsia="Arial" w:hAnsi="Arial"/>
                <w:sz w:val="14"/>
                <w:szCs w:val="14"/>
                <w:color w:val="333333"/>
              </w:rPr>
              <w:t>$​124,000</w:t>
            </w:r>
          </w:p>
        </w:tc>
        <w:tc>
          <w:tcPr>
            <w:tcW w:w="860" w:type="dxa"/>
            <w:vAlign w:val="bottom"/>
            <w:shd w:val="clear" w:color="auto" w:fill="D9D9D9"/>
          </w:tcPr>
          <w:p>
            <w:pPr>
              <w:ind w:left="100"/>
              <w:spacing w:after="0"/>
              <w:rPr>
                <w:sz w:val="20"/>
                <w:szCs w:val="20"/>
                <w:color w:val="auto"/>
              </w:rPr>
            </w:pPr>
            <w:r>
              <w:rPr>
                <w:rFonts w:ascii="Arial" w:cs="Arial" w:eastAsia="Arial" w:hAnsi="Arial"/>
                <w:sz w:val="14"/>
                <w:szCs w:val="14"/>
                <w:color w:val="333333"/>
              </w:rPr>
              <w:t>582​</w:t>
            </w:r>
          </w:p>
        </w:tc>
        <w:tc>
          <w:tcPr>
            <w:tcW w:w="940" w:type="dxa"/>
            <w:vAlign w:val="bottom"/>
            <w:shd w:val="clear" w:color="auto" w:fill="D9D9D9"/>
          </w:tcPr>
          <w:p>
            <w:pPr>
              <w:ind w:left="120"/>
              <w:spacing w:after="0"/>
              <w:rPr>
                <w:sz w:val="20"/>
                <w:szCs w:val="20"/>
                <w:color w:val="auto"/>
              </w:rPr>
            </w:pPr>
            <w:r>
              <w:rPr>
                <w:rFonts w:ascii="Arial" w:cs="Arial" w:eastAsia="Arial" w:hAnsi="Arial"/>
                <w:sz w:val="14"/>
                <w:szCs w:val="14"/>
                <w:color w:val="333333"/>
              </w:rPr>
              <w:t>—​</w:t>
            </w:r>
          </w:p>
        </w:tc>
        <w:tc>
          <w:tcPr>
            <w:tcW w:w="780" w:type="dxa"/>
            <w:vAlign w:val="bottom"/>
            <w:shd w:val="clear" w:color="auto" w:fill="D9D9D9"/>
          </w:tcPr>
          <w:p>
            <w:pPr>
              <w:ind w:left="80"/>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89"/>
        </w:trPr>
        <w:tc>
          <w:tcPr>
            <w:tcW w:w="1400" w:type="dxa"/>
            <w:vAlign w:val="bottom"/>
            <w:gridSpan w:val="2"/>
            <w:shd w:val="clear" w:color="auto" w:fill="D9D9D9"/>
          </w:tcPr>
          <w:p>
            <w:pPr>
              <w:spacing w:after="0"/>
              <w:rPr>
                <w:sz w:val="7"/>
                <w:szCs w:val="7"/>
                <w:color w:val="auto"/>
              </w:rPr>
            </w:pPr>
          </w:p>
        </w:tc>
        <w:tc>
          <w:tcPr>
            <w:tcW w:w="980" w:type="dxa"/>
            <w:vAlign w:val="bottom"/>
            <w:shd w:val="clear" w:color="auto" w:fill="D9D9D9"/>
          </w:tcPr>
          <w:p>
            <w:pPr>
              <w:spacing w:after="0"/>
              <w:rPr>
                <w:sz w:val="7"/>
                <w:szCs w:val="7"/>
                <w:color w:val="auto"/>
              </w:rPr>
            </w:pPr>
          </w:p>
        </w:tc>
        <w:tc>
          <w:tcPr>
            <w:tcW w:w="840" w:type="dxa"/>
            <w:vAlign w:val="bottom"/>
            <w:shd w:val="clear" w:color="auto" w:fill="D9D9D9"/>
          </w:tcPr>
          <w:p>
            <w:pPr>
              <w:spacing w:after="0"/>
              <w:rPr>
                <w:sz w:val="7"/>
                <w:szCs w:val="7"/>
                <w:color w:val="auto"/>
              </w:rPr>
            </w:pPr>
          </w:p>
        </w:tc>
        <w:tc>
          <w:tcPr>
            <w:tcW w:w="1040" w:type="dxa"/>
            <w:vAlign w:val="bottom"/>
            <w:shd w:val="clear" w:color="auto" w:fill="D9D9D9"/>
          </w:tcPr>
          <w:p>
            <w:pPr>
              <w:spacing w:after="0"/>
              <w:rPr>
                <w:sz w:val="7"/>
                <w:szCs w:val="7"/>
                <w:color w:val="auto"/>
              </w:rPr>
            </w:pPr>
          </w:p>
        </w:tc>
        <w:tc>
          <w:tcPr>
            <w:tcW w:w="1060" w:type="dxa"/>
            <w:vAlign w:val="bottom"/>
            <w:shd w:val="clear" w:color="auto" w:fill="D9D9D9"/>
          </w:tcPr>
          <w:p>
            <w:pPr>
              <w:spacing w:after="0"/>
              <w:rPr>
                <w:sz w:val="7"/>
                <w:szCs w:val="7"/>
                <w:color w:val="auto"/>
              </w:rPr>
            </w:pPr>
          </w:p>
        </w:tc>
        <w:tc>
          <w:tcPr>
            <w:tcW w:w="860" w:type="dxa"/>
            <w:vAlign w:val="bottom"/>
            <w:shd w:val="clear" w:color="auto" w:fill="D9D9D9"/>
          </w:tcPr>
          <w:p>
            <w:pPr>
              <w:spacing w:after="0"/>
              <w:rPr>
                <w:sz w:val="7"/>
                <w:szCs w:val="7"/>
                <w:color w:val="auto"/>
              </w:rPr>
            </w:pPr>
          </w:p>
        </w:tc>
        <w:tc>
          <w:tcPr>
            <w:tcW w:w="860" w:type="dxa"/>
            <w:vAlign w:val="bottom"/>
            <w:shd w:val="clear" w:color="auto" w:fill="D9D9D9"/>
          </w:tcPr>
          <w:p>
            <w:pPr>
              <w:spacing w:after="0"/>
              <w:rPr>
                <w:sz w:val="7"/>
                <w:szCs w:val="7"/>
                <w:color w:val="auto"/>
              </w:rPr>
            </w:pPr>
          </w:p>
        </w:tc>
        <w:tc>
          <w:tcPr>
            <w:tcW w:w="940" w:type="dxa"/>
            <w:vAlign w:val="bottom"/>
            <w:shd w:val="clear" w:color="auto" w:fill="D9D9D9"/>
          </w:tcPr>
          <w:p>
            <w:pPr>
              <w:spacing w:after="0"/>
              <w:rPr>
                <w:sz w:val="7"/>
                <w:szCs w:val="7"/>
                <w:color w:val="auto"/>
              </w:rPr>
            </w:pPr>
          </w:p>
        </w:tc>
        <w:tc>
          <w:tcPr>
            <w:tcW w:w="78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400" w:type="dxa"/>
            <w:vAlign w:val="bottom"/>
            <w:gridSpan w:val="2"/>
          </w:tcPr>
          <w:p>
            <w:pPr>
              <w:ind w:left="180"/>
              <w:spacing w:after="0"/>
              <w:rPr>
                <w:sz w:val="20"/>
                <w:szCs w:val="20"/>
                <w:color w:val="auto"/>
              </w:rPr>
            </w:pPr>
            <w:r>
              <w:rPr>
                <w:rFonts w:ascii="Arial" w:cs="Arial" w:eastAsia="Arial" w:hAnsi="Arial"/>
                <w:sz w:val="14"/>
                <w:szCs w:val="14"/>
                <w:color w:val="333333"/>
              </w:rPr>
              <w:t>Armando L. Netto</w:t>
            </w:r>
          </w:p>
        </w:tc>
        <w:tc>
          <w:tcPr>
            <w:tcW w:w="980" w:type="dxa"/>
            <w:vAlign w:val="bottom"/>
          </w:tcPr>
          <w:p>
            <w:pPr>
              <w:ind w:left="100"/>
              <w:spacing w:after="0"/>
              <w:rPr>
                <w:sz w:val="20"/>
                <w:szCs w:val="20"/>
                <w:color w:val="auto"/>
              </w:rPr>
            </w:pPr>
            <w:r>
              <w:rPr>
                <w:rFonts w:ascii="Arial" w:cs="Arial" w:eastAsia="Arial" w:hAnsi="Arial"/>
                <w:sz w:val="14"/>
                <w:szCs w:val="14"/>
                <w:color w:val="333333"/>
              </w:rPr>
              <w:t>$​426,000</w:t>
            </w:r>
          </w:p>
        </w:tc>
        <w:tc>
          <w:tcPr>
            <w:tcW w:w="840" w:type="dxa"/>
            <w:vAlign w:val="bottom"/>
          </w:tcPr>
          <w:p>
            <w:pPr>
              <w:ind w:left="120"/>
              <w:spacing w:after="0"/>
              <w:rPr>
                <w:sz w:val="20"/>
                <w:szCs w:val="20"/>
                <w:color w:val="auto"/>
              </w:rPr>
            </w:pPr>
            <w:r>
              <w:rPr>
                <w:rFonts w:ascii="Arial" w:cs="Arial" w:eastAsia="Arial" w:hAnsi="Arial"/>
                <w:sz w:val="14"/>
                <w:szCs w:val="14"/>
                <w:color w:val="333333"/>
              </w:rPr>
              <w:t>1,996​</w:t>
            </w:r>
          </w:p>
        </w:tc>
        <w:tc>
          <w:tcPr>
            <w:tcW w:w="1040" w:type="dxa"/>
            <w:vAlign w:val="bottom"/>
          </w:tcPr>
          <w:p>
            <w:pPr>
              <w:ind w:left="100"/>
              <w:spacing w:after="0"/>
              <w:rPr>
                <w:sz w:val="20"/>
                <w:szCs w:val="20"/>
                <w:color w:val="auto"/>
              </w:rPr>
            </w:pPr>
            <w:r>
              <w:rPr>
                <w:rFonts w:ascii="Arial" w:cs="Arial" w:eastAsia="Arial" w:hAnsi="Arial"/>
                <w:sz w:val="14"/>
                <w:szCs w:val="14"/>
                <w:color w:val="333333"/>
              </w:rPr>
              <w:t>$​1,278,000</w:t>
            </w:r>
          </w:p>
        </w:tc>
        <w:tc>
          <w:tcPr>
            <w:tcW w:w="1060" w:type="dxa"/>
            <w:vAlign w:val="bottom"/>
          </w:tcPr>
          <w:p>
            <w:pPr>
              <w:ind w:left="120"/>
              <w:spacing w:after="0"/>
              <w:rPr>
                <w:sz w:val="20"/>
                <w:szCs w:val="20"/>
                <w:color w:val="auto"/>
              </w:rPr>
            </w:pPr>
            <w:r>
              <w:rPr>
                <w:rFonts w:ascii="Arial" w:cs="Arial" w:eastAsia="Arial" w:hAnsi="Arial"/>
                <w:sz w:val="14"/>
                <w:szCs w:val="14"/>
                <w:color w:val="333333"/>
              </w:rPr>
              <w:t>5,988​</w:t>
            </w:r>
          </w:p>
        </w:tc>
        <w:tc>
          <w:tcPr>
            <w:tcW w:w="860" w:type="dxa"/>
            <w:vAlign w:val="bottom"/>
          </w:tcPr>
          <w:p>
            <w:pPr>
              <w:ind w:left="140"/>
              <w:spacing w:after="0"/>
              <w:rPr>
                <w:sz w:val="20"/>
                <w:szCs w:val="20"/>
                <w:color w:val="auto"/>
              </w:rPr>
            </w:pPr>
            <w:r>
              <w:rPr>
                <w:rFonts w:ascii="Arial" w:cs="Arial" w:eastAsia="Arial" w:hAnsi="Arial"/>
                <w:sz w:val="14"/>
                <w:szCs w:val="14"/>
                <w:color w:val="333333"/>
              </w:rPr>
              <w:t>$​615,000</w:t>
            </w:r>
          </w:p>
        </w:tc>
        <w:tc>
          <w:tcPr>
            <w:tcW w:w="860" w:type="dxa"/>
            <w:vAlign w:val="bottom"/>
          </w:tcPr>
          <w:p>
            <w:pPr>
              <w:ind w:left="100"/>
              <w:spacing w:after="0"/>
              <w:rPr>
                <w:sz w:val="20"/>
                <w:szCs w:val="20"/>
                <w:color w:val="auto"/>
              </w:rPr>
            </w:pPr>
            <w:r>
              <w:rPr>
                <w:rFonts w:ascii="Arial" w:cs="Arial" w:eastAsia="Arial" w:hAnsi="Arial"/>
                <w:sz w:val="14"/>
                <w:szCs w:val="14"/>
                <w:color w:val="333333"/>
              </w:rPr>
              <w:t>3,071​</w:t>
            </w:r>
          </w:p>
        </w:tc>
        <w:tc>
          <w:tcPr>
            <w:tcW w:w="940" w:type="dxa"/>
            <w:vAlign w:val="bottom"/>
          </w:tcPr>
          <w:p>
            <w:pPr>
              <w:ind w:left="120"/>
              <w:spacing w:after="0"/>
              <w:rPr>
                <w:sz w:val="20"/>
                <w:szCs w:val="20"/>
                <w:color w:val="auto"/>
              </w:rPr>
            </w:pPr>
            <w:r>
              <w:rPr>
                <w:rFonts w:ascii="Arial" w:cs="Arial" w:eastAsia="Arial" w:hAnsi="Arial"/>
                <w:sz w:val="14"/>
                <w:szCs w:val="14"/>
                <w:color w:val="333333"/>
              </w:rPr>
              <w:t>$​1,200,000</w:t>
            </w:r>
          </w:p>
        </w:tc>
        <w:tc>
          <w:tcPr>
            <w:tcW w:w="780" w:type="dxa"/>
            <w:vAlign w:val="bottom"/>
          </w:tcPr>
          <w:p>
            <w:pPr>
              <w:ind w:left="80"/>
              <w:spacing w:after="0"/>
              <w:rPr>
                <w:sz w:val="20"/>
                <w:szCs w:val="20"/>
                <w:color w:val="auto"/>
              </w:rPr>
            </w:pPr>
            <w:r>
              <w:rPr>
                <w:rFonts w:ascii="Arial" w:cs="Arial" w:eastAsia="Arial" w:hAnsi="Arial"/>
                <w:sz w:val="14"/>
                <w:szCs w:val="14"/>
                <w:color w:val="333333"/>
              </w:rPr>
              <w:t>17,679​</w:t>
            </w:r>
          </w:p>
        </w:tc>
        <w:tc>
          <w:tcPr>
            <w:tcW w:w="0" w:type="dxa"/>
            <w:vAlign w:val="bottom"/>
          </w:tcPr>
          <w:p>
            <w:pPr>
              <w:spacing w:after="0"/>
              <w:rPr>
                <w:sz w:val="1"/>
                <w:szCs w:val="1"/>
                <w:color w:val="auto"/>
              </w:rPr>
            </w:pPr>
          </w:p>
        </w:tc>
      </w:tr>
      <w:tr>
        <w:trPr>
          <w:trHeight w:val="89"/>
        </w:trPr>
        <w:tc>
          <w:tcPr>
            <w:tcW w:w="1400" w:type="dxa"/>
            <w:vAlign w:val="bottom"/>
            <w:gridSpan w:val="2"/>
          </w:tcPr>
          <w:p>
            <w:pPr>
              <w:spacing w:after="0"/>
              <w:rPr>
                <w:sz w:val="7"/>
                <w:szCs w:val="7"/>
                <w:color w:val="auto"/>
              </w:rPr>
            </w:pP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400" w:type="dxa"/>
            <w:vAlign w:val="bottom"/>
            <w:gridSpan w:val="2"/>
            <w:shd w:val="clear" w:color="auto" w:fill="D9D9D9"/>
          </w:tcPr>
          <w:p>
            <w:pPr>
              <w:ind w:left="180"/>
              <w:spacing w:after="0"/>
              <w:rPr>
                <w:sz w:val="20"/>
                <w:szCs w:val="20"/>
                <w:color w:val="auto"/>
              </w:rPr>
            </w:pPr>
            <w:r>
              <w:rPr>
                <w:rFonts w:ascii="Arial" w:cs="Arial" w:eastAsia="Arial" w:hAnsi="Arial"/>
                <w:sz w:val="14"/>
                <w:szCs w:val="14"/>
                <w:color w:val="333333"/>
              </w:rPr>
              <w:t>Alan King</w:t>
            </w:r>
          </w:p>
        </w:tc>
        <w:tc>
          <w:tcPr>
            <w:tcW w:w="980" w:type="dxa"/>
            <w:vAlign w:val="bottom"/>
            <w:shd w:val="clear" w:color="auto" w:fill="D9D9D9"/>
          </w:tcPr>
          <w:p>
            <w:pPr>
              <w:ind w:left="100"/>
              <w:spacing w:after="0"/>
              <w:rPr>
                <w:sz w:val="20"/>
                <w:szCs w:val="20"/>
                <w:color w:val="auto"/>
              </w:rPr>
            </w:pPr>
            <w:r>
              <w:rPr>
                <w:rFonts w:ascii="Arial" w:cs="Arial" w:eastAsia="Arial" w:hAnsi="Arial"/>
                <w:sz w:val="14"/>
                <w:szCs w:val="14"/>
                <w:color w:val="333333"/>
              </w:rPr>
              <w:t>$​426,000</w:t>
            </w:r>
          </w:p>
        </w:tc>
        <w:tc>
          <w:tcPr>
            <w:tcW w:w="840" w:type="dxa"/>
            <w:vAlign w:val="bottom"/>
            <w:shd w:val="clear" w:color="auto" w:fill="D9D9D9"/>
          </w:tcPr>
          <w:p>
            <w:pPr>
              <w:ind w:left="120"/>
              <w:spacing w:after="0"/>
              <w:rPr>
                <w:sz w:val="20"/>
                <w:szCs w:val="20"/>
                <w:color w:val="auto"/>
              </w:rPr>
            </w:pPr>
            <w:r>
              <w:rPr>
                <w:rFonts w:ascii="Arial" w:cs="Arial" w:eastAsia="Arial" w:hAnsi="Arial"/>
                <w:sz w:val="14"/>
                <w:szCs w:val="14"/>
                <w:color w:val="333333"/>
              </w:rPr>
              <w:t>1,996​</w:t>
            </w:r>
          </w:p>
        </w:tc>
        <w:tc>
          <w:tcPr>
            <w:tcW w:w="1040" w:type="dxa"/>
            <w:vAlign w:val="bottom"/>
            <w:shd w:val="clear" w:color="auto" w:fill="D9D9D9"/>
          </w:tcPr>
          <w:p>
            <w:pPr>
              <w:ind w:left="100"/>
              <w:spacing w:after="0"/>
              <w:rPr>
                <w:sz w:val="20"/>
                <w:szCs w:val="20"/>
                <w:color w:val="auto"/>
              </w:rPr>
            </w:pPr>
            <w:r>
              <w:rPr>
                <w:rFonts w:ascii="Arial" w:cs="Arial" w:eastAsia="Arial" w:hAnsi="Arial"/>
                <w:sz w:val="14"/>
                <w:szCs w:val="14"/>
                <w:color w:val="333333"/>
              </w:rPr>
              <w:t>$​1,278,000</w:t>
            </w:r>
          </w:p>
        </w:tc>
        <w:tc>
          <w:tcPr>
            <w:tcW w:w="1060" w:type="dxa"/>
            <w:vAlign w:val="bottom"/>
            <w:shd w:val="clear" w:color="auto" w:fill="D9D9D9"/>
          </w:tcPr>
          <w:p>
            <w:pPr>
              <w:ind w:left="120"/>
              <w:spacing w:after="0"/>
              <w:rPr>
                <w:sz w:val="20"/>
                <w:szCs w:val="20"/>
                <w:color w:val="auto"/>
              </w:rPr>
            </w:pPr>
            <w:r>
              <w:rPr>
                <w:rFonts w:ascii="Arial" w:cs="Arial" w:eastAsia="Arial" w:hAnsi="Arial"/>
                <w:sz w:val="14"/>
                <w:szCs w:val="14"/>
                <w:color w:val="333333"/>
              </w:rPr>
              <w:t>5,988​</w:t>
            </w:r>
          </w:p>
        </w:tc>
        <w:tc>
          <w:tcPr>
            <w:tcW w:w="860" w:type="dxa"/>
            <w:vAlign w:val="bottom"/>
            <w:shd w:val="clear" w:color="auto" w:fill="D9D9D9"/>
          </w:tcPr>
          <w:p>
            <w:pPr>
              <w:ind w:left="140"/>
              <w:spacing w:after="0"/>
              <w:rPr>
                <w:sz w:val="20"/>
                <w:szCs w:val="20"/>
                <w:color w:val="auto"/>
              </w:rPr>
            </w:pPr>
            <w:r>
              <w:rPr>
                <w:rFonts w:ascii="Arial" w:cs="Arial" w:eastAsia="Arial" w:hAnsi="Arial"/>
                <w:sz w:val="14"/>
                <w:szCs w:val="14"/>
                <w:color w:val="333333"/>
              </w:rPr>
              <w:t>$​327,000</w:t>
            </w:r>
          </w:p>
        </w:tc>
        <w:tc>
          <w:tcPr>
            <w:tcW w:w="860" w:type="dxa"/>
            <w:vAlign w:val="bottom"/>
            <w:shd w:val="clear" w:color="auto" w:fill="D9D9D9"/>
          </w:tcPr>
          <w:p>
            <w:pPr>
              <w:ind w:left="100"/>
              <w:spacing w:after="0"/>
              <w:rPr>
                <w:sz w:val="20"/>
                <w:szCs w:val="20"/>
                <w:color w:val="auto"/>
              </w:rPr>
            </w:pPr>
            <w:r>
              <w:rPr>
                <w:rFonts w:ascii="Arial" w:cs="Arial" w:eastAsia="Arial" w:hAnsi="Arial"/>
                <w:sz w:val="14"/>
                <w:szCs w:val="14"/>
                <w:color w:val="333333"/>
              </w:rPr>
              <w:t>1,636​</w:t>
            </w:r>
          </w:p>
        </w:tc>
        <w:tc>
          <w:tcPr>
            <w:tcW w:w="940" w:type="dxa"/>
            <w:vAlign w:val="bottom"/>
            <w:shd w:val="clear" w:color="auto" w:fill="D9D9D9"/>
          </w:tcPr>
          <w:p>
            <w:pPr>
              <w:ind w:left="120"/>
              <w:spacing w:after="0"/>
              <w:rPr>
                <w:sz w:val="20"/>
                <w:szCs w:val="20"/>
                <w:color w:val="auto"/>
              </w:rPr>
            </w:pPr>
            <w:r>
              <w:rPr>
                <w:rFonts w:ascii="Arial" w:cs="Arial" w:eastAsia="Arial" w:hAnsi="Arial"/>
                <w:sz w:val="14"/>
                <w:szCs w:val="14"/>
                <w:color w:val="333333"/>
              </w:rPr>
              <w:t>$1,200,000</w:t>
            </w:r>
          </w:p>
        </w:tc>
        <w:tc>
          <w:tcPr>
            <w:tcW w:w="780" w:type="dxa"/>
            <w:vAlign w:val="bottom"/>
            <w:shd w:val="clear" w:color="auto" w:fill="D9D9D9"/>
          </w:tcPr>
          <w:p>
            <w:pPr>
              <w:ind w:left="80"/>
              <w:spacing w:after="0"/>
              <w:rPr>
                <w:sz w:val="20"/>
                <w:szCs w:val="20"/>
                <w:color w:val="auto"/>
              </w:rPr>
            </w:pPr>
            <w:r>
              <w:rPr>
                <w:rFonts w:ascii="Arial" w:cs="Arial" w:eastAsia="Arial" w:hAnsi="Arial"/>
                <w:sz w:val="14"/>
                <w:szCs w:val="14"/>
                <w:color w:val="333333"/>
              </w:rPr>
              <w:t>​17,679</w:t>
            </w:r>
          </w:p>
        </w:tc>
        <w:tc>
          <w:tcPr>
            <w:tcW w:w="0" w:type="dxa"/>
            <w:vAlign w:val="bottom"/>
          </w:tcPr>
          <w:p>
            <w:pPr>
              <w:spacing w:after="0"/>
              <w:rPr>
                <w:sz w:val="1"/>
                <w:szCs w:val="1"/>
                <w:color w:val="auto"/>
              </w:rPr>
            </w:pPr>
          </w:p>
        </w:tc>
      </w:tr>
      <w:tr>
        <w:trPr>
          <w:trHeight w:val="35"/>
        </w:trPr>
        <w:tc>
          <w:tcPr>
            <w:tcW w:w="600" w:type="dxa"/>
            <w:vAlign w:val="bottom"/>
            <w:shd w:val="clear" w:color="auto" w:fill="D9D9D9"/>
          </w:tcPr>
          <w:p>
            <w:pPr>
              <w:spacing w:after="0"/>
              <w:rPr>
                <w:sz w:val="3"/>
                <w:szCs w:val="3"/>
                <w:color w:val="auto"/>
              </w:rPr>
            </w:pPr>
          </w:p>
        </w:tc>
        <w:tc>
          <w:tcPr>
            <w:tcW w:w="800" w:type="dxa"/>
            <w:vAlign w:val="bottom"/>
            <w:shd w:val="clear" w:color="auto" w:fill="D9D9D9"/>
          </w:tcPr>
          <w:p>
            <w:pPr>
              <w:spacing w:after="0"/>
              <w:rPr>
                <w:sz w:val="3"/>
                <w:szCs w:val="3"/>
                <w:color w:val="auto"/>
              </w:rPr>
            </w:pPr>
          </w:p>
        </w:tc>
        <w:tc>
          <w:tcPr>
            <w:tcW w:w="980" w:type="dxa"/>
            <w:vAlign w:val="bottom"/>
            <w:shd w:val="clear" w:color="auto" w:fill="D9D9D9"/>
          </w:tcPr>
          <w:p>
            <w:pPr>
              <w:spacing w:after="0"/>
              <w:rPr>
                <w:sz w:val="3"/>
                <w:szCs w:val="3"/>
                <w:color w:val="auto"/>
              </w:rPr>
            </w:pPr>
          </w:p>
        </w:tc>
        <w:tc>
          <w:tcPr>
            <w:tcW w:w="840" w:type="dxa"/>
            <w:vAlign w:val="bottom"/>
            <w:shd w:val="clear" w:color="auto" w:fill="D9D9D9"/>
          </w:tcPr>
          <w:p>
            <w:pPr>
              <w:spacing w:after="0"/>
              <w:rPr>
                <w:sz w:val="3"/>
                <w:szCs w:val="3"/>
                <w:color w:val="auto"/>
              </w:rPr>
            </w:pPr>
          </w:p>
        </w:tc>
        <w:tc>
          <w:tcPr>
            <w:tcW w:w="1040" w:type="dxa"/>
            <w:vAlign w:val="bottom"/>
            <w:shd w:val="clear" w:color="auto" w:fill="D9D9D9"/>
          </w:tcPr>
          <w:p>
            <w:pPr>
              <w:spacing w:after="0"/>
              <w:rPr>
                <w:sz w:val="3"/>
                <w:szCs w:val="3"/>
                <w:color w:val="auto"/>
              </w:rPr>
            </w:pPr>
          </w:p>
        </w:tc>
        <w:tc>
          <w:tcPr>
            <w:tcW w:w="1060" w:type="dxa"/>
            <w:vAlign w:val="bottom"/>
            <w:shd w:val="clear" w:color="auto" w:fill="D9D9D9"/>
          </w:tcPr>
          <w:p>
            <w:pPr>
              <w:spacing w:after="0"/>
              <w:rPr>
                <w:sz w:val="3"/>
                <w:szCs w:val="3"/>
                <w:color w:val="auto"/>
              </w:rPr>
            </w:pPr>
          </w:p>
        </w:tc>
        <w:tc>
          <w:tcPr>
            <w:tcW w:w="860" w:type="dxa"/>
            <w:vAlign w:val="bottom"/>
            <w:shd w:val="clear" w:color="auto" w:fill="D9D9D9"/>
          </w:tcPr>
          <w:p>
            <w:pPr>
              <w:spacing w:after="0"/>
              <w:rPr>
                <w:sz w:val="3"/>
                <w:szCs w:val="3"/>
                <w:color w:val="auto"/>
              </w:rPr>
            </w:pPr>
          </w:p>
        </w:tc>
        <w:tc>
          <w:tcPr>
            <w:tcW w:w="860" w:type="dxa"/>
            <w:vAlign w:val="bottom"/>
            <w:shd w:val="clear" w:color="auto" w:fill="D9D9D9"/>
          </w:tcPr>
          <w:p>
            <w:pPr>
              <w:spacing w:after="0"/>
              <w:rPr>
                <w:sz w:val="3"/>
                <w:szCs w:val="3"/>
                <w:color w:val="auto"/>
              </w:rPr>
            </w:pPr>
          </w:p>
        </w:tc>
        <w:tc>
          <w:tcPr>
            <w:tcW w:w="940" w:type="dxa"/>
            <w:vAlign w:val="bottom"/>
            <w:shd w:val="clear" w:color="auto" w:fill="D9D9D9"/>
          </w:tcPr>
          <w:p>
            <w:pPr>
              <w:spacing w:after="0"/>
              <w:rPr>
                <w:sz w:val="3"/>
                <w:szCs w:val="3"/>
                <w:color w:val="auto"/>
              </w:rPr>
            </w:pPr>
          </w:p>
        </w:tc>
        <w:tc>
          <w:tcPr>
            <w:tcW w:w="780" w:type="dxa"/>
            <w:vAlign w:val="bottom"/>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39"/>
          </w:cols>
          <w:pgMar w:left="920" w:top="114" w:right="1440" w:bottom="1440" w:gutter="0" w:footer="0" w:header="0"/>
          <w:type w:val="continuous"/>
        </w:sect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Performance Period for Non-CEO Equity Awards</w:t>
      </w:r>
    </w:p>
    <w:p>
      <w:pPr>
        <w:spacing w:after="0" w:line="235" w:lineRule="exact"/>
        <w:rPr>
          <w:sz w:val="20"/>
          <w:szCs w:val="20"/>
          <w:color w:val="auto"/>
        </w:rPr>
      </w:pPr>
    </w:p>
    <w:p>
      <w:pPr>
        <w:ind w:left="660"/>
        <w:spacing w:after="0" w:line="278" w:lineRule="auto"/>
        <w:rPr>
          <w:sz w:val="20"/>
          <w:szCs w:val="20"/>
          <w:color w:val="auto"/>
        </w:rPr>
      </w:pPr>
      <w:r>
        <w:rPr>
          <w:rFonts w:ascii="Arial" w:cs="Arial" w:eastAsia="Arial" w:hAnsi="Arial"/>
          <w:sz w:val="16"/>
          <w:szCs w:val="16"/>
          <w:color w:val="333333"/>
        </w:rPr>
        <w:t>We continue to grant performance-based equity compensation awards to our NEOs, other than Mr. Clarke, that are scored based on performance achievement over one-year performance measurement periods. Linking these awards to three-year objectives would potentially impair retention of executives, as goals may become outdated and unachievable soon after they are established, due to market uncertainty. Our performance-based restricted stock unit awards (“Performance-Based RSUs”), to the extent earned, are subject to ratable vesting over a three-year service period, which we believe enhances our ability to retain talented executives.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Share Grants</w:t>
      </w:r>
    </w:p>
    <w:p>
      <w:pPr>
        <w:spacing w:after="0" w:line="235" w:lineRule="exact"/>
        <w:rPr>
          <w:sz w:val="20"/>
          <w:szCs w:val="20"/>
          <w:color w:val="auto"/>
        </w:rPr>
      </w:pPr>
    </w:p>
    <w:p>
      <w:pPr>
        <w:ind w:right="139"/>
        <w:spacing w:after="0" w:line="266" w:lineRule="auto"/>
        <w:rPr>
          <w:sz w:val="20"/>
          <w:szCs w:val="20"/>
          <w:color w:val="auto"/>
        </w:rPr>
      </w:pPr>
      <w:r>
        <w:rPr>
          <w:rFonts w:ascii="Arial" w:cs="Arial" w:eastAsia="Arial" w:hAnsi="Arial"/>
          <w:sz w:val="16"/>
          <w:szCs w:val="16"/>
          <w:color w:val="333333"/>
        </w:rPr>
        <w:t>The NEOs, other than Mr. Clarke, received 2023 Performance Share awards tied to Adjusted EPS-COMP achievement. The Performance Shares could be earned if we achieved Adjusted EPS-COMP of $16.66. Our Adjusted EPS-COMP for 2023 was $17.18, and the compensation committee therefore determined that the Adjusted EPS-COMP objective was achieved. As a result, the 2023 Performance Share awards were earned at 100%. The earned 2023 Performance Shares were paid in the form of common shares, except that Ms. Vickery’s earned Performance Shares are subject to service-based vesting over a two-year period.</w:t>
      </w:r>
    </w:p>
    <w:p>
      <w:pPr>
        <w:spacing w:after="0" w:line="294" w:lineRule="exact"/>
        <w:rPr>
          <w:sz w:val="20"/>
          <w:szCs w:val="20"/>
          <w:color w:val="auto"/>
        </w:rPr>
      </w:pPr>
    </w:p>
    <w:p>
      <w:pPr>
        <w:sectPr>
          <w:pgSz w:w="11900" w:h="16838" w:orient="portrait"/>
          <w:cols w:equalWidth="0" w:num="2">
            <w:col w:w="4880" w:space="260"/>
            <w:col w:w="4399"/>
          </w:cols>
          <w:pgMar w:left="920" w:top="114" w:right="1440" w:bottom="1440" w:gutter="0" w:footer="0" w:header="0"/>
          <w:type w:val="continuous"/>
        </w:sectPr>
      </w:pPr>
    </w:p>
    <w:p>
      <w:pPr>
        <w:spacing w:after="0"/>
        <w:rPr>
          <w:sz w:val="20"/>
          <w:szCs w:val="20"/>
          <w:color w:val="auto"/>
        </w:rPr>
      </w:pPr>
      <w:r>
        <w:rPr>
          <w:rFonts w:ascii="Arial" w:cs="Arial" w:eastAsia="Arial" w:hAnsi="Arial"/>
          <w:sz w:val="10"/>
          <w:szCs w:val="10"/>
          <w:b w:val="1"/>
          <w:bCs w:val="1"/>
          <w:color w:val="333333"/>
        </w:rPr>
        <w:t xml:space="preserve">44 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CF1D4C"/>
        </w:rPr>
        <w:t>COMPENSATION DISCUSSION AND ANALYSIS</w:t>
      </w:r>
    </w:p>
    <w:p>
      <w:pPr>
        <w:spacing w:after="0" w:line="200" w:lineRule="exact"/>
        <w:rPr>
          <w:sz w:val="20"/>
          <w:szCs w:val="20"/>
          <w:color w:val="auto"/>
        </w:rPr>
      </w:pPr>
    </w:p>
    <w:p>
      <w:pPr>
        <w:spacing w:after="0" w:line="271" w:lineRule="exact"/>
        <w:rPr>
          <w:sz w:val="20"/>
          <w:szCs w:val="20"/>
          <w:color w:val="auto"/>
        </w:rPr>
      </w:pPr>
    </w:p>
    <w:p>
      <w:pPr>
        <w:ind w:left="660" w:right="60"/>
        <w:spacing w:after="0" w:line="254" w:lineRule="auto"/>
        <w:rPr>
          <w:sz w:val="20"/>
          <w:szCs w:val="20"/>
          <w:color w:val="auto"/>
        </w:rPr>
      </w:pPr>
      <w:r>
        <w:rPr>
          <w:rFonts w:ascii="Arial" w:cs="Arial" w:eastAsia="Arial" w:hAnsi="Arial"/>
          <w:sz w:val="16"/>
          <w:szCs w:val="16"/>
          <w:color w:val="auto"/>
        </w:rPr>
        <w:t>For 2023, each of Mr. Netto's and Mr. King's target Performance Share award value was increased by 27% (as compared to 2022) due to being named Co-Presidents of the newly formed Vehicle Payments division, and in light of market considerations, the NEOs' anticipated contributions, and the NEOs' prior performance.</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Special Restricted Stock Awards</w:t>
      </w:r>
    </w:p>
    <w:p>
      <w:pPr>
        <w:spacing w:after="0" w:line="235" w:lineRule="exact"/>
        <w:rPr>
          <w:sz w:val="20"/>
          <w:szCs w:val="20"/>
          <w:color w:val="auto"/>
        </w:rPr>
      </w:pPr>
    </w:p>
    <w:p>
      <w:pPr>
        <w:ind w:left="660" w:right="40"/>
        <w:spacing w:after="0" w:line="253" w:lineRule="auto"/>
        <w:rPr>
          <w:sz w:val="20"/>
          <w:szCs w:val="20"/>
          <w:color w:val="auto"/>
        </w:rPr>
      </w:pPr>
      <w:r>
        <w:rPr>
          <w:rFonts w:ascii="Arial" w:cs="Arial" w:eastAsia="Arial" w:hAnsi="Arial"/>
          <w:sz w:val="16"/>
          <w:szCs w:val="16"/>
          <w:color w:val="333333"/>
        </w:rPr>
        <w:t>In order to promote retention of our NEOs, and in consideration of the financial performance of the Company, the compensation committee approved special restricted stock awards for Messrs. Netto and King and Ms. Vickery in 2023. These restricted stock awards vested on January 23, 2024, except that Ms. Vickery's award vested in equal installments on September 1, 2023 and March 1, 2024.</w:t>
      </w:r>
    </w:p>
    <w:p>
      <w:pPr>
        <w:spacing w:after="0" w:line="222" w:lineRule="exact"/>
        <w:rPr>
          <w:sz w:val="20"/>
          <w:szCs w:val="20"/>
          <w:color w:val="auto"/>
        </w:rPr>
      </w:pPr>
    </w:p>
    <w:p>
      <w:pPr>
        <w:ind w:left="660" w:right="1060"/>
        <w:spacing w:after="0" w:line="296" w:lineRule="auto"/>
        <w:rPr>
          <w:sz w:val="20"/>
          <w:szCs w:val="20"/>
          <w:color w:val="auto"/>
        </w:rPr>
      </w:pPr>
      <w:r>
        <w:rPr>
          <w:rFonts w:ascii="Arial" w:cs="Arial" w:eastAsia="Arial" w:hAnsi="Arial"/>
          <w:sz w:val="16"/>
          <w:szCs w:val="16"/>
          <w:b w:val="1"/>
          <w:bCs w:val="1"/>
          <w:color w:val="auto"/>
        </w:rPr>
        <w:t>Performance-Based Restricted Stock Unit (RSU) Grants</w:t>
      </w:r>
    </w:p>
    <w:p>
      <w:pPr>
        <w:spacing w:after="0" w:line="167" w:lineRule="exact"/>
        <w:rPr>
          <w:sz w:val="20"/>
          <w:szCs w:val="20"/>
          <w:color w:val="auto"/>
        </w:rPr>
      </w:pPr>
    </w:p>
    <w:p>
      <w:pPr>
        <w:ind w:left="660" w:right="20"/>
        <w:spacing w:after="0" w:line="275" w:lineRule="auto"/>
        <w:rPr>
          <w:sz w:val="20"/>
          <w:szCs w:val="20"/>
          <w:color w:val="auto"/>
        </w:rPr>
      </w:pPr>
      <w:r>
        <w:rPr>
          <w:rFonts w:ascii="Arial" w:cs="Arial" w:eastAsia="Arial" w:hAnsi="Arial"/>
          <w:sz w:val="16"/>
          <w:szCs w:val="16"/>
          <w:color w:val="333333"/>
        </w:rPr>
        <w:t>In addition to the Performance Shares, in 2023, we granted Performance-Based RSU awards to each of the NEOs,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780"/>
        <w:spacing w:after="0" w:line="251" w:lineRule="auto"/>
        <w:rPr>
          <w:sz w:val="20"/>
          <w:szCs w:val="20"/>
          <w:color w:val="auto"/>
        </w:rPr>
      </w:pPr>
      <w:r>
        <w:rPr>
          <w:rFonts w:ascii="Arial" w:cs="Arial" w:eastAsia="Arial" w:hAnsi="Arial"/>
          <w:sz w:val="16"/>
          <w:szCs w:val="16"/>
          <w:color w:val="auto"/>
        </w:rPr>
        <w:t>than Mr. Clarke and Ms. Vickery, tied to achievement with respect to corporate or business unit revenue goals. The Performance-Based RSUs earned by each of the NEOs in 2023 (based on the achievement of the applicable performance goals) are subject to a three-year ratable vesting schedule, pursuant to which the earned Performance-Based RSUs will generally vest in substantially equal installments on each of the first three anniversaries of the grant date.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illustrate, for each participating NEO,</w:t>
      </w:r>
    </w:p>
    <w:p>
      <w:pPr>
        <w:spacing w:after="0" w:line="31" w:lineRule="exact"/>
        <w:rPr>
          <w:sz w:val="20"/>
          <w:szCs w:val="20"/>
          <w:color w:val="auto"/>
        </w:rPr>
      </w:pPr>
    </w:p>
    <w:p>
      <w:pPr>
        <w:ind w:left="260" w:hanging="250"/>
        <w:spacing w:after="0"/>
        <w:tabs>
          <w:tab w:leader="none" w:pos="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applicable performance goals for each NEO,</w:t>
      </w:r>
    </w:p>
    <w:p>
      <w:pPr>
        <w:spacing w:after="0" w:line="19" w:lineRule="exact"/>
        <w:rPr>
          <w:rFonts w:ascii="Arial" w:cs="Arial" w:eastAsia="Arial" w:hAnsi="Arial"/>
          <w:sz w:val="16"/>
          <w:szCs w:val="16"/>
          <w:color w:val="auto"/>
        </w:rPr>
      </w:pPr>
    </w:p>
    <w:p>
      <w:pPr>
        <w:ind w:right="640" w:firstLine="10"/>
        <w:spacing w:after="0" w:line="278" w:lineRule="auto"/>
        <w:tabs>
          <w:tab w:leader="none" w:pos="2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actual performance with respect to the performance metrics, and (3) the number of Performance-Based RSUs earned in 2023 that are eligible to vest on a ratable basis. The number of Performance-Based RSUs earned for performance falling between the “threshold” and “maximum” performance levels set forth in the table below was determined without interpolation between performance levels (subject to rounding). Because Ms. Vickery’s service as Chief Financial Officer in 2023 was on an interim basis, she was not eligible for a Performance-Based RSU award.</w:t>
      </w:r>
    </w:p>
    <w:p>
      <w:pPr>
        <w:spacing w:after="0" w:line="415" w:lineRule="exact"/>
        <w:rPr>
          <w:sz w:val="20"/>
          <w:szCs w:val="20"/>
          <w:color w:val="auto"/>
        </w:rPr>
      </w:pPr>
    </w:p>
    <w:p>
      <w:pPr>
        <w:sectPr>
          <w:pgSz w:w="11900" w:h="16838" w:orient="portrait"/>
          <w:cols w:equalWidth="0" w:num="2">
            <w:col w:w="4920" w:space="220"/>
            <w:col w:w="4900"/>
          </w:cols>
          <w:pgMar w:left="920" w:top="114" w:right="939" w:bottom="1440" w:gutter="0" w:footer="0" w:header="0"/>
        </w:sectPr>
      </w:pPr>
    </w:p>
    <w:p>
      <w:pPr>
        <w:spacing w:after="0" w:line="86" w:lineRule="exact"/>
        <w:rPr>
          <w:sz w:val="20"/>
          <w:szCs w:val="20"/>
          <w:color w:val="auto"/>
        </w:rPr>
      </w:pPr>
    </w:p>
    <w:p>
      <w:pPr>
        <w:ind w:left="660" w:right="900"/>
        <w:spacing w:after="0" w:line="262" w:lineRule="auto"/>
        <w:rPr>
          <w:sz w:val="20"/>
          <w:szCs w:val="20"/>
          <w:color w:val="auto"/>
        </w:rPr>
      </w:pPr>
      <w:r>
        <w:rPr>
          <w:rFonts w:ascii="Arial" w:cs="Arial" w:eastAsia="Arial" w:hAnsi="Arial"/>
          <w:sz w:val="16"/>
          <w:szCs w:val="16"/>
          <w:b w:val="1"/>
          <w:bCs w:val="1"/>
          <w:color w:val="auto"/>
        </w:rPr>
        <w:t xml:space="preserve">Tom Panther: </w:t>
      </w:r>
      <w:r>
        <w:rPr>
          <w:rFonts w:ascii="Arial" w:cs="Arial" w:eastAsia="Arial" w:hAnsi="Arial"/>
          <w:sz w:val="16"/>
          <w:szCs w:val="16"/>
          <w:color w:val="333333"/>
        </w:rPr>
        <w:t>Mr. Panther’s 2023 Performance-Based RSU award was based on achievement against a target goal of</w:t>
      </w:r>
      <w:r>
        <w:rPr>
          <w:rFonts w:ascii="Arial" w:cs="Arial" w:eastAsia="Arial" w:hAnsi="Arial"/>
          <w:sz w:val="16"/>
          <w:szCs w:val="16"/>
          <w:b w:val="1"/>
          <w:bCs w:val="1"/>
          <w:color w:val="auto"/>
        </w:rPr>
        <w:t xml:space="preserve"> </w:t>
      </w:r>
      <w:r>
        <w:rPr>
          <w:rFonts w:ascii="Arial" w:cs="Arial" w:eastAsia="Arial" w:hAnsi="Arial"/>
          <w:sz w:val="16"/>
          <w:szCs w:val="16"/>
          <w:color w:val="333333"/>
        </w:rPr>
        <w:t>consolidated GAAP revenue as adjusted, of $3,792.4 million (all dollar values in millions).</w:t>
      </w:r>
      <w:r>
        <w:rPr>
          <w:rFonts w:ascii="Arial" w:cs="Arial" w:eastAsia="Arial" w:hAnsi="Arial"/>
          <w:sz w:val="26"/>
          <w:szCs w:val="26"/>
          <w:color w:val="333333"/>
          <w:vertAlign w:val="superscript"/>
        </w:rPr>
        <w:t>(1)</w:t>
      </w:r>
    </w:p>
    <w:p>
      <w:pPr>
        <w:spacing w:after="0" w:line="4" w:lineRule="exact"/>
        <w:rPr>
          <w:sz w:val="20"/>
          <w:szCs w:val="20"/>
          <w:color w:val="auto"/>
        </w:rPr>
      </w:pPr>
    </w:p>
    <w:tbl>
      <w:tblPr>
        <w:tblLayout w:type="fixed"/>
        <w:tblInd w:w="640" w:type="dxa"/>
        <w:tblCellMar>
          <w:top w:w="0" w:type="dxa"/>
          <w:left w:w="0" w:type="dxa"/>
          <w:bottom w:w="0" w:type="dxa"/>
          <w:right w:w="0" w:type="dxa"/>
        </w:tblCellMar>
      </w:tblPr>
      <w:tr>
        <w:trPr>
          <w:trHeight w:val="318"/>
        </w:trPr>
        <w:tc>
          <w:tcPr>
            <w:tcW w:w="920" w:type="dxa"/>
            <w:vAlign w:val="bottom"/>
            <w:vMerge w:val="restart"/>
            <w:shd w:val="clear" w:color="auto" w:fill="CF1D4C"/>
          </w:tcPr>
          <w:p>
            <w:pPr>
              <w:ind w:left="160"/>
              <w:spacing w:after="0"/>
              <w:rPr>
                <w:sz w:val="20"/>
                <w:szCs w:val="20"/>
                <w:color w:val="auto"/>
              </w:rPr>
            </w:pPr>
            <w:r>
              <w:rPr>
                <w:rFonts w:ascii="Arial" w:cs="Arial" w:eastAsia="Arial" w:hAnsi="Arial"/>
                <w:sz w:val="12"/>
                <w:szCs w:val="12"/>
                <w:b w:val="1"/>
                <w:bCs w:val="1"/>
                <w:color w:val="FFFFFF"/>
              </w:rPr>
              <w:t>Below</w:t>
            </w:r>
          </w:p>
        </w:tc>
        <w:tc>
          <w:tcPr>
            <w:tcW w:w="820" w:type="dxa"/>
            <w:vAlign w:val="bottom"/>
            <w:shd w:val="clear" w:color="auto" w:fill="CF1D4C"/>
          </w:tcPr>
          <w:p>
            <w:pPr>
              <w:spacing w:after="0"/>
              <w:rPr>
                <w:sz w:val="24"/>
                <w:szCs w:val="24"/>
                <w:color w:val="auto"/>
              </w:rPr>
            </w:pPr>
          </w:p>
        </w:tc>
        <w:tc>
          <w:tcPr>
            <w:tcW w:w="760" w:type="dxa"/>
            <w:vAlign w:val="bottom"/>
            <w:vMerge w:val="restart"/>
            <w:shd w:val="clear" w:color="auto" w:fill="CF1D4C"/>
          </w:tcPr>
          <w:p>
            <w:pPr>
              <w:ind w:left="100"/>
              <w:spacing w:after="0"/>
              <w:rPr>
                <w:sz w:val="20"/>
                <w:szCs w:val="20"/>
                <w:color w:val="auto"/>
              </w:rPr>
            </w:pPr>
            <w:r>
              <w:rPr>
                <w:rFonts w:ascii="Arial" w:cs="Arial" w:eastAsia="Arial" w:hAnsi="Arial"/>
                <w:sz w:val="12"/>
                <w:szCs w:val="12"/>
                <w:b w:val="1"/>
                <w:bCs w:val="1"/>
                <w:color w:val="FFFFFF"/>
              </w:rPr>
              <w:t>Above</w:t>
            </w:r>
          </w:p>
        </w:tc>
        <w:tc>
          <w:tcPr>
            <w:tcW w:w="62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Below</w:t>
            </w:r>
          </w:p>
        </w:tc>
        <w:tc>
          <w:tcPr>
            <w:tcW w:w="600" w:type="dxa"/>
            <w:vAlign w:val="bottom"/>
            <w:shd w:val="clear" w:color="auto" w:fill="CF1D4C"/>
          </w:tcPr>
          <w:p>
            <w:pPr>
              <w:spacing w:after="0"/>
              <w:rPr>
                <w:sz w:val="24"/>
                <w:szCs w:val="24"/>
                <w:color w:val="auto"/>
              </w:rPr>
            </w:pPr>
          </w:p>
        </w:tc>
        <w:tc>
          <w:tcPr>
            <w:tcW w:w="60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Above</w:t>
            </w:r>
          </w:p>
        </w:tc>
        <w:tc>
          <w:tcPr>
            <w:tcW w:w="72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Below</w:t>
            </w:r>
          </w:p>
        </w:tc>
        <w:tc>
          <w:tcPr>
            <w:tcW w:w="760" w:type="dxa"/>
            <w:vAlign w:val="bottom"/>
            <w:shd w:val="clear" w:color="auto" w:fill="CF1D4C"/>
          </w:tcPr>
          <w:p>
            <w:pPr>
              <w:spacing w:after="0"/>
              <w:rPr>
                <w:sz w:val="24"/>
                <w:szCs w:val="24"/>
                <w:color w:val="auto"/>
              </w:rPr>
            </w:pPr>
          </w:p>
        </w:tc>
        <w:tc>
          <w:tcPr>
            <w:tcW w:w="980" w:type="dxa"/>
            <w:vAlign w:val="bottom"/>
            <w:shd w:val="clear" w:color="auto" w:fill="CF1D4C"/>
          </w:tcPr>
          <w:p>
            <w:pPr>
              <w:spacing w:after="0"/>
              <w:rPr>
                <w:sz w:val="24"/>
                <w:szCs w:val="24"/>
                <w:color w:val="auto"/>
              </w:rPr>
            </w:pPr>
          </w:p>
        </w:tc>
        <w:tc>
          <w:tcPr>
            <w:tcW w:w="760" w:type="dxa"/>
            <w:vAlign w:val="bottom"/>
            <w:shd w:val="clear" w:color="auto" w:fill="CF1D4C"/>
          </w:tcPr>
          <w:p>
            <w:pPr>
              <w:spacing w:after="0"/>
              <w:rPr>
                <w:sz w:val="24"/>
                <w:szCs w:val="24"/>
                <w:color w:val="auto"/>
              </w:rPr>
            </w:pPr>
          </w:p>
        </w:tc>
        <w:tc>
          <w:tcPr>
            <w:tcW w:w="1220" w:type="dxa"/>
            <w:vAlign w:val="bottom"/>
            <w:shd w:val="clear" w:color="auto" w:fill="CF1D4C"/>
          </w:tcPr>
          <w:p>
            <w:pPr>
              <w:ind w:left="80"/>
              <w:spacing w:after="0"/>
              <w:rPr>
                <w:sz w:val="20"/>
                <w:szCs w:val="20"/>
                <w:color w:val="auto"/>
              </w:rPr>
            </w:pPr>
            <w:r>
              <w:rPr>
                <w:rFonts w:ascii="Arial" w:cs="Arial" w:eastAsia="Arial" w:hAnsi="Arial"/>
                <w:sz w:val="12"/>
                <w:szCs w:val="12"/>
                <w:b w:val="1"/>
                <w:bCs w:val="1"/>
                <w:color w:val="FFFFFF"/>
              </w:rPr>
              <w:t># of</w:t>
            </w:r>
          </w:p>
        </w:tc>
        <w:tc>
          <w:tcPr>
            <w:tcW w:w="0" w:type="dxa"/>
            <w:vAlign w:val="bottom"/>
          </w:tcPr>
          <w:p>
            <w:pPr>
              <w:spacing w:after="0"/>
              <w:rPr>
                <w:sz w:val="1"/>
                <w:szCs w:val="1"/>
                <w:color w:val="auto"/>
              </w:rPr>
            </w:pPr>
          </w:p>
        </w:tc>
      </w:tr>
      <w:tr>
        <w:trPr>
          <w:trHeight w:val="68"/>
        </w:trPr>
        <w:tc>
          <w:tcPr>
            <w:tcW w:w="920" w:type="dxa"/>
            <w:vAlign w:val="bottom"/>
            <w:vMerge w:val="continue"/>
            <w:shd w:val="clear" w:color="auto" w:fill="CF1D4C"/>
          </w:tcPr>
          <w:p>
            <w:pPr>
              <w:spacing w:after="0"/>
              <w:rPr>
                <w:sz w:val="5"/>
                <w:szCs w:val="5"/>
                <w:color w:val="auto"/>
              </w:rPr>
            </w:pPr>
          </w:p>
        </w:tc>
        <w:tc>
          <w:tcPr>
            <w:tcW w:w="820" w:type="dxa"/>
            <w:vAlign w:val="bottom"/>
            <w:vMerge w:val="restart"/>
            <w:shd w:val="clear" w:color="auto" w:fill="CF1D4C"/>
          </w:tcPr>
          <w:p>
            <w:pPr>
              <w:ind w:left="160"/>
              <w:spacing w:after="0" w:line="135" w:lineRule="exact"/>
              <w:rPr>
                <w:sz w:val="20"/>
                <w:szCs w:val="20"/>
                <w:color w:val="auto"/>
              </w:rPr>
            </w:pPr>
            <w:r>
              <w:rPr>
                <w:rFonts w:ascii="Arial" w:cs="Arial" w:eastAsia="Arial" w:hAnsi="Arial"/>
                <w:sz w:val="12"/>
                <w:szCs w:val="12"/>
                <w:b w:val="1"/>
                <w:bCs w:val="1"/>
                <w:color w:val="FFFFFF"/>
              </w:rPr>
              <w:t>Threshold</w:t>
            </w:r>
          </w:p>
        </w:tc>
        <w:tc>
          <w:tcPr>
            <w:tcW w:w="760" w:type="dxa"/>
            <w:vAlign w:val="bottom"/>
            <w:vMerge w:val="continue"/>
            <w:shd w:val="clear" w:color="auto" w:fill="CF1D4C"/>
          </w:tcPr>
          <w:p>
            <w:pPr>
              <w:spacing w:after="0"/>
              <w:rPr>
                <w:sz w:val="5"/>
                <w:szCs w:val="5"/>
                <w:color w:val="auto"/>
              </w:rPr>
            </w:pPr>
          </w:p>
        </w:tc>
        <w:tc>
          <w:tcPr>
            <w:tcW w:w="620" w:type="dxa"/>
            <w:vAlign w:val="bottom"/>
            <w:vMerge w:val="continue"/>
            <w:shd w:val="clear" w:color="auto" w:fill="CF1D4C"/>
          </w:tcPr>
          <w:p>
            <w:pPr>
              <w:spacing w:after="0"/>
              <w:rPr>
                <w:sz w:val="5"/>
                <w:szCs w:val="5"/>
                <w:color w:val="auto"/>
              </w:rPr>
            </w:pPr>
          </w:p>
        </w:tc>
        <w:tc>
          <w:tcPr>
            <w:tcW w:w="600" w:type="dxa"/>
            <w:vAlign w:val="bottom"/>
            <w:vMerge w:val="restart"/>
            <w:shd w:val="clear" w:color="auto" w:fill="CF1D4C"/>
          </w:tcPr>
          <w:p>
            <w:pPr>
              <w:ind w:left="60"/>
              <w:spacing w:after="0" w:line="135" w:lineRule="exact"/>
              <w:rPr>
                <w:sz w:val="20"/>
                <w:szCs w:val="20"/>
                <w:color w:val="auto"/>
              </w:rPr>
            </w:pPr>
            <w:r>
              <w:rPr>
                <w:rFonts w:ascii="Arial" w:cs="Arial" w:eastAsia="Arial" w:hAnsi="Arial"/>
                <w:sz w:val="12"/>
                <w:szCs w:val="12"/>
                <w:b w:val="1"/>
                <w:bCs w:val="1"/>
                <w:color w:val="FFFFFF"/>
              </w:rPr>
              <w:t>Target</w:t>
            </w:r>
          </w:p>
        </w:tc>
        <w:tc>
          <w:tcPr>
            <w:tcW w:w="600" w:type="dxa"/>
            <w:vAlign w:val="bottom"/>
            <w:vMerge w:val="continue"/>
            <w:shd w:val="clear" w:color="auto" w:fill="CF1D4C"/>
          </w:tcPr>
          <w:p>
            <w:pPr>
              <w:spacing w:after="0"/>
              <w:rPr>
                <w:sz w:val="5"/>
                <w:szCs w:val="5"/>
                <w:color w:val="auto"/>
              </w:rPr>
            </w:pPr>
          </w:p>
        </w:tc>
        <w:tc>
          <w:tcPr>
            <w:tcW w:w="720" w:type="dxa"/>
            <w:vAlign w:val="bottom"/>
            <w:vMerge w:val="continue"/>
            <w:shd w:val="clear" w:color="auto" w:fill="CF1D4C"/>
          </w:tcPr>
          <w:p>
            <w:pPr>
              <w:spacing w:after="0"/>
              <w:rPr>
                <w:sz w:val="5"/>
                <w:szCs w:val="5"/>
                <w:color w:val="auto"/>
              </w:rPr>
            </w:pPr>
          </w:p>
        </w:tc>
        <w:tc>
          <w:tcPr>
            <w:tcW w:w="76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Maximum</w:t>
            </w:r>
          </w:p>
        </w:tc>
        <w:tc>
          <w:tcPr>
            <w:tcW w:w="980" w:type="dxa"/>
            <w:vAlign w:val="bottom"/>
            <w:shd w:val="clear" w:color="auto" w:fill="CF1D4C"/>
          </w:tcPr>
          <w:p>
            <w:pPr>
              <w:spacing w:after="0"/>
              <w:rPr>
                <w:sz w:val="5"/>
                <w:szCs w:val="5"/>
                <w:color w:val="auto"/>
              </w:rPr>
            </w:pPr>
          </w:p>
        </w:tc>
        <w:tc>
          <w:tcPr>
            <w:tcW w:w="760" w:type="dxa"/>
            <w:vAlign w:val="bottom"/>
            <w:shd w:val="clear" w:color="auto" w:fill="CF1D4C"/>
          </w:tcPr>
          <w:p>
            <w:pPr>
              <w:spacing w:after="0"/>
              <w:rPr>
                <w:sz w:val="5"/>
                <w:szCs w:val="5"/>
                <w:color w:val="auto"/>
              </w:rPr>
            </w:pPr>
          </w:p>
        </w:tc>
        <w:tc>
          <w:tcPr>
            <w:tcW w:w="1220" w:type="dxa"/>
            <w:vAlign w:val="bottom"/>
            <w:vMerge w:val="restart"/>
            <w:shd w:val="clear" w:color="auto" w:fill="CF1D4C"/>
          </w:tcPr>
          <w:p>
            <w:pPr>
              <w:ind w:left="80"/>
              <w:spacing w:after="0" w:line="135" w:lineRule="exact"/>
              <w:rPr>
                <w:sz w:val="20"/>
                <w:szCs w:val="20"/>
                <w:color w:val="auto"/>
              </w:rPr>
            </w:pPr>
            <w:r>
              <w:rPr>
                <w:rFonts w:ascii="Arial" w:cs="Arial" w:eastAsia="Arial" w:hAnsi="Arial"/>
                <w:sz w:val="12"/>
                <w:szCs w:val="12"/>
                <w:b w:val="1"/>
                <w:bCs w:val="1"/>
                <w:color w:val="FFFFFF"/>
              </w:rPr>
              <w:t>Performance</w:t>
            </w:r>
          </w:p>
        </w:tc>
        <w:tc>
          <w:tcPr>
            <w:tcW w:w="0" w:type="dxa"/>
            <w:vAlign w:val="bottom"/>
          </w:tcPr>
          <w:p>
            <w:pPr>
              <w:spacing w:after="0"/>
              <w:rPr>
                <w:sz w:val="1"/>
                <w:szCs w:val="1"/>
                <w:color w:val="auto"/>
              </w:rPr>
            </w:pPr>
          </w:p>
        </w:tc>
      </w:tr>
      <w:tr>
        <w:trPr>
          <w:trHeight w:val="68"/>
        </w:trPr>
        <w:tc>
          <w:tcPr>
            <w:tcW w:w="920" w:type="dxa"/>
            <w:vAlign w:val="bottom"/>
            <w:vMerge w:val="restart"/>
            <w:shd w:val="clear" w:color="auto" w:fill="CF1D4C"/>
          </w:tcPr>
          <w:p>
            <w:pPr>
              <w:ind w:left="160"/>
              <w:spacing w:after="0" w:line="135" w:lineRule="exact"/>
              <w:rPr>
                <w:sz w:val="20"/>
                <w:szCs w:val="20"/>
                <w:color w:val="auto"/>
              </w:rPr>
            </w:pPr>
            <w:r>
              <w:rPr>
                <w:rFonts w:ascii="Arial" w:cs="Arial" w:eastAsia="Arial" w:hAnsi="Arial"/>
                <w:sz w:val="12"/>
                <w:szCs w:val="12"/>
                <w:b w:val="1"/>
                <w:bCs w:val="1"/>
                <w:color w:val="FFFFFF"/>
              </w:rPr>
              <w:t>Threshold</w:t>
            </w:r>
          </w:p>
        </w:tc>
        <w:tc>
          <w:tcPr>
            <w:tcW w:w="820" w:type="dxa"/>
            <w:vAlign w:val="bottom"/>
            <w:vMerge w:val="continue"/>
            <w:shd w:val="clear" w:color="auto" w:fill="CF1D4C"/>
          </w:tcPr>
          <w:p>
            <w:pPr>
              <w:spacing w:after="0"/>
              <w:rPr>
                <w:sz w:val="5"/>
                <w:szCs w:val="5"/>
                <w:color w:val="auto"/>
              </w:rPr>
            </w:pPr>
          </w:p>
        </w:tc>
        <w:tc>
          <w:tcPr>
            <w:tcW w:w="76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Threshold</w:t>
            </w:r>
          </w:p>
        </w:tc>
        <w:tc>
          <w:tcPr>
            <w:tcW w:w="620" w:type="dxa"/>
            <w:vAlign w:val="bottom"/>
            <w:vMerge w:val="restart"/>
            <w:shd w:val="clear" w:color="auto" w:fill="CF1D4C"/>
          </w:tcPr>
          <w:p>
            <w:pPr>
              <w:ind w:left="80"/>
              <w:spacing w:after="0" w:line="135" w:lineRule="exact"/>
              <w:rPr>
                <w:sz w:val="20"/>
                <w:szCs w:val="20"/>
                <w:color w:val="auto"/>
              </w:rPr>
            </w:pPr>
            <w:r>
              <w:rPr>
                <w:rFonts w:ascii="Arial" w:cs="Arial" w:eastAsia="Arial" w:hAnsi="Arial"/>
                <w:sz w:val="12"/>
                <w:szCs w:val="12"/>
                <w:b w:val="1"/>
                <w:bCs w:val="1"/>
                <w:color w:val="FFFFFF"/>
              </w:rPr>
              <w:t>Target</w:t>
            </w:r>
          </w:p>
        </w:tc>
        <w:tc>
          <w:tcPr>
            <w:tcW w:w="600" w:type="dxa"/>
            <w:vAlign w:val="bottom"/>
            <w:vMerge w:val="continue"/>
            <w:shd w:val="clear" w:color="auto" w:fill="CF1D4C"/>
          </w:tcPr>
          <w:p>
            <w:pPr>
              <w:spacing w:after="0"/>
              <w:rPr>
                <w:sz w:val="5"/>
                <w:szCs w:val="5"/>
                <w:color w:val="auto"/>
              </w:rPr>
            </w:pPr>
          </w:p>
        </w:tc>
        <w:tc>
          <w:tcPr>
            <w:tcW w:w="600" w:type="dxa"/>
            <w:vAlign w:val="bottom"/>
            <w:vMerge w:val="restart"/>
            <w:shd w:val="clear" w:color="auto" w:fill="CF1D4C"/>
          </w:tcPr>
          <w:p>
            <w:pPr>
              <w:ind w:left="60"/>
              <w:spacing w:after="0" w:line="135" w:lineRule="exact"/>
              <w:rPr>
                <w:sz w:val="20"/>
                <w:szCs w:val="20"/>
                <w:color w:val="auto"/>
              </w:rPr>
            </w:pPr>
            <w:r>
              <w:rPr>
                <w:rFonts w:ascii="Arial" w:cs="Arial" w:eastAsia="Arial" w:hAnsi="Arial"/>
                <w:sz w:val="12"/>
                <w:szCs w:val="12"/>
                <w:b w:val="1"/>
                <w:bCs w:val="1"/>
                <w:color w:val="FFFFFF"/>
              </w:rPr>
              <w:t>Target</w:t>
            </w:r>
          </w:p>
        </w:tc>
        <w:tc>
          <w:tcPr>
            <w:tcW w:w="720" w:type="dxa"/>
            <w:vAlign w:val="bottom"/>
            <w:vMerge w:val="restart"/>
            <w:shd w:val="clear" w:color="auto" w:fill="CF1D4C"/>
          </w:tcPr>
          <w:p>
            <w:pPr>
              <w:ind w:left="60"/>
              <w:spacing w:after="0" w:line="135" w:lineRule="exact"/>
              <w:rPr>
                <w:sz w:val="20"/>
                <w:szCs w:val="20"/>
                <w:color w:val="auto"/>
              </w:rPr>
            </w:pPr>
            <w:r>
              <w:rPr>
                <w:rFonts w:ascii="Arial" w:cs="Arial" w:eastAsia="Arial" w:hAnsi="Arial"/>
                <w:sz w:val="12"/>
                <w:szCs w:val="12"/>
                <w:b w:val="1"/>
                <w:bCs w:val="1"/>
                <w:color w:val="FFFFFF"/>
              </w:rPr>
              <w:t>Maximum</w:t>
            </w:r>
          </w:p>
        </w:tc>
        <w:tc>
          <w:tcPr>
            <w:tcW w:w="760" w:type="dxa"/>
            <w:vAlign w:val="bottom"/>
            <w:vMerge w:val="continue"/>
            <w:shd w:val="clear" w:color="auto" w:fill="CF1D4C"/>
          </w:tcPr>
          <w:p>
            <w:pPr>
              <w:spacing w:after="0"/>
              <w:rPr>
                <w:sz w:val="5"/>
                <w:szCs w:val="5"/>
                <w:color w:val="auto"/>
              </w:rPr>
            </w:pPr>
          </w:p>
        </w:tc>
        <w:tc>
          <w:tcPr>
            <w:tcW w:w="98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Achievement​</w:t>
            </w:r>
          </w:p>
        </w:tc>
        <w:tc>
          <w:tcPr>
            <w:tcW w:w="760" w:type="dxa"/>
            <w:vAlign w:val="bottom"/>
            <w:vMerge w:val="restart"/>
            <w:shd w:val="clear" w:color="auto" w:fill="CF1D4C"/>
          </w:tcPr>
          <w:p>
            <w:pPr>
              <w:ind w:left="120"/>
              <w:spacing w:after="0" w:line="135" w:lineRule="exact"/>
              <w:rPr>
                <w:sz w:val="20"/>
                <w:szCs w:val="20"/>
                <w:color w:val="auto"/>
              </w:rPr>
            </w:pPr>
            <w:r>
              <w:rPr>
                <w:rFonts w:ascii="Arial" w:cs="Arial" w:eastAsia="Arial" w:hAnsi="Arial"/>
                <w:sz w:val="12"/>
                <w:szCs w:val="12"/>
                <w:b w:val="1"/>
                <w:bCs w:val="1"/>
                <w:color w:val="FFFFFF"/>
              </w:rPr>
              <w:t>Payout %</w:t>
            </w:r>
          </w:p>
        </w:tc>
        <w:tc>
          <w:tcPr>
            <w:tcW w:w="122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vMerge w:val="continue"/>
            <w:shd w:val="clear" w:color="auto" w:fill="CF1D4C"/>
          </w:tcPr>
          <w:p>
            <w:pPr>
              <w:spacing w:after="0"/>
              <w:rPr>
                <w:sz w:val="5"/>
                <w:szCs w:val="5"/>
                <w:color w:val="auto"/>
              </w:rPr>
            </w:pPr>
          </w:p>
        </w:tc>
        <w:tc>
          <w:tcPr>
            <w:tcW w:w="820" w:type="dxa"/>
            <w:vAlign w:val="bottom"/>
            <w:vMerge w:val="restart"/>
            <w:shd w:val="clear" w:color="auto" w:fill="CF1D4C"/>
          </w:tcPr>
          <w:p>
            <w:pPr>
              <w:ind w:left="160"/>
              <w:spacing w:after="0" w:line="135" w:lineRule="exact"/>
              <w:rPr>
                <w:sz w:val="20"/>
                <w:szCs w:val="20"/>
                <w:color w:val="auto"/>
              </w:rPr>
            </w:pPr>
            <w:r>
              <w:rPr>
                <w:rFonts w:ascii="Arial" w:cs="Arial" w:eastAsia="Arial" w:hAnsi="Arial"/>
                <w:sz w:val="12"/>
                <w:szCs w:val="12"/>
                <w:b w:val="1"/>
                <w:bCs w:val="1"/>
                <w:color w:val="FFFFFF"/>
              </w:rPr>
              <w:t>(50%)</w:t>
            </w:r>
          </w:p>
        </w:tc>
        <w:tc>
          <w:tcPr>
            <w:tcW w:w="760" w:type="dxa"/>
            <w:vAlign w:val="bottom"/>
            <w:vMerge w:val="continue"/>
            <w:shd w:val="clear" w:color="auto" w:fill="CF1D4C"/>
          </w:tcPr>
          <w:p>
            <w:pPr>
              <w:spacing w:after="0"/>
              <w:rPr>
                <w:sz w:val="5"/>
                <w:szCs w:val="5"/>
                <w:color w:val="auto"/>
              </w:rPr>
            </w:pPr>
          </w:p>
        </w:tc>
        <w:tc>
          <w:tcPr>
            <w:tcW w:w="620" w:type="dxa"/>
            <w:vAlign w:val="bottom"/>
            <w:vMerge w:val="continue"/>
            <w:shd w:val="clear" w:color="auto" w:fill="CF1D4C"/>
          </w:tcPr>
          <w:p>
            <w:pPr>
              <w:spacing w:after="0"/>
              <w:rPr>
                <w:sz w:val="5"/>
                <w:szCs w:val="5"/>
                <w:color w:val="auto"/>
              </w:rPr>
            </w:pPr>
          </w:p>
        </w:tc>
        <w:tc>
          <w:tcPr>
            <w:tcW w:w="600" w:type="dxa"/>
            <w:vAlign w:val="bottom"/>
            <w:vMerge w:val="restart"/>
            <w:shd w:val="clear" w:color="auto" w:fill="CF1D4C"/>
          </w:tcPr>
          <w:p>
            <w:pPr>
              <w:ind w:left="60"/>
              <w:spacing w:after="0" w:line="135" w:lineRule="exact"/>
              <w:rPr>
                <w:sz w:val="20"/>
                <w:szCs w:val="20"/>
                <w:color w:val="auto"/>
              </w:rPr>
            </w:pPr>
            <w:r>
              <w:rPr>
                <w:rFonts w:ascii="Arial" w:cs="Arial" w:eastAsia="Arial" w:hAnsi="Arial"/>
                <w:sz w:val="12"/>
                <w:szCs w:val="12"/>
                <w:b w:val="1"/>
                <w:bCs w:val="1"/>
                <w:color w:val="FFFFFF"/>
              </w:rPr>
              <w:t>(100%)</w:t>
            </w:r>
          </w:p>
        </w:tc>
        <w:tc>
          <w:tcPr>
            <w:tcW w:w="600" w:type="dxa"/>
            <w:vAlign w:val="bottom"/>
            <w:vMerge w:val="continue"/>
            <w:shd w:val="clear" w:color="auto" w:fill="CF1D4C"/>
          </w:tcPr>
          <w:p>
            <w:pPr>
              <w:spacing w:after="0"/>
              <w:rPr>
                <w:sz w:val="5"/>
                <w:szCs w:val="5"/>
                <w:color w:val="auto"/>
              </w:rPr>
            </w:pPr>
          </w:p>
        </w:tc>
        <w:tc>
          <w:tcPr>
            <w:tcW w:w="720" w:type="dxa"/>
            <w:vAlign w:val="bottom"/>
            <w:vMerge w:val="continue"/>
            <w:shd w:val="clear" w:color="auto" w:fill="CF1D4C"/>
          </w:tcPr>
          <w:p>
            <w:pPr>
              <w:spacing w:after="0"/>
              <w:rPr>
                <w:sz w:val="5"/>
                <w:szCs w:val="5"/>
                <w:color w:val="auto"/>
              </w:rPr>
            </w:pPr>
          </w:p>
        </w:tc>
        <w:tc>
          <w:tcPr>
            <w:tcW w:w="76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(150%)</w:t>
            </w:r>
          </w:p>
        </w:tc>
        <w:tc>
          <w:tcPr>
            <w:tcW w:w="980" w:type="dxa"/>
            <w:vAlign w:val="bottom"/>
            <w:vMerge w:val="continue"/>
            <w:shd w:val="clear" w:color="auto" w:fill="CF1D4C"/>
          </w:tcPr>
          <w:p>
            <w:pPr>
              <w:spacing w:after="0"/>
              <w:rPr>
                <w:sz w:val="5"/>
                <w:szCs w:val="5"/>
                <w:color w:val="auto"/>
              </w:rPr>
            </w:pPr>
          </w:p>
        </w:tc>
        <w:tc>
          <w:tcPr>
            <w:tcW w:w="760" w:type="dxa"/>
            <w:vAlign w:val="bottom"/>
            <w:vMerge w:val="continue"/>
            <w:shd w:val="clear" w:color="auto" w:fill="CF1D4C"/>
          </w:tcPr>
          <w:p>
            <w:pPr>
              <w:spacing w:after="0"/>
              <w:rPr>
                <w:sz w:val="5"/>
                <w:szCs w:val="5"/>
                <w:color w:val="auto"/>
              </w:rPr>
            </w:pPr>
          </w:p>
        </w:tc>
        <w:tc>
          <w:tcPr>
            <w:tcW w:w="1220" w:type="dxa"/>
            <w:vAlign w:val="bottom"/>
            <w:vMerge w:val="restart"/>
            <w:shd w:val="clear" w:color="auto" w:fill="CF1D4C"/>
          </w:tcPr>
          <w:p>
            <w:pPr>
              <w:ind w:left="80"/>
              <w:spacing w:after="0" w:line="135" w:lineRule="exact"/>
              <w:rPr>
                <w:sz w:val="20"/>
                <w:szCs w:val="20"/>
                <w:color w:val="auto"/>
              </w:rPr>
            </w:pPr>
            <w:r>
              <w:rPr>
                <w:rFonts w:ascii="Arial" w:cs="Arial" w:eastAsia="Arial" w:hAnsi="Arial"/>
                <w:sz w:val="12"/>
                <w:szCs w:val="12"/>
                <w:b w:val="1"/>
                <w:bCs w:val="1"/>
                <w:color w:val="FFFFFF"/>
              </w:rPr>
              <w:t>Based</w:t>
            </w:r>
          </w:p>
        </w:tc>
        <w:tc>
          <w:tcPr>
            <w:tcW w:w="0" w:type="dxa"/>
            <w:vAlign w:val="bottom"/>
          </w:tcPr>
          <w:p>
            <w:pPr>
              <w:spacing w:after="0"/>
              <w:rPr>
                <w:sz w:val="1"/>
                <w:szCs w:val="1"/>
                <w:color w:val="auto"/>
              </w:rPr>
            </w:pPr>
          </w:p>
        </w:tc>
      </w:tr>
      <w:tr>
        <w:trPr>
          <w:trHeight w:val="68"/>
        </w:trPr>
        <w:tc>
          <w:tcPr>
            <w:tcW w:w="920" w:type="dxa"/>
            <w:vAlign w:val="bottom"/>
            <w:vMerge w:val="restart"/>
            <w:shd w:val="clear" w:color="auto" w:fill="CF1D4C"/>
          </w:tcPr>
          <w:p>
            <w:pPr>
              <w:ind w:left="160"/>
              <w:spacing w:after="0"/>
              <w:rPr>
                <w:sz w:val="20"/>
                <w:szCs w:val="20"/>
                <w:color w:val="auto"/>
              </w:rPr>
            </w:pPr>
            <w:r>
              <w:rPr>
                <w:rFonts w:ascii="Arial" w:cs="Arial" w:eastAsia="Arial" w:hAnsi="Arial"/>
                <w:sz w:val="12"/>
                <w:szCs w:val="12"/>
                <w:b w:val="1"/>
                <w:bCs w:val="1"/>
                <w:color w:val="FFFFFF"/>
              </w:rPr>
              <w:t>(0%)</w:t>
            </w:r>
          </w:p>
        </w:tc>
        <w:tc>
          <w:tcPr>
            <w:tcW w:w="820" w:type="dxa"/>
            <w:vAlign w:val="bottom"/>
            <w:vMerge w:val="continue"/>
            <w:shd w:val="clear" w:color="auto" w:fill="CF1D4C"/>
          </w:tcPr>
          <w:p>
            <w:pPr>
              <w:spacing w:after="0"/>
              <w:rPr>
                <w:sz w:val="5"/>
                <w:szCs w:val="5"/>
                <w:color w:val="auto"/>
              </w:rPr>
            </w:pPr>
          </w:p>
        </w:tc>
        <w:tc>
          <w:tcPr>
            <w:tcW w:w="760" w:type="dxa"/>
            <w:vAlign w:val="bottom"/>
            <w:vMerge w:val="restart"/>
            <w:shd w:val="clear" w:color="auto" w:fill="CF1D4C"/>
          </w:tcPr>
          <w:p>
            <w:pPr>
              <w:ind w:left="100"/>
              <w:spacing w:after="0"/>
              <w:rPr>
                <w:sz w:val="20"/>
                <w:szCs w:val="20"/>
                <w:color w:val="auto"/>
              </w:rPr>
            </w:pPr>
            <w:r>
              <w:rPr>
                <w:rFonts w:ascii="Arial" w:cs="Arial" w:eastAsia="Arial" w:hAnsi="Arial"/>
                <w:sz w:val="12"/>
                <w:szCs w:val="12"/>
                <w:b w:val="1"/>
                <w:bCs w:val="1"/>
                <w:color w:val="FFFFFF"/>
              </w:rPr>
              <w:t>(75%)</w:t>
            </w:r>
          </w:p>
        </w:tc>
        <w:tc>
          <w:tcPr>
            <w:tcW w:w="62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(85%)</w:t>
            </w:r>
          </w:p>
        </w:tc>
        <w:tc>
          <w:tcPr>
            <w:tcW w:w="600" w:type="dxa"/>
            <w:vAlign w:val="bottom"/>
            <w:vMerge w:val="continue"/>
            <w:shd w:val="clear" w:color="auto" w:fill="CF1D4C"/>
          </w:tcPr>
          <w:p>
            <w:pPr>
              <w:spacing w:after="0"/>
              <w:rPr>
                <w:sz w:val="5"/>
                <w:szCs w:val="5"/>
                <w:color w:val="auto"/>
              </w:rPr>
            </w:pPr>
          </w:p>
        </w:tc>
        <w:tc>
          <w:tcPr>
            <w:tcW w:w="60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(115%)</w:t>
            </w:r>
          </w:p>
        </w:tc>
        <w:tc>
          <w:tcPr>
            <w:tcW w:w="72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(125%)</w:t>
            </w:r>
          </w:p>
        </w:tc>
        <w:tc>
          <w:tcPr>
            <w:tcW w:w="760" w:type="dxa"/>
            <w:vAlign w:val="bottom"/>
            <w:vMerge w:val="continue"/>
            <w:shd w:val="clear" w:color="auto" w:fill="CF1D4C"/>
          </w:tcPr>
          <w:p>
            <w:pPr>
              <w:spacing w:after="0"/>
              <w:rPr>
                <w:sz w:val="5"/>
                <w:szCs w:val="5"/>
                <w:color w:val="auto"/>
              </w:rPr>
            </w:pPr>
          </w:p>
        </w:tc>
        <w:tc>
          <w:tcPr>
            <w:tcW w:w="980" w:type="dxa"/>
            <w:vAlign w:val="bottom"/>
            <w:shd w:val="clear" w:color="auto" w:fill="CF1D4C"/>
          </w:tcPr>
          <w:p>
            <w:pPr>
              <w:spacing w:after="0"/>
              <w:rPr>
                <w:sz w:val="5"/>
                <w:szCs w:val="5"/>
                <w:color w:val="auto"/>
              </w:rPr>
            </w:pPr>
          </w:p>
        </w:tc>
        <w:tc>
          <w:tcPr>
            <w:tcW w:w="760" w:type="dxa"/>
            <w:vAlign w:val="bottom"/>
            <w:shd w:val="clear" w:color="auto" w:fill="CF1D4C"/>
          </w:tcPr>
          <w:p>
            <w:pPr>
              <w:spacing w:after="0"/>
              <w:rPr>
                <w:sz w:val="5"/>
                <w:szCs w:val="5"/>
                <w:color w:val="auto"/>
              </w:rPr>
            </w:pPr>
          </w:p>
        </w:tc>
        <w:tc>
          <w:tcPr>
            <w:tcW w:w="122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920" w:type="dxa"/>
            <w:vAlign w:val="bottom"/>
            <w:vMerge w:val="continue"/>
            <w:shd w:val="clear" w:color="auto" w:fill="CF1D4C"/>
          </w:tcPr>
          <w:p>
            <w:pPr>
              <w:spacing w:after="0"/>
              <w:rPr>
                <w:sz w:val="8"/>
                <w:szCs w:val="8"/>
                <w:color w:val="auto"/>
              </w:rPr>
            </w:pPr>
          </w:p>
        </w:tc>
        <w:tc>
          <w:tcPr>
            <w:tcW w:w="820" w:type="dxa"/>
            <w:vAlign w:val="bottom"/>
            <w:shd w:val="clear" w:color="auto" w:fill="CF1D4C"/>
          </w:tcPr>
          <w:p>
            <w:pPr>
              <w:spacing w:after="0"/>
              <w:rPr>
                <w:sz w:val="8"/>
                <w:szCs w:val="8"/>
                <w:color w:val="auto"/>
              </w:rPr>
            </w:pPr>
          </w:p>
        </w:tc>
        <w:tc>
          <w:tcPr>
            <w:tcW w:w="760" w:type="dxa"/>
            <w:vAlign w:val="bottom"/>
            <w:vMerge w:val="continue"/>
            <w:shd w:val="clear" w:color="auto" w:fill="CF1D4C"/>
          </w:tcPr>
          <w:p>
            <w:pPr>
              <w:spacing w:after="0"/>
              <w:rPr>
                <w:sz w:val="8"/>
                <w:szCs w:val="8"/>
                <w:color w:val="auto"/>
              </w:rPr>
            </w:pPr>
          </w:p>
        </w:tc>
        <w:tc>
          <w:tcPr>
            <w:tcW w:w="620" w:type="dxa"/>
            <w:vAlign w:val="bottom"/>
            <w:vMerge w:val="continue"/>
            <w:shd w:val="clear" w:color="auto" w:fill="CF1D4C"/>
          </w:tcPr>
          <w:p>
            <w:pPr>
              <w:spacing w:after="0"/>
              <w:rPr>
                <w:sz w:val="8"/>
                <w:szCs w:val="8"/>
                <w:color w:val="auto"/>
              </w:rPr>
            </w:pPr>
          </w:p>
        </w:tc>
        <w:tc>
          <w:tcPr>
            <w:tcW w:w="600" w:type="dxa"/>
            <w:vAlign w:val="bottom"/>
            <w:shd w:val="clear" w:color="auto" w:fill="CF1D4C"/>
          </w:tcPr>
          <w:p>
            <w:pPr>
              <w:spacing w:after="0"/>
              <w:rPr>
                <w:sz w:val="8"/>
                <w:szCs w:val="8"/>
                <w:color w:val="auto"/>
              </w:rPr>
            </w:pPr>
          </w:p>
        </w:tc>
        <w:tc>
          <w:tcPr>
            <w:tcW w:w="600" w:type="dxa"/>
            <w:vAlign w:val="bottom"/>
            <w:vMerge w:val="continue"/>
            <w:shd w:val="clear" w:color="auto" w:fill="CF1D4C"/>
          </w:tcPr>
          <w:p>
            <w:pPr>
              <w:spacing w:after="0"/>
              <w:rPr>
                <w:sz w:val="8"/>
                <w:szCs w:val="8"/>
                <w:color w:val="auto"/>
              </w:rPr>
            </w:pPr>
          </w:p>
        </w:tc>
        <w:tc>
          <w:tcPr>
            <w:tcW w:w="720" w:type="dxa"/>
            <w:vAlign w:val="bottom"/>
            <w:vMerge w:val="continue"/>
            <w:shd w:val="clear" w:color="auto" w:fill="CF1D4C"/>
          </w:tcPr>
          <w:p>
            <w:pPr>
              <w:spacing w:after="0"/>
              <w:rPr>
                <w:sz w:val="8"/>
                <w:szCs w:val="8"/>
                <w:color w:val="auto"/>
              </w:rPr>
            </w:pPr>
          </w:p>
        </w:tc>
        <w:tc>
          <w:tcPr>
            <w:tcW w:w="760" w:type="dxa"/>
            <w:vAlign w:val="bottom"/>
            <w:shd w:val="clear" w:color="auto" w:fill="CF1D4C"/>
          </w:tcPr>
          <w:p>
            <w:pPr>
              <w:spacing w:after="0"/>
              <w:rPr>
                <w:sz w:val="8"/>
                <w:szCs w:val="8"/>
                <w:color w:val="auto"/>
              </w:rPr>
            </w:pPr>
          </w:p>
        </w:tc>
        <w:tc>
          <w:tcPr>
            <w:tcW w:w="980" w:type="dxa"/>
            <w:vAlign w:val="bottom"/>
            <w:shd w:val="clear" w:color="auto" w:fill="CF1D4C"/>
          </w:tcPr>
          <w:p>
            <w:pPr>
              <w:spacing w:after="0"/>
              <w:rPr>
                <w:sz w:val="8"/>
                <w:szCs w:val="8"/>
                <w:color w:val="auto"/>
              </w:rPr>
            </w:pPr>
          </w:p>
        </w:tc>
        <w:tc>
          <w:tcPr>
            <w:tcW w:w="760" w:type="dxa"/>
            <w:vAlign w:val="bottom"/>
            <w:shd w:val="clear" w:color="auto" w:fill="CF1D4C"/>
          </w:tcPr>
          <w:p>
            <w:pPr>
              <w:spacing w:after="0"/>
              <w:rPr>
                <w:sz w:val="8"/>
                <w:szCs w:val="8"/>
                <w:color w:val="auto"/>
              </w:rPr>
            </w:pPr>
          </w:p>
        </w:tc>
        <w:tc>
          <w:tcPr>
            <w:tcW w:w="122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RSUs Earned</w:t>
            </w:r>
          </w:p>
        </w:tc>
        <w:tc>
          <w:tcPr>
            <w:tcW w:w="0" w:type="dxa"/>
            <w:vAlign w:val="bottom"/>
          </w:tcPr>
          <w:p>
            <w:pPr>
              <w:spacing w:after="0"/>
              <w:rPr>
                <w:sz w:val="1"/>
                <w:szCs w:val="1"/>
                <w:color w:val="auto"/>
              </w:rPr>
            </w:pPr>
          </w:p>
        </w:tc>
      </w:tr>
      <w:tr>
        <w:trPr>
          <w:trHeight w:val="68"/>
        </w:trPr>
        <w:tc>
          <w:tcPr>
            <w:tcW w:w="920" w:type="dxa"/>
            <w:vAlign w:val="bottom"/>
            <w:shd w:val="clear" w:color="auto" w:fill="CF1D4C"/>
          </w:tcPr>
          <w:p>
            <w:pPr>
              <w:spacing w:after="0"/>
              <w:rPr>
                <w:sz w:val="5"/>
                <w:szCs w:val="5"/>
                <w:color w:val="auto"/>
              </w:rPr>
            </w:pPr>
          </w:p>
        </w:tc>
        <w:tc>
          <w:tcPr>
            <w:tcW w:w="820" w:type="dxa"/>
            <w:vAlign w:val="bottom"/>
            <w:shd w:val="clear" w:color="auto" w:fill="CF1D4C"/>
          </w:tcPr>
          <w:p>
            <w:pPr>
              <w:spacing w:after="0"/>
              <w:rPr>
                <w:sz w:val="5"/>
                <w:szCs w:val="5"/>
                <w:color w:val="auto"/>
              </w:rPr>
            </w:pPr>
          </w:p>
        </w:tc>
        <w:tc>
          <w:tcPr>
            <w:tcW w:w="760" w:type="dxa"/>
            <w:vAlign w:val="bottom"/>
            <w:shd w:val="clear" w:color="auto" w:fill="CF1D4C"/>
          </w:tcPr>
          <w:p>
            <w:pPr>
              <w:spacing w:after="0"/>
              <w:rPr>
                <w:sz w:val="5"/>
                <w:szCs w:val="5"/>
                <w:color w:val="auto"/>
              </w:rPr>
            </w:pPr>
          </w:p>
        </w:tc>
        <w:tc>
          <w:tcPr>
            <w:tcW w:w="620" w:type="dxa"/>
            <w:vAlign w:val="bottom"/>
            <w:shd w:val="clear" w:color="auto" w:fill="CF1D4C"/>
          </w:tcPr>
          <w:p>
            <w:pPr>
              <w:spacing w:after="0"/>
              <w:rPr>
                <w:sz w:val="5"/>
                <w:szCs w:val="5"/>
                <w:color w:val="auto"/>
              </w:rPr>
            </w:pPr>
          </w:p>
        </w:tc>
        <w:tc>
          <w:tcPr>
            <w:tcW w:w="600" w:type="dxa"/>
            <w:vAlign w:val="bottom"/>
            <w:shd w:val="clear" w:color="auto" w:fill="CF1D4C"/>
          </w:tcPr>
          <w:p>
            <w:pPr>
              <w:spacing w:after="0"/>
              <w:rPr>
                <w:sz w:val="5"/>
                <w:szCs w:val="5"/>
                <w:color w:val="auto"/>
              </w:rPr>
            </w:pPr>
          </w:p>
        </w:tc>
        <w:tc>
          <w:tcPr>
            <w:tcW w:w="600" w:type="dxa"/>
            <w:vAlign w:val="bottom"/>
            <w:shd w:val="clear" w:color="auto" w:fill="CF1D4C"/>
          </w:tcPr>
          <w:p>
            <w:pPr>
              <w:spacing w:after="0"/>
              <w:rPr>
                <w:sz w:val="5"/>
                <w:szCs w:val="5"/>
                <w:color w:val="auto"/>
              </w:rPr>
            </w:pPr>
          </w:p>
        </w:tc>
        <w:tc>
          <w:tcPr>
            <w:tcW w:w="720" w:type="dxa"/>
            <w:vAlign w:val="bottom"/>
            <w:shd w:val="clear" w:color="auto" w:fill="CF1D4C"/>
          </w:tcPr>
          <w:p>
            <w:pPr>
              <w:spacing w:after="0"/>
              <w:rPr>
                <w:sz w:val="5"/>
                <w:szCs w:val="5"/>
                <w:color w:val="auto"/>
              </w:rPr>
            </w:pPr>
          </w:p>
        </w:tc>
        <w:tc>
          <w:tcPr>
            <w:tcW w:w="760" w:type="dxa"/>
            <w:vAlign w:val="bottom"/>
            <w:shd w:val="clear" w:color="auto" w:fill="CF1D4C"/>
          </w:tcPr>
          <w:p>
            <w:pPr>
              <w:spacing w:after="0"/>
              <w:rPr>
                <w:sz w:val="5"/>
                <w:szCs w:val="5"/>
                <w:color w:val="auto"/>
              </w:rPr>
            </w:pPr>
          </w:p>
        </w:tc>
        <w:tc>
          <w:tcPr>
            <w:tcW w:w="980" w:type="dxa"/>
            <w:vAlign w:val="bottom"/>
            <w:shd w:val="clear" w:color="auto" w:fill="CF1D4C"/>
          </w:tcPr>
          <w:p>
            <w:pPr>
              <w:spacing w:after="0"/>
              <w:rPr>
                <w:sz w:val="5"/>
                <w:szCs w:val="5"/>
                <w:color w:val="auto"/>
              </w:rPr>
            </w:pPr>
          </w:p>
        </w:tc>
        <w:tc>
          <w:tcPr>
            <w:tcW w:w="760" w:type="dxa"/>
            <w:vAlign w:val="bottom"/>
            <w:shd w:val="clear" w:color="auto" w:fill="CF1D4C"/>
          </w:tcPr>
          <w:p>
            <w:pPr>
              <w:spacing w:after="0"/>
              <w:rPr>
                <w:sz w:val="5"/>
                <w:szCs w:val="5"/>
                <w:color w:val="auto"/>
              </w:rPr>
            </w:pPr>
          </w:p>
        </w:tc>
        <w:tc>
          <w:tcPr>
            <w:tcW w:w="122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920" w:type="dxa"/>
            <w:vAlign w:val="bottom"/>
            <w:shd w:val="clear" w:color="auto" w:fill="CF1D4C"/>
          </w:tcPr>
          <w:p>
            <w:pPr>
              <w:spacing w:after="0"/>
              <w:rPr>
                <w:sz w:val="7"/>
                <w:szCs w:val="7"/>
                <w:color w:val="auto"/>
              </w:rPr>
            </w:pPr>
          </w:p>
        </w:tc>
        <w:tc>
          <w:tcPr>
            <w:tcW w:w="820" w:type="dxa"/>
            <w:vAlign w:val="bottom"/>
            <w:shd w:val="clear" w:color="auto" w:fill="CF1D4C"/>
          </w:tcPr>
          <w:p>
            <w:pPr>
              <w:spacing w:after="0"/>
              <w:rPr>
                <w:sz w:val="7"/>
                <w:szCs w:val="7"/>
                <w:color w:val="auto"/>
              </w:rPr>
            </w:pPr>
          </w:p>
        </w:tc>
        <w:tc>
          <w:tcPr>
            <w:tcW w:w="760" w:type="dxa"/>
            <w:vAlign w:val="bottom"/>
            <w:shd w:val="clear" w:color="auto" w:fill="CF1D4C"/>
          </w:tcPr>
          <w:p>
            <w:pPr>
              <w:spacing w:after="0"/>
              <w:rPr>
                <w:sz w:val="7"/>
                <w:szCs w:val="7"/>
                <w:color w:val="auto"/>
              </w:rPr>
            </w:pPr>
          </w:p>
        </w:tc>
        <w:tc>
          <w:tcPr>
            <w:tcW w:w="620" w:type="dxa"/>
            <w:vAlign w:val="bottom"/>
            <w:shd w:val="clear" w:color="auto" w:fill="CF1D4C"/>
          </w:tcPr>
          <w:p>
            <w:pPr>
              <w:spacing w:after="0"/>
              <w:rPr>
                <w:sz w:val="7"/>
                <w:szCs w:val="7"/>
                <w:color w:val="auto"/>
              </w:rPr>
            </w:pPr>
          </w:p>
        </w:tc>
        <w:tc>
          <w:tcPr>
            <w:tcW w:w="600" w:type="dxa"/>
            <w:vAlign w:val="bottom"/>
            <w:shd w:val="clear" w:color="auto" w:fill="CF1D4C"/>
          </w:tcPr>
          <w:p>
            <w:pPr>
              <w:spacing w:after="0"/>
              <w:rPr>
                <w:sz w:val="7"/>
                <w:szCs w:val="7"/>
                <w:color w:val="auto"/>
              </w:rPr>
            </w:pPr>
          </w:p>
        </w:tc>
        <w:tc>
          <w:tcPr>
            <w:tcW w:w="600" w:type="dxa"/>
            <w:vAlign w:val="bottom"/>
            <w:shd w:val="clear" w:color="auto" w:fill="CF1D4C"/>
          </w:tcPr>
          <w:p>
            <w:pPr>
              <w:spacing w:after="0"/>
              <w:rPr>
                <w:sz w:val="7"/>
                <w:szCs w:val="7"/>
                <w:color w:val="auto"/>
              </w:rPr>
            </w:pPr>
          </w:p>
        </w:tc>
        <w:tc>
          <w:tcPr>
            <w:tcW w:w="720" w:type="dxa"/>
            <w:vAlign w:val="bottom"/>
            <w:shd w:val="clear" w:color="auto" w:fill="CF1D4C"/>
          </w:tcPr>
          <w:p>
            <w:pPr>
              <w:spacing w:after="0"/>
              <w:rPr>
                <w:sz w:val="7"/>
                <w:szCs w:val="7"/>
                <w:color w:val="auto"/>
              </w:rPr>
            </w:pPr>
          </w:p>
        </w:tc>
        <w:tc>
          <w:tcPr>
            <w:tcW w:w="760" w:type="dxa"/>
            <w:vAlign w:val="bottom"/>
            <w:shd w:val="clear" w:color="auto" w:fill="CF1D4C"/>
          </w:tcPr>
          <w:p>
            <w:pPr>
              <w:spacing w:after="0"/>
              <w:rPr>
                <w:sz w:val="7"/>
                <w:szCs w:val="7"/>
                <w:color w:val="auto"/>
              </w:rPr>
            </w:pPr>
          </w:p>
        </w:tc>
        <w:tc>
          <w:tcPr>
            <w:tcW w:w="980" w:type="dxa"/>
            <w:vAlign w:val="bottom"/>
            <w:shd w:val="clear" w:color="auto" w:fill="CF1D4C"/>
          </w:tcPr>
          <w:p>
            <w:pPr>
              <w:spacing w:after="0"/>
              <w:rPr>
                <w:sz w:val="7"/>
                <w:szCs w:val="7"/>
                <w:color w:val="auto"/>
              </w:rPr>
            </w:pPr>
          </w:p>
        </w:tc>
        <w:tc>
          <w:tcPr>
            <w:tcW w:w="760" w:type="dxa"/>
            <w:vAlign w:val="bottom"/>
            <w:shd w:val="clear" w:color="auto" w:fill="CF1D4C"/>
          </w:tcPr>
          <w:p>
            <w:pPr>
              <w:spacing w:after="0"/>
              <w:rPr>
                <w:sz w:val="7"/>
                <w:szCs w:val="7"/>
                <w:color w:val="auto"/>
              </w:rPr>
            </w:pPr>
          </w:p>
        </w:tc>
        <w:tc>
          <w:tcPr>
            <w:tcW w:w="1220" w:type="dxa"/>
            <w:vAlign w:val="bottom"/>
            <w:shd w:val="clear" w:color="auto" w:fill="CF1D4C"/>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920" w:type="dxa"/>
            <w:vAlign w:val="bottom"/>
          </w:tcPr>
          <w:p>
            <w:pPr>
              <w:ind w:left="160"/>
              <w:spacing w:after="0"/>
              <w:rPr>
                <w:sz w:val="20"/>
                <w:szCs w:val="20"/>
                <w:color w:val="auto"/>
              </w:rPr>
            </w:pPr>
            <w:r>
              <w:rPr>
                <w:rFonts w:ascii="Arial" w:cs="Arial" w:eastAsia="Arial" w:hAnsi="Arial"/>
                <w:sz w:val="12"/>
                <w:szCs w:val="12"/>
                <w:color w:val="333333"/>
              </w:rPr>
              <w:t>&lt;$3,678.6</w:t>
            </w:r>
          </w:p>
        </w:tc>
        <w:tc>
          <w:tcPr>
            <w:tcW w:w="820" w:type="dxa"/>
            <w:vAlign w:val="bottom"/>
          </w:tcPr>
          <w:p>
            <w:pPr>
              <w:ind w:left="160"/>
              <w:spacing w:after="0"/>
              <w:rPr>
                <w:sz w:val="20"/>
                <w:szCs w:val="20"/>
                <w:color w:val="auto"/>
              </w:rPr>
            </w:pPr>
            <w:r>
              <w:rPr>
                <w:rFonts w:ascii="Arial" w:cs="Arial" w:eastAsia="Arial" w:hAnsi="Arial"/>
                <w:sz w:val="12"/>
                <w:szCs w:val="12"/>
                <w:color w:val="333333"/>
              </w:rPr>
              <w:t>$​3,678.6</w:t>
            </w:r>
          </w:p>
        </w:tc>
        <w:tc>
          <w:tcPr>
            <w:tcW w:w="760" w:type="dxa"/>
            <w:vAlign w:val="bottom"/>
          </w:tcPr>
          <w:p>
            <w:pPr>
              <w:ind w:left="100"/>
              <w:spacing w:after="0"/>
              <w:rPr>
                <w:sz w:val="20"/>
                <w:szCs w:val="20"/>
                <w:color w:val="auto"/>
              </w:rPr>
            </w:pPr>
            <w:r>
              <w:rPr>
                <w:rFonts w:ascii="Arial" w:cs="Arial" w:eastAsia="Arial" w:hAnsi="Arial"/>
                <w:sz w:val="12"/>
                <w:szCs w:val="12"/>
                <w:color w:val="333333"/>
              </w:rPr>
              <w:t>$​3,716.6</w:t>
            </w:r>
          </w:p>
        </w:tc>
        <w:tc>
          <w:tcPr>
            <w:tcW w:w="620" w:type="dxa"/>
            <w:vAlign w:val="bottom"/>
          </w:tcPr>
          <w:p>
            <w:pPr>
              <w:ind w:left="80"/>
              <w:spacing w:after="0"/>
              <w:rPr>
                <w:sz w:val="20"/>
                <w:szCs w:val="20"/>
                <w:color w:val="auto"/>
              </w:rPr>
            </w:pPr>
            <w:r>
              <w:rPr>
                <w:rFonts w:ascii="Arial" w:cs="Arial" w:eastAsia="Arial" w:hAnsi="Arial"/>
                <w:sz w:val="12"/>
                <w:szCs w:val="12"/>
                <w:color w:val="333333"/>
              </w:rPr>
              <w:t>$​3,754.5</w:t>
            </w:r>
          </w:p>
        </w:tc>
        <w:tc>
          <w:tcPr>
            <w:tcW w:w="600" w:type="dxa"/>
            <w:vAlign w:val="bottom"/>
          </w:tcPr>
          <w:p>
            <w:pPr>
              <w:ind w:left="60"/>
              <w:spacing w:after="0"/>
              <w:rPr>
                <w:sz w:val="20"/>
                <w:szCs w:val="20"/>
                <w:color w:val="auto"/>
              </w:rPr>
            </w:pPr>
            <w:r>
              <w:rPr>
                <w:rFonts w:ascii="Arial" w:cs="Arial" w:eastAsia="Arial" w:hAnsi="Arial"/>
                <w:sz w:val="12"/>
                <w:szCs w:val="12"/>
                <w:color w:val="333333"/>
              </w:rPr>
              <w:t>$​3,792.4</w:t>
            </w:r>
          </w:p>
        </w:tc>
        <w:tc>
          <w:tcPr>
            <w:tcW w:w="600" w:type="dxa"/>
            <w:vAlign w:val="bottom"/>
          </w:tcPr>
          <w:p>
            <w:pPr>
              <w:ind w:left="60"/>
              <w:spacing w:after="0"/>
              <w:rPr>
                <w:sz w:val="20"/>
                <w:szCs w:val="20"/>
                <w:color w:val="auto"/>
              </w:rPr>
            </w:pPr>
            <w:r>
              <w:rPr>
                <w:rFonts w:ascii="Arial" w:cs="Arial" w:eastAsia="Arial" w:hAnsi="Arial"/>
                <w:sz w:val="12"/>
                <w:szCs w:val="12"/>
                <w:color w:val="333333"/>
              </w:rPr>
              <w:t>$​3,830.3</w:t>
            </w:r>
          </w:p>
        </w:tc>
        <w:tc>
          <w:tcPr>
            <w:tcW w:w="720" w:type="dxa"/>
            <w:vAlign w:val="bottom"/>
          </w:tcPr>
          <w:p>
            <w:pPr>
              <w:ind w:left="60"/>
              <w:spacing w:after="0"/>
              <w:rPr>
                <w:sz w:val="20"/>
                <w:szCs w:val="20"/>
                <w:color w:val="auto"/>
              </w:rPr>
            </w:pPr>
            <w:r>
              <w:rPr>
                <w:rFonts w:ascii="Arial" w:cs="Arial" w:eastAsia="Arial" w:hAnsi="Arial"/>
                <w:sz w:val="12"/>
                <w:szCs w:val="12"/>
                <w:color w:val="333333"/>
              </w:rPr>
              <w:t>$​3,868.2</w:t>
            </w:r>
          </w:p>
        </w:tc>
        <w:tc>
          <w:tcPr>
            <w:tcW w:w="760" w:type="dxa"/>
            <w:vAlign w:val="bottom"/>
          </w:tcPr>
          <w:p>
            <w:pPr>
              <w:ind w:left="100"/>
              <w:spacing w:after="0"/>
              <w:rPr>
                <w:sz w:val="20"/>
                <w:szCs w:val="20"/>
                <w:color w:val="auto"/>
              </w:rPr>
            </w:pPr>
            <w:r>
              <w:rPr>
                <w:rFonts w:ascii="Arial" w:cs="Arial" w:eastAsia="Arial" w:hAnsi="Arial"/>
                <w:sz w:val="12"/>
                <w:szCs w:val="12"/>
                <w:color w:val="333333"/>
              </w:rPr>
              <w:t>$​3,906.2</w:t>
            </w:r>
          </w:p>
        </w:tc>
        <w:tc>
          <w:tcPr>
            <w:tcW w:w="980" w:type="dxa"/>
            <w:vAlign w:val="bottom"/>
          </w:tcPr>
          <w:p>
            <w:pPr>
              <w:ind w:left="100"/>
              <w:spacing w:after="0"/>
              <w:rPr>
                <w:sz w:val="20"/>
                <w:szCs w:val="20"/>
                <w:color w:val="auto"/>
              </w:rPr>
            </w:pPr>
            <w:r>
              <w:rPr>
                <w:rFonts w:ascii="Arial" w:cs="Arial" w:eastAsia="Arial" w:hAnsi="Arial"/>
                <w:sz w:val="12"/>
                <w:szCs w:val="12"/>
                <w:color w:val="333333"/>
              </w:rPr>
              <w:t>$​3,771.4</w:t>
            </w:r>
          </w:p>
        </w:tc>
        <w:tc>
          <w:tcPr>
            <w:tcW w:w="760" w:type="dxa"/>
            <w:vAlign w:val="bottom"/>
          </w:tcPr>
          <w:p>
            <w:pPr>
              <w:ind w:left="120"/>
              <w:spacing w:after="0"/>
              <w:rPr>
                <w:sz w:val="20"/>
                <w:szCs w:val="20"/>
                <w:color w:val="auto"/>
              </w:rPr>
            </w:pPr>
            <w:r>
              <w:rPr>
                <w:rFonts w:ascii="Arial" w:cs="Arial" w:eastAsia="Arial" w:hAnsi="Arial"/>
                <w:sz w:val="12"/>
                <w:szCs w:val="12"/>
                <w:color w:val="333333"/>
              </w:rPr>
              <w:t>85%</w:t>
            </w:r>
          </w:p>
        </w:tc>
        <w:tc>
          <w:tcPr>
            <w:tcW w:w="1220" w:type="dxa"/>
            <w:vAlign w:val="bottom"/>
          </w:tcPr>
          <w:p>
            <w:pPr>
              <w:ind w:left="80"/>
              <w:spacing w:after="0"/>
              <w:rPr>
                <w:sz w:val="20"/>
                <w:szCs w:val="20"/>
                <w:color w:val="auto"/>
              </w:rPr>
            </w:pPr>
            <w:r>
              <w:rPr>
                <w:rFonts w:ascii="Arial" w:cs="Arial" w:eastAsia="Arial" w:hAnsi="Arial"/>
                <w:sz w:val="12"/>
                <w:szCs w:val="12"/>
                <w:color w:val="333333"/>
              </w:rPr>
              <w:t>3,695</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60" w:right="700" w:hanging="10"/>
        <w:spacing w:after="0"/>
        <w:tabs>
          <w:tab w:leader="none" w:pos="849" w:val="left"/>
        </w:tabs>
        <w:numPr>
          <w:ilvl w:val="0"/>
          <w:numId w:val="74"/>
        </w:numPr>
        <w:rPr>
          <w:rFonts w:ascii="Arial" w:cs="Arial" w:eastAsia="Arial" w:hAnsi="Arial"/>
          <w:sz w:val="13"/>
          <w:szCs w:val="13"/>
          <w:i w:val="1"/>
          <w:iCs w:val="1"/>
          <w:color w:val="333333"/>
        </w:rPr>
      </w:pPr>
      <w:r>
        <w:rPr>
          <w:rFonts w:ascii="Arial" w:cs="Arial" w:eastAsia="Arial" w:hAnsi="Arial"/>
          <w:sz w:val="13"/>
          <w:szCs w:val="13"/>
          <w:i w:val="1"/>
          <w:iCs w:val="1"/>
          <w:color w:val="333333"/>
        </w:rPr>
        <w:t>Consolidated net revenue was adjusted (a) to be consistent with the macro-economic environment assumed in the 2023 budget, and (b) for the impact of acquisitions or divestitures.</w:t>
      </w:r>
    </w:p>
    <w:p>
      <w:pPr>
        <w:spacing w:after="0" w:line="189" w:lineRule="exact"/>
        <w:rPr>
          <w:sz w:val="20"/>
          <w:szCs w:val="20"/>
          <w:color w:val="auto"/>
        </w:rPr>
      </w:pPr>
    </w:p>
    <w:p>
      <w:pPr>
        <w:ind w:left="660" w:right="700"/>
        <w:spacing w:after="0" w:line="288" w:lineRule="auto"/>
        <w:rPr>
          <w:sz w:val="20"/>
          <w:szCs w:val="20"/>
          <w:color w:val="auto"/>
        </w:rPr>
      </w:pPr>
      <w:r>
        <w:rPr>
          <w:rFonts w:ascii="Arial" w:cs="Arial" w:eastAsia="Arial" w:hAnsi="Arial"/>
          <w:sz w:val="16"/>
          <w:szCs w:val="16"/>
          <w:b w:val="1"/>
          <w:bCs w:val="1"/>
          <w:color w:val="auto"/>
        </w:rPr>
        <w:t xml:space="preserve">Armando L. Netto: </w:t>
      </w:r>
      <w:r>
        <w:rPr>
          <w:rFonts w:ascii="Arial" w:cs="Arial" w:eastAsia="Arial" w:hAnsi="Arial"/>
          <w:sz w:val="16"/>
          <w:szCs w:val="16"/>
          <w:color w:val="333333"/>
        </w:rPr>
        <w:t>Mr. Netto’s 2023 Performance-Based RSU award was based on achievement against a target goal of</w:t>
      </w:r>
      <w:r>
        <w:rPr>
          <w:rFonts w:ascii="Arial" w:cs="Arial" w:eastAsia="Arial" w:hAnsi="Arial"/>
          <w:sz w:val="16"/>
          <w:szCs w:val="16"/>
          <w:b w:val="1"/>
          <w:bCs w:val="1"/>
          <w:color w:val="auto"/>
        </w:rPr>
        <w:t xml:space="preserve"> </w:t>
      </w:r>
      <w:r>
        <w:rPr>
          <w:rFonts w:ascii="Arial" w:cs="Arial" w:eastAsia="Arial" w:hAnsi="Arial"/>
          <w:sz w:val="16"/>
          <w:szCs w:val="16"/>
          <w:color w:val="333333"/>
        </w:rPr>
        <w:t>net revenue as adjusted, of $511.6 million in the Brazil business (all dollar values in millions).</w:t>
      </w:r>
      <w:r>
        <w:rPr>
          <w:rFonts w:ascii="Arial" w:cs="Arial" w:eastAsia="Arial" w:hAnsi="Arial"/>
          <w:sz w:val="26"/>
          <w:szCs w:val="26"/>
          <w:color w:val="333333"/>
          <w:vertAlign w:val="superscript"/>
        </w:rPr>
        <w:t>(1)</w:t>
      </w: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338"/>
        </w:trPr>
        <w:tc>
          <w:tcPr>
            <w:tcW w:w="1180" w:type="dxa"/>
            <w:vAlign w:val="bottom"/>
            <w:shd w:val="clear" w:color="auto" w:fill="CF1D4C"/>
          </w:tcPr>
          <w:p>
            <w:pPr>
              <w:spacing w:after="0"/>
              <w:rPr>
                <w:sz w:val="24"/>
                <w:szCs w:val="24"/>
                <w:color w:val="auto"/>
              </w:rPr>
            </w:pPr>
          </w:p>
        </w:tc>
        <w:tc>
          <w:tcPr>
            <w:tcW w:w="840" w:type="dxa"/>
            <w:vAlign w:val="bottom"/>
            <w:shd w:val="clear" w:color="auto" w:fill="CF1D4C"/>
          </w:tcPr>
          <w:p>
            <w:pPr>
              <w:spacing w:after="0"/>
              <w:rPr>
                <w:sz w:val="24"/>
                <w:szCs w:val="24"/>
                <w:color w:val="auto"/>
              </w:rPr>
            </w:pPr>
          </w:p>
        </w:tc>
        <w:tc>
          <w:tcPr>
            <w:tcW w:w="780" w:type="dxa"/>
            <w:vAlign w:val="bottom"/>
            <w:vMerge w:val="restart"/>
            <w:shd w:val="clear" w:color="auto" w:fill="CF1D4C"/>
          </w:tcPr>
          <w:p>
            <w:pPr>
              <w:ind w:left="100"/>
              <w:spacing w:after="0"/>
              <w:rPr>
                <w:sz w:val="20"/>
                <w:szCs w:val="20"/>
                <w:color w:val="auto"/>
              </w:rPr>
            </w:pPr>
            <w:r>
              <w:rPr>
                <w:rFonts w:ascii="Arial" w:cs="Arial" w:eastAsia="Arial" w:hAnsi="Arial"/>
                <w:sz w:val="12"/>
                <w:szCs w:val="12"/>
                <w:b w:val="1"/>
                <w:bCs w:val="1"/>
                <w:color w:val="FFFFFF"/>
              </w:rPr>
              <w:t>Above</w:t>
            </w:r>
          </w:p>
        </w:tc>
        <w:tc>
          <w:tcPr>
            <w:tcW w:w="560" w:type="dxa"/>
            <w:vAlign w:val="bottom"/>
            <w:vMerge w:val="restart"/>
            <w:shd w:val="clear" w:color="auto" w:fill="CF1D4C"/>
          </w:tcPr>
          <w:p>
            <w:pPr>
              <w:ind w:left="100"/>
              <w:spacing w:after="0"/>
              <w:rPr>
                <w:sz w:val="20"/>
                <w:szCs w:val="20"/>
                <w:color w:val="auto"/>
              </w:rPr>
            </w:pPr>
            <w:r>
              <w:rPr>
                <w:rFonts w:ascii="Arial" w:cs="Arial" w:eastAsia="Arial" w:hAnsi="Arial"/>
                <w:sz w:val="12"/>
                <w:szCs w:val="12"/>
                <w:b w:val="1"/>
                <w:bCs w:val="1"/>
                <w:color w:val="FFFFFF"/>
              </w:rPr>
              <w:t>Below</w:t>
            </w:r>
          </w:p>
        </w:tc>
        <w:tc>
          <w:tcPr>
            <w:tcW w:w="580" w:type="dxa"/>
            <w:vAlign w:val="bottom"/>
            <w:shd w:val="clear" w:color="auto" w:fill="CF1D4C"/>
          </w:tcPr>
          <w:p>
            <w:pPr>
              <w:spacing w:after="0"/>
              <w:rPr>
                <w:sz w:val="24"/>
                <w:szCs w:val="24"/>
                <w:color w:val="auto"/>
              </w:rPr>
            </w:pPr>
          </w:p>
        </w:tc>
        <w:tc>
          <w:tcPr>
            <w:tcW w:w="52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Above</w:t>
            </w:r>
          </w:p>
        </w:tc>
        <w:tc>
          <w:tcPr>
            <w:tcW w:w="72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Below</w:t>
            </w:r>
          </w:p>
        </w:tc>
        <w:tc>
          <w:tcPr>
            <w:tcW w:w="740" w:type="dxa"/>
            <w:vAlign w:val="bottom"/>
            <w:shd w:val="clear" w:color="auto" w:fill="CF1D4C"/>
          </w:tcPr>
          <w:p>
            <w:pPr>
              <w:spacing w:after="0"/>
              <w:rPr>
                <w:sz w:val="24"/>
                <w:szCs w:val="24"/>
                <w:color w:val="auto"/>
              </w:rPr>
            </w:pPr>
          </w:p>
        </w:tc>
        <w:tc>
          <w:tcPr>
            <w:tcW w:w="960" w:type="dxa"/>
            <w:vAlign w:val="bottom"/>
            <w:shd w:val="clear" w:color="auto" w:fill="CF1D4C"/>
          </w:tcPr>
          <w:p>
            <w:pPr>
              <w:spacing w:after="0"/>
              <w:rPr>
                <w:sz w:val="24"/>
                <w:szCs w:val="24"/>
                <w:color w:val="auto"/>
              </w:rPr>
            </w:pPr>
          </w:p>
        </w:tc>
        <w:tc>
          <w:tcPr>
            <w:tcW w:w="720" w:type="dxa"/>
            <w:vAlign w:val="bottom"/>
            <w:shd w:val="clear" w:color="auto" w:fill="CF1D4C"/>
          </w:tcPr>
          <w:p>
            <w:pPr>
              <w:spacing w:after="0"/>
              <w:rPr>
                <w:sz w:val="24"/>
                <w:szCs w:val="24"/>
                <w:color w:val="auto"/>
              </w:rPr>
            </w:pPr>
          </w:p>
        </w:tc>
        <w:tc>
          <w:tcPr>
            <w:tcW w:w="1160" w:type="dxa"/>
            <w:vAlign w:val="bottom"/>
            <w:shd w:val="clear" w:color="auto" w:fill="CF1D4C"/>
          </w:tcPr>
          <w:p>
            <w:pPr>
              <w:ind w:left="80"/>
              <w:spacing w:after="0"/>
              <w:rPr>
                <w:sz w:val="20"/>
                <w:szCs w:val="20"/>
                <w:color w:val="auto"/>
              </w:rPr>
            </w:pPr>
            <w:r>
              <w:rPr>
                <w:rFonts w:ascii="Arial" w:cs="Arial" w:eastAsia="Arial" w:hAnsi="Arial"/>
                <w:sz w:val="12"/>
                <w:szCs w:val="12"/>
                <w:b w:val="1"/>
                <w:bCs w:val="1"/>
                <w:color w:val="FFFFFF"/>
              </w:rPr>
              <w:t># of</w:t>
            </w:r>
          </w:p>
        </w:tc>
        <w:tc>
          <w:tcPr>
            <w:tcW w:w="0" w:type="dxa"/>
            <w:vAlign w:val="bottom"/>
          </w:tcPr>
          <w:p>
            <w:pPr>
              <w:spacing w:after="0"/>
              <w:rPr>
                <w:sz w:val="1"/>
                <w:szCs w:val="1"/>
                <w:color w:val="auto"/>
              </w:rPr>
            </w:pPr>
          </w:p>
        </w:tc>
      </w:tr>
      <w:tr>
        <w:trPr>
          <w:trHeight w:val="68"/>
        </w:trPr>
        <w:tc>
          <w:tcPr>
            <w:tcW w:w="1180" w:type="dxa"/>
            <w:vAlign w:val="bottom"/>
            <w:vMerge w:val="restart"/>
            <w:shd w:val="clear" w:color="auto" w:fill="CF1D4C"/>
          </w:tcPr>
          <w:p>
            <w:pPr>
              <w:ind w:left="180"/>
              <w:spacing w:after="0" w:line="135" w:lineRule="exact"/>
              <w:rPr>
                <w:sz w:val="20"/>
                <w:szCs w:val="20"/>
                <w:color w:val="auto"/>
              </w:rPr>
            </w:pPr>
            <w:r>
              <w:rPr>
                <w:rFonts w:ascii="Arial" w:cs="Arial" w:eastAsia="Arial" w:hAnsi="Arial"/>
                <w:sz w:val="12"/>
                <w:szCs w:val="12"/>
                <w:b w:val="1"/>
                <w:bCs w:val="1"/>
                <w:color w:val="FFFFFF"/>
              </w:rPr>
              <w:t>Below</w:t>
            </w:r>
          </w:p>
        </w:tc>
        <w:tc>
          <w:tcPr>
            <w:tcW w:w="840" w:type="dxa"/>
            <w:vAlign w:val="bottom"/>
            <w:vMerge w:val="restart"/>
            <w:shd w:val="clear" w:color="auto" w:fill="CF1D4C"/>
          </w:tcPr>
          <w:p>
            <w:pPr>
              <w:ind w:left="160"/>
              <w:spacing w:after="0" w:line="135" w:lineRule="exact"/>
              <w:rPr>
                <w:sz w:val="20"/>
                <w:szCs w:val="20"/>
                <w:color w:val="auto"/>
              </w:rPr>
            </w:pPr>
            <w:r>
              <w:rPr>
                <w:rFonts w:ascii="Arial" w:cs="Arial" w:eastAsia="Arial" w:hAnsi="Arial"/>
                <w:sz w:val="12"/>
                <w:szCs w:val="12"/>
                <w:b w:val="1"/>
                <w:bCs w:val="1"/>
                <w:color w:val="FFFFFF"/>
              </w:rPr>
              <w:t>Threshold</w:t>
            </w:r>
          </w:p>
        </w:tc>
        <w:tc>
          <w:tcPr>
            <w:tcW w:w="780" w:type="dxa"/>
            <w:vAlign w:val="bottom"/>
            <w:vMerge w:val="continue"/>
            <w:shd w:val="clear" w:color="auto" w:fill="CF1D4C"/>
          </w:tcPr>
          <w:p>
            <w:pPr>
              <w:spacing w:after="0"/>
              <w:rPr>
                <w:sz w:val="5"/>
                <w:szCs w:val="5"/>
                <w:color w:val="auto"/>
              </w:rPr>
            </w:pPr>
          </w:p>
        </w:tc>
        <w:tc>
          <w:tcPr>
            <w:tcW w:w="560" w:type="dxa"/>
            <w:vAlign w:val="bottom"/>
            <w:vMerge w:val="continue"/>
            <w:shd w:val="clear" w:color="auto" w:fill="CF1D4C"/>
          </w:tcPr>
          <w:p>
            <w:pPr>
              <w:spacing w:after="0"/>
              <w:rPr>
                <w:sz w:val="5"/>
                <w:szCs w:val="5"/>
                <w:color w:val="auto"/>
              </w:rPr>
            </w:pPr>
          </w:p>
        </w:tc>
        <w:tc>
          <w:tcPr>
            <w:tcW w:w="58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Target</w:t>
            </w:r>
          </w:p>
        </w:tc>
        <w:tc>
          <w:tcPr>
            <w:tcW w:w="520" w:type="dxa"/>
            <w:vAlign w:val="bottom"/>
            <w:vMerge w:val="continue"/>
            <w:shd w:val="clear" w:color="auto" w:fill="CF1D4C"/>
          </w:tcPr>
          <w:p>
            <w:pPr>
              <w:spacing w:after="0"/>
              <w:rPr>
                <w:sz w:val="5"/>
                <w:szCs w:val="5"/>
                <w:color w:val="auto"/>
              </w:rPr>
            </w:pPr>
          </w:p>
        </w:tc>
        <w:tc>
          <w:tcPr>
            <w:tcW w:w="720" w:type="dxa"/>
            <w:vAlign w:val="bottom"/>
            <w:vMerge w:val="continue"/>
            <w:shd w:val="clear" w:color="auto" w:fill="CF1D4C"/>
          </w:tcPr>
          <w:p>
            <w:pPr>
              <w:spacing w:after="0"/>
              <w:rPr>
                <w:sz w:val="5"/>
                <w:szCs w:val="5"/>
                <w:color w:val="auto"/>
              </w:rPr>
            </w:pPr>
          </w:p>
        </w:tc>
        <w:tc>
          <w:tcPr>
            <w:tcW w:w="74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Maximum</w:t>
            </w:r>
          </w:p>
        </w:tc>
        <w:tc>
          <w:tcPr>
            <w:tcW w:w="960" w:type="dxa"/>
            <w:vAlign w:val="bottom"/>
            <w:shd w:val="clear" w:color="auto" w:fill="CF1D4C"/>
          </w:tcPr>
          <w:p>
            <w:pPr>
              <w:spacing w:after="0"/>
              <w:rPr>
                <w:sz w:val="5"/>
                <w:szCs w:val="5"/>
                <w:color w:val="auto"/>
              </w:rPr>
            </w:pPr>
          </w:p>
        </w:tc>
        <w:tc>
          <w:tcPr>
            <w:tcW w:w="720" w:type="dxa"/>
            <w:vAlign w:val="bottom"/>
            <w:shd w:val="clear" w:color="auto" w:fill="CF1D4C"/>
          </w:tcPr>
          <w:p>
            <w:pPr>
              <w:spacing w:after="0"/>
              <w:rPr>
                <w:sz w:val="5"/>
                <w:szCs w:val="5"/>
                <w:color w:val="auto"/>
              </w:rPr>
            </w:pPr>
          </w:p>
        </w:tc>
        <w:tc>
          <w:tcPr>
            <w:tcW w:w="1160" w:type="dxa"/>
            <w:vAlign w:val="bottom"/>
            <w:vMerge w:val="restart"/>
            <w:shd w:val="clear" w:color="auto" w:fill="CF1D4C"/>
          </w:tcPr>
          <w:p>
            <w:pPr>
              <w:ind w:left="80"/>
              <w:spacing w:after="0" w:line="135" w:lineRule="exact"/>
              <w:rPr>
                <w:sz w:val="20"/>
                <w:szCs w:val="20"/>
                <w:color w:val="auto"/>
              </w:rPr>
            </w:pPr>
            <w:r>
              <w:rPr>
                <w:rFonts w:ascii="Arial" w:cs="Arial" w:eastAsia="Arial" w:hAnsi="Arial"/>
                <w:sz w:val="12"/>
                <w:szCs w:val="12"/>
                <w:b w:val="1"/>
                <w:bCs w:val="1"/>
                <w:color w:val="FFFFFF"/>
              </w:rPr>
              <w:t>Performance</w:t>
            </w:r>
          </w:p>
        </w:tc>
        <w:tc>
          <w:tcPr>
            <w:tcW w:w="0" w:type="dxa"/>
            <w:vAlign w:val="bottom"/>
          </w:tcPr>
          <w:p>
            <w:pPr>
              <w:spacing w:after="0"/>
              <w:rPr>
                <w:sz w:val="1"/>
                <w:szCs w:val="1"/>
                <w:color w:val="auto"/>
              </w:rPr>
            </w:pPr>
          </w:p>
        </w:tc>
      </w:tr>
      <w:tr>
        <w:trPr>
          <w:trHeight w:val="68"/>
        </w:trPr>
        <w:tc>
          <w:tcPr>
            <w:tcW w:w="1180" w:type="dxa"/>
            <w:vAlign w:val="bottom"/>
            <w:vMerge w:val="continue"/>
            <w:shd w:val="clear" w:color="auto" w:fill="CF1D4C"/>
          </w:tcPr>
          <w:p>
            <w:pPr>
              <w:spacing w:after="0"/>
              <w:rPr>
                <w:sz w:val="5"/>
                <w:szCs w:val="5"/>
                <w:color w:val="auto"/>
              </w:rPr>
            </w:pPr>
          </w:p>
        </w:tc>
        <w:tc>
          <w:tcPr>
            <w:tcW w:w="840" w:type="dxa"/>
            <w:vAlign w:val="bottom"/>
            <w:vMerge w:val="continue"/>
            <w:shd w:val="clear" w:color="auto" w:fill="CF1D4C"/>
          </w:tcPr>
          <w:p>
            <w:pPr>
              <w:spacing w:after="0"/>
              <w:rPr>
                <w:sz w:val="5"/>
                <w:szCs w:val="5"/>
                <w:color w:val="auto"/>
              </w:rPr>
            </w:pPr>
          </w:p>
        </w:tc>
        <w:tc>
          <w:tcPr>
            <w:tcW w:w="78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Threshold</w:t>
            </w:r>
          </w:p>
        </w:tc>
        <w:tc>
          <w:tcPr>
            <w:tcW w:w="56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Target</w:t>
            </w:r>
          </w:p>
        </w:tc>
        <w:tc>
          <w:tcPr>
            <w:tcW w:w="580" w:type="dxa"/>
            <w:vAlign w:val="bottom"/>
            <w:vMerge w:val="continue"/>
            <w:shd w:val="clear" w:color="auto" w:fill="CF1D4C"/>
          </w:tcPr>
          <w:p>
            <w:pPr>
              <w:spacing w:after="0"/>
              <w:rPr>
                <w:sz w:val="5"/>
                <w:szCs w:val="5"/>
                <w:color w:val="auto"/>
              </w:rPr>
            </w:pPr>
          </w:p>
        </w:tc>
        <w:tc>
          <w:tcPr>
            <w:tcW w:w="520" w:type="dxa"/>
            <w:vAlign w:val="bottom"/>
            <w:vMerge w:val="restart"/>
            <w:shd w:val="clear" w:color="auto" w:fill="CF1D4C"/>
          </w:tcPr>
          <w:p>
            <w:pPr>
              <w:ind w:left="60"/>
              <w:spacing w:after="0" w:line="135" w:lineRule="exact"/>
              <w:rPr>
                <w:sz w:val="20"/>
                <w:szCs w:val="20"/>
                <w:color w:val="auto"/>
              </w:rPr>
            </w:pPr>
            <w:r>
              <w:rPr>
                <w:rFonts w:ascii="Arial" w:cs="Arial" w:eastAsia="Arial" w:hAnsi="Arial"/>
                <w:sz w:val="12"/>
                <w:szCs w:val="12"/>
                <w:b w:val="1"/>
                <w:bCs w:val="1"/>
                <w:color w:val="FFFFFF"/>
              </w:rPr>
              <w:t>Target</w:t>
            </w:r>
          </w:p>
        </w:tc>
        <w:tc>
          <w:tcPr>
            <w:tcW w:w="720" w:type="dxa"/>
            <w:vAlign w:val="bottom"/>
            <w:vMerge w:val="restart"/>
            <w:shd w:val="clear" w:color="auto" w:fill="CF1D4C"/>
          </w:tcPr>
          <w:p>
            <w:pPr>
              <w:ind w:left="80"/>
              <w:spacing w:after="0" w:line="135" w:lineRule="exact"/>
              <w:rPr>
                <w:sz w:val="20"/>
                <w:szCs w:val="20"/>
                <w:color w:val="auto"/>
              </w:rPr>
            </w:pPr>
            <w:r>
              <w:rPr>
                <w:rFonts w:ascii="Arial" w:cs="Arial" w:eastAsia="Arial" w:hAnsi="Arial"/>
                <w:sz w:val="12"/>
                <w:szCs w:val="12"/>
                <w:b w:val="1"/>
                <w:bCs w:val="1"/>
                <w:color w:val="FFFFFF"/>
              </w:rPr>
              <w:t>Maximum</w:t>
            </w:r>
          </w:p>
        </w:tc>
        <w:tc>
          <w:tcPr>
            <w:tcW w:w="740" w:type="dxa"/>
            <w:vAlign w:val="bottom"/>
            <w:vMerge w:val="continue"/>
            <w:shd w:val="clear" w:color="auto" w:fill="CF1D4C"/>
          </w:tcPr>
          <w:p>
            <w:pPr>
              <w:spacing w:after="0"/>
              <w:rPr>
                <w:sz w:val="5"/>
                <w:szCs w:val="5"/>
                <w:color w:val="auto"/>
              </w:rPr>
            </w:pPr>
          </w:p>
        </w:tc>
        <w:tc>
          <w:tcPr>
            <w:tcW w:w="96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Achievement​</w:t>
            </w:r>
          </w:p>
        </w:tc>
        <w:tc>
          <w:tcPr>
            <w:tcW w:w="72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Payout %</w:t>
            </w:r>
          </w:p>
        </w:tc>
        <w:tc>
          <w:tcPr>
            <w:tcW w:w="116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80" w:type="dxa"/>
            <w:vAlign w:val="bottom"/>
            <w:vMerge w:val="restart"/>
            <w:shd w:val="clear" w:color="auto" w:fill="CF1D4C"/>
          </w:tcPr>
          <w:p>
            <w:pPr>
              <w:ind w:left="180"/>
              <w:spacing w:after="0" w:line="135" w:lineRule="exact"/>
              <w:rPr>
                <w:sz w:val="20"/>
                <w:szCs w:val="20"/>
                <w:color w:val="auto"/>
              </w:rPr>
            </w:pPr>
            <w:r>
              <w:rPr>
                <w:rFonts w:ascii="Arial" w:cs="Arial" w:eastAsia="Arial" w:hAnsi="Arial"/>
                <w:sz w:val="12"/>
                <w:szCs w:val="12"/>
                <w:b w:val="1"/>
                <w:bCs w:val="1"/>
                <w:color w:val="FFFFFF"/>
              </w:rPr>
              <w:t>Threshold (0%)</w:t>
            </w:r>
          </w:p>
        </w:tc>
        <w:tc>
          <w:tcPr>
            <w:tcW w:w="840" w:type="dxa"/>
            <w:vAlign w:val="bottom"/>
            <w:vMerge w:val="restart"/>
            <w:shd w:val="clear" w:color="auto" w:fill="CF1D4C"/>
          </w:tcPr>
          <w:p>
            <w:pPr>
              <w:ind w:left="160"/>
              <w:spacing w:after="0" w:line="135" w:lineRule="exact"/>
              <w:rPr>
                <w:sz w:val="20"/>
                <w:szCs w:val="20"/>
                <w:color w:val="auto"/>
              </w:rPr>
            </w:pPr>
            <w:r>
              <w:rPr>
                <w:rFonts w:ascii="Arial" w:cs="Arial" w:eastAsia="Arial" w:hAnsi="Arial"/>
                <w:sz w:val="12"/>
                <w:szCs w:val="12"/>
                <w:b w:val="1"/>
                <w:bCs w:val="1"/>
                <w:color w:val="FFFFFF"/>
              </w:rPr>
              <w:t>(50%)</w:t>
            </w:r>
          </w:p>
        </w:tc>
        <w:tc>
          <w:tcPr>
            <w:tcW w:w="780" w:type="dxa"/>
            <w:vAlign w:val="bottom"/>
            <w:vMerge w:val="continue"/>
            <w:shd w:val="clear" w:color="auto" w:fill="CF1D4C"/>
          </w:tcPr>
          <w:p>
            <w:pPr>
              <w:spacing w:after="0"/>
              <w:rPr>
                <w:sz w:val="5"/>
                <w:szCs w:val="5"/>
                <w:color w:val="auto"/>
              </w:rPr>
            </w:pPr>
          </w:p>
        </w:tc>
        <w:tc>
          <w:tcPr>
            <w:tcW w:w="560" w:type="dxa"/>
            <w:vAlign w:val="bottom"/>
            <w:vMerge w:val="continue"/>
            <w:shd w:val="clear" w:color="auto" w:fill="CF1D4C"/>
          </w:tcPr>
          <w:p>
            <w:pPr>
              <w:spacing w:after="0"/>
              <w:rPr>
                <w:sz w:val="5"/>
                <w:szCs w:val="5"/>
                <w:color w:val="auto"/>
              </w:rPr>
            </w:pPr>
          </w:p>
        </w:tc>
        <w:tc>
          <w:tcPr>
            <w:tcW w:w="58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(100%)</w:t>
            </w:r>
          </w:p>
        </w:tc>
        <w:tc>
          <w:tcPr>
            <w:tcW w:w="520" w:type="dxa"/>
            <w:vAlign w:val="bottom"/>
            <w:vMerge w:val="continue"/>
            <w:shd w:val="clear" w:color="auto" w:fill="CF1D4C"/>
          </w:tcPr>
          <w:p>
            <w:pPr>
              <w:spacing w:after="0"/>
              <w:rPr>
                <w:sz w:val="5"/>
                <w:szCs w:val="5"/>
                <w:color w:val="auto"/>
              </w:rPr>
            </w:pPr>
          </w:p>
        </w:tc>
        <w:tc>
          <w:tcPr>
            <w:tcW w:w="720" w:type="dxa"/>
            <w:vAlign w:val="bottom"/>
            <w:vMerge w:val="continue"/>
            <w:shd w:val="clear" w:color="auto" w:fill="CF1D4C"/>
          </w:tcPr>
          <w:p>
            <w:pPr>
              <w:spacing w:after="0"/>
              <w:rPr>
                <w:sz w:val="5"/>
                <w:szCs w:val="5"/>
                <w:color w:val="auto"/>
              </w:rPr>
            </w:pPr>
          </w:p>
        </w:tc>
        <w:tc>
          <w:tcPr>
            <w:tcW w:w="74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(150%)</w:t>
            </w:r>
          </w:p>
        </w:tc>
        <w:tc>
          <w:tcPr>
            <w:tcW w:w="960" w:type="dxa"/>
            <w:vAlign w:val="bottom"/>
            <w:vMerge w:val="continue"/>
            <w:shd w:val="clear" w:color="auto" w:fill="CF1D4C"/>
          </w:tcPr>
          <w:p>
            <w:pPr>
              <w:spacing w:after="0"/>
              <w:rPr>
                <w:sz w:val="5"/>
                <w:szCs w:val="5"/>
                <w:color w:val="auto"/>
              </w:rPr>
            </w:pPr>
          </w:p>
        </w:tc>
        <w:tc>
          <w:tcPr>
            <w:tcW w:w="720" w:type="dxa"/>
            <w:vAlign w:val="bottom"/>
            <w:vMerge w:val="continue"/>
            <w:shd w:val="clear" w:color="auto" w:fill="CF1D4C"/>
          </w:tcPr>
          <w:p>
            <w:pPr>
              <w:spacing w:after="0"/>
              <w:rPr>
                <w:sz w:val="5"/>
                <w:szCs w:val="5"/>
                <w:color w:val="auto"/>
              </w:rPr>
            </w:pPr>
          </w:p>
        </w:tc>
        <w:tc>
          <w:tcPr>
            <w:tcW w:w="1160" w:type="dxa"/>
            <w:vAlign w:val="bottom"/>
            <w:vMerge w:val="restart"/>
            <w:shd w:val="clear" w:color="auto" w:fill="CF1D4C"/>
          </w:tcPr>
          <w:p>
            <w:pPr>
              <w:ind w:left="80"/>
              <w:spacing w:after="0" w:line="135" w:lineRule="exact"/>
              <w:rPr>
                <w:sz w:val="20"/>
                <w:szCs w:val="20"/>
                <w:color w:val="auto"/>
              </w:rPr>
            </w:pPr>
            <w:r>
              <w:rPr>
                <w:rFonts w:ascii="Arial" w:cs="Arial" w:eastAsia="Arial" w:hAnsi="Arial"/>
                <w:sz w:val="12"/>
                <w:szCs w:val="12"/>
                <w:b w:val="1"/>
                <w:bCs w:val="1"/>
                <w:color w:val="FFFFFF"/>
              </w:rPr>
              <w:t>Based</w:t>
            </w:r>
          </w:p>
        </w:tc>
        <w:tc>
          <w:tcPr>
            <w:tcW w:w="0" w:type="dxa"/>
            <w:vAlign w:val="bottom"/>
          </w:tcPr>
          <w:p>
            <w:pPr>
              <w:spacing w:after="0"/>
              <w:rPr>
                <w:sz w:val="1"/>
                <w:szCs w:val="1"/>
                <w:color w:val="auto"/>
              </w:rPr>
            </w:pPr>
          </w:p>
        </w:tc>
      </w:tr>
      <w:tr>
        <w:trPr>
          <w:trHeight w:val="68"/>
        </w:trPr>
        <w:tc>
          <w:tcPr>
            <w:tcW w:w="1180" w:type="dxa"/>
            <w:vAlign w:val="bottom"/>
            <w:vMerge w:val="continue"/>
            <w:shd w:val="clear" w:color="auto" w:fill="CF1D4C"/>
          </w:tcPr>
          <w:p>
            <w:pPr>
              <w:spacing w:after="0"/>
              <w:rPr>
                <w:sz w:val="5"/>
                <w:szCs w:val="5"/>
                <w:color w:val="auto"/>
              </w:rPr>
            </w:pPr>
          </w:p>
        </w:tc>
        <w:tc>
          <w:tcPr>
            <w:tcW w:w="840" w:type="dxa"/>
            <w:vAlign w:val="bottom"/>
            <w:vMerge w:val="continue"/>
            <w:shd w:val="clear" w:color="auto" w:fill="CF1D4C"/>
          </w:tcPr>
          <w:p>
            <w:pPr>
              <w:spacing w:after="0"/>
              <w:rPr>
                <w:sz w:val="5"/>
                <w:szCs w:val="5"/>
                <w:color w:val="auto"/>
              </w:rPr>
            </w:pPr>
          </w:p>
        </w:tc>
        <w:tc>
          <w:tcPr>
            <w:tcW w:w="780" w:type="dxa"/>
            <w:vAlign w:val="bottom"/>
            <w:vMerge w:val="restart"/>
            <w:shd w:val="clear" w:color="auto" w:fill="CF1D4C"/>
          </w:tcPr>
          <w:p>
            <w:pPr>
              <w:ind w:left="100"/>
              <w:spacing w:after="0"/>
              <w:rPr>
                <w:sz w:val="20"/>
                <w:szCs w:val="20"/>
                <w:color w:val="auto"/>
              </w:rPr>
            </w:pPr>
            <w:r>
              <w:rPr>
                <w:rFonts w:ascii="Arial" w:cs="Arial" w:eastAsia="Arial" w:hAnsi="Arial"/>
                <w:sz w:val="12"/>
                <w:szCs w:val="12"/>
                <w:b w:val="1"/>
                <w:bCs w:val="1"/>
                <w:color w:val="FFFFFF"/>
              </w:rPr>
              <w:t>(75%)</w:t>
            </w:r>
          </w:p>
        </w:tc>
        <w:tc>
          <w:tcPr>
            <w:tcW w:w="560" w:type="dxa"/>
            <w:vAlign w:val="bottom"/>
            <w:vMerge w:val="restart"/>
            <w:shd w:val="clear" w:color="auto" w:fill="CF1D4C"/>
          </w:tcPr>
          <w:p>
            <w:pPr>
              <w:ind w:left="100"/>
              <w:spacing w:after="0"/>
              <w:rPr>
                <w:sz w:val="20"/>
                <w:szCs w:val="20"/>
                <w:color w:val="auto"/>
              </w:rPr>
            </w:pPr>
            <w:r>
              <w:rPr>
                <w:rFonts w:ascii="Arial" w:cs="Arial" w:eastAsia="Arial" w:hAnsi="Arial"/>
                <w:sz w:val="12"/>
                <w:szCs w:val="12"/>
                <w:b w:val="1"/>
                <w:bCs w:val="1"/>
                <w:color w:val="FFFFFF"/>
              </w:rPr>
              <w:t>(85%)</w:t>
            </w:r>
          </w:p>
        </w:tc>
        <w:tc>
          <w:tcPr>
            <w:tcW w:w="580" w:type="dxa"/>
            <w:vAlign w:val="bottom"/>
            <w:vMerge w:val="continue"/>
            <w:shd w:val="clear" w:color="auto" w:fill="CF1D4C"/>
          </w:tcPr>
          <w:p>
            <w:pPr>
              <w:spacing w:after="0"/>
              <w:rPr>
                <w:sz w:val="5"/>
                <w:szCs w:val="5"/>
                <w:color w:val="auto"/>
              </w:rPr>
            </w:pPr>
          </w:p>
        </w:tc>
        <w:tc>
          <w:tcPr>
            <w:tcW w:w="52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(115%)</w:t>
            </w:r>
          </w:p>
        </w:tc>
        <w:tc>
          <w:tcPr>
            <w:tcW w:w="72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(125%)</w:t>
            </w:r>
          </w:p>
        </w:tc>
        <w:tc>
          <w:tcPr>
            <w:tcW w:w="740" w:type="dxa"/>
            <w:vAlign w:val="bottom"/>
            <w:vMerge w:val="continue"/>
            <w:shd w:val="clear" w:color="auto" w:fill="CF1D4C"/>
          </w:tcPr>
          <w:p>
            <w:pPr>
              <w:spacing w:after="0"/>
              <w:rPr>
                <w:sz w:val="5"/>
                <w:szCs w:val="5"/>
                <w:color w:val="auto"/>
              </w:rPr>
            </w:pPr>
          </w:p>
        </w:tc>
        <w:tc>
          <w:tcPr>
            <w:tcW w:w="960" w:type="dxa"/>
            <w:vAlign w:val="bottom"/>
            <w:shd w:val="clear" w:color="auto" w:fill="CF1D4C"/>
          </w:tcPr>
          <w:p>
            <w:pPr>
              <w:spacing w:after="0"/>
              <w:rPr>
                <w:sz w:val="5"/>
                <w:szCs w:val="5"/>
                <w:color w:val="auto"/>
              </w:rPr>
            </w:pPr>
          </w:p>
        </w:tc>
        <w:tc>
          <w:tcPr>
            <w:tcW w:w="720" w:type="dxa"/>
            <w:vAlign w:val="bottom"/>
            <w:shd w:val="clear" w:color="auto" w:fill="CF1D4C"/>
          </w:tcPr>
          <w:p>
            <w:pPr>
              <w:spacing w:after="0"/>
              <w:rPr>
                <w:sz w:val="5"/>
                <w:szCs w:val="5"/>
                <w:color w:val="auto"/>
              </w:rPr>
            </w:pPr>
          </w:p>
        </w:tc>
        <w:tc>
          <w:tcPr>
            <w:tcW w:w="116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180" w:type="dxa"/>
            <w:vAlign w:val="bottom"/>
            <w:shd w:val="clear" w:color="auto" w:fill="CF1D4C"/>
          </w:tcPr>
          <w:p>
            <w:pPr>
              <w:spacing w:after="0"/>
              <w:rPr>
                <w:sz w:val="8"/>
                <w:szCs w:val="8"/>
                <w:color w:val="auto"/>
              </w:rPr>
            </w:pPr>
          </w:p>
        </w:tc>
        <w:tc>
          <w:tcPr>
            <w:tcW w:w="840" w:type="dxa"/>
            <w:vAlign w:val="bottom"/>
            <w:shd w:val="clear" w:color="auto" w:fill="CF1D4C"/>
          </w:tcPr>
          <w:p>
            <w:pPr>
              <w:spacing w:after="0"/>
              <w:rPr>
                <w:sz w:val="8"/>
                <w:szCs w:val="8"/>
                <w:color w:val="auto"/>
              </w:rPr>
            </w:pPr>
          </w:p>
        </w:tc>
        <w:tc>
          <w:tcPr>
            <w:tcW w:w="780" w:type="dxa"/>
            <w:vAlign w:val="bottom"/>
            <w:vMerge w:val="continue"/>
            <w:shd w:val="clear" w:color="auto" w:fill="CF1D4C"/>
          </w:tcPr>
          <w:p>
            <w:pPr>
              <w:spacing w:after="0"/>
              <w:rPr>
                <w:sz w:val="8"/>
                <w:szCs w:val="8"/>
                <w:color w:val="auto"/>
              </w:rPr>
            </w:pPr>
          </w:p>
        </w:tc>
        <w:tc>
          <w:tcPr>
            <w:tcW w:w="560" w:type="dxa"/>
            <w:vAlign w:val="bottom"/>
            <w:vMerge w:val="continue"/>
            <w:shd w:val="clear" w:color="auto" w:fill="CF1D4C"/>
          </w:tcPr>
          <w:p>
            <w:pPr>
              <w:spacing w:after="0"/>
              <w:rPr>
                <w:sz w:val="8"/>
                <w:szCs w:val="8"/>
                <w:color w:val="auto"/>
              </w:rPr>
            </w:pPr>
          </w:p>
        </w:tc>
        <w:tc>
          <w:tcPr>
            <w:tcW w:w="580" w:type="dxa"/>
            <w:vAlign w:val="bottom"/>
            <w:shd w:val="clear" w:color="auto" w:fill="CF1D4C"/>
          </w:tcPr>
          <w:p>
            <w:pPr>
              <w:spacing w:after="0"/>
              <w:rPr>
                <w:sz w:val="8"/>
                <w:szCs w:val="8"/>
                <w:color w:val="auto"/>
              </w:rPr>
            </w:pPr>
          </w:p>
        </w:tc>
        <w:tc>
          <w:tcPr>
            <w:tcW w:w="520" w:type="dxa"/>
            <w:vAlign w:val="bottom"/>
            <w:vMerge w:val="continue"/>
            <w:shd w:val="clear" w:color="auto" w:fill="CF1D4C"/>
          </w:tcPr>
          <w:p>
            <w:pPr>
              <w:spacing w:after="0"/>
              <w:rPr>
                <w:sz w:val="8"/>
                <w:szCs w:val="8"/>
                <w:color w:val="auto"/>
              </w:rPr>
            </w:pPr>
          </w:p>
        </w:tc>
        <w:tc>
          <w:tcPr>
            <w:tcW w:w="720" w:type="dxa"/>
            <w:vAlign w:val="bottom"/>
            <w:vMerge w:val="continue"/>
            <w:shd w:val="clear" w:color="auto" w:fill="CF1D4C"/>
          </w:tcPr>
          <w:p>
            <w:pPr>
              <w:spacing w:after="0"/>
              <w:rPr>
                <w:sz w:val="8"/>
                <w:szCs w:val="8"/>
                <w:color w:val="auto"/>
              </w:rPr>
            </w:pPr>
          </w:p>
        </w:tc>
        <w:tc>
          <w:tcPr>
            <w:tcW w:w="740" w:type="dxa"/>
            <w:vAlign w:val="bottom"/>
            <w:shd w:val="clear" w:color="auto" w:fill="CF1D4C"/>
          </w:tcPr>
          <w:p>
            <w:pPr>
              <w:spacing w:after="0"/>
              <w:rPr>
                <w:sz w:val="8"/>
                <w:szCs w:val="8"/>
                <w:color w:val="auto"/>
              </w:rPr>
            </w:pPr>
          </w:p>
        </w:tc>
        <w:tc>
          <w:tcPr>
            <w:tcW w:w="960" w:type="dxa"/>
            <w:vAlign w:val="bottom"/>
            <w:shd w:val="clear" w:color="auto" w:fill="CF1D4C"/>
          </w:tcPr>
          <w:p>
            <w:pPr>
              <w:spacing w:after="0"/>
              <w:rPr>
                <w:sz w:val="8"/>
                <w:szCs w:val="8"/>
                <w:color w:val="auto"/>
              </w:rPr>
            </w:pPr>
          </w:p>
        </w:tc>
        <w:tc>
          <w:tcPr>
            <w:tcW w:w="720" w:type="dxa"/>
            <w:vAlign w:val="bottom"/>
            <w:shd w:val="clear" w:color="auto" w:fill="CF1D4C"/>
          </w:tcPr>
          <w:p>
            <w:pPr>
              <w:spacing w:after="0"/>
              <w:rPr>
                <w:sz w:val="8"/>
                <w:szCs w:val="8"/>
                <w:color w:val="auto"/>
              </w:rPr>
            </w:pPr>
          </w:p>
        </w:tc>
        <w:tc>
          <w:tcPr>
            <w:tcW w:w="116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RSUs Earned</w:t>
            </w:r>
          </w:p>
        </w:tc>
        <w:tc>
          <w:tcPr>
            <w:tcW w:w="0" w:type="dxa"/>
            <w:vAlign w:val="bottom"/>
          </w:tcPr>
          <w:p>
            <w:pPr>
              <w:spacing w:after="0"/>
              <w:rPr>
                <w:sz w:val="1"/>
                <w:szCs w:val="1"/>
                <w:color w:val="auto"/>
              </w:rPr>
            </w:pPr>
          </w:p>
        </w:tc>
      </w:tr>
      <w:tr>
        <w:trPr>
          <w:trHeight w:val="68"/>
        </w:trPr>
        <w:tc>
          <w:tcPr>
            <w:tcW w:w="1180" w:type="dxa"/>
            <w:vAlign w:val="bottom"/>
            <w:shd w:val="clear" w:color="auto" w:fill="CF1D4C"/>
          </w:tcPr>
          <w:p>
            <w:pPr>
              <w:spacing w:after="0"/>
              <w:rPr>
                <w:sz w:val="5"/>
                <w:szCs w:val="5"/>
                <w:color w:val="auto"/>
              </w:rPr>
            </w:pPr>
          </w:p>
        </w:tc>
        <w:tc>
          <w:tcPr>
            <w:tcW w:w="840" w:type="dxa"/>
            <w:vAlign w:val="bottom"/>
            <w:shd w:val="clear" w:color="auto" w:fill="CF1D4C"/>
          </w:tcPr>
          <w:p>
            <w:pPr>
              <w:spacing w:after="0"/>
              <w:rPr>
                <w:sz w:val="5"/>
                <w:szCs w:val="5"/>
                <w:color w:val="auto"/>
              </w:rPr>
            </w:pPr>
          </w:p>
        </w:tc>
        <w:tc>
          <w:tcPr>
            <w:tcW w:w="780" w:type="dxa"/>
            <w:vAlign w:val="bottom"/>
            <w:shd w:val="clear" w:color="auto" w:fill="CF1D4C"/>
          </w:tcPr>
          <w:p>
            <w:pPr>
              <w:spacing w:after="0"/>
              <w:rPr>
                <w:sz w:val="5"/>
                <w:szCs w:val="5"/>
                <w:color w:val="auto"/>
              </w:rPr>
            </w:pPr>
          </w:p>
        </w:tc>
        <w:tc>
          <w:tcPr>
            <w:tcW w:w="560" w:type="dxa"/>
            <w:vAlign w:val="bottom"/>
            <w:shd w:val="clear" w:color="auto" w:fill="CF1D4C"/>
          </w:tcPr>
          <w:p>
            <w:pPr>
              <w:spacing w:after="0"/>
              <w:rPr>
                <w:sz w:val="5"/>
                <w:szCs w:val="5"/>
                <w:color w:val="auto"/>
              </w:rPr>
            </w:pPr>
          </w:p>
        </w:tc>
        <w:tc>
          <w:tcPr>
            <w:tcW w:w="580" w:type="dxa"/>
            <w:vAlign w:val="bottom"/>
            <w:shd w:val="clear" w:color="auto" w:fill="CF1D4C"/>
          </w:tcPr>
          <w:p>
            <w:pPr>
              <w:spacing w:after="0"/>
              <w:rPr>
                <w:sz w:val="5"/>
                <w:szCs w:val="5"/>
                <w:color w:val="auto"/>
              </w:rPr>
            </w:pPr>
          </w:p>
        </w:tc>
        <w:tc>
          <w:tcPr>
            <w:tcW w:w="520" w:type="dxa"/>
            <w:vAlign w:val="bottom"/>
            <w:shd w:val="clear" w:color="auto" w:fill="CF1D4C"/>
          </w:tcPr>
          <w:p>
            <w:pPr>
              <w:spacing w:after="0"/>
              <w:rPr>
                <w:sz w:val="5"/>
                <w:szCs w:val="5"/>
                <w:color w:val="auto"/>
              </w:rPr>
            </w:pPr>
          </w:p>
        </w:tc>
        <w:tc>
          <w:tcPr>
            <w:tcW w:w="720" w:type="dxa"/>
            <w:vAlign w:val="bottom"/>
            <w:shd w:val="clear" w:color="auto" w:fill="CF1D4C"/>
          </w:tcPr>
          <w:p>
            <w:pPr>
              <w:spacing w:after="0"/>
              <w:rPr>
                <w:sz w:val="5"/>
                <w:szCs w:val="5"/>
                <w:color w:val="auto"/>
              </w:rPr>
            </w:pPr>
          </w:p>
        </w:tc>
        <w:tc>
          <w:tcPr>
            <w:tcW w:w="740" w:type="dxa"/>
            <w:vAlign w:val="bottom"/>
            <w:shd w:val="clear" w:color="auto" w:fill="CF1D4C"/>
          </w:tcPr>
          <w:p>
            <w:pPr>
              <w:spacing w:after="0"/>
              <w:rPr>
                <w:sz w:val="5"/>
                <w:szCs w:val="5"/>
                <w:color w:val="auto"/>
              </w:rPr>
            </w:pPr>
          </w:p>
        </w:tc>
        <w:tc>
          <w:tcPr>
            <w:tcW w:w="960" w:type="dxa"/>
            <w:vAlign w:val="bottom"/>
            <w:shd w:val="clear" w:color="auto" w:fill="CF1D4C"/>
          </w:tcPr>
          <w:p>
            <w:pPr>
              <w:spacing w:after="0"/>
              <w:rPr>
                <w:sz w:val="5"/>
                <w:szCs w:val="5"/>
                <w:color w:val="auto"/>
              </w:rPr>
            </w:pPr>
          </w:p>
        </w:tc>
        <w:tc>
          <w:tcPr>
            <w:tcW w:w="720" w:type="dxa"/>
            <w:vAlign w:val="bottom"/>
            <w:shd w:val="clear" w:color="auto" w:fill="CF1D4C"/>
          </w:tcPr>
          <w:p>
            <w:pPr>
              <w:spacing w:after="0"/>
              <w:rPr>
                <w:sz w:val="5"/>
                <w:szCs w:val="5"/>
                <w:color w:val="auto"/>
              </w:rPr>
            </w:pPr>
          </w:p>
        </w:tc>
        <w:tc>
          <w:tcPr>
            <w:tcW w:w="116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1180" w:type="dxa"/>
            <w:vAlign w:val="bottom"/>
            <w:shd w:val="clear" w:color="auto" w:fill="CF1D4C"/>
          </w:tcPr>
          <w:p>
            <w:pPr>
              <w:spacing w:after="0"/>
              <w:rPr>
                <w:sz w:val="7"/>
                <w:szCs w:val="7"/>
                <w:color w:val="auto"/>
              </w:rPr>
            </w:pPr>
          </w:p>
        </w:tc>
        <w:tc>
          <w:tcPr>
            <w:tcW w:w="840" w:type="dxa"/>
            <w:vAlign w:val="bottom"/>
            <w:shd w:val="clear" w:color="auto" w:fill="CF1D4C"/>
          </w:tcPr>
          <w:p>
            <w:pPr>
              <w:spacing w:after="0"/>
              <w:rPr>
                <w:sz w:val="7"/>
                <w:szCs w:val="7"/>
                <w:color w:val="auto"/>
              </w:rPr>
            </w:pPr>
          </w:p>
        </w:tc>
        <w:tc>
          <w:tcPr>
            <w:tcW w:w="780" w:type="dxa"/>
            <w:vAlign w:val="bottom"/>
            <w:shd w:val="clear" w:color="auto" w:fill="CF1D4C"/>
          </w:tcPr>
          <w:p>
            <w:pPr>
              <w:spacing w:after="0"/>
              <w:rPr>
                <w:sz w:val="7"/>
                <w:szCs w:val="7"/>
                <w:color w:val="auto"/>
              </w:rPr>
            </w:pPr>
          </w:p>
        </w:tc>
        <w:tc>
          <w:tcPr>
            <w:tcW w:w="560" w:type="dxa"/>
            <w:vAlign w:val="bottom"/>
            <w:shd w:val="clear" w:color="auto" w:fill="CF1D4C"/>
          </w:tcPr>
          <w:p>
            <w:pPr>
              <w:spacing w:after="0"/>
              <w:rPr>
                <w:sz w:val="7"/>
                <w:szCs w:val="7"/>
                <w:color w:val="auto"/>
              </w:rPr>
            </w:pPr>
          </w:p>
        </w:tc>
        <w:tc>
          <w:tcPr>
            <w:tcW w:w="580" w:type="dxa"/>
            <w:vAlign w:val="bottom"/>
            <w:shd w:val="clear" w:color="auto" w:fill="CF1D4C"/>
          </w:tcPr>
          <w:p>
            <w:pPr>
              <w:spacing w:after="0"/>
              <w:rPr>
                <w:sz w:val="7"/>
                <w:szCs w:val="7"/>
                <w:color w:val="auto"/>
              </w:rPr>
            </w:pPr>
          </w:p>
        </w:tc>
        <w:tc>
          <w:tcPr>
            <w:tcW w:w="520" w:type="dxa"/>
            <w:vAlign w:val="bottom"/>
            <w:shd w:val="clear" w:color="auto" w:fill="CF1D4C"/>
          </w:tcPr>
          <w:p>
            <w:pPr>
              <w:spacing w:after="0"/>
              <w:rPr>
                <w:sz w:val="7"/>
                <w:szCs w:val="7"/>
                <w:color w:val="auto"/>
              </w:rPr>
            </w:pPr>
          </w:p>
        </w:tc>
        <w:tc>
          <w:tcPr>
            <w:tcW w:w="720" w:type="dxa"/>
            <w:vAlign w:val="bottom"/>
            <w:shd w:val="clear" w:color="auto" w:fill="CF1D4C"/>
          </w:tcPr>
          <w:p>
            <w:pPr>
              <w:spacing w:after="0"/>
              <w:rPr>
                <w:sz w:val="7"/>
                <w:szCs w:val="7"/>
                <w:color w:val="auto"/>
              </w:rPr>
            </w:pPr>
          </w:p>
        </w:tc>
        <w:tc>
          <w:tcPr>
            <w:tcW w:w="740" w:type="dxa"/>
            <w:vAlign w:val="bottom"/>
            <w:shd w:val="clear" w:color="auto" w:fill="CF1D4C"/>
          </w:tcPr>
          <w:p>
            <w:pPr>
              <w:spacing w:after="0"/>
              <w:rPr>
                <w:sz w:val="7"/>
                <w:szCs w:val="7"/>
                <w:color w:val="auto"/>
              </w:rPr>
            </w:pPr>
          </w:p>
        </w:tc>
        <w:tc>
          <w:tcPr>
            <w:tcW w:w="960" w:type="dxa"/>
            <w:vAlign w:val="bottom"/>
            <w:shd w:val="clear" w:color="auto" w:fill="CF1D4C"/>
          </w:tcPr>
          <w:p>
            <w:pPr>
              <w:spacing w:after="0"/>
              <w:rPr>
                <w:sz w:val="7"/>
                <w:szCs w:val="7"/>
                <w:color w:val="auto"/>
              </w:rPr>
            </w:pPr>
          </w:p>
        </w:tc>
        <w:tc>
          <w:tcPr>
            <w:tcW w:w="720" w:type="dxa"/>
            <w:vAlign w:val="bottom"/>
            <w:shd w:val="clear" w:color="auto" w:fill="CF1D4C"/>
          </w:tcPr>
          <w:p>
            <w:pPr>
              <w:spacing w:after="0"/>
              <w:rPr>
                <w:sz w:val="7"/>
                <w:szCs w:val="7"/>
                <w:color w:val="auto"/>
              </w:rPr>
            </w:pPr>
          </w:p>
        </w:tc>
        <w:tc>
          <w:tcPr>
            <w:tcW w:w="1160" w:type="dxa"/>
            <w:vAlign w:val="bottom"/>
            <w:shd w:val="clear" w:color="auto" w:fill="CF1D4C"/>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180" w:type="dxa"/>
            <w:vAlign w:val="bottom"/>
          </w:tcPr>
          <w:p>
            <w:pPr>
              <w:ind w:left="180"/>
              <w:spacing w:after="0"/>
              <w:rPr>
                <w:sz w:val="20"/>
                <w:szCs w:val="20"/>
                <w:color w:val="auto"/>
              </w:rPr>
            </w:pPr>
            <w:r>
              <w:rPr>
                <w:rFonts w:ascii="Arial" w:cs="Arial" w:eastAsia="Arial" w:hAnsi="Arial"/>
                <w:sz w:val="12"/>
                <w:szCs w:val="12"/>
                <w:color w:val="333333"/>
              </w:rPr>
              <w:t>&lt;$496.2</w:t>
            </w:r>
          </w:p>
        </w:tc>
        <w:tc>
          <w:tcPr>
            <w:tcW w:w="840" w:type="dxa"/>
            <w:vAlign w:val="bottom"/>
          </w:tcPr>
          <w:p>
            <w:pPr>
              <w:ind w:left="160"/>
              <w:spacing w:after="0"/>
              <w:rPr>
                <w:sz w:val="20"/>
                <w:szCs w:val="20"/>
                <w:color w:val="auto"/>
              </w:rPr>
            </w:pPr>
            <w:r>
              <w:rPr>
                <w:rFonts w:ascii="Arial" w:cs="Arial" w:eastAsia="Arial" w:hAnsi="Arial"/>
                <w:sz w:val="12"/>
                <w:szCs w:val="12"/>
                <w:color w:val="333333"/>
              </w:rPr>
              <w:t>$​496.2</w:t>
            </w:r>
          </w:p>
        </w:tc>
        <w:tc>
          <w:tcPr>
            <w:tcW w:w="780" w:type="dxa"/>
            <w:vAlign w:val="bottom"/>
          </w:tcPr>
          <w:p>
            <w:pPr>
              <w:ind w:left="100"/>
              <w:spacing w:after="0"/>
              <w:rPr>
                <w:sz w:val="20"/>
                <w:szCs w:val="20"/>
                <w:color w:val="auto"/>
              </w:rPr>
            </w:pPr>
            <w:r>
              <w:rPr>
                <w:rFonts w:ascii="Arial" w:cs="Arial" w:eastAsia="Arial" w:hAnsi="Arial"/>
                <w:sz w:val="12"/>
                <w:szCs w:val="12"/>
                <w:color w:val="333333"/>
              </w:rPr>
              <w:t>$​501.3</w:t>
            </w:r>
          </w:p>
        </w:tc>
        <w:tc>
          <w:tcPr>
            <w:tcW w:w="560" w:type="dxa"/>
            <w:vAlign w:val="bottom"/>
          </w:tcPr>
          <w:p>
            <w:pPr>
              <w:ind w:left="100"/>
              <w:spacing w:after="0"/>
              <w:rPr>
                <w:sz w:val="20"/>
                <w:szCs w:val="20"/>
                <w:color w:val="auto"/>
              </w:rPr>
            </w:pPr>
            <w:r>
              <w:rPr>
                <w:rFonts w:ascii="Arial" w:cs="Arial" w:eastAsia="Arial" w:hAnsi="Arial"/>
                <w:sz w:val="12"/>
                <w:szCs w:val="12"/>
                <w:color w:val="333333"/>
              </w:rPr>
              <w:t>$​506.4</w:t>
            </w:r>
          </w:p>
        </w:tc>
        <w:tc>
          <w:tcPr>
            <w:tcW w:w="580" w:type="dxa"/>
            <w:vAlign w:val="bottom"/>
          </w:tcPr>
          <w:p>
            <w:pPr>
              <w:ind w:left="100"/>
              <w:spacing w:after="0"/>
              <w:rPr>
                <w:sz w:val="20"/>
                <w:szCs w:val="20"/>
                <w:color w:val="auto"/>
              </w:rPr>
            </w:pPr>
            <w:r>
              <w:rPr>
                <w:rFonts w:ascii="Arial" w:cs="Arial" w:eastAsia="Arial" w:hAnsi="Arial"/>
                <w:sz w:val="12"/>
                <w:szCs w:val="12"/>
                <w:color w:val="333333"/>
              </w:rPr>
              <w:t>$​511.6</w:t>
            </w:r>
          </w:p>
        </w:tc>
        <w:tc>
          <w:tcPr>
            <w:tcW w:w="520" w:type="dxa"/>
            <w:vAlign w:val="bottom"/>
          </w:tcPr>
          <w:p>
            <w:pPr>
              <w:ind w:left="60"/>
              <w:spacing w:after="0"/>
              <w:rPr>
                <w:sz w:val="20"/>
                <w:szCs w:val="20"/>
                <w:color w:val="auto"/>
              </w:rPr>
            </w:pPr>
            <w:r>
              <w:rPr>
                <w:rFonts w:ascii="Arial" w:cs="Arial" w:eastAsia="Arial" w:hAnsi="Arial"/>
                <w:sz w:val="12"/>
                <w:szCs w:val="12"/>
                <w:color w:val="333333"/>
              </w:rPr>
              <w:t>$​516.7</w:t>
            </w:r>
          </w:p>
        </w:tc>
        <w:tc>
          <w:tcPr>
            <w:tcW w:w="720" w:type="dxa"/>
            <w:vAlign w:val="bottom"/>
          </w:tcPr>
          <w:p>
            <w:pPr>
              <w:ind w:left="80"/>
              <w:spacing w:after="0"/>
              <w:rPr>
                <w:sz w:val="20"/>
                <w:szCs w:val="20"/>
                <w:color w:val="auto"/>
              </w:rPr>
            </w:pPr>
            <w:r>
              <w:rPr>
                <w:rFonts w:ascii="Arial" w:cs="Arial" w:eastAsia="Arial" w:hAnsi="Arial"/>
                <w:sz w:val="12"/>
                <w:szCs w:val="12"/>
                <w:color w:val="333333"/>
              </w:rPr>
              <w:t>$​521.8</w:t>
            </w:r>
          </w:p>
        </w:tc>
        <w:tc>
          <w:tcPr>
            <w:tcW w:w="740" w:type="dxa"/>
            <w:vAlign w:val="bottom"/>
          </w:tcPr>
          <w:p>
            <w:pPr>
              <w:ind w:left="100"/>
              <w:spacing w:after="0"/>
              <w:rPr>
                <w:sz w:val="20"/>
                <w:szCs w:val="20"/>
                <w:color w:val="auto"/>
              </w:rPr>
            </w:pPr>
            <w:r>
              <w:rPr>
                <w:rFonts w:ascii="Arial" w:cs="Arial" w:eastAsia="Arial" w:hAnsi="Arial"/>
                <w:sz w:val="12"/>
                <w:szCs w:val="12"/>
                <w:color w:val="333333"/>
              </w:rPr>
              <w:t>$​526.9</w:t>
            </w:r>
          </w:p>
        </w:tc>
        <w:tc>
          <w:tcPr>
            <w:tcW w:w="960" w:type="dxa"/>
            <w:vAlign w:val="bottom"/>
          </w:tcPr>
          <w:p>
            <w:pPr>
              <w:ind w:left="100"/>
              <w:spacing w:after="0"/>
              <w:rPr>
                <w:sz w:val="20"/>
                <w:szCs w:val="20"/>
                <w:color w:val="auto"/>
              </w:rPr>
            </w:pPr>
            <w:r>
              <w:rPr>
                <w:rFonts w:ascii="Arial" w:cs="Arial" w:eastAsia="Arial" w:hAnsi="Arial"/>
                <w:sz w:val="12"/>
                <w:szCs w:val="12"/>
                <w:color w:val="333333"/>
              </w:rPr>
              <w:t>$​525.0</w:t>
            </w:r>
          </w:p>
        </w:tc>
        <w:tc>
          <w:tcPr>
            <w:tcW w:w="720" w:type="dxa"/>
            <w:vAlign w:val="bottom"/>
          </w:tcPr>
          <w:p>
            <w:pPr>
              <w:ind w:left="100"/>
              <w:spacing w:after="0"/>
              <w:rPr>
                <w:sz w:val="20"/>
                <w:szCs w:val="20"/>
                <w:color w:val="auto"/>
              </w:rPr>
            </w:pPr>
            <w:r>
              <w:rPr>
                <w:rFonts w:ascii="Arial" w:cs="Arial" w:eastAsia="Arial" w:hAnsi="Arial"/>
                <w:sz w:val="12"/>
                <w:szCs w:val="12"/>
                <w:color w:val="333333"/>
              </w:rPr>
              <w:t>150%</w:t>
            </w:r>
          </w:p>
        </w:tc>
        <w:tc>
          <w:tcPr>
            <w:tcW w:w="1160" w:type="dxa"/>
            <w:vAlign w:val="bottom"/>
          </w:tcPr>
          <w:p>
            <w:pPr>
              <w:ind w:left="80"/>
              <w:spacing w:after="0"/>
              <w:rPr>
                <w:sz w:val="20"/>
                <w:szCs w:val="20"/>
                <w:color w:val="auto"/>
              </w:rPr>
            </w:pPr>
            <w:r>
              <w:rPr>
                <w:rFonts w:ascii="Arial" w:cs="Arial" w:eastAsia="Arial" w:hAnsi="Arial"/>
                <w:sz w:val="12"/>
                <w:szCs w:val="12"/>
                <w:color w:val="333333"/>
              </w:rPr>
              <w:t>8,982</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60" w:right="680" w:hanging="10"/>
        <w:spacing w:after="0" w:line="232" w:lineRule="auto"/>
        <w:tabs>
          <w:tab w:leader="none" w:pos="849" w:val="left"/>
        </w:tabs>
        <w:numPr>
          <w:ilvl w:val="0"/>
          <w:numId w:val="75"/>
        </w:numPr>
        <w:rPr>
          <w:rFonts w:ascii="Arial" w:cs="Arial" w:eastAsia="Arial" w:hAnsi="Arial"/>
          <w:sz w:val="13"/>
          <w:szCs w:val="13"/>
          <w:i w:val="1"/>
          <w:iCs w:val="1"/>
          <w:color w:val="333333"/>
        </w:rPr>
      </w:pPr>
      <w:r>
        <w:rPr>
          <w:rFonts w:ascii="Arial" w:cs="Arial" w:eastAsia="Arial" w:hAnsi="Arial"/>
          <w:sz w:val="13"/>
          <w:szCs w:val="13"/>
          <w:i w:val="1"/>
          <w:iCs w:val="1"/>
          <w:color w:val="333333"/>
        </w:rPr>
        <w:t>Brazil net revenue was adjusted (a) to be consistent with the macro-economic environment assumed in the 2023 budget, and (b) for the impact of 2023 acquisitions, but excludes the impact of foreign exchange rates. Amounts in this table are converted from BRL to USD using an average exchange rate of $1 to R$4.9915 for 2023.</w:t>
      </w:r>
    </w:p>
    <w:p>
      <w:pPr>
        <w:spacing w:after="0" w:line="189" w:lineRule="exact"/>
        <w:rPr>
          <w:sz w:val="20"/>
          <w:szCs w:val="20"/>
          <w:color w:val="auto"/>
        </w:rPr>
      </w:pPr>
    </w:p>
    <w:p>
      <w:pPr>
        <w:ind w:left="660" w:right="1100"/>
        <w:spacing w:after="0" w:line="288" w:lineRule="auto"/>
        <w:rPr>
          <w:sz w:val="20"/>
          <w:szCs w:val="20"/>
          <w:color w:val="auto"/>
        </w:rPr>
      </w:pPr>
      <w:r>
        <w:rPr>
          <w:rFonts w:ascii="Arial" w:cs="Arial" w:eastAsia="Arial" w:hAnsi="Arial"/>
          <w:sz w:val="16"/>
          <w:szCs w:val="16"/>
          <w:b w:val="1"/>
          <w:bCs w:val="1"/>
          <w:color w:val="auto"/>
        </w:rPr>
        <w:t xml:space="preserve">Alan King: </w:t>
      </w:r>
      <w:r>
        <w:rPr>
          <w:rFonts w:ascii="Arial" w:cs="Arial" w:eastAsia="Arial" w:hAnsi="Arial"/>
          <w:sz w:val="16"/>
          <w:szCs w:val="16"/>
          <w:color w:val="333333"/>
        </w:rPr>
        <w:t>Mr. King’s 2023 Performance-Based RSU award was based on achievement against a target goal of net</w:t>
      </w:r>
      <w:r>
        <w:rPr>
          <w:rFonts w:ascii="Arial" w:cs="Arial" w:eastAsia="Arial" w:hAnsi="Arial"/>
          <w:sz w:val="16"/>
          <w:szCs w:val="16"/>
          <w:b w:val="1"/>
          <w:bCs w:val="1"/>
          <w:color w:val="auto"/>
        </w:rPr>
        <w:t xml:space="preserve"> </w:t>
      </w:r>
      <w:r>
        <w:rPr>
          <w:rFonts w:ascii="Arial" w:cs="Arial" w:eastAsia="Arial" w:hAnsi="Arial"/>
          <w:sz w:val="16"/>
          <w:szCs w:val="16"/>
          <w:color w:val="333333"/>
        </w:rPr>
        <w:t>revenue as adjusted, of $1,490.7 in the Global Fleet business (all dollar values in millions).</w:t>
      </w:r>
      <w:r>
        <w:rPr>
          <w:rFonts w:ascii="Arial" w:cs="Arial" w:eastAsia="Arial" w:hAnsi="Arial"/>
          <w:sz w:val="26"/>
          <w:szCs w:val="26"/>
          <w:color w:val="333333"/>
          <w:vertAlign w:val="superscript"/>
        </w:rPr>
        <w:t>(1)</w:t>
      </w: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338"/>
        </w:trPr>
        <w:tc>
          <w:tcPr>
            <w:tcW w:w="1160" w:type="dxa"/>
            <w:vAlign w:val="bottom"/>
            <w:shd w:val="clear" w:color="auto" w:fill="CF1D4C"/>
          </w:tcPr>
          <w:p>
            <w:pPr>
              <w:spacing w:after="0"/>
              <w:rPr>
                <w:sz w:val="24"/>
                <w:szCs w:val="24"/>
                <w:color w:val="auto"/>
              </w:rPr>
            </w:pPr>
          </w:p>
        </w:tc>
        <w:tc>
          <w:tcPr>
            <w:tcW w:w="780" w:type="dxa"/>
            <w:vAlign w:val="bottom"/>
            <w:shd w:val="clear" w:color="auto" w:fill="CF1D4C"/>
          </w:tcPr>
          <w:p>
            <w:pPr>
              <w:spacing w:after="0"/>
              <w:rPr>
                <w:sz w:val="24"/>
                <w:szCs w:val="24"/>
                <w:color w:val="auto"/>
              </w:rPr>
            </w:pPr>
          </w:p>
        </w:tc>
        <w:tc>
          <w:tcPr>
            <w:tcW w:w="780" w:type="dxa"/>
            <w:vAlign w:val="bottom"/>
            <w:vMerge w:val="restart"/>
            <w:shd w:val="clear" w:color="auto" w:fill="CF1D4C"/>
          </w:tcPr>
          <w:p>
            <w:pPr>
              <w:ind w:left="100"/>
              <w:spacing w:after="0"/>
              <w:rPr>
                <w:sz w:val="20"/>
                <w:szCs w:val="20"/>
                <w:color w:val="auto"/>
              </w:rPr>
            </w:pPr>
            <w:r>
              <w:rPr>
                <w:rFonts w:ascii="Arial" w:cs="Arial" w:eastAsia="Arial" w:hAnsi="Arial"/>
                <w:sz w:val="12"/>
                <w:szCs w:val="12"/>
                <w:b w:val="1"/>
                <w:bCs w:val="1"/>
                <w:color w:val="FFFFFF"/>
              </w:rPr>
              <w:t>Above</w:t>
            </w:r>
          </w:p>
        </w:tc>
        <w:tc>
          <w:tcPr>
            <w:tcW w:w="60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Below</w:t>
            </w:r>
          </w:p>
        </w:tc>
        <w:tc>
          <w:tcPr>
            <w:tcW w:w="580" w:type="dxa"/>
            <w:vAlign w:val="bottom"/>
            <w:shd w:val="clear" w:color="auto" w:fill="CF1D4C"/>
          </w:tcPr>
          <w:p>
            <w:pPr>
              <w:spacing w:after="0"/>
              <w:rPr>
                <w:sz w:val="24"/>
                <w:szCs w:val="24"/>
                <w:color w:val="auto"/>
              </w:rPr>
            </w:pPr>
          </w:p>
        </w:tc>
        <w:tc>
          <w:tcPr>
            <w:tcW w:w="58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Above</w:t>
            </w:r>
          </w:p>
        </w:tc>
        <w:tc>
          <w:tcPr>
            <w:tcW w:w="70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Below</w:t>
            </w:r>
          </w:p>
        </w:tc>
        <w:tc>
          <w:tcPr>
            <w:tcW w:w="740" w:type="dxa"/>
            <w:vAlign w:val="bottom"/>
            <w:shd w:val="clear" w:color="auto" w:fill="CF1D4C"/>
          </w:tcPr>
          <w:p>
            <w:pPr>
              <w:spacing w:after="0"/>
              <w:rPr>
                <w:sz w:val="24"/>
                <w:szCs w:val="24"/>
                <w:color w:val="auto"/>
              </w:rPr>
            </w:pPr>
          </w:p>
        </w:tc>
        <w:tc>
          <w:tcPr>
            <w:tcW w:w="960" w:type="dxa"/>
            <w:vAlign w:val="bottom"/>
            <w:shd w:val="clear" w:color="auto" w:fill="CF1D4C"/>
          </w:tcPr>
          <w:p>
            <w:pPr>
              <w:spacing w:after="0"/>
              <w:rPr>
                <w:sz w:val="24"/>
                <w:szCs w:val="24"/>
                <w:color w:val="auto"/>
              </w:rPr>
            </w:pPr>
          </w:p>
        </w:tc>
        <w:tc>
          <w:tcPr>
            <w:tcW w:w="720" w:type="dxa"/>
            <w:vAlign w:val="bottom"/>
            <w:shd w:val="clear" w:color="auto" w:fill="CF1D4C"/>
          </w:tcPr>
          <w:p>
            <w:pPr>
              <w:spacing w:after="0"/>
              <w:rPr>
                <w:sz w:val="24"/>
                <w:szCs w:val="24"/>
                <w:color w:val="auto"/>
              </w:rPr>
            </w:pPr>
          </w:p>
        </w:tc>
        <w:tc>
          <w:tcPr>
            <w:tcW w:w="1160" w:type="dxa"/>
            <w:vAlign w:val="bottom"/>
            <w:shd w:val="clear" w:color="auto" w:fill="CF1D4C"/>
          </w:tcPr>
          <w:p>
            <w:pPr>
              <w:ind w:left="80"/>
              <w:spacing w:after="0"/>
              <w:rPr>
                <w:sz w:val="20"/>
                <w:szCs w:val="20"/>
                <w:color w:val="auto"/>
              </w:rPr>
            </w:pPr>
            <w:r>
              <w:rPr>
                <w:rFonts w:ascii="Arial" w:cs="Arial" w:eastAsia="Arial" w:hAnsi="Arial"/>
                <w:sz w:val="12"/>
                <w:szCs w:val="12"/>
                <w:b w:val="1"/>
                <w:bCs w:val="1"/>
                <w:color w:val="FFFFFF"/>
              </w:rPr>
              <w:t># of</w:t>
            </w:r>
          </w:p>
        </w:tc>
        <w:tc>
          <w:tcPr>
            <w:tcW w:w="0" w:type="dxa"/>
            <w:vAlign w:val="bottom"/>
          </w:tcPr>
          <w:p>
            <w:pPr>
              <w:spacing w:after="0"/>
              <w:rPr>
                <w:sz w:val="1"/>
                <w:szCs w:val="1"/>
                <w:color w:val="auto"/>
              </w:rPr>
            </w:pPr>
          </w:p>
        </w:tc>
      </w:tr>
      <w:tr>
        <w:trPr>
          <w:trHeight w:val="68"/>
        </w:trPr>
        <w:tc>
          <w:tcPr>
            <w:tcW w:w="1160" w:type="dxa"/>
            <w:vAlign w:val="bottom"/>
            <w:vMerge w:val="restart"/>
            <w:shd w:val="clear" w:color="auto" w:fill="CF1D4C"/>
          </w:tcPr>
          <w:p>
            <w:pPr>
              <w:ind w:left="180"/>
              <w:spacing w:after="0" w:line="135" w:lineRule="exact"/>
              <w:rPr>
                <w:sz w:val="20"/>
                <w:szCs w:val="20"/>
                <w:color w:val="auto"/>
              </w:rPr>
            </w:pPr>
            <w:r>
              <w:rPr>
                <w:rFonts w:ascii="Arial" w:cs="Arial" w:eastAsia="Arial" w:hAnsi="Arial"/>
                <w:sz w:val="12"/>
                <w:szCs w:val="12"/>
                <w:b w:val="1"/>
                <w:bCs w:val="1"/>
                <w:color w:val="FFFFFF"/>
              </w:rPr>
              <w:t>Below</w:t>
            </w:r>
          </w:p>
        </w:tc>
        <w:tc>
          <w:tcPr>
            <w:tcW w:w="78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Threshold</w:t>
            </w:r>
          </w:p>
        </w:tc>
        <w:tc>
          <w:tcPr>
            <w:tcW w:w="780" w:type="dxa"/>
            <w:vAlign w:val="bottom"/>
            <w:vMerge w:val="continue"/>
            <w:shd w:val="clear" w:color="auto" w:fill="CF1D4C"/>
          </w:tcPr>
          <w:p>
            <w:pPr>
              <w:spacing w:after="0"/>
              <w:rPr>
                <w:sz w:val="5"/>
                <w:szCs w:val="5"/>
                <w:color w:val="auto"/>
              </w:rPr>
            </w:pPr>
          </w:p>
        </w:tc>
        <w:tc>
          <w:tcPr>
            <w:tcW w:w="600" w:type="dxa"/>
            <w:vAlign w:val="bottom"/>
            <w:vMerge w:val="continue"/>
            <w:shd w:val="clear" w:color="auto" w:fill="CF1D4C"/>
          </w:tcPr>
          <w:p>
            <w:pPr>
              <w:spacing w:after="0"/>
              <w:rPr>
                <w:sz w:val="5"/>
                <w:szCs w:val="5"/>
                <w:color w:val="auto"/>
              </w:rPr>
            </w:pPr>
          </w:p>
        </w:tc>
        <w:tc>
          <w:tcPr>
            <w:tcW w:w="580" w:type="dxa"/>
            <w:vAlign w:val="bottom"/>
            <w:vMerge w:val="restart"/>
            <w:shd w:val="clear" w:color="auto" w:fill="CF1D4C"/>
          </w:tcPr>
          <w:p>
            <w:pPr>
              <w:ind w:left="60"/>
              <w:spacing w:after="0" w:line="135" w:lineRule="exact"/>
              <w:rPr>
                <w:sz w:val="20"/>
                <w:szCs w:val="20"/>
                <w:color w:val="auto"/>
              </w:rPr>
            </w:pPr>
            <w:r>
              <w:rPr>
                <w:rFonts w:ascii="Arial" w:cs="Arial" w:eastAsia="Arial" w:hAnsi="Arial"/>
                <w:sz w:val="12"/>
                <w:szCs w:val="12"/>
                <w:b w:val="1"/>
                <w:bCs w:val="1"/>
                <w:color w:val="FFFFFF"/>
              </w:rPr>
              <w:t>Target</w:t>
            </w:r>
          </w:p>
        </w:tc>
        <w:tc>
          <w:tcPr>
            <w:tcW w:w="580" w:type="dxa"/>
            <w:vAlign w:val="bottom"/>
            <w:vMerge w:val="continue"/>
            <w:shd w:val="clear" w:color="auto" w:fill="CF1D4C"/>
          </w:tcPr>
          <w:p>
            <w:pPr>
              <w:spacing w:after="0"/>
              <w:rPr>
                <w:sz w:val="5"/>
                <w:szCs w:val="5"/>
                <w:color w:val="auto"/>
              </w:rPr>
            </w:pPr>
          </w:p>
        </w:tc>
        <w:tc>
          <w:tcPr>
            <w:tcW w:w="700" w:type="dxa"/>
            <w:vAlign w:val="bottom"/>
            <w:vMerge w:val="continue"/>
            <w:shd w:val="clear" w:color="auto" w:fill="CF1D4C"/>
          </w:tcPr>
          <w:p>
            <w:pPr>
              <w:spacing w:after="0"/>
              <w:rPr>
                <w:sz w:val="5"/>
                <w:szCs w:val="5"/>
                <w:color w:val="auto"/>
              </w:rPr>
            </w:pPr>
          </w:p>
        </w:tc>
        <w:tc>
          <w:tcPr>
            <w:tcW w:w="74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Maximum</w:t>
            </w:r>
          </w:p>
        </w:tc>
        <w:tc>
          <w:tcPr>
            <w:tcW w:w="960" w:type="dxa"/>
            <w:vAlign w:val="bottom"/>
            <w:shd w:val="clear" w:color="auto" w:fill="CF1D4C"/>
          </w:tcPr>
          <w:p>
            <w:pPr>
              <w:spacing w:after="0"/>
              <w:rPr>
                <w:sz w:val="5"/>
                <w:szCs w:val="5"/>
                <w:color w:val="auto"/>
              </w:rPr>
            </w:pPr>
          </w:p>
        </w:tc>
        <w:tc>
          <w:tcPr>
            <w:tcW w:w="720" w:type="dxa"/>
            <w:vAlign w:val="bottom"/>
            <w:shd w:val="clear" w:color="auto" w:fill="CF1D4C"/>
          </w:tcPr>
          <w:p>
            <w:pPr>
              <w:spacing w:after="0"/>
              <w:rPr>
                <w:sz w:val="5"/>
                <w:szCs w:val="5"/>
                <w:color w:val="auto"/>
              </w:rPr>
            </w:pPr>
          </w:p>
        </w:tc>
        <w:tc>
          <w:tcPr>
            <w:tcW w:w="1160" w:type="dxa"/>
            <w:vAlign w:val="bottom"/>
            <w:vMerge w:val="restart"/>
            <w:shd w:val="clear" w:color="auto" w:fill="CF1D4C"/>
          </w:tcPr>
          <w:p>
            <w:pPr>
              <w:ind w:left="80"/>
              <w:spacing w:after="0" w:line="135" w:lineRule="exact"/>
              <w:rPr>
                <w:sz w:val="20"/>
                <w:szCs w:val="20"/>
                <w:color w:val="auto"/>
              </w:rPr>
            </w:pPr>
            <w:r>
              <w:rPr>
                <w:rFonts w:ascii="Arial" w:cs="Arial" w:eastAsia="Arial" w:hAnsi="Arial"/>
                <w:sz w:val="12"/>
                <w:szCs w:val="12"/>
                <w:b w:val="1"/>
                <w:bCs w:val="1"/>
                <w:color w:val="FFFFFF"/>
              </w:rPr>
              <w:t>Performance</w:t>
            </w:r>
          </w:p>
        </w:tc>
        <w:tc>
          <w:tcPr>
            <w:tcW w:w="0" w:type="dxa"/>
            <w:vAlign w:val="bottom"/>
          </w:tcPr>
          <w:p>
            <w:pPr>
              <w:spacing w:after="0"/>
              <w:rPr>
                <w:sz w:val="1"/>
                <w:szCs w:val="1"/>
                <w:color w:val="auto"/>
              </w:rPr>
            </w:pPr>
          </w:p>
        </w:tc>
      </w:tr>
      <w:tr>
        <w:trPr>
          <w:trHeight w:val="68"/>
        </w:trPr>
        <w:tc>
          <w:tcPr>
            <w:tcW w:w="1160" w:type="dxa"/>
            <w:vAlign w:val="bottom"/>
            <w:vMerge w:val="continue"/>
            <w:shd w:val="clear" w:color="auto" w:fill="CF1D4C"/>
          </w:tcPr>
          <w:p>
            <w:pPr>
              <w:spacing w:after="0"/>
              <w:rPr>
                <w:sz w:val="5"/>
                <w:szCs w:val="5"/>
                <w:color w:val="auto"/>
              </w:rPr>
            </w:pPr>
          </w:p>
        </w:tc>
        <w:tc>
          <w:tcPr>
            <w:tcW w:w="780" w:type="dxa"/>
            <w:vAlign w:val="bottom"/>
            <w:vMerge w:val="continue"/>
            <w:shd w:val="clear" w:color="auto" w:fill="CF1D4C"/>
          </w:tcPr>
          <w:p>
            <w:pPr>
              <w:spacing w:after="0"/>
              <w:rPr>
                <w:sz w:val="5"/>
                <w:szCs w:val="5"/>
                <w:color w:val="auto"/>
              </w:rPr>
            </w:pPr>
          </w:p>
        </w:tc>
        <w:tc>
          <w:tcPr>
            <w:tcW w:w="78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Threshold</w:t>
            </w:r>
          </w:p>
        </w:tc>
        <w:tc>
          <w:tcPr>
            <w:tcW w:w="600" w:type="dxa"/>
            <w:vAlign w:val="bottom"/>
            <w:vMerge w:val="restart"/>
            <w:shd w:val="clear" w:color="auto" w:fill="CF1D4C"/>
          </w:tcPr>
          <w:p>
            <w:pPr>
              <w:ind w:left="80"/>
              <w:spacing w:after="0" w:line="135" w:lineRule="exact"/>
              <w:rPr>
                <w:sz w:val="20"/>
                <w:szCs w:val="20"/>
                <w:color w:val="auto"/>
              </w:rPr>
            </w:pPr>
            <w:r>
              <w:rPr>
                <w:rFonts w:ascii="Arial" w:cs="Arial" w:eastAsia="Arial" w:hAnsi="Arial"/>
                <w:sz w:val="12"/>
                <w:szCs w:val="12"/>
                <w:b w:val="1"/>
                <w:bCs w:val="1"/>
                <w:color w:val="FFFFFF"/>
              </w:rPr>
              <w:t>Target</w:t>
            </w:r>
          </w:p>
        </w:tc>
        <w:tc>
          <w:tcPr>
            <w:tcW w:w="580" w:type="dxa"/>
            <w:vAlign w:val="bottom"/>
            <w:vMerge w:val="continue"/>
            <w:shd w:val="clear" w:color="auto" w:fill="CF1D4C"/>
          </w:tcPr>
          <w:p>
            <w:pPr>
              <w:spacing w:after="0"/>
              <w:rPr>
                <w:sz w:val="5"/>
                <w:szCs w:val="5"/>
                <w:color w:val="auto"/>
              </w:rPr>
            </w:pPr>
          </w:p>
        </w:tc>
        <w:tc>
          <w:tcPr>
            <w:tcW w:w="580" w:type="dxa"/>
            <w:vAlign w:val="bottom"/>
            <w:vMerge w:val="restart"/>
            <w:shd w:val="clear" w:color="auto" w:fill="CF1D4C"/>
          </w:tcPr>
          <w:p>
            <w:pPr>
              <w:ind w:left="60"/>
              <w:spacing w:after="0" w:line="135" w:lineRule="exact"/>
              <w:rPr>
                <w:sz w:val="20"/>
                <w:szCs w:val="20"/>
                <w:color w:val="auto"/>
              </w:rPr>
            </w:pPr>
            <w:r>
              <w:rPr>
                <w:rFonts w:ascii="Arial" w:cs="Arial" w:eastAsia="Arial" w:hAnsi="Arial"/>
                <w:sz w:val="12"/>
                <w:szCs w:val="12"/>
                <w:b w:val="1"/>
                <w:bCs w:val="1"/>
                <w:color w:val="FFFFFF"/>
              </w:rPr>
              <w:t>Target</w:t>
            </w:r>
          </w:p>
        </w:tc>
        <w:tc>
          <w:tcPr>
            <w:tcW w:w="700" w:type="dxa"/>
            <w:vAlign w:val="bottom"/>
            <w:vMerge w:val="restart"/>
            <w:shd w:val="clear" w:color="auto" w:fill="CF1D4C"/>
          </w:tcPr>
          <w:p>
            <w:pPr>
              <w:ind w:left="60"/>
              <w:spacing w:after="0" w:line="135" w:lineRule="exact"/>
              <w:rPr>
                <w:sz w:val="20"/>
                <w:szCs w:val="20"/>
                <w:color w:val="auto"/>
              </w:rPr>
            </w:pPr>
            <w:r>
              <w:rPr>
                <w:rFonts w:ascii="Arial" w:cs="Arial" w:eastAsia="Arial" w:hAnsi="Arial"/>
                <w:sz w:val="12"/>
                <w:szCs w:val="12"/>
                <w:b w:val="1"/>
                <w:bCs w:val="1"/>
                <w:color w:val="FFFFFF"/>
              </w:rPr>
              <w:t>Maximum</w:t>
            </w:r>
          </w:p>
        </w:tc>
        <w:tc>
          <w:tcPr>
            <w:tcW w:w="740" w:type="dxa"/>
            <w:vAlign w:val="bottom"/>
            <w:vMerge w:val="continue"/>
            <w:shd w:val="clear" w:color="auto" w:fill="CF1D4C"/>
          </w:tcPr>
          <w:p>
            <w:pPr>
              <w:spacing w:after="0"/>
              <w:rPr>
                <w:sz w:val="5"/>
                <w:szCs w:val="5"/>
                <w:color w:val="auto"/>
              </w:rPr>
            </w:pPr>
          </w:p>
        </w:tc>
        <w:tc>
          <w:tcPr>
            <w:tcW w:w="96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Achievement​</w:t>
            </w:r>
          </w:p>
        </w:tc>
        <w:tc>
          <w:tcPr>
            <w:tcW w:w="72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Payout %</w:t>
            </w:r>
          </w:p>
        </w:tc>
        <w:tc>
          <w:tcPr>
            <w:tcW w:w="116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60" w:type="dxa"/>
            <w:vAlign w:val="bottom"/>
            <w:vMerge w:val="restart"/>
            <w:shd w:val="clear" w:color="auto" w:fill="CF1D4C"/>
          </w:tcPr>
          <w:p>
            <w:pPr>
              <w:ind w:left="180"/>
              <w:spacing w:after="0" w:line="135" w:lineRule="exact"/>
              <w:rPr>
                <w:sz w:val="20"/>
                <w:szCs w:val="20"/>
                <w:color w:val="auto"/>
              </w:rPr>
            </w:pPr>
            <w:r>
              <w:rPr>
                <w:rFonts w:ascii="Arial" w:cs="Arial" w:eastAsia="Arial" w:hAnsi="Arial"/>
                <w:sz w:val="12"/>
                <w:szCs w:val="12"/>
                <w:b w:val="1"/>
                <w:bCs w:val="1"/>
                <w:color w:val="FFFFFF"/>
              </w:rPr>
              <w:t>Threshold (0%)</w:t>
            </w:r>
          </w:p>
        </w:tc>
        <w:tc>
          <w:tcPr>
            <w:tcW w:w="78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(50%)</w:t>
            </w:r>
          </w:p>
        </w:tc>
        <w:tc>
          <w:tcPr>
            <w:tcW w:w="780" w:type="dxa"/>
            <w:vAlign w:val="bottom"/>
            <w:vMerge w:val="continue"/>
            <w:shd w:val="clear" w:color="auto" w:fill="CF1D4C"/>
          </w:tcPr>
          <w:p>
            <w:pPr>
              <w:spacing w:after="0"/>
              <w:rPr>
                <w:sz w:val="5"/>
                <w:szCs w:val="5"/>
                <w:color w:val="auto"/>
              </w:rPr>
            </w:pPr>
          </w:p>
        </w:tc>
        <w:tc>
          <w:tcPr>
            <w:tcW w:w="600" w:type="dxa"/>
            <w:vAlign w:val="bottom"/>
            <w:vMerge w:val="continue"/>
            <w:shd w:val="clear" w:color="auto" w:fill="CF1D4C"/>
          </w:tcPr>
          <w:p>
            <w:pPr>
              <w:spacing w:after="0"/>
              <w:rPr>
                <w:sz w:val="5"/>
                <w:szCs w:val="5"/>
                <w:color w:val="auto"/>
              </w:rPr>
            </w:pPr>
          </w:p>
        </w:tc>
        <w:tc>
          <w:tcPr>
            <w:tcW w:w="580" w:type="dxa"/>
            <w:vAlign w:val="bottom"/>
            <w:vMerge w:val="restart"/>
            <w:shd w:val="clear" w:color="auto" w:fill="CF1D4C"/>
          </w:tcPr>
          <w:p>
            <w:pPr>
              <w:ind w:left="60"/>
              <w:spacing w:after="0" w:line="135" w:lineRule="exact"/>
              <w:rPr>
                <w:sz w:val="20"/>
                <w:szCs w:val="20"/>
                <w:color w:val="auto"/>
              </w:rPr>
            </w:pPr>
            <w:r>
              <w:rPr>
                <w:rFonts w:ascii="Arial" w:cs="Arial" w:eastAsia="Arial" w:hAnsi="Arial"/>
                <w:sz w:val="12"/>
                <w:szCs w:val="12"/>
                <w:b w:val="1"/>
                <w:bCs w:val="1"/>
                <w:color w:val="FFFFFF"/>
              </w:rPr>
              <w:t>(100%)</w:t>
            </w:r>
          </w:p>
        </w:tc>
        <w:tc>
          <w:tcPr>
            <w:tcW w:w="580" w:type="dxa"/>
            <w:vAlign w:val="bottom"/>
            <w:vMerge w:val="continue"/>
            <w:shd w:val="clear" w:color="auto" w:fill="CF1D4C"/>
          </w:tcPr>
          <w:p>
            <w:pPr>
              <w:spacing w:after="0"/>
              <w:rPr>
                <w:sz w:val="5"/>
                <w:szCs w:val="5"/>
                <w:color w:val="auto"/>
              </w:rPr>
            </w:pPr>
          </w:p>
        </w:tc>
        <w:tc>
          <w:tcPr>
            <w:tcW w:w="700" w:type="dxa"/>
            <w:vAlign w:val="bottom"/>
            <w:vMerge w:val="continue"/>
            <w:shd w:val="clear" w:color="auto" w:fill="CF1D4C"/>
          </w:tcPr>
          <w:p>
            <w:pPr>
              <w:spacing w:after="0"/>
              <w:rPr>
                <w:sz w:val="5"/>
                <w:szCs w:val="5"/>
                <w:color w:val="auto"/>
              </w:rPr>
            </w:pPr>
          </w:p>
        </w:tc>
        <w:tc>
          <w:tcPr>
            <w:tcW w:w="740" w:type="dxa"/>
            <w:vAlign w:val="bottom"/>
            <w:vMerge w:val="restart"/>
            <w:shd w:val="clear" w:color="auto" w:fill="CF1D4C"/>
          </w:tcPr>
          <w:p>
            <w:pPr>
              <w:ind w:left="100"/>
              <w:spacing w:after="0" w:line="135" w:lineRule="exact"/>
              <w:rPr>
                <w:sz w:val="20"/>
                <w:szCs w:val="20"/>
                <w:color w:val="auto"/>
              </w:rPr>
            </w:pPr>
            <w:r>
              <w:rPr>
                <w:rFonts w:ascii="Arial" w:cs="Arial" w:eastAsia="Arial" w:hAnsi="Arial"/>
                <w:sz w:val="12"/>
                <w:szCs w:val="12"/>
                <w:b w:val="1"/>
                <w:bCs w:val="1"/>
                <w:color w:val="FFFFFF"/>
              </w:rPr>
              <w:t>(150%)</w:t>
            </w:r>
          </w:p>
        </w:tc>
        <w:tc>
          <w:tcPr>
            <w:tcW w:w="960" w:type="dxa"/>
            <w:vAlign w:val="bottom"/>
            <w:vMerge w:val="continue"/>
            <w:shd w:val="clear" w:color="auto" w:fill="CF1D4C"/>
          </w:tcPr>
          <w:p>
            <w:pPr>
              <w:spacing w:after="0"/>
              <w:rPr>
                <w:sz w:val="5"/>
                <w:szCs w:val="5"/>
                <w:color w:val="auto"/>
              </w:rPr>
            </w:pPr>
          </w:p>
        </w:tc>
        <w:tc>
          <w:tcPr>
            <w:tcW w:w="720" w:type="dxa"/>
            <w:vAlign w:val="bottom"/>
            <w:vMerge w:val="continue"/>
            <w:shd w:val="clear" w:color="auto" w:fill="CF1D4C"/>
          </w:tcPr>
          <w:p>
            <w:pPr>
              <w:spacing w:after="0"/>
              <w:rPr>
                <w:sz w:val="5"/>
                <w:szCs w:val="5"/>
                <w:color w:val="auto"/>
              </w:rPr>
            </w:pPr>
          </w:p>
        </w:tc>
        <w:tc>
          <w:tcPr>
            <w:tcW w:w="1160" w:type="dxa"/>
            <w:vAlign w:val="bottom"/>
            <w:vMerge w:val="restart"/>
            <w:shd w:val="clear" w:color="auto" w:fill="CF1D4C"/>
          </w:tcPr>
          <w:p>
            <w:pPr>
              <w:ind w:left="80"/>
              <w:spacing w:after="0" w:line="135" w:lineRule="exact"/>
              <w:rPr>
                <w:sz w:val="20"/>
                <w:szCs w:val="20"/>
                <w:color w:val="auto"/>
              </w:rPr>
            </w:pPr>
            <w:r>
              <w:rPr>
                <w:rFonts w:ascii="Arial" w:cs="Arial" w:eastAsia="Arial" w:hAnsi="Arial"/>
                <w:sz w:val="12"/>
                <w:szCs w:val="12"/>
                <w:b w:val="1"/>
                <w:bCs w:val="1"/>
                <w:color w:val="FFFFFF"/>
              </w:rPr>
              <w:t>Based</w:t>
            </w:r>
          </w:p>
        </w:tc>
        <w:tc>
          <w:tcPr>
            <w:tcW w:w="0" w:type="dxa"/>
            <w:vAlign w:val="bottom"/>
          </w:tcPr>
          <w:p>
            <w:pPr>
              <w:spacing w:after="0"/>
              <w:rPr>
                <w:sz w:val="1"/>
                <w:szCs w:val="1"/>
                <w:color w:val="auto"/>
              </w:rPr>
            </w:pPr>
          </w:p>
        </w:tc>
      </w:tr>
      <w:tr>
        <w:trPr>
          <w:trHeight w:val="68"/>
        </w:trPr>
        <w:tc>
          <w:tcPr>
            <w:tcW w:w="1160" w:type="dxa"/>
            <w:vAlign w:val="bottom"/>
            <w:vMerge w:val="continue"/>
            <w:shd w:val="clear" w:color="auto" w:fill="CF1D4C"/>
          </w:tcPr>
          <w:p>
            <w:pPr>
              <w:spacing w:after="0"/>
              <w:rPr>
                <w:sz w:val="5"/>
                <w:szCs w:val="5"/>
                <w:color w:val="auto"/>
              </w:rPr>
            </w:pPr>
          </w:p>
        </w:tc>
        <w:tc>
          <w:tcPr>
            <w:tcW w:w="780" w:type="dxa"/>
            <w:vAlign w:val="bottom"/>
            <w:vMerge w:val="continue"/>
            <w:shd w:val="clear" w:color="auto" w:fill="CF1D4C"/>
          </w:tcPr>
          <w:p>
            <w:pPr>
              <w:spacing w:after="0"/>
              <w:rPr>
                <w:sz w:val="5"/>
                <w:szCs w:val="5"/>
                <w:color w:val="auto"/>
              </w:rPr>
            </w:pPr>
          </w:p>
        </w:tc>
        <w:tc>
          <w:tcPr>
            <w:tcW w:w="780" w:type="dxa"/>
            <w:vAlign w:val="bottom"/>
            <w:vMerge w:val="restart"/>
            <w:shd w:val="clear" w:color="auto" w:fill="CF1D4C"/>
          </w:tcPr>
          <w:p>
            <w:pPr>
              <w:ind w:left="100"/>
              <w:spacing w:after="0"/>
              <w:rPr>
                <w:sz w:val="20"/>
                <w:szCs w:val="20"/>
                <w:color w:val="auto"/>
              </w:rPr>
            </w:pPr>
            <w:r>
              <w:rPr>
                <w:rFonts w:ascii="Arial" w:cs="Arial" w:eastAsia="Arial" w:hAnsi="Arial"/>
                <w:sz w:val="12"/>
                <w:szCs w:val="12"/>
                <w:b w:val="1"/>
                <w:bCs w:val="1"/>
                <w:color w:val="FFFFFF"/>
              </w:rPr>
              <w:t>(75%)</w:t>
            </w:r>
          </w:p>
        </w:tc>
        <w:tc>
          <w:tcPr>
            <w:tcW w:w="60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(85%)</w:t>
            </w:r>
          </w:p>
        </w:tc>
        <w:tc>
          <w:tcPr>
            <w:tcW w:w="580" w:type="dxa"/>
            <w:vAlign w:val="bottom"/>
            <w:vMerge w:val="continue"/>
            <w:shd w:val="clear" w:color="auto" w:fill="CF1D4C"/>
          </w:tcPr>
          <w:p>
            <w:pPr>
              <w:spacing w:after="0"/>
              <w:rPr>
                <w:sz w:val="5"/>
                <w:szCs w:val="5"/>
                <w:color w:val="auto"/>
              </w:rPr>
            </w:pPr>
          </w:p>
        </w:tc>
        <w:tc>
          <w:tcPr>
            <w:tcW w:w="58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(115%)</w:t>
            </w:r>
          </w:p>
        </w:tc>
        <w:tc>
          <w:tcPr>
            <w:tcW w:w="700" w:type="dxa"/>
            <w:vAlign w:val="bottom"/>
            <w:vMerge w:val="restart"/>
            <w:shd w:val="clear" w:color="auto" w:fill="CF1D4C"/>
          </w:tcPr>
          <w:p>
            <w:pPr>
              <w:ind w:left="60"/>
              <w:spacing w:after="0"/>
              <w:rPr>
                <w:sz w:val="20"/>
                <w:szCs w:val="20"/>
                <w:color w:val="auto"/>
              </w:rPr>
            </w:pPr>
            <w:r>
              <w:rPr>
                <w:rFonts w:ascii="Arial" w:cs="Arial" w:eastAsia="Arial" w:hAnsi="Arial"/>
                <w:sz w:val="12"/>
                <w:szCs w:val="12"/>
                <w:b w:val="1"/>
                <w:bCs w:val="1"/>
                <w:color w:val="FFFFFF"/>
              </w:rPr>
              <w:t>(125%)</w:t>
            </w:r>
          </w:p>
        </w:tc>
        <w:tc>
          <w:tcPr>
            <w:tcW w:w="740" w:type="dxa"/>
            <w:vAlign w:val="bottom"/>
            <w:vMerge w:val="continue"/>
            <w:shd w:val="clear" w:color="auto" w:fill="CF1D4C"/>
          </w:tcPr>
          <w:p>
            <w:pPr>
              <w:spacing w:after="0"/>
              <w:rPr>
                <w:sz w:val="5"/>
                <w:szCs w:val="5"/>
                <w:color w:val="auto"/>
              </w:rPr>
            </w:pPr>
          </w:p>
        </w:tc>
        <w:tc>
          <w:tcPr>
            <w:tcW w:w="960" w:type="dxa"/>
            <w:vAlign w:val="bottom"/>
            <w:shd w:val="clear" w:color="auto" w:fill="CF1D4C"/>
          </w:tcPr>
          <w:p>
            <w:pPr>
              <w:spacing w:after="0"/>
              <w:rPr>
                <w:sz w:val="5"/>
                <w:szCs w:val="5"/>
                <w:color w:val="auto"/>
              </w:rPr>
            </w:pPr>
          </w:p>
        </w:tc>
        <w:tc>
          <w:tcPr>
            <w:tcW w:w="720" w:type="dxa"/>
            <w:vAlign w:val="bottom"/>
            <w:shd w:val="clear" w:color="auto" w:fill="CF1D4C"/>
          </w:tcPr>
          <w:p>
            <w:pPr>
              <w:spacing w:after="0"/>
              <w:rPr>
                <w:sz w:val="5"/>
                <w:szCs w:val="5"/>
                <w:color w:val="auto"/>
              </w:rPr>
            </w:pPr>
          </w:p>
        </w:tc>
        <w:tc>
          <w:tcPr>
            <w:tcW w:w="116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160" w:type="dxa"/>
            <w:vAlign w:val="bottom"/>
            <w:shd w:val="clear" w:color="auto" w:fill="CF1D4C"/>
          </w:tcPr>
          <w:p>
            <w:pPr>
              <w:spacing w:after="0"/>
              <w:rPr>
                <w:sz w:val="8"/>
                <w:szCs w:val="8"/>
                <w:color w:val="auto"/>
              </w:rPr>
            </w:pPr>
          </w:p>
        </w:tc>
        <w:tc>
          <w:tcPr>
            <w:tcW w:w="780" w:type="dxa"/>
            <w:vAlign w:val="bottom"/>
            <w:shd w:val="clear" w:color="auto" w:fill="CF1D4C"/>
          </w:tcPr>
          <w:p>
            <w:pPr>
              <w:spacing w:after="0"/>
              <w:rPr>
                <w:sz w:val="8"/>
                <w:szCs w:val="8"/>
                <w:color w:val="auto"/>
              </w:rPr>
            </w:pPr>
          </w:p>
        </w:tc>
        <w:tc>
          <w:tcPr>
            <w:tcW w:w="780" w:type="dxa"/>
            <w:vAlign w:val="bottom"/>
            <w:vMerge w:val="continue"/>
            <w:shd w:val="clear" w:color="auto" w:fill="CF1D4C"/>
          </w:tcPr>
          <w:p>
            <w:pPr>
              <w:spacing w:after="0"/>
              <w:rPr>
                <w:sz w:val="8"/>
                <w:szCs w:val="8"/>
                <w:color w:val="auto"/>
              </w:rPr>
            </w:pPr>
          </w:p>
        </w:tc>
        <w:tc>
          <w:tcPr>
            <w:tcW w:w="600" w:type="dxa"/>
            <w:vAlign w:val="bottom"/>
            <w:vMerge w:val="continue"/>
            <w:shd w:val="clear" w:color="auto" w:fill="CF1D4C"/>
          </w:tcPr>
          <w:p>
            <w:pPr>
              <w:spacing w:after="0"/>
              <w:rPr>
                <w:sz w:val="8"/>
                <w:szCs w:val="8"/>
                <w:color w:val="auto"/>
              </w:rPr>
            </w:pPr>
          </w:p>
        </w:tc>
        <w:tc>
          <w:tcPr>
            <w:tcW w:w="580" w:type="dxa"/>
            <w:vAlign w:val="bottom"/>
            <w:shd w:val="clear" w:color="auto" w:fill="CF1D4C"/>
          </w:tcPr>
          <w:p>
            <w:pPr>
              <w:spacing w:after="0"/>
              <w:rPr>
                <w:sz w:val="8"/>
                <w:szCs w:val="8"/>
                <w:color w:val="auto"/>
              </w:rPr>
            </w:pPr>
          </w:p>
        </w:tc>
        <w:tc>
          <w:tcPr>
            <w:tcW w:w="580" w:type="dxa"/>
            <w:vAlign w:val="bottom"/>
            <w:vMerge w:val="continue"/>
            <w:shd w:val="clear" w:color="auto" w:fill="CF1D4C"/>
          </w:tcPr>
          <w:p>
            <w:pPr>
              <w:spacing w:after="0"/>
              <w:rPr>
                <w:sz w:val="8"/>
                <w:szCs w:val="8"/>
                <w:color w:val="auto"/>
              </w:rPr>
            </w:pPr>
          </w:p>
        </w:tc>
        <w:tc>
          <w:tcPr>
            <w:tcW w:w="700" w:type="dxa"/>
            <w:vAlign w:val="bottom"/>
            <w:vMerge w:val="continue"/>
            <w:shd w:val="clear" w:color="auto" w:fill="CF1D4C"/>
          </w:tcPr>
          <w:p>
            <w:pPr>
              <w:spacing w:after="0"/>
              <w:rPr>
                <w:sz w:val="8"/>
                <w:szCs w:val="8"/>
                <w:color w:val="auto"/>
              </w:rPr>
            </w:pPr>
          </w:p>
        </w:tc>
        <w:tc>
          <w:tcPr>
            <w:tcW w:w="740" w:type="dxa"/>
            <w:vAlign w:val="bottom"/>
            <w:shd w:val="clear" w:color="auto" w:fill="CF1D4C"/>
          </w:tcPr>
          <w:p>
            <w:pPr>
              <w:spacing w:after="0"/>
              <w:rPr>
                <w:sz w:val="8"/>
                <w:szCs w:val="8"/>
                <w:color w:val="auto"/>
              </w:rPr>
            </w:pPr>
          </w:p>
        </w:tc>
        <w:tc>
          <w:tcPr>
            <w:tcW w:w="960" w:type="dxa"/>
            <w:vAlign w:val="bottom"/>
            <w:shd w:val="clear" w:color="auto" w:fill="CF1D4C"/>
          </w:tcPr>
          <w:p>
            <w:pPr>
              <w:spacing w:after="0"/>
              <w:rPr>
                <w:sz w:val="8"/>
                <w:szCs w:val="8"/>
                <w:color w:val="auto"/>
              </w:rPr>
            </w:pPr>
          </w:p>
        </w:tc>
        <w:tc>
          <w:tcPr>
            <w:tcW w:w="720" w:type="dxa"/>
            <w:vAlign w:val="bottom"/>
            <w:shd w:val="clear" w:color="auto" w:fill="CF1D4C"/>
          </w:tcPr>
          <w:p>
            <w:pPr>
              <w:spacing w:after="0"/>
              <w:rPr>
                <w:sz w:val="8"/>
                <w:szCs w:val="8"/>
                <w:color w:val="auto"/>
              </w:rPr>
            </w:pPr>
          </w:p>
        </w:tc>
        <w:tc>
          <w:tcPr>
            <w:tcW w:w="1160" w:type="dxa"/>
            <w:vAlign w:val="bottom"/>
            <w:vMerge w:val="restart"/>
            <w:shd w:val="clear" w:color="auto" w:fill="CF1D4C"/>
          </w:tcPr>
          <w:p>
            <w:pPr>
              <w:ind w:left="80"/>
              <w:spacing w:after="0"/>
              <w:rPr>
                <w:sz w:val="20"/>
                <w:szCs w:val="20"/>
                <w:color w:val="auto"/>
              </w:rPr>
            </w:pPr>
            <w:r>
              <w:rPr>
                <w:rFonts w:ascii="Arial" w:cs="Arial" w:eastAsia="Arial" w:hAnsi="Arial"/>
                <w:sz w:val="12"/>
                <w:szCs w:val="12"/>
                <w:b w:val="1"/>
                <w:bCs w:val="1"/>
                <w:color w:val="FFFFFF"/>
              </w:rPr>
              <w:t>RSUs Earned</w:t>
            </w:r>
          </w:p>
        </w:tc>
        <w:tc>
          <w:tcPr>
            <w:tcW w:w="0" w:type="dxa"/>
            <w:vAlign w:val="bottom"/>
          </w:tcPr>
          <w:p>
            <w:pPr>
              <w:spacing w:after="0"/>
              <w:rPr>
                <w:sz w:val="1"/>
                <w:szCs w:val="1"/>
                <w:color w:val="auto"/>
              </w:rPr>
            </w:pPr>
          </w:p>
        </w:tc>
      </w:tr>
      <w:tr>
        <w:trPr>
          <w:trHeight w:val="68"/>
        </w:trPr>
        <w:tc>
          <w:tcPr>
            <w:tcW w:w="1160" w:type="dxa"/>
            <w:vAlign w:val="bottom"/>
            <w:shd w:val="clear" w:color="auto" w:fill="CF1D4C"/>
          </w:tcPr>
          <w:p>
            <w:pPr>
              <w:spacing w:after="0"/>
              <w:rPr>
                <w:sz w:val="5"/>
                <w:szCs w:val="5"/>
                <w:color w:val="auto"/>
              </w:rPr>
            </w:pPr>
          </w:p>
        </w:tc>
        <w:tc>
          <w:tcPr>
            <w:tcW w:w="780" w:type="dxa"/>
            <w:vAlign w:val="bottom"/>
            <w:shd w:val="clear" w:color="auto" w:fill="CF1D4C"/>
          </w:tcPr>
          <w:p>
            <w:pPr>
              <w:spacing w:after="0"/>
              <w:rPr>
                <w:sz w:val="5"/>
                <w:szCs w:val="5"/>
                <w:color w:val="auto"/>
              </w:rPr>
            </w:pPr>
          </w:p>
        </w:tc>
        <w:tc>
          <w:tcPr>
            <w:tcW w:w="780" w:type="dxa"/>
            <w:vAlign w:val="bottom"/>
            <w:shd w:val="clear" w:color="auto" w:fill="CF1D4C"/>
          </w:tcPr>
          <w:p>
            <w:pPr>
              <w:spacing w:after="0"/>
              <w:rPr>
                <w:sz w:val="5"/>
                <w:szCs w:val="5"/>
                <w:color w:val="auto"/>
              </w:rPr>
            </w:pPr>
          </w:p>
        </w:tc>
        <w:tc>
          <w:tcPr>
            <w:tcW w:w="600" w:type="dxa"/>
            <w:vAlign w:val="bottom"/>
            <w:shd w:val="clear" w:color="auto" w:fill="CF1D4C"/>
          </w:tcPr>
          <w:p>
            <w:pPr>
              <w:spacing w:after="0"/>
              <w:rPr>
                <w:sz w:val="5"/>
                <w:szCs w:val="5"/>
                <w:color w:val="auto"/>
              </w:rPr>
            </w:pPr>
          </w:p>
        </w:tc>
        <w:tc>
          <w:tcPr>
            <w:tcW w:w="580" w:type="dxa"/>
            <w:vAlign w:val="bottom"/>
            <w:shd w:val="clear" w:color="auto" w:fill="CF1D4C"/>
          </w:tcPr>
          <w:p>
            <w:pPr>
              <w:spacing w:after="0"/>
              <w:rPr>
                <w:sz w:val="5"/>
                <w:szCs w:val="5"/>
                <w:color w:val="auto"/>
              </w:rPr>
            </w:pPr>
          </w:p>
        </w:tc>
        <w:tc>
          <w:tcPr>
            <w:tcW w:w="580" w:type="dxa"/>
            <w:vAlign w:val="bottom"/>
            <w:shd w:val="clear" w:color="auto" w:fill="CF1D4C"/>
          </w:tcPr>
          <w:p>
            <w:pPr>
              <w:spacing w:after="0"/>
              <w:rPr>
                <w:sz w:val="5"/>
                <w:szCs w:val="5"/>
                <w:color w:val="auto"/>
              </w:rPr>
            </w:pPr>
          </w:p>
        </w:tc>
        <w:tc>
          <w:tcPr>
            <w:tcW w:w="700" w:type="dxa"/>
            <w:vAlign w:val="bottom"/>
            <w:shd w:val="clear" w:color="auto" w:fill="CF1D4C"/>
          </w:tcPr>
          <w:p>
            <w:pPr>
              <w:spacing w:after="0"/>
              <w:rPr>
                <w:sz w:val="5"/>
                <w:szCs w:val="5"/>
                <w:color w:val="auto"/>
              </w:rPr>
            </w:pPr>
          </w:p>
        </w:tc>
        <w:tc>
          <w:tcPr>
            <w:tcW w:w="740" w:type="dxa"/>
            <w:vAlign w:val="bottom"/>
            <w:shd w:val="clear" w:color="auto" w:fill="CF1D4C"/>
          </w:tcPr>
          <w:p>
            <w:pPr>
              <w:spacing w:after="0"/>
              <w:rPr>
                <w:sz w:val="5"/>
                <w:szCs w:val="5"/>
                <w:color w:val="auto"/>
              </w:rPr>
            </w:pPr>
          </w:p>
        </w:tc>
        <w:tc>
          <w:tcPr>
            <w:tcW w:w="960" w:type="dxa"/>
            <w:vAlign w:val="bottom"/>
            <w:shd w:val="clear" w:color="auto" w:fill="CF1D4C"/>
          </w:tcPr>
          <w:p>
            <w:pPr>
              <w:spacing w:after="0"/>
              <w:rPr>
                <w:sz w:val="5"/>
                <w:szCs w:val="5"/>
                <w:color w:val="auto"/>
              </w:rPr>
            </w:pPr>
          </w:p>
        </w:tc>
        <w:tc>
          <w:tcPr>
            <w:tcW w:w="720" w:type="dxa"/>
            <w:vAlign w:val="bottom"/>
            <w:shd w:val="clear" w:color="auto" w:fill="CF1D4C"/>
          </w:tcPr>
          <w:p>
            <w:pPr>
              <w:spacing w:after="0"/>
              <w:rPr>
                <w:sz w:val="5"/>
                <w:szCs w:val="5"/>
                <w:color w:val="auto"/>
              </w:rPr>
            </w:pPr>
          </w:p>
        </w:tc>
        <w:tc>
          <w:tcPr>
            <w:tcW w:w="116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1160" w:type="dxa"/>
            <w:vAlign w:val="bottom"/>
            <w:shd w:val="clear" w:color="auto" w:fill="CF1D4C"/>
          </w:tcPr>
          <w:p>
            <w:pPr>
              <w:spacing w:after="0"/>
              <w:rPr>
                <w:sz w:val="7"/>
                <w:szCs w:val="7"/>
                <w:color w:val="auto"/>
              </w:rPr>
            </w:pPr>
          </w:p>
        </w:tc>
        <w:tc>
          <w:tcPr>
            <w:tcW w:w="780" w:type="dxa"/>
            <w:vAlign w:val="bottom"/>
            <w:shd w:val="clear" w:color="auto" w:fill="CF1D4C"/>
          </w:tcPr>
          <w:p>
            <w:pPr>
              <w:spacing w:after="0"/>
              <w:rPr>
                <w:sz w:val="7"/>
                <w:szCs w:val="7"/>
                <w:color w:val="auto"/>
              </w:rPr>
            </w:pPr>
          </w:p>
        </w:tc>
        <w:tc>
          <w:tcPr>
            <w:tcW w:w="780" w:type="dxa"/>
            <w:vAlign w:val="bottom"/>
            <w:shd w:val="clear" w:color="auto" w:fill="CF1D4C"/>
          </w:tcPr>
          <w:p>
            <w:pPr>
              <w:spacing w:after="0"/>
              <w:rPr>
                <w:sz w:val="7"/>
                <w:szCs w:val="7"/>
                <w:color w:val="auto"/>
              </w:rPr>
            </w:pPr>
          </w:p>
        </w:tc>
        <w:tc>
          <w:tcPr>
            <w:tcW w:w="600" w:type="dxa"/>
            <w:vAlign w:val="bottom"/>
            <w:shd w:val="clear" w:color="auto" w:fill="CF1D4C"/>
          </w:tcPr>
          <w:p>
            <w:pPr>
              <w:spacing w:after="0"/>
              <w:rPr>
                <w:sz w:val="7"/>
                <w:szCs w:val="7"/>
                <w:color w:val="auto"/>
              </w:rPr>
            </w:pPr>
          </w:p>
        </w:tc>
        <w:tc>
          <w:tcPr>
            <w:tcW w:w="580" w:type="dxa"/>
            <w:vAlign w:val="bottom"/>
            <w:shd w:val="clear" w:color="auto" w:fill="CF1D4C"/>
          </w:tcPr>
          <w:p>
            <w:pPr>
              <w:spacing w:after="0"/>
              <w:rPr>
                <w:sz w:val="7"/>
                <w:szCs w:val="7"/>
                <w:color w:val="auto"/>
              </w:rPr>
            </w:pPr>
          </w:p>
        </w:tc>
        <w:tc>
          <w:tcPr>
            <w:tcW w:w="580" w:type="dxa"/>
            <w:vAlign w:val="bottom"/>
            <w:shd w:val="clear" w:color="auto" w:fill="CF1D4C"/>
          </w:tcPr>
          <w:p>
            <w:pPr>
              <w:spacing w:after="0"/>
              <w:rPr>
                <w:sz w:val="7"/>
                <w:szCs w:val="7"/>
                <w:color w:val="auto"/>
              </w:rPr>
            </w:pPr>
          </w:p>
        </w:tc>
        <w:tc>
          <w:tcPr>
            <w:tcW w:w="700" w:type="dxa"/>
            <w:vAlign w:val="bottom"/>
            <w:shd w:val="clear" w:color="auto" w:fill="CF1D4C"/>
          </w:tcPr>
          <w:p>
            <w:pPr>
              <w:spacing w:after="0"/>
              <w:rPr>
                <w:sz w:val="7"/>
                <w:szCs w:val="7"/>
                <w:color w:val="auto"/>
              </w:rPr>
            </w:pPr>
          </w:p>
        </w:tc>
        <w:tc>
          <w:tcPr>
            <w:tcW w:w="740" w:type="dxa"/>
            <w:vAlign w:val="bottom"/>
            <w:shd w:val="clear" w:color="auto" w:fill="CF1D4C"/>
          </w:tcPr>
          <w:p>
            <w:pPr>
              <w:spacing w:after="0"/>
              <w:rPr>
                <w:sz w:val="7"/>
                <w:szCs w:val="7"/>
                <w:color w:val="auto"/>
              </w:rPr>
            </w:pPr>
          </w:p>
        </w:tc>
        <w:tc>
          <w:tcPr>
            <w:tcW w:w="960" w:type="dxa"/>
            <w:vAlign w:val="bottom"/>
            <w:shd w:val="clear" w:color="auto" w:fill="CF1D4C"/>
          </w:tcPr>
          <w:p>
            <w:pPr>
              <w:spacing w:after="0"/>
              <w:rPr>
                <w:sz w:val="7"/>
                <w:szCs w:val="7"/>
                <w:color w:val="auto"/>
              </w:rPr>
            </w:pPr>
          </w:p>
        </w:tc>
        <w:tc>
          <w:tcPr>
            <w:tcW w:w="720" w:type="dxa"/>
            <w:vAlign w:val="bottom"/>
            <w:shd w:val="clear" w:color="auto" w:fill="CF1D4C"/>
          </w:tcPr>
          <w:p>
            <w:pPr>
              <w:spacing w:after="0"/>
              <w:rPr>
                <w:sz w:val="7"/>
                <w:szCs w:val="7"/>
                <w:color w:val="auto"/>
              </w:rPr>
            </w:pPr>
          </w:p>
        </w:tc>
        <w:tc>
          <w:tcPr>
            <w:tcW w:w="1160" w:type="dxa"/>
            <w:vAlign w:val="bottom"/>
            <w:shd w:val="clear" w:color="auto" w:fill="CF1D4C"/>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160" w:type="dxa"/>
            <w:vAlign w:val="bottom"/>
          </w:tcPr>
          <w:p>
            <w:pPr>
              <w:ind w:left="180"/>
              <w:spacing w:after="0"/>
              <w:rPr>
                <w:sz w:val="20"/>
                <w:szCs w:val="20"/>
                <w:color w:val="auto"/>
              </w:rPr>
            </w:pPr>
            <w:r>
              <w:rPr>
                <w:rFonts w:ascii="Arial" w:cs="Arial" w:eastAsia="Arial" w:hAnsi="Arial"/>
                <w:sz w:val="12"/>
                <w:szCs w:val="12"/>
                <w:color w:val="333333"/>
              </w:rPr>
              <w:t>&lt;$1,446.0</w:t>
            </w:r>
          </w:p>
        </w:tc>
        <w:tc>
          <w:tcPr>
            <w:tcW w:w="780" w:type="dxa"/>
            <w:vAlign w:val="bottom"/>
          </w:tcPr>
          <w:p>
            <w:pPr>
              <w:ind w:left="100"/>
              <w:spacing w:after="0"/>
              <w:rPr>
                <w:sz w:val="20"/>
                <w:szCs w:val="20"/>
                <w:color w:val="auto"/>
              </w:rPr>
            </w:pPr>
            <w:r>
              <w:rPr>
                <w:rFonts w:ascii="Arial" w:cs="Arial" w:eastAsia="Arial" w:hAnsi="Arial"/>
                <w:sz w:val="12"/>
                <w:szCs w:val="12"/>
                <w:color w:val="333333"/>
              </w:rPr>
              <w:t>$​1,446.0</w:t>
            </w:r>
          </w:p>
        </w:tc>
        <w:tc>
          <w:tcPr>
            <w:tcW w:w="780" w:type="dxa"/>
            <w:vAlign w:val="bottom"/>
          </w:tcPr>
          <w:p>
            <w:pPr>
              <w:ind w:left="100"/>
              <w:spacing w:after="0"/>
              <w:rPr>
                <w:sz w:val="20"/>
                <w:szCs w:val="20"/>
                <w:color w:val="auto"/>
              </w:rPr>
            </w:pPr>
            <w:r>
              <w:rPr>
                <w:rFonts w:ascii="Arial" w:cs="Arial" w:eastAsia="Arial" w:hAnsi="Arial"/>
                <w:sz w:val="12"/>
                <w:szCs w:val="12"/>
                <w:color w:val="333333"/>
              </w:rPr>
              <w:t>$​1,460.9</w:t>
            </w:r>
          </w:p>
        </w:tc>
        <w:tc>
          <w:tcPr>
            <w:tcW w:w="600" w:type="dxa"/>
            <w:vAlign w:val="bottom"/>
          </w:tcPr>
          <w:p>
            <w:pPr>
              <w:ind w:left="80"/>
              <w:spacing w:after="0"/>
              <w:rPr>
                <w:sz w:val="20"/>
                <w:szCs w:val="20"/>
                <w:color w:val="auto"/>
              </w:rPr>
            </w:pPr>
            <w:r>
              <w:rPr>
                <w:rFonts w:ascii="Arial" w:cs="Arial" w:eastAsia="Arial" w:hAnsi="Arial"/>
                <w:sz w:val="12"/>
                <w:szCs w:val="12"/>
                <w:color w:val="333333"/>
              </w:rPr>
              <w:t>$​1,475.8</w:t>
            </w:r>
          </w:p>
        </w:tc>
        <w:tc>
          <w:tcPr>
            <w:tcW w:w="580" w:type="dxa"/>
            <w:vAlign w:val="bottom"/>
          </w:tcPr>
          <w:p>
            <w:pPr>
              <w:ind w:left="60"/>
              <w:spacing w:after="0"/>
              <w:rPr>
                <w:sz w:val="20"/>
                <w:szCs w:val="20"/>
                <w:color w:val="auto"/>
              </w:rPr>
            </w:pPr>
            <w:r>
              <w:rPr>
                <w:rFonts w:ascii="Arial" w:cs="Arial" w:eastAsia="Arial" w:hAnsi="Arial"/>
                <w:sz w:val="12"/>
                <w:szCs w:val="12"/>
                <w:color w:val="333333"/>
              </w:rPr>
              <w:t>$​1,490.7</w:t>
            </w:r>
          </w:p>
        </w:tc>
        <w:tc>
          <w:tcPr>
            <w:tcW w:w="580" w:type="dxa"/>
            <w:vAlign w:val="bottom"/>
          </w:tcPr>
          <w:p>
            <w:pPr>
              <w:ind w:left="60"/>
              <w:spacing w:after="0"/>
              <w:rPr>
                <w:sz w:val="20"/>
                <w:szCs w:val="20"/>
                <w:color w:val="auto"/>
              </w:rPr>
            </w:pPr>
            <w:r>
              <w:rPr>
                <w:rFonts w:ascii="Arial" w:cs="Arial" w:eastAsia="Arial" w:hAnsi="Arial"/>
                <w:sz w:val="12"/>
                <w:szCs w:val="12"/>
                <w:color w:val="333333"/>
              </w:rPr>
              <w:t>$​1,505.6</w:t>
            </w:r>
          </w:p>
        </w:tc>
        <w:tc>
          <w:tcPr>
            <w:tcW w:w="700" w:type="dxa"/>
            <w:vAlign w:val="bottom"/>
          </w:tcPr>
          <w:p>
            <w:pPr>
              <w:ind w:left="60"/>
              <w:spacing w:after="0"/>
              <w:rPr>
                <w:sz w:val="20"/>
                <w:szCs w:val="20"/>
                <w:color w:val="auto"/>
              </w:rPr>
            </w:pPr>
            <w:r>
              <w:rPr>
                <w:rFonts w:ascii="Arial" w:cs="Arial" w:eastAsia="Arial" w:hAnsi="Arial"/>
                <w:sz w:val="12"/>
                <w:szCs w:val="12"/>
                <w:color w:val="333333"/>
              </w:rPr>
              <w:t>$​1,520.5</w:t>
            </w:r>
          </w:p>
        </w:tc>
        <w:tc>
          <w:tcPr>
            <w:tcW w:w="740" w:type="dxa"/>
            <w:vAlign w:val="bottom"/>
          </w:tcPr>
          <w:p>
            <w:pPr>
              <w:ind w:left="100"/>
              <w:spacing w:after="0"/>
              <w:rPr>
                <w:sz w:val="20"/>
                <w:szCs w:val="20"/>
                <w:color w:val="auto"/>
              </w:rPr>
            </w:pPr>
            <w:r>
              <w:rPr>
                <w:rFonts w:ascii="Arial" w:cs="Arial" w:eastAsia="Arial" w:hAnsi="Arial"/>
                <w:sz w:val="12"/>
                <w:szCs w:val="12"/>
                <w:color w:val="333333"/>
              </w:rPr>
              <w:t>$​1,535.4</w:t>
            </w:r>
          </w:p>
        </w:tc>
        <w:tc>
          <w:tcPr>
            <w:tcW w:w="960" w:type="dxa"/>
            <w:vAlign w:val="bottom"/>
          </w:tcPr>
          <w:p>
            <w:pPr>
              <w:ind w:left="100"/>
              <w:spacing w:after="0"/>
              <w:rPr>
                <w:sz w:val="20"/>
                <w:szCs w:val="20"/>
                <w:color w:val="auto"/>
              </w:rPr>
            </w:pPr>
            <w:r>
              <w:rPr>
                <w:rFonts w:ascii="Arial" w:cs="Arial" w:eastAsia="Arial" w:hAnsi="Arial"/>
                <w:sz w:val="12"/>
                <w:szCs w:val="12"/>
                <w:color w:val="333333"/>
              </w:rPr>
              <w:t>$​1,473.4</w:t>
            </w:r>
          </w:p>
        </w:tc>
        <w:tc>
          <w:tcPr>
            <w:tcW w:w="720" w:type="dxa"/>
            <w:vAlign w:val="bottom"/>
          </w:tcPr>
          <w:p>
            <w:pPr>
              <w:ind w:left="100"/>
              <w:spacing w:after="0"/>
              <w:rPr>
                <w:sz w:val="20"/>
                <w:szCs w:val="20"/>
                <w:color w:val="auto"/>
              </w:rPr>
            </w:pPr>
            <w:r>
              <w:rPr>
                <w:rFonts w:ascii="Arial" w:cs="Arial" w:eastAsia="Arial" w:hAnsi="Arial"/>
                <w:sz w:val="12"/>
                <w:szCs w:val="12"/>
                <w:color w:val="333333"/>
              </w:rPr>
              <w:t>85%</w:t>
            </w:r>
          </w:p>
        </w:tc>
        <w:tc>
          <w:tcPr>
            <w:tcW w:w="1160" w:type="dxa"/>
            <w:vAlign w:val="bottom"/>
          </w:tcPr>
          <w:p>
            <w:pPr>
              <w:ind w:left="80"/>
              <w:spacing w:after="0"/>
              <w:rPr>
                <w:sz w:val="20"/>
                <w:szCs w:val="20"/>
                <w:color w:val="auto"/>
              </w:rPr>
            </w:pPr>
            <w:r>
              <w:rPr>
                <w:rFonts w:ascii="Arial" w:cs="Arial" w:eastAsia="Arial" w:hAnsi="Arial"/>
                <w:sz w:val="12"/>
                <w:szCs w:val="12"/>
                <w:color w:val="333333"/>
              </w:rPr>
              <w:t>5,090</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60" w:right="760" w:hanging="10"/>
        <w:spacing w:after="0"/>
        <w:tabs>
          <w:tab w:leader="none" w:pos="849" w:val="left"/>
        </w:tabs>
        <w:numPr>
          <w:ilvl w:val="0"/>
          <w:numId w:val="76"/>
        </w:numPr>
        <w:rPr>
          <w:rFonts w:ascii="Arial" w:cs="Arial" w:eastAsia="Arial" w:hAnsi="Arial"/>
          <w:sz w:val="13"/>
          <w:szCs w:val="13"/>
          <w:i w:val="1"/>
          <w:iCs w:val="1"/>
          <w:color w:val="333333"/>
        </w:rPr>
      </w:pPr>
      <w:r>
        <w:rPr>
          <w:rFonts w:ascii="Arial" w:cs="Arial" w:eastAsia="Arial" w:hAnsi="Arial"/>
          <w:sz w:val="13"/>
          <w:szCs w:val="13"/>
          <w:i w:val="1"/>
          <w:iCs w:val="1"/>
          <w:color w:val="333333"/>
        </w:rPr>
        <w:t>Global Fleet net revenue was adjusted (a) to be consistent with the macro-economic environment assumed in the 2023 budget, and (b) for the impact of 2023 acquisitions, but excludes the impact of foreign exchange rates.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125095</wp:posOffset>
            </wp:positionV>
            <wp:extent cx="69951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77"/>
        </w:numPr>
        <w:rPr>
          <w:rFonts w:ascii="Arial" w:cs="Arial" w:eastAsia="Arial" w:hAnsi="Arial"/>
          <w:sz w:val="17"/>
          <w:szCs w:val="17"/>
          <w:b w:val="1"/>
          <w:bCs w:val="1"/>
          <w:color w:val="auto"/>
        </w:rPr>
      </w:pPr>
      <w:r>
        <w:rPr>
          <w:rFonts w:ascii="Arial" w:cs="Arial" w:eastAsia="Arial" w:hAnsi="Arial"/>
          <w:sz w:val="17"/>
          <w:szCs w:val="17"/>
          <w:color w:val="CF1D4C"/>
        </w:rPr>
        <w:t>COMPENSATION DISCUSSION AND ANALYSIS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Stock Option Grants</w:t>
      </w:r>
    </w:p>
    <w:p>
      <w:pPr>
        <w:spacing w:after="0" w:line="248" w:lineRule="exact"/>
        <w:rPr>
          <w:sz w:val="20"/>
          <w:szCs w:val="20"/>
          <w:color w:val="auto"/>
        </w:rPr>
      </w:pPr>
    </w:p>
    <w:p>
      <w:pPr>
        <w:ind w:left="660" w:right="40"/>
        <w:spacing w:after="0" w:line="249" w:lineRule="auto"/>
        <w:rPr>
          <w:sz w:val="20"/>
          <w:szCs w:val="20"/>
          <w:color w:val="auto"/>
        </w:rPr>
      </w:pPr>
      <w:r>
        <w:rPr>
          <w:rFonts w:ascii="Arial" w:cs="Arial" w:eastAsia="Arial" w:hAnsi="Arial"/>
          <w:sz w:val="16"/>
          <w:szCs w:val="16"/>
          <w:color w:val="333333"/>
        </w:rPr>
        <w:t>The exercise price of each stock option grant is the fair market value of our common shares on the grant date (closing stock price). Stock option awards granted to our NEOs, other than Mr. Clarke and Ms. Vickery, in 2023 generally vest ratably over a period of four years and are earned only with continued employment through the vesting period. We believe stock option awards are inherently performance-based, requiring stock price appreciation before there is any real value earned, while encouraging long-term employment with the Company. In January 2023, we granted the stock options set forth below to Messrs. Netto and King. In May 2023, we granted the stock options set forth below to Mr. Panther:</w:t>
      </w:r>
    </w:p>
    <w:p>
      <w:pPr>
        <w:spacing w:after="0" w:line="138" w:lineRule="exact"/>
        <w:rPr>
          <w:sz w:val="20"/>
          <w:szCs w:val="20"/>
          <w:color w:val="auto"/>
        </w:rPr>
      </w:pPr>
    </w:p>
    <w:tbl>
      <w:tblPr>
        <w:tblLayout w:type="fixed"/>
        <w:tblInd w:w="640" w:type="dxa"/>
        <w:tblCellMar>
          <w:top w:w="0" w:type="dxa"/>
          <w:left w:w="0" w:type="dxa"/>
          <w:bottom w:w="0" w:type="dxa"/>
          <w:right w:w="0" w:type="dxa"/>
        </w:tblCellMar>
      </w:tblPr>
      <w:tr>
        <w:trPr>
          <w:trHeight w:val="324"/>
        </w:trPr>
        <w:tc>
          <w:tcPr>
            <w:tcW w:w="140" w:type="dxa"/>
            <w:vAlign w:val="bottom"/>
            <w:shd w:val="clear" w:color="auto" w:fill="CF1D4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520" w:type="dxa"/>
            <w:vAlign w:val="bottom"/>
            <w:vMerge w:val="restart"/>
            <w:shd w:val="clear" w:color="auto" w:fill="CF1D4C"/>
          </w:tcPr>
          <w:p>
            <w:pPr>
              <w:ind w:left="120"/>
              <w:spacing w:after="0"/>
              <w:rPr>
                <w:sz w:val="20"/>
                <w:szCs w:val="20"/>
                <w:color w:val="auto"/>
              </w:rPr>
            </w:pPr>
            <w:r>
              <w:rPr>
                <w:rFonts w:ascii="Arial" w:cs="Arial" w:eastAsia="Arial" w:hAnsi="Arial"/>
                <w:sz w:val="16"/>
                <w:szCs w:val="16"/>
                <w:b w:val="1"/>
                <w:bCs w:val="1"/>
                <w:color w:val="FFFFFF"/>
              </w:rPr>
              <w:t>Named Executive Officer</w:t>
            </w:r>
          </w:p>
        </w:tc>
        <w:tc>
          <w:tcPr>
            <w:tcW w:w="520" w:type="dxa"/>
            <w:vAlign w:val="bottom"/>
            <w:shd w:val="clear" w:color="auto" w:fill="CF1D4C"/>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F1D4C"/>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shd w:val="clear" w:color="auto" w:fill="CF1D4C"/>
          </w:tcPr>
          <w:p>
            <w:pPr>
              <w:ind w:left="40"/>
              <w:spacing w:after="0"/>
              <w:rPr>
                <w:sz w:val="20"/>
                <w:szCs w:val="20"/>
                <w:color w:val="auto"/>
              </w:rPr>
            </w:pPr>
            <w:r>
              <w:rPr>
                <w:rFonts w:ascii="Arial" w:cs="Arial" w:eastAsia="Arial" w:hAnsi="Arial"/>
                <w:sz w:val="16"/>
                <w:szCs w:val="16"/>
                <w:b w:val="1"/>
                <w:bCs w:val="1"/>
                <w:color w:val="FFFFFF"/>
              </w:rPr>
              <w:t># of</w:t>
            </w:r>
          </w:p>
        </w:tc>
        <w:tc>
          <w:tcPr>
            <w:tcW w:w="300" w:type="dxa"/>
            <w:vAlign w:val="bottom"/>
            <w:shd w:val="clear" w:color="auto" w:fill="CF1D4C"/>
          </w:tcPr>
          <w:p>
            <w:pPr>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3"/>
        </w:trPr>
        <w:tc>
          <w:tcPr>
            <w:tcW w:w="140" w:type="dxa"/>
            <w:vAlign w:val="bottom"/>
            <w:shd w:val="clear" w:color="auto" w:fill="CF1D4C"/>
          </w:tcPr>
          <w:p>
            <w:pPr>
              <w:spacing w:after="0"/>
              <w:rPr>
                <w:sz w:val="19"/>
                <w:szCs w:val="19"/>
                <w:color w:val="auto"/>
              </w:rPr>
            </w:pPr>
          </w:p>
        </w:tc>
        <w:tc>
          <w:tcPr>
            <w:tcW w:w="2520" w:type="dxa"/>
            <w:vAlign w:val="bottom"/>
            <w:vMerge w:val="continue"/>
            <w:shd w:val="clear" w:color="auto" w:fill="CF1D4C"/>
          </w:tcPr>
          <w:p>
            <w:pPr>
              <w:spacing w:after="0"/>
              <w:rPr>
                <w:sz w:val="19"/>
                <w:szCs w:val="19"/>
                <w:color w:val="auto"/>
              </w:rPr>
            </w:pPr>
          </w:p>
        </w:tc>
        <w:tc>
          <w:tcPr>
            <w:tcW w:w="520" w:type="dxa"/>
            <w:vAlign w:val="bottom"/>
            <w:shd w:val="clear" w:color="auto" w:fill="CF1D4C"/>
          </w:tcPr>
          <w:p>
            <w:pPr>
              <w:spacing w:after="0"/>
              <w:rPr>
                <w:sz w:val="19"/>
                <w:szCs w:val="19"/>
                <w:color w:val="auto"/>
              </w:rPr>
            </w:pPr>
          </w:p>
        </w:tc>
        <w:tc>
          <w:tcPr>
            <w:tcW w:w="100" w:type="dxa"/>
            <w:vAlign w:val="bottom"/>
            <w:shd w:val="clear" w:color="auto" w:fill="CF1D4C"/>
          </w:tcPr>
          <w:p>
            <w:pPr>
              <w:spacing w:after="0"/>
              <w:rPr>
                <w:sz w:val="19"/>
                <w:szCs w:val="19"/>
                <w:color w:val="auto"/>
              </w:rPr>
            </w:pPr>
          </w:p>
        </w:tc>
        <w:tc>
          <w:tcPr>
            <w:tcW w:w="660" w:type="dxa"/>
            <w:vAlign w:val="bottom"/>
            <w:shd w:val="clear" w:color="auto" w:fill="CF1D4C"/>
          </w:tcPr>
          <w:p>
            <w:pPr>
              <w:ind w:left="40"/>
              <w:spacing w:after="0"/>
              <w:rPr>
                <w:sz w:val="20"/>
                <w:szCs w:val="20"/>
                <w:color w:val="auto"/>
              </w:rPr>
            </w:pPr>
            <w:r>
              <w:rPr>
                <w:rFonts w:ascii="Arial" w:cs="Arial" w:eastAsia="Arial" w:hAnsi="Arial"/>
                <w:sz w:val="16"/>
                <w:szCs w:val="16"/>
                <w:b w:val="1"/>
                <w:bCs w:val="1"/>
                <w:color w:val="FFFFFF"/>
                <w:w w:val="99"/>
              </w:rPr>
              <w:t>Options</w:t>
            </w:r>
          </w:p>
        </w:tc>
        <w:tc>
          <w:tcPr>
            <w:tcW w:w="300" w:type="dxa"/>
            <w:vAlign w:val="bottom"/>
            <w:shd w:val="clear" w:color="auto" w:fill="CF1D4C"/>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140" w:type="dxa"/>
            <w:vAlign w:val="bottom"/>
            <w:shd w:val="clear" w:color="auto" w:fill="CF1D4C"/>
          </w:tcPr>
          <w:p>
            <w:pPr>
              <w:spacing w:after="0"/>
              <w:rPr>
                <w:sz w:val="8"/>
                <w:szCs w:val="8"/>
                <w:color w:val="auto"/>
              </w:rPr>
            </w:pPr>
          </w:p>
        </w:tc>
        <w:tc>
          <w:tcPr>
            <w:tcW w:w="2520" w:type="dxa"/>
            <w:vAlign w:val="bottom"/>
            <w:shd w:val="clear" w:color="auto" w:fill="CF1D4C"/>
          </w:tcPr>
          <w:p>
            <w:pPr>
              <w:spacing w:after="0"/>
              <w:rPr>
                <w:sz w:val="8"/>
                <w:szCs w:val="8"/>
                <w:color w:val="auto"/>
              </w:rPr>
            </w:pPr>
          </w:p>
        </w:tc>
        <w:tc>
          <w:tcPr>
            <w:tcW w:w="520" w:type="dxa"/>
            <w:vAlign w:val="bottom"/>
            <w:shd w:val="clear" w:color="auto" w:fill="CF1D4C"/>
          </w:tcPr>
          <w:p>
            <w:pPr>
              <w:spacing w:after="0"/>
              <w:rPr>
                <w:sz w:val="8"/>
                <w:szCs w:val="8"/>
                <w:color w:val="auto"/>
              </w:rPr>
            </w:pPr>
          </w:p>
        </w:tc>
        <w:tc>
          <w:tcPr>
            <w:tcW w:w="100" w:type="dxa"/>
            <w:vAlign w:val="bottom"/>
            <w:shd w:val="clear" w:color="auto" w:fill="CF1D4C"/>
          </w:tcPr>
          <w:p>
            <w:pPr>
              <w:spacing w:after="0"/>
              <w:rPr>
                <w:sz w:val="8"/>
                <w:szCs w:val="8"/>
                <w:color w:val="auto"/>
              </w:rPr>
            </w:pPr>
          </w:p>
        </w:tc>
        <w:tc>
          <w:tcPr>
            <w:tcW w:w="660" w:type="dxa"/>
            <w:vAlign w:val="bottom"/>
            <w:shd w:val="clear" w:color="auto" w:fill="CF1D4C"/>
          </w:tcPr>
          <w:p>
            <w:pPr>
              <w:spacing w:after="0"/>
              <w:rPr>
                <w:sz w:val="8"/>
                <w:szCs w:val="8"/>
                <w:color w:val="auto"/>
              </w:rPr>
            </w:pPr>
          </w:p>
        </w:tc>
        <w:tc>
          <w:tcPr>
            <w:tcW w:w="300" w:type="dxa"/>
            <w:vAlign w:val="bottom"/>
            <w:shd w:val="clear" w:color="auto" w:fill="CF1D4C"/>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520" w:type="dxa"/>
            <w:vAlign w:val="bottom"/>
          </w:tcPr>
          <w:p>
            <w:pPr>
              <w:ind w:left="120"/>
              <w:spacing w:after="0"/>
              <w:rPr>
                <w:sz w:val="20"/>
                <w:szCs w:val="20"/>
                <w:color w:val="auto"/>
              </w:rPr>
            </w:pPr>
            <w:r>
              <w:rPr>
                <w:rFonts w:ascii="Arial" w:cs="Arial" w:eastAsia="Arial" w:hAnsi="Arial"/>
                <w:sz w:val="16"/>
                <w:szCs w:val="16"/>
                <w:b w:val="1"/>
                <w:bCs w:val="1"/>
                <w:color w:val="333333"/>
              </w:rPr>
              <w:t>Tom Panther</w:t>
            </w:r>
          </w:p>
        </w:tc>
        <w:tc>
          <w:tcPr>
            <w:tcW w:w="520" w:type="dxa"/>
            <w:vAlign w:val="bottom"/>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ind w:left="40"/>
              <w:spacing w:after="0"/>
              <w:rPr>
                <w:sz w:val="20"/>
                <w:szCs w:val="20"/>
                <w:color w:val="auto"/>
              </w:rPr>
            </w:pPr>
            <w:r>
              <w:rPr>
                <w:rFonts w:ascii="Arial" w:cs="Arial" w:eastAsia="Arial" w:hAnsi="Arial"/>
                <w:sz w:val="16"/>
                <w:szCs w:val="16"/>
                <w:color w:val="333333"/>
              </w:rPr>
              <w:t>17,002</w:t>
            </w:r>
          </w:p>
        </w:tc>
        <w:tc>
          <w:tcPr>
            <w:tcW w:w="3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16"/>
        </w:trPr>
        <w:tc>
          <w:tcPr>
            <w:tcW w:w="1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14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520" w:type="dxa"/>
            <w:vAlign w:val="bottom"/>
            <w:shd w:val="clear" w:color="auto" w:fill="D9D9D9"/>
          </w:tcPr>
          <w:p>
            <w:pPr>
              <w:ind w:left="120"/>
              <w:spacing w:after="0"/>
              <w:rPr>
                <w:sz w:val="20"/>
                <w:szCs w:val="20"/>
                <w:color w:val="auto"/>
              </w:rPr>
            </w:pPr>
            <w:r>
              <w:rPr>
                <w:rFonts w:ascii="Arial" w:cs="Arial" w:eastAsia="Arial" w:hAnsi="Arial"/>
                <w:sz w:val="16"/>
                <w:szCs w:val="16"/>
                <w:b w:val="1"/>
                <w:bCs w:val="1"/>
                <w:color w:val="333333"/>
              </w:rPr>
              <w:t>Alissa B. Vickery</w:t>
            </w:r>
          </w:p>
        </w:tc>
        <w:tc>
          <w:tcPr>
            <w:tcW w:w="520" w:type="dxa"/>
            <w:vAlign w:val="bottom"/>
            <w:shd w:val="clear" w:color="auto" w:fill="D9D9D9"/>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D9D9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shd w:val="clear" w:color="auto" w:fill="D9D9D9"/>
          </w:tcPr>
          <w:p>
            <w:pPr>
              <w:ind w:left="40"/>
              <w:spacing w:after="0"/>
              <w:rPr>
                <w:sz w:val="20"/>
                <w:szCs w:val="20"/>
                <w:color w:val="auto"/>
              </w:rPr>
            </w:pPr>
            <w:r>
              <w:rPr>
                <w:rFonts w:ascii="Arial" w:cs="Arial" w:eastAsia="Arial" w:hAnsi="Arial"/>
                <w:sz w:val="16"/>
                <w:szCs w:val="16"/>
                <w:color w:val="333333"/>
              </w:rPr>
              <w:t>—</w:t>
            </w:r>
          </w:p>
        </w:tc>
        <w:tc>
          <w:tcPr>
            <w:tcW w:w="300" w:type="dxa"/>
            <w:vAlign w:val="bottom"/>
            <w:shd w:val="clear" w:color="auto" w:fill="D9D9D9"/>
          </w:tcPr>
          <w:p>
            <w:pPr>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16"/>
        </w:trPr>
        <w:tc>
          <w:tcPr>
            <w:tcW w:w="140" w:type="dxa"/>
            <w:vAlign w:val="bottom"/>
            <w:shd w:val="clear" w:color="auto" w:fill="D9D9D9"/>
          </w:tcPr>
          <w:p>
            <w:pPr>
              <w:spacing w:after="0"/>
              <w:rPr>
                <w:sz w:val="10"/>
                <w:szCs w:val="10"/>
                <w:color w:val="auto"/>
              </w:rPr>
            </w:pPr>
          </w:p>
        </w:tc>
        <w:tc>
          <w:tcPr>
            <w:tcW w:w="252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60" w:type="dxa"/>
            <w:vAlign w:val="bottom"/>
            <w:shd w:val="clear" w:color="auto" w:fill="D9D9D9"/>
          </w:tcPr>
          <w:p>
            <w:pPr>
              <w:spacing w:after="0"/>
              <w:rPr>
                <w:sz w:val="10"/>
                <w:szCs w:val="10"/>
                <w:color w:val="auto"/>
              </w:rPr>
            </w:pPr>
          </w:p>
        </w:tc>
        <w:tc>
          <w:tcPr>
            <w:tcW w:w="3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520" w:type="dxa"/>
            <w:vAlign w:val="bottom"/>
          </w:tcPr>
          <w:p>
            <w:pPr>
              <w:ind w:left="120"/>
              <w:spacing w:after="0"/>
              <w:rPr>
                <w:sz w:val="20"/>
                <w:szCs w:val="20"/>
                <w:color w:val="auto"/>
              </w:rPr>
            </w:pPr>
            <w:r>
              <w:rPr>
                <w:rFonts w:ascii="Arial" w:cs="Arial" w:eastAsia="Arial" w:hAnsi="Arial"/>
                <w:sz w:val="16"/>
                <w:szCs w:val="16"/>
                <w:b w:val="1"/>
                <w:bCs w:val="1"/>
                <w:color w:val="333333"/>
              </w:rPr>
              <w:t>Armando L. Netto</w:t>
            </w:r>
          </w:p>
        </w:tc>
        <w:tc>
          <w:tcPr>
            <w:tcW w:w="520" w:type="dxa"/>
            <w:vAlign w:val="bottom"/>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ind w:left="40"/>
              <w:spacing w:after="0"/>
              <w:rPr>
                <w:sz w:val="20"/>
                <w:szCs w:val="20"/>
                <w:color w:val="auto"/>
              </w:rPr>
            </w:pPr>
            <w:r>
              <w:rPr>
                <w:rFonts w:ascii="Arial" w:cs="Arial" w:eastAsia="Arial" w:hAnsi="Arial"/>
                <w:sz w:val="16"/>
                <w:szCs w:val="16"/>
                <w:color w:val="333333"/>
              </w:rPr>
              <w:t>17,679</w:t>
            </w:r>
          </w:p>
        </w:tc>
        <w:tc>
          <w:tcPr>
            <w:tcW w:w="3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14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520" w:type="dxa"/>
            <w:vAlign w:val="bottom"/>
            <w:shd w:val="clear" w:color="auto" w:fill="D9D9D9"/>
          </w:tcPr>
          <w:p>
            <w:pPr>
              <w:ind w:left="120"/>
              <w:spacing w:after="0"/>
              <w:rPr>
                <w:sz w:val="20"/>
                <w:szCs w:val="20"/>
                <w:color w:val="auto"/>
              </w:rPr>
            </w:pPr>
            <w:r>
              <w:rPr>
                <w:rFonts w:ascii="Arial" w:cs="Arial" w:eastAsia="Arial" w:hAnsi="Arial"/>
                <w:sz w:val="16"/>
                <w:szCs w:val="16"/>
                <w:b w:val="1"/>
                <w:bCs w:val="1"/>
                <w:color w:val="333333"/>
              </w:rPr>
              <w:t>Alan King</w:t>
            </w:r>
          </w:p>
        </w:tc>
        <w:tc>
          <w:tcPr>
            <w:tcW w:w="520" w:type="dxa"/>
            <w:vAlign w:val="bottom"/>
            <w:shd w:val="clear" w:color="auto" w:fill="D9D9D9"/>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D9D9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shd w:val="clear" w:color="auto" w:fill="D9D9D9"/>
          </w:tcPr>
          <w:p>
            <w:pPr>
              <w:ind w:left="40"/>
              <w:spacing w:after="0"/>
              <w:rPr>
                <w:sz w:val="20"/>
                <w:szCs w:val="20"/>
                <w:color w:val="auto"/>
              </w:rPr>
            </w:pPr>
            <w:r>
              <w:rPr>
                <w:rFonts w:ascii="Arial" w:cs="Arial" w:eastAsia="Arial" w:hAnsi="Arial"/>
                <w:sz w:val="16"/>
                <w:szCs w:val="16"/>
                <w:color w:val="333333"/>
              </w:rPr>
              <w:t>17,679</w:t>
            </w:r>
          </w:p>
        </w:tc>
        <w:tc>
          <w:tcPr>
            <w:tcW w:w="300" w:type="dxa"/>
            <w:vAlign w:val="bottom"/>
            <w:shd w:val="clear" w:color="auto" w:fill="D9D9D9"/>
          </w:tcPr>
          <w:p>
            <w:pPr>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48"/>
        </w:trPr>
        <w:tc>
          <w:tcPr>
            <w:tcW w:w="140" w:type="dxa"/>
            <w:vAlign w:val="bottom"/>
            <w:shd w:val="clear" w:color="auto" w:fill="D9D9D9"/>
          </w:tcPr>
          <w:p>
            <w:pPr>
              <w:spacing w:after="0"/>
              <w:rPr>
                <w:sz w:val="4"/>
                <w:szCs w:val="4"/>
                <w:color w:val="auto"/>
              </w:rPr>
            </w:pPr>
          </w:p>
        </w:tc>
        <w:tc>
          <w:tcPr>
            <w:tcW w:w="2520" w:type="dxa"/>
            <w:vAlign w:val="bottom"/>
            <w:shd w:val="clear" w:color="auto" w:fill="D9D9D9"/>
          </w:tcPr>
          <w:p>
            <w:pPr>
              <w:spacing w:after="0"/>
              <w:rPr>
                <w:sz w:val="4"/>
                <w:szCs w:val="4"/>
                <w:color w:val="auto"/>
              </w:rPr>
            </w:pPr>
          </w:p>
        </w:tc>
        <w:tc>
          <w:tcPr>
            <w:tcW w:w="52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660" w:type="dxa"/>
            <w:vAlign w:val="bottom"/>
            <w:shd w:val="clear" w:color="auto" w:fill="D9D9D9"/>
          </w:tcPr>
          <w:p>
            <w:pPr>
              <w:spacing w:after="0"/>
              <w:rPr>
                <w:sz w:val="4"/>
                <w:szCs w:val="4"/>
                <w:color w:val="auto"/>
              </w:rPr>
            </w:pPr>
          </w:p>
        </w:tc>
        <w:tc>
          <w:tcPr>
            <w:tcW w:w="300" w:type="dxa"/>
            <w:vAlign w:val="bottom"/>
            <w:shd w:val="clear" w:color="auto" w:fill="D9D9D9"/>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Other Compensation and Benefits</w:t>
      </w:r>
    </w:p>
    <w:p>
      <w:pPr>
        <w:spacing w:after="0" w:line="235" w:lineRule="exact"/>
        <w:rPr>
          <w:sz w:val="20"/>
          <w:szCs w:val="20"/>
          <w:color w:val="auto"/>
        </w:rPr>
      </w:pPr>
    </w:p>
    <w:p>
      <w:pPr>
        <w:ind w:left="660" w:right="40"/>
        <w:spacing w:after="0" w:line="249" w:lineRule="auto"/>
        <w:rPr>
          <w:sz w:val="20"/>
          <w:szCs w:val="20"/>
          <w:color w:val="auto"/>
        </w:rPr>
      </w:pPr>
      <w:r>
        <w:rPr>
          <w:rFonts w:ascii="Arial" w:cs="Arial" w:eastAsia="Arial" w:hAnsi="Arial"/>
          <w:sz w:val="16"/>
          <w:szCs w:val="16"/>
          <w:b w:val="1"/>
          <w:bCs w:val="1"/>
          <w:color w:val="333333"/>
        </w:rPr>
        <w:t xml:space="preserve">Employee Benefits. </w:t>
      </w:r>
      <w:r>
        <w:rPr>
          <w:rFonts w:ascii="Arial" w:cs="Arial" w:eastAsia="Arial" w:hAnsi="Arial"/>
          <w:sz w:val="16"/>
          <w:szCs w:val="16"/>
          <w:color w:val="333333"/>
        </w:rPr>
        <w:t>All U.S.-based salaried employees</w:t>
      </w:r>
      <w:r>
        <w:rPr>
          <w:rFonts w:ascii="Arial" w:cs="Arial" w:eastAsia="Arial" w:hAnsi="Arial"/>
          <w:sz w:val="16"/>
          <w:szCs w:val="16"/>
          <w:b w:val="1"/>
          <w:bCs w:val="1"/>
          <w:color w:val="333333"/>
        </w:rPr>
        <w:t xml:space="preserve"> </w:t>
      </w:r>
      <w:r>
        <w:rPr>
          <w:rFonts w:ascii="Arial" w:cs="Arial" w:eastAsia="Arial" w:hAnsi="Arial"/>
          <w:sz w:val="16"/>
          <w:szCs w:val="16"/>
          <w:color w:val="333333"/>
        </w:rPr>
        <w:t>including NEOs may participate in a 401(k) plan. Our 401(k) plan provides that we match 25% of an employee’s contribution, up to an employee contribution of 4% of salary. Our NEOs in the U.S. may participate in this 401(k) plan on the same basis as all of our other participating employees. Consistent with local employment practices, our senior executives in Brazil, including Mr. Netto, receive a car allowance on a monthly basis to assist with the cost of transportation. We provide health benefits to all of our eligible employees and pay the premiums for these benefits on behalf of our NEOs. We provide to our NEOs life insurance benefits, long term care insurance and concierge doctor services and also pay these premiums. We do not provide any nonqualified deferred compensation arrangements or defined benefit pension plans to our NEOs.</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46 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39"/>
        <w:spacing w:after="0" w:line="247" w:lineRule="auto"/>
        <w:rPr>
          <w:sz w:val="20"/>
          <w:szCs w:val="20"/>
          <w:color w:val="auto"/>
        </w:rPr>
      </w:pPr>
      <w:r>
        <w:rPr>
          <w:rFonts w:ascii="Arial" w:cs="Arial" w:eastAsia="Arial" w:hAnsi="Arial"/>
          <w:sz w:val="16"/>
          <w:szCs w:val="16"/>
          <w:b w:val="1"/>
          <w:bCs w:val="1"/>
          <w:color w:val="333333"/>
        </w:rPr>
        <w:t xml:space="preserve">Employment Agreements and Offer Letters; Severance and Change-in-Control Benefits. </w:t>
      </w:r>
      <w:r>
        <w:rPr>
          <w:rFonts w:ascii="Arial" w:cs="Arial" w:eastAsia="Arial" w:hAnsi="Arial"/>
          <w:sz w:val="16"/>
          <w:szCs w:val="16"/>
          <w:color w:val="333333"/>
        </w:rPr>
        <w:t>We entered into an</w:t>
      </w:r>
      <w:r>
        <w:rPr>
          <w:rFonts w:ascii="Arial" w:cs="Arial" w:eastAsia="Arial" w:hAnsi="Arial"/>
          <w:sz w:val="16"/>
          <w:szCs w:val="16"/>
          <w:b w:val="1"/>
          <w:bCs w:val="1"/>
          <w:color w:val="333333"/>
        </w:rPr>
        <w:t xml:space="preserve"> </w:t>
      </w:r>
      <w:r>
        <w:rPr>
          <w:rFonts w:ascii="Arial" w:cs="Arial" w:eastAsia="Arial" w:hAnsi="Arial"/>
          <w:sz w:val="16"/>
          <w:szCs w:val="16"/>
          <w:color w:val="333333"/>
        </w:rPr>
        <w:t>employment agreement with our CEO in 2010. We have also entered into offer letter agreements with each of our other NEOs, other than Ms. Vickery. Pursuant to Mr. Clarke's agreement and, with respect to our other NEOs, our historical practice, in the case of an NEO's termination under specific circumstances, they will be entitled to certain severance payments. These severance benefits are discussed below in “Potential Payments Upon Termination or Change in Control.” We provide severance compensation if certain NEOs are terminated without cause to attract and retain qualified executive talent, and, with respect to change in control benefits, to incentivize such NEOs to act in the best interests of our shareholders in the face of a transaction even if they may be terminated as a result. In 2023, after considering market practices, the compensation committee approved a modest increase to the severance compensation payable to our NEOs, other than Mr. Clarke, upon a termination without cause from six months of salary and benefits to one year of salary and benefits. The compensation committee also determined to amend the vesting conditions with respect to our equity compensation awards, other than Mr. Clarke’s 2021 CEO Performance Option, so that they will partially vest in connection with retirement, death, or disability, or fully vest in connection with a change in control, as discussed further below in “Potential Payments Upon Termination or Change in Control.”</w:t>
      </w:r>
    </w:p>
    <w:p>
      <w:pPr>
        <w:spacing w:after="0" w:line="179" w:lineRule="exact"/>
        <w:rPr>
          <w:sz w:val="20"/>
          <w:szCs w:val="20"/>
          <w:color w:val="auto"/>
        </w:rPr>
      </w:pPr>
    </w:p>
    <w:p>
      <w:pPr>
        <w:ind w:right="459"/>
        <w:spacing w:after="0" w:line="256" w:lineRule="auto"/>
        <w:rPr>
          <w:sz w:val="20"/>
          <w:szCs w:val="20"/>
          <w:color w:val="auto"/>
        </w:rPr>
      </w:pPr>
      <w:r>
        <w:rPr>
          <w:rFonts w:ascii="Arial" w:cs="Arial" w:eastAsia="Arial" w:hAnsi="Arial"/>
          <w:sz w:val="16"/>
          <w:szCs w:val="16"/>
          <w:color w:val="333333"/>
        </w:rPr>
        <w:t>In 2023, we provided relocation benefits to Mr. King, in connection with his relocation from the U.K. to the U.S. Also during 2023, we provided vehicle allowances to Messrs. Netto and King. For more information, see the “2023 Summary Compensation Table” below.</w:t>
      </w:r>
    </w:p>
    <w:p>
      <w:pPr>
        <w:sectPr>
          <w:pgSz w:w="11900" w:h="16838" w:orient="portrait"/>
          <w:cols w:equalWidth="0" w:num="2">
            <w:col w:w="4920" w:space="220"/>
            <w:col w:w="4399"/>
          </w:cols>
          <w:pgMar w:left="920" w:top="114"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78"/>
        </w:numPr>
        <w:rPr>
          <w:rFonts w:ascii="Arial" w:cs="Arial" w:eastAsia="Arial" w:hAnsi="Arial"/>
          <w:sz w:val="17"/>
          <w:szCs w:val="17"/>
          <w:b w:val="1"/>
          <w:bCs w:val="1"/>
          <w:color w:val="auto"/>
        </w:rPr>
      </w:pPr>
      <w:r>
        <w:rPr>
          <w:rFonts w:ascii="Arial" w:cs="Arial" w:eastAsia="Arial" w:hAnsi="Arial"/>
          <w:sz w:val="17"/>
          <w:szCs w:val="17"/>
          <w:color w:val="CF1D4C"/>
        </w:rPr>
        <w:t>COMPENSATION DISCUSSION AND ANALYSIS</w:t>
      </w:r>
    </w:p>
    <w:p>
      <w:pPr>
        <w:spacing w:after="0" w:line="200" w:lineRule="exact"/>
        <w:rPr>
          <w:sz w:val="20"/>
          <w:szCs w:val="20"/>
          <w:color w:val="auto"/>
        </w:rPr>
      </w:pPr>
    </w:p>
    <w:p>
      <w:pPr>
        <w:spacing w:after="0" w:line="280" w:lineRule="exact"/>
        <w:rPr>
          <w:sz w:val="20"/>
          <w:szCs w:val="20"/>
          <w:color w:val="auto"/>
        </w:rPr>
      </w:pPr>
    </w:p>
    <w:p>
      <w:pPr>
        <w:ind w:left="660" w:right="1580"/>
        <w:spacing w:after="0" w:line="281" w:lineRule="auto"/>
        <w:rPr>
          <w:sz w:val="20"/>
          <w:szCs w:val="20"/>
          <w:color w:val="auto"/>
        </w:rPr>
      </w:pPr>
      <w:r>
        <w:rPr>
          <w:rFonts w:ascii="Arial" w:cs="Arial" w:eastAsia="Arial" w:hAnsi="Arial"/>
          <w:sz w:val="18"/>
          <w:szCs w:val="18"/>
          <w:b w:val="1"/>
          <w:bCs w:val="1"/>
          <w:color w:val="CF1D4C"/>
        </w:rPr>
        <w:t>Process to Review, Revise, and Set Compensation</w:t>
      </w:r>
    </w:p>
    <w:p>
      <w:pPr>
        <w:spacing w:after="0" w:line="141" w:lineRule="exact"/>
        <w:rPr>
          <w:sz w:val="20"/>
          <w:szCs w:val="20"/>
          <w:color w:val="auto"/>
        </w:rPr>
      </w:pPr>
    </w:p>
    <w:p>
      <w:pPr>
        <w:ind w:left="660" w:right="80"/>
        <w:spacing w:after="0" w:line="256" w:lineRule="auto"/>
        <w:rPr>
          <w:sz w:val="20"/>
          <w:szCs w:val="20"/>
          <w:color w:val="auto"/>
        </w:rPr>
      </w:pPr>
      <w:r>
        <w:rPr>
          <w:rFonts w:ascii="Arial" w:cs="Arial" w:eastAsia="Arial" w:hAnsi="Arial"/>
          <w:sz w:val="16"/>
          <w:szCs w:val="16"/>
          <w:color w:val="333333"/>
        </w:rPr>
        <w:t>The compensation committee is responsible for administering our executive compensation program and making decisions with respect to the compensation paid to our NEOs. In making such decisions, the compensation committee considers a variety of factors, including:</w:t>
      </w:r>
    </w:p>
    <w:p>
      <w:pPr>
        <w:spacing w:after="0" w:line="153" w:lineRule="exact"/>
        <w:rPr>
          <w:sz w:val="20"/>
          <w:szCs w:val="20"/>
          <w:color w:val="auto"/>
        </w:rPr>
      </w:pPr>
    </w:p>
    <w:p>
      <w:pPr>
        <w:ind w:left="880" w:right="260" w:hanging="228"/>
        <w:spacing w:after="0"/>
        <w:rPr>
          <w:sz w:val="20"/>
          <w:szCs w:val="20"/>
          <w:color w:val="auto"/>
        </w:rPr>
      </w:pPr>
      <w:r>
        <w:rPr>
          <w:sz w:val="1"/>
          <w:szCs w:val="1"/>
          <w:color w:val="auto"/>
        </w:rPr>
        <w:drawing>
          <wp:inline distT="0" distB="0" distL="0" distR="0">
            <wp:extent cx="76835" cy="9398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The compensation committee’s evaluation of the competitive market, including referencing peer group data</w:t>
      </w:r>
    </w:p>
    <w:p>
      <w:pPr>
        <w:ind w:left="880" w:right="460" w:hanging="228"/>
        <w:spacing w:after="0"/>
        <w:rPr>
          <w:sz w:val="20"/>
          <w:szCs w:val="20"/>
          <w:color w:val="auto"/>
        </w:rPr>
      </w:pPr>
      <w:r>
        <w:rPr>
          <w:sz w:val="1"/>
          <w:szCs w:val="1"/>
          <w:color w:val="auto"/>
        </w:rPr>
        <w:drawing>
          <wp:inline distT="0" distB="0" distL="0" distR="0">
            <wp:extent cx="76835" cy="9398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The feedback received from our shareholders and proxy advisory firms</w:t>
      </w:r>
    </w:p>
    <w:p>
      <w:pPr>
        <w:ind w:left="880" w:right="620" w:hanging="228"/>
        <w:spacing w:after="0"/>
        <w:rPr>
          <w:sz w:val="20"/>
          <w:szCs w:val="20"/>
          <w:color w:val="auto"/>
        </w:rPr>
      </w:pPr>
      <w:r>
        <w:rPr>
          <w:sz w:val="1"/>
          <w:szCs w:val="1"/>
          <w:color w:val="auto"/>
        </w:rPr>
        <w:drawing>
          <wp:inline distT="0" distB="0" distL="0" distR="0">
            <wp:extent cx="76835" cy="93980"/>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The roles and responsibilities of our executives, including each executive’s impact on creating shareholder value</w:t>
      </w:r>
    </w:p>
    <w:p>
      <w:pPr>
        <w:ind w:left="880" w:right="240" w:hanging="228"/>
        <w:spacing w:after="0"/>
        <w:rPr>
          <w:sz w:val="20"/>
          <w:szCs w:val="20"/>
          <w:color w:val="auto"/>
        </w:rPr>
      </w:pPr>
      <w:r>
        <w:rPr>
          <w:sz w:val="1"/>
          <w:szCs w:val="1"/>
          <w:color w:val="auto"/>
        </w:rPr>
        <w:drawing>
          <wp:inline distT="0" distB="0" distL="0" distR="0">
            <wp:extent cx="76835" cy="9398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The individual experience and skills of, and expected contributions from, our executives</w:t>
      </w:r>
    </w:p>
    <w:p>
      <w:pPr>
        <w:ind w:left="640"/>
        <w:spacing w:after="0"/>
        <w:rPr>
          <w:sz w:val="20"/>
          <w:szCs w:val="20"/>
          <w:color w:val="auto"/>
        </w:rPr>
      </w:pPr>
      <w:r>
        <w:rPr>
          <w:sz w:val="1"/>
          <w:szCs w:val="1"/>
          <w:color w:val="auto"/>
        </w:rPr>
        <w:drawing>
          <wp:inline distT="0" distB="0" distL="0" distR="0">
            <wp:extent cx="76835" cy="9398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Pay relative to other NEOs at the Company</w:t>
      </w:r>
    </w:p>
    <w:p>
      <w:pPr>
        <w:spacing w:after="0" w:line="5" w:lineRule="exact"/>
        <w:rPr>
          <w:sz w:val="20"/>
          <w:szCs w:val="20"/>
          <w:color w:val="auto"/>
        </w:rPr>
      </w:pPr>
    </w:p>
    <w:p>
      <w:pPr>
        <w:ind w:left="880" w:right="320" w:hanging="228"/>
        <w:spacing w:after="0"/>
        <w:rPr>
          <w:sz w:val="20"/>
          <w:szCs w:val="20"/>
          <w:color w:val="auto"/>
        </w:rPr>
      </w:pPr>
      <w:r>
        <w:rPr>
          <w:sz w:val="1"/>
          <w:szCs w:val="1"/>
          <w:color w:val="auto"/>
        </w:rPr>
        <w:drawing>
          <wp:inline distT="0" distB="0" distL="0" distR="0">
            <wp:extent cx="76835" cy="9398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The individual performance of our executives during the year and the historical performance levels of our executives</w:t>
      </w:r>
    </w:p>
    <w:p>
      <w:pPr>
        <w:ind w:left="640"/>
        <w:spacing w:after="0"/>
        <w:rPr>
          <w:sz w:val="20"/>
          <w:szCs w:val="20"/>
          <w:color w:val="auto"/>
        </w:rPr>
      </w:pPr>
      <w:r>
        <w:rPr>
          <w:sz w:val="1"/>
          <w:szCs w:val="1"/>
          <w:color w:val="auto"/>
        </w:rPr>
        <w:drawing>
          <wp:inline distT="0" distB="0" distL="0" distR="0">
            <wp:extent cx="76835" cy="94615"/>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94615"/>
                    </a:xfrm>
                    <a:prstGeom prst="rect">
                      <a:avLst/>
                    </a:prstGeom>
                    <a:noFill/>
                    <a:ln>
                      <a:noFill/>
                    </a:ln>
                  </pic:spPr>
                </pic:pic>
              </a:graphicData>
            </a:graphic>
          </wp:inline>
        </w:drawing>
      </w:r>
      <w:r>
        <w:rPr>
          <w:rFonts w:ascii="Arial" w:cs="Arial" w:eastAsia="Arial" w:hAnsi="Arial"/>
          <w:sz w:val="16"/>
          <w:szCs w:val="16"/>
          <w:color w:val="333333"/>
        </w:rPr>
        <w:t>  Our overall financial performance</w:t>
      </w:r>
    </w:p>
    <w:p>
      <w:pPr>
        <w:spacing w:after="0" w:line="166" w:lineRule="exact"/>
        <w:rPr>
          <w:sz w:val="20"/>
          <w:szCs w:val="20"/>
          <w:color w:val="auto"/>
        </w:rPr>
      </w:pPr>
    </w:p>
    <w:p>
      <w:pPr>
        <w:ind w:left="660" w:right="40"/>
        <w:spacing w:after="0" w:line="249" w:lineRule="auto"/>
        <w:rPr>
          <w:sz w:val="20"/>
          <w:szCs w:val="20"/>
          <w:color w:val="auto"/>
        </w:rPr>
      </w:pPr>
      <w:r>
        <w:rPr>
          <w:rFonts w:ascii="Arial" w:cs="Arial" w:eastAsia="Arial" w:hAnsi="Arial"/>
          <w:sz w:val="16"/>
          <w:szCs w:val="16"/>
          <w:b w:val="1"/>
          <w:bCs w:val="1"/>
          <w:color w:val="333333"/>
        </w:rPr>
        <w:t xml:space="preserve">Role of Independent Compensation Consultant: </w:t>
      </w:r>
      <w:r>
        <w:rPr>
          <w:rFonts w:ascii="Arial" w:cs="Arial" w:eastAsia="Arial" w:hAnsi="Arial"/>
          <w:sz w:val="16"/>
          <w:szCs w:val="16"/>
          <w:color w:val="333333"/>
        </w:rPr>
        <w:t>All</w:t>
      </w:r>
      <w:r>
        <w:rPr>
          <w:rFonts w:ascii="Arial" w:cs="Arial" w:eastAsia="Arial" w:hAnsi="Arial"/>
          <w:sz w:val="16"/>
          <w:szCs w:val="16"/>
          <w:b w:val="1"/>
          <w:bCs w:val="1"/>
          <w:color w:val="333333"/>
        </w:rPr>
        <w:t xml:space="preserve"> </w:t>
      </w:r>
      <w:r>
        <w:rPr>
          <w:rFonts w:ascii="Arial" w:cs="Arial" w:eastAsia="Arial" w:hAnsi="Arial"/>
          <w:sz w:val="16"/>
          <w:szCs w:val="16"/>
          <w:color w:val="333333"/>
        </w:rPr>
        <w:t>services performed by Exequity were conducted under the direction or authority of the compensation committee. The compensation committee has considered the required independence factors outlined by the SEC and NYSE rules in assessing the independence of Exequity. Consideration was also given by the compensation committee under those required independence factors, plus all other relevant factors, to whether the work performed by Exequity could give rise to a potential conflict of interest. Based on this review, the compensation committee did not identify any conflict of interest raised by the work performed by Exequity.</w:t>
      </w:r>
    </w:p>
    <w:p>
      <w:pPr>
        <w:spacing w:after="0" w:line="151" w:lineRule="exact"/>
        <w:rPr>
          <w:sz w:val="20"/>
          <w:szCs w:val="20"/>
          <w:color w:val="auto"/>
        </w:rPr>
      </w:pPr>
    </w:p>
    <w:p>
      <w:pPr>
        <w:ind w:left="660" w:right="40"/>
        <w:spacing w:after="0" w:line="256" w:lineRule="auto"/>
        <w:rPr>
          <w:sz w:val="20"/>
          <w:szCs w:val="20"/>
          <w:color w:val="auto"/>
        </w:rPr>
      </w:pPr>
      <w:r>
        <w:rPr>
          <w:rFonts w:ascii="Arial" w:cs="Arial" w:eastAsia="Arial" w:hAnsi="Arial"/>
          <w:sz w:val="16"/>
          <w:szCs w:val="16"/>
          <w:b w:val="1"/>
          <w:bCs w:val="1"/>
          <w:color w:val="333333"/>
        </w:rPr>
        <w:t xml:space="preserve">Role of Management: </w:t>
      </w:r>
      <w:r>
        <w:rPr>
          <w:rFonts w:ascii="Arial" w:cs="Arial" w:eastAsia="Arial" w:hAnsi="Arial"/>
          <w:sz w:val="16"/>
          <w:szCs w:val="16"/>
          <w:color w:val="333333"/>
        </w:rPr>
        <w:t>Our CEO provides substantial input</w:t>
      </w:r>
      <w:r>
        <w:rPr>
          <w:rFonts w:ascii="Arial" w:cs="Arial" w:eastAsia="Arial" w:hAnsi="Arial"/>
          <w:sz w:val="16"/>
          <w:szCs w:val="16"/>
          <w:b w:val="1"/>
          <w:bCs w:val="1"/>
          <w:color w:val="333333"/>
        </w:rPr>
        <w:t xml:space="preserve"> </w:t>
      </w:r>
      <w:r>
        <w:rPr>
          <w:rFonts w:ascii="Arial" w:cs="Arial" w:eastAsia="Arial" w:hAnsi="Arial"/>
          <w:sz w:val="16"/>
          <w:szCs w:val="16"/>
          <w:color w:val="333333"/>
        </w:rPr>
        <w:t>to the compensation committee in reviewing the performance of the other executive officers and making compensation recommendations for executive officers who report directly to him.</w:t>
      </w:r>
    </w:p>
    <w:p>
      <w:pPr>
        <w:spacing w:after="0" w:line="153" w:lineRule="exact"/>
        <w:rPr>
          <w:sz w:val="20"/>
          <w:szCs w:val="20"/>
          <w:color w:val="auto"/>
        </w:rPr>
      </w:pPr>
    </w:p>
    <w:p>
      <w:pPr>
        <w:ind w:left="660" w:right="40"/>
        <w:spacing w:after="0" w:line="256" w:lineRule="auto"/>
        <w:rPr>
          <w:sz w:val="20"/>
          <w:szCs w:val="20"/>
          <w:color w:val="auto"/>
        </w:rPr>
      </w:pPr>
      <w:r>
        <w:rPr>
          <w:rFonts w:ascii="Arial" w:cs="Arial" w:eastAsia="Arial" w:hAnsi="Arial"/>
          <w:sz w:val="16"/>
          <w:szCs w:val="16"/>
          <w:color w:val="333333"/>
        </w:rPr>
        <w:t>The CEO does not participate in determining the amount of his own compensation. Decisions regarding the compensation of our CEO are made by the compensation committee in executive session, without the CEO being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311785</wp:posOffset>
            </wp:positionV>
            <wp:extent cx="69951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Compensation Peer Group</w:t>
      </w:r>
    </w:p>
    <w:p>
      <w:pPr>
        <w:spacing w:after="0" w:line="216" w:lineRule="exact"/>
        <w:rPr>
          <w:sz w:val="20"/>
          <w:szCs w:val="20"/>
          <w:color w:val="auto"/>
        </w:rPr>
      </w:pPr>
    </w:p>
    <w:p>
      <w:pPr>
        <w:ind w:right="700"/>
        <w:spacing w:after="0" w:line="252" w:lineRule="auto"/>
        <w:rPr>
          <w:sz w:val="20"/>
          <w:szCs w:val="20"/>
          <w:color w:val="auto"/>
        </w:rPr>
      </w:pPr>
      <w:r>
        <w:rPr>
          <w:rFonts w:ascii="Arial" w:cs="Arial" w:eastAsia="Arial" w:hAnsi="Arial"/>
          <w:sz w:val="16"/>
          <w:szCs w:val="16"/>
          <w:color w:val="333333"/>
        </w:rPr>
        <w:t>We considered the compensation levels, programs and practices of industry peer companies in setting compensation for our NEOs by considering market competitiveness and the goal of motivating our executives to appropriately drive corporate performance. The compensation committee periodically reviews and updates the list of companies comprising the peer group to provide an appropriate marketplace focus.</w:t>
      </w:r>
    </w:p>
    <w:p>
      <w:pPr>
        <w:spacing w:after="0" w:line="156" w:lineRule="exact"/>
        <w:rPr>
          <w:sz w:val="20"/>
          <w:szCs w:val="20"/>
          <w:color w:val="auto"/>
        </w:rPr>
      </w:pPr>
    </w:p>
    <w:p>
      <w:pPr>
        <w:ind w:right="700"/>
        <w:spacing w:after="0" w:line="252" w:lineRule="auto"/>
        <w:rPr>
          <w:sz w:val="20"/>
          <w:szCs w:val="20"/>
          <w:color w:val="auto"/>
        </w:rPr>
      </w:pPr>
      <w:r>
        <w:rPr>
          <w:rFonts w:ascii="Arial" w:cs="Arial" w:eastAsia="Arial" w:hAnsi="Arial"/>
          <w:sz w:val="16"/>
          <w:szCs w:val="16"/>
          <w:color w:val="333333"/>
        </w:rPr>
        <w:t>The compensation committee evaluates multiple criteria in determining the appropriate peer group, including industry, revenue, market capitalization, competitors to our various lines of business, business models and profitability. The compensation committee determined that it was appropriate to continue to use the same peer group as in the prior year for purposes of 2023 compensation decisions for our NEOs.</w:t>
      </w:r>
    </w:p>
    <w:p>
      <w:pPr>
        <w:spacing w:after="0" w:line="142" w:lineRule="exact"/>
        <w:rPr>
          <w:sz w:val="20"/>
          <w:szCs w:val="20"/>
          <w:color w:val="auto"/>
        </w:rPr>
      </w:pPr>
    </w:p>
    <w:p>
      <w:pPr>
        <w:ind w:right="680"/>
        <w:spacing w:after="0" w:line="248" w:lineRule="auto"/>
        <w:rPr>
          <w:sz w:val="20"/>
          <w:szCs w:val="20"/>
          <w:color w:val="auto"/>
        </w:rPr>
      </w:pPr>
      <w:r>
        <w:rPr>
          <w:rFonts w:ascii="Arial" w:cs="Arial" w:eastAsia="Arial" w:hAnsi="Arial"/>
          <w:sz w:val="16"/>
          <w:szCs w:val="16"/>
          <w:color w:val="333333"/>
        </w:rPr>
        <w:t>The compensation committee referred to the 2023 Industry Peer Group (as defined below) in setting compensation for 2023 for our NEOs. Generally, the compensation committee references cash-based compensation at or below market levels and equity-based compensation (based on target levels) at or above market levels, resulting in total target compensation at or above the peer median for our CEO and generally below the peer median for our other NEOs. Although the compensation committee includes this market data and its general understanding of current compensation practices in the market in the overall mix of factors it considers in assessing NEO compensation, it does not target a mathematically precise market position for total compensation or any individual element of compensation. Comparisons to the peer group for purposes of this Proxy Statement are based on an adjustment of the peer group compensation data by the Company to account for the passage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47</w:t>
      </w:r>
    </w:p>
    <w:p>
      <w:pPr>
        <w:sectPr>
          <w:pgSz w:w="11900" w:h="16838" w:orient="portrait"/>
          <w:cols w:equalWidth="0" w:num="2">
            <w:col w:w="4920" w:space="220"/>
            <w:col w:w="4900"/>
          </w:cols>
          <w:pgMar w:left="920" w:top="114" w:right="9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CF1D4C"/>
        </w:rPr>
        <w:t>COMPENSATION DISCUSSION AND ANALYSIS</w:t>
      </w:r>
    </w:p>
    <w:p>
      <w:pPr>
        <w:spacing w:after="0" w:line="200" w:lineRule="exact"/>
        <w:rPr>
          <w:sz w:val="20"/>
          <w:szCs w:val="20"/>
          <w:color w:val="auto"/>
        </w:rPr>
      </w:pPr>
    </w:p>
    <w:p>
      <w:pPr>
        <w:spacing w:after="0" w:line="271" w:lineRule="exact"/>
        <w:rPr>
          <w:sz w:val="20"/>
          <w:szCs w:val="20"/>
          <w:color w:val="auto"/>
        </w:rPr>
      </w:pPr>
    </w:p>
    <w:p>
      <w:pPr>
        <w:jc w:val="both"/>
        <w:ind w:left="660" w:right="120"/>
        <w:spacing w:after="0" w:line="266" w:lineRule="auto"/>
        <w:rPr>
          <w:sz w:val="20"/>
          <w:szCs w:val="20"/>
          <w:color w:val="auto"/>
        </w:rPr>
      </w:pPr>
      <w:r>
        <w:rPr>
          <w:rFonts w:ascii="Arial" w:cs="Arial" w:eastAsia="Arial" w:hAnsi="Arial"/>
          <w:sz w:val="16"/>
          <w:szCs w:val="16"/>
          <w:color w:val="auto"/>
        </w:rPr>
        <w:t>The peer group used for purposes of 2023 compensation decisions (the “2023 Industry Peer Group”) is illustrated in the following table:</w:t>
      </w:r>
    </w:p>
    <w:p>
      <w:pPr>
        <w:spacing w:after="0" w:line="50"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160" w:type="dxa"/>
            <w:vAlign w:val="bottom"/>
            <w:shd w:val="clear" w:color="auto" w:fill="CF1D4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shd w:val="clear" w:color="auto" w:fill="CF1D4C"/>
          </w:tcPr>
          <w:p>
            <w:pPr>
              <w:ind w:left="140"/>
              <w:spacing w:after="0"/>
              <w:rPr>
                <w:sz w:val="20"/>
                <w:szCs w:val="20"/>
                <w:color w:val="auto"/>
              </w:rPr>
            </w:pPr>
            <w:r>
              <w:rPr>
                <w:rFonts w:ascii="Arial" w:cs="Arial" w:eastAsia="Arial" w:hAnsi="Arial"/>
                <w:sz w:val="16"/>
                <w:szCs w:val="16"/>
                <w:b w:val="1"/>
                <w:bCs w:val="1"/>
                <w:color w:val="FFFFFF"/>
              </w:rPr>
              <w:t>2023 Industry Peer Group</w:t>
            </w:r>
          </w:p>
        </w:tc>
        <w:tc>
          <w:tcPr>
            <w:tcW w:w="160" w:type="dxa"/>
            <w:vAlign w:val="bottom"/>
            <w:shd w:val="clear" w:color="auto" w:fill="CF1D4C"/>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CF1D4C"/>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CF1D4C"/>
          </w:tcPr>
          <w:p>
            <w:pPr>
              <w:spacing w:after="0"/>
              <w:rPr>
                <w:sz w:val="20"/>
                <w:szCs w:val="20"/>
                <w:color w:val="auto"/>
              </w:rPr>
            </w:pPr>
          </w:p>
        </w:tc>
        <w:tc>
          <w:tcPr>
            <w:tcW w:w="400" w:type="dxa"/>
            <w:vAlign w:val="bottom"/>
            <w:shd w:val="clear" w:color="auto" w:fill="CF1D4C"/>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9"/>
        </w:trPr>
        <w:tc>
          <w:tcPr>
            <w:tcW w:w="160" w:type="dxa"/>
            <w:vAlign w:val="bottom"/>
            <w:shd w:val="clear" w:color="auto" w:fill="CF1D4C"/>
          </w:tcPr>
          <w:p>
            <w:pPr>
              <w:spacing w:after="0"/>
              <w:rPr>
                <w:sz w:val="19"/>
                <w:szCs w:val="19"/>
                <w:color w:val="auto"/>
              </w:rPr>
            </w:pPr>
          </w:p>
        </w:tc>
        <w:tc>
          <w:tcPr>
            <w:tcW w:w="2960" w:type="dxa"/>
            <w:vAlign w:val="bottom"/>
            <w:shd w:val="clear" w:color="auto" w:fill="CF1D4C"/>
          </w:tcPr>
          <w:p>
            <w:pPr>
              <w:spacing w:after="0"/>
              <w:rPr>
                <w:sz w:val="19"/>
                <w:szCs w:val="19"/>
                <w:color w:val="auto"/>
              </w:rPr>
            </w:pPr>
          </w:p>
        </w:tc>
        <w:tc>
          <w:tcPr>
            <w:tcW w:w="160" w:type="dxa"/>
            <w:vAlign w:val="bottom"/>
            <w:shd w:val="clear" w:color="auto" w:fill="CF1D4C"/>
          </w:tcPr>
          <w:p>
            <w:pPr>
              <w:spacing w:after="0"/>
              <w:rPr>
                <w:sz w:val="19"/>
                <w:szCs w:val="19"/>
                <w:color w:val="auto"/>
              </w:rPr>
            </w:pPr>
          </w:p>
        </w:tc>
        <w:tc>
          <w:tcPr>
            <w:tcW w:w="220" w:type="dxa"/>
            <w:vAlign w:val="bottom"/>
            <w:shd w:val="clear" w:color="auto" w:fill="CF1D4C"/>
          </w:tcPr>
          <w:p>
            <w:pPr>
              <w:spacing w:after="0"/>
              <w:rPr>
                <w:sz w:val="19"/>
                <w:szCs w:val="19"/>
                <w:color w:val="auto"/>
              </w:rPr>
            </w:pPr>
          </w:p>
        </w:tc>
        <w:tc>
          <w:tcPr>
            <w:tcW w:w="340" w:type="dxa"/>
            <w:vAlign w:val="bottom"/>
            <w:shd w:val="clear" w:color="auto" w:fill="CF1D4C"/>
          </w:tcPr>
          <w:p>
            <w:pPr>
              <w:spacing w:after="0"/>
              <w:rPr>
                <w:sz w:val="19"/>
                <w:szCs w:val="19"/>
                <w:color w:val="auto"/>
              </w:rPr>
            </w:pPr>
          </w:p>
        </w:tc>
        <w:tc>
          <w:tcPr>
            <w:tcW w:w="400" w:type="dxa"/>
            <w:vAlign w:val="bottom"/>
            <w:shd w:val="clear" w:color="auto" w:fill="CF1D4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tcPr>
          <w:p>
            <w:pPr>
              <w:ind w:left="140"/>
              <w:spacing w:after="0"/>
              <w:rPr>
                <w:sz w:val="20"/>
                <w:szCs w:val="20"/>
                <w:color w:val="auto"/>
              </w:rPr>
            </w:pPr>
            <w:r>
              <w:rPr>
                <w:rFonts w:ascii="Arial" w:cs="Arial" w:eastAsia="Arial" w:hAnsi="Arial"/>
                <w:sz w:val="16"/>
                <w:szCs w:val="16"/>
                <w:color w:val="333333"/>
              </w:rPr>
              <w:t>Alliance Data Systems Corporation</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40"/>
              <w:spacing w:after="0"/>
              <w:rPr>
                <w:sz w:val="20"/>
                <w:szCs w:val="20"/>
                <w:color w:val="auto"/>
              </w:rPr>
            </w:pPr>
            <w:r>
              <w:rPr>
                <w:rFonts w:ascii="Arial" w:cs="Arial" w:eastAsia="Arial" w:hAnsi="Arial"/>
                <w:sz w:val="16"/>
                <w:szCs w:val="16"/>
                <w:color w:val="333333"/>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Automatic Data Processing, Inc.</w:t>
            </w:r>
          </w:p>
        </w:tc>
        <w:tc>
          <w:tcPr>
            <w:tcW w:w="1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D9D9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w:t>
            </w:r>
          </w:p>
        </w:tc>
        <w:tc>
          <w:tcPr>
            <w:tcW w:w="40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0"/>
        </w:trPr>
        <w:tc>
          <w:tcPr>
            <w:tcW w:w="160" w:type="dxa"/>
            <w:vAlign w:val="bottom"/>
            <w:shd w:val="clear" w:color="auto" w:fill="D9D9D9"/>
          </w:tcPr>
          <w:p>
            <w:pPr>
              <w:spacing w:after="0"/>
              <w:rPr>
                <w:sz w:val="19"/>
                <w:szCs w:val="19"/>
                <w:color w:val="auto"/>
              </w:rPr>
            </w:pPr>
          </w:p>
        </w:tc>
        <w:tc>
          <w:tcPr>
            <w:tcW w:w="29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40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tcPr>
          <w:p>
            <w:pPr>
              <w:ind w:left="140"/>
              <w:spacing w:after="0"/>
              <w:rPr>
                <w:sz w:val="20"/>
                <w:szCs w:val="20"/>
                <w:color w:val="auto"/>
              </w:rPr>
            </w:pPr>
            <w:r>
              <w:rPr>
                <w:rFonts w:ascii="Arial" w:cs="Arial" w:eastAsia="Arial" w:hAnsi="Arial"/>
                <w:sz w:val="16"/>
                <w:szCs w:val="16"/>
                <w:color w:val="333333"/>
              </w:rPr>
              <w:t>Black Knight, Inc.</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40"/>
              <w:spacing w:after="0"/>
              <w:rPr>
                <w:sz w:val="20"/>
                <w:szCs w:val="20"/>
                <w:color w:val="auto"/>
              </w:rPr>
            </w:pPr>
            <w:r>
              <w:rPr>
                <w:rFonts w:ascii="Arial" w:cs="Arial" w:eastAsia="Arial" w:hAnsi="Arial"/>
                <w:sz w:val="16"/>
                <w:szCs w:val="16"/>
                <w:color w:val="333333"/>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Broadridge Financial Solutions, Inc.</w:t>
            </w:r>
          </w:p>
        </w:tc>
        <w:tc>
          <w:tcPr>
            <w:tcW w:w="1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D9D9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w:t>
            </w:r>
          </w:p>
        </w:tc>
        <w:tc>
          <w:tcPr>
            <w:tcW w:w="40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9"/>
        </w:trPr>
        <w:tc>
          <w:tcPr>
            <w:tcW w:w="160" w:type="dxa"/>
            <w:vAlign w:val="bottom"/>
            <w:shd w:val="clear" w:color="auto" w:fill="D9D9D9"/>
          </w:tcPr>
          <w:p>
            <w:pPr>
              <w:spacing w:after="0"/>
              <w:rPr>
                <w:sz w:val="19"/>
                <w:szCs w:val="19"/>
                <w:color w:val="auto"/>
              </w:rPr>
            </w:pPr>
          </w:p>
        </w:tc>
        <w:tc>
          <w:tcPr>
            <w:tcW w:w="29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40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tcPr>
          <w:p>
            <w:pPr>
              <w:ind w:left="140"/>
              <w:spacing w:after="0"/>
              <w:rPr>
                <w:sz w:val="20"/>
                <w:szCs w:val="20"/>
                <w:color w:val="auto"/>
              </w:rPr>
            </w:pPr>
            <w:r>
              <w:rPr>
                <w:rFonts w:ascii="Arial" w:cs="Arial" w:eastAsia="Arial" w:hAnsi="Arial"/>
                <w:sz w:val="16"/>
                <w:szCs w:val="16"/>
                <w:color w:val="333333"/>
              </w:rPr>
              <w:t>Ceridian HCM Holding Inc.</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40"/>
              <w:spacing w:after="0"/>
              <w:rPr>
                <w:sz w:val="20"/>
                <w:szCs w:val="20"/>
                <w:color w:val="auto"/>
              </w:rPr>
            </w:pPr>
            <w:r>
              <w:rPr>
                <w:rFonts w:ascii="Arial" w:cs="Arial" w:eastAsia="Arial" w:hAnsi="Arial"/>
                <w:sz w:val="16"/>
                <w:szCs w:val="16"/>
                <w:color w:val="333333"/>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Equifax Inc.</w:t>
            </w:r>
          </w:p>
        </w:tc>
        <w:tc>
          <w:tcPr>
            <w:tcW w:w="1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D9D9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w:t>
            </w:r>
          </w:p>
        </w:tc>
        <w:tc>
          <w:tcPr>
            <w:tcW w:w="40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0"/>
        </w:trPr>
        <w:tc>
          <w:tcPr>
            <w:tcW w:w="160" w:type="dxa"/>
            <w:vAlign w:val="bottom"/>
            <w:shd w:val="clear" w:color="auto" w:fill="D9D9D9"/>
          </w:tcPr>
          <w:p>
            <w:pPr>
              <w:spacing w:after="0"/>
              <w:rPr>
                <w:sz w:val="19"/>
                <w:szCs w:val="19"/>
                <w:color w:val="auto"/>
              </w:rPr>
            </w:pPr>
          </w:p>
        </w:tc>
        <w:tc>
          <w:tcPr>
            <w:tcW w:w="29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40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tcPr>
          <w:p>
            <w:pPr>
              <w:ind w:left="140"/>
              <w:spacing w:after="0"/>
              <w:rPr>
                <w:sz w:val="20"/>
                <w:szCs w:val="20"/>
                <w:color w:val="auto"/>
              </w:rPr>
            </w:pPr>
            <w:r>
              <w:rPr>
                <w:rFonts w:ascii="Arial" w:cs="Arial" w:eastAsia="Arial" w:hAnsi="Arial"/>
                <w:sz w:val="16"/>
                <w:szCs w:val="16"/>
                <w:color w:val="333333"/>
              </w:rPr>
              <w:t>Euronet Worldwide, Inc.</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40"/>
              <w:spacing w:after="0"/>
              <w:rPr>
                <w:sz w:val="20"/>
                <w:szCs w:val="20"/>
                <w:color w:val="auto"/>
              </w:rPr>
            </w:pPr>
            <w:r>
              <w:rPr>
                <w:rFonts w:ascii="Arial" w:cs="Arial" w:eastAsia="Arial" w:hAnsi="Arial"/>
                <w:sz w:val="16"/>
                <w:szCs w:val="16"/>
                <w:color w:val="333333"/>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Fair Isaac Corporation</w:t>
            </w:r>
          </w:p>
        </w:tc>
        <w:tc>
          <w:tcPr>
            <w:tcW w:w="1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D9D9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w:t>
            </w:r>
          </w:p>
        </w:tc>
        <w:tc>
          <w:tcPr>
            <w:tcW w:w="40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9"/>
        </w:trPr>
        <w:tc>
          <w:tcPr>
            <w:tcW w:w="160" w:type="dxa"/>
            <w:vAlign w:val="bottom"/>
            <w:shd w:val="clear" w:color="auto" w:fill="D9D9D9"/>
          </w:tcPr>
          <w:p>
            <w:pPr>
              <w:spacing w:after="0"/>
              <w:rPr>
                <w:sz w:val="19"/>
                <w:szCs w:val="19"/>
                <w:color w:val="auto"/>
              </w:rPr>
            </w:pPr>
          </w:p>
        </w:tc>
        <w:tc>
          <w:tcPr>
            <w:tcW w:w="29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40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tcPr>
          <w:p>
            <w:pPr>
              <w:ind w:left="140"/>
              <w:spacing w:after="0"/>
              <w:rPr>
                <w:sz w:val="20"/>
                <w:szCs w:val="20"/>
                <w:color w:val="auto"/>
              </w:rPr>
            </w:pPr>
            <w:r>
              <w:rPr>
                <w:rFonts w:ascii="Arial" w:cs="Arial" w:eastAsia="Arial" w:hAnsi="Arial"/>
                <w:sz w:val="16"/>
                <w:szCs w:val="16"/>
                <w:color w:val="333333"/>
              </w:rPr>
              <w:t>Fidelity National Information Services,</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vMerge w:val="restart"/>
          </w:tcPr>
          <w:p>
            <w:pPr>
              <w:ind w:left="140"/>
              <w:spacing w:after="0"/>
              <w:rPr>
                <w:sz w:val="20"/>
                <w:szCs w:val="20"/>
                <w:color w:val="auto"/>
              </w:rPr>
            </w:pPr>
            <w:r>
              <w:rPr>
                <w:rFonts w:ascii="Arial" w:cs="Arial" w:eastAsia="Arial" w:hAnsi="Arial"/>
                <w:sz w:val="16"/>
                <w:szCs w:val="16"/>
                <w:color w:val="333333"/>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Arial" w:cs="Arial" w:eastAsia="Arial" w:hAnsi="Arial"/>
                <w:sz w:val="16"/>
                <w:szCs w:val="16"/>
                <w:color w:val="333333"/>
              </w:rPr>
              <w:t>Inc.</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Fiserv, Inc.</w:t>
            </w:r>
          </w:p>
        </w:tc>
        <w:tc>
          <w:tcPr>
            <w:tcW w:w="1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D9D9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w:t>
            </w:r>
          </w:p>
        </w:tc>
        <w:tc>
          <w:tcPr>
            <w:tcW w:w="40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9"/>
        </w:trPr>
        <w:tc>
          <w:tcPr>
            <w:tcW w:w="160" w:type="dxa"/>
            <w:vAlign w:val="bottom"/>
            <w:shd w:val="clear" w:color="auto" w:fill="D9D9D9"/>
          </w:tcPr>
          <w:p>
            <w:pPr>
              <w:spacing w:after="0"/>
              <w:rPr>
                <w:sz w:val="19"/>
                <w:szCs w:val="19"/>
                <w:color w:val="auto"/>
              </w:rPr>
            </w:pPr>
          </w:p>
        </w:tc>
        <w:tc>
          <w:tcPr>
            <w:tcW w:w="29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40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tcPr>
          <w:p>
            <w:pPr>
              <w:ind w:left="140"/>
              <w:spacing w:after="0"/>
              <w:rPr>
                <w:sz w:val="20"/>
                <w:szCs w:val="20"/>
                <w:color w:val="auto"/>
              </w:rPr>
            </w:pPr>
            <w:r>
              <w:rPr>
                <w:rFonts w:ascii="Arial" w:cs="Arial" w:eastAsia="Arial" w:hAnsi="Arial"/>
                <w:sz w:val="16"/>
                <w:szCs w:val="16"/>
                <w:color w:val="333333"/>
              </w:rPr>
              <w:t>Global Payments Inc.</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40"/>
              <w:spacing w:after="0"/>
              <w:rPr>
                <w:sz w:val="20"/>
                <w:szCs w:val="20"/>
                <w:color w:val="auto"/>
              </w:rPr>
            </w:pPr>
            <w:r>
              <w:rPr>
                <w:rFonts w:ascii="Arial" w:cs="Arial" w:eastAsia="Arial" w:hAnsi="Arial"/>
                <w:sz w:val="16"/>
                <w:szCs w:val="16"/>
                <w:color w:val="333333"/>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Intuit Inc.</w:t>
            </w:r>
          </w:p>
        </w:tc>
        <w:tc>
          <w:tcPr>
            <w:tcW w:w="1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D9D9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w:t>
            </w:r>
          </w:p>
        </w:tc>
        <w:tc>
          <w:tcPr>
            <w:tcW w:w="40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9"/>
        </w:trPr>
        <w:tc>
          <w:tcPr>
            <w:tcW w:w="160" w:type="dxa"/>
            <w:vAlign w:val="bottom"/>
            <w:shd w:val="clear" w:color="auto" w:fill="D9D9D9"/>
          </w:tcPr>
          <w:p>
            <w:pPr>
              <w:spacing w:after="0"/>
              <w:rPr>
                <w:sz w:val="19"/>
                <w:szCs w:val="19"/>
                <w:color w:val="auto"/>
              </w:rPr>
            </w:pPr>
          </w:p>
        </w:tc>
        <w:tc>
          <w:tcPr>
            <w:tcW w:w="29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40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tcPr>
          <w:p>
            <w:pPr>
              <w:ind w:left="140"/>
              <w:spacing w:after="0"/>
              <w:rPr>
                <w:sz w:val="20"/>
                <w:szCs w:val="20"/>
                <w:color w:val="auto"/>
              </w:rPr>
            </w:pPr>
            <w:r>
              <w:rPr>
                <w:rFonts w:ascii="Arial" w:cs="Arial" w:eastAsia="Arial" w:hAnsi="Arial"/>
                <w:sz w:val="16"/>
                <w:szCs w:val="16"/>
                <w:color w:val="333333"/>
              </w:rPr>
              <w:t>Jack Henry &amp; Associates, Inc.</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40"/>
              <w:spacing w:after="0"/>
              <w:rPr>
                <w:sz w:val="20"/>
                <w:szCs w:val="20"/>
                <w:color w:val="auto"/>
              </w:rPr>
            </w:pPr>
            <w:r>
              <w:rPr>
                <w:rFonts w:ascii="Arial" w:cs="Arial" w:eastAsia="Arial" w:hAnsi="Arial"/>
                <w:sz w:val="16"/>
                <w:szCs w:val="16"/>
                <w:color w:val="333333"/>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Mastercard Incorporated</w:t>
            </w:r>
          </w:p>
        </w:tc>
        <w:tc>
          <w:tcPr>
            <w:tcW w:w="1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D9D9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w:t>
            </w:r>
          </w:p>
        </w:tc>
        <w:tc>
          <w:tcPr>
            <w:tcW w:w="40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9"/>
        </w:trPr>
        <w:tc>
          <w:tcPr>
            <w:tcW w:w="160" w:type="dxa"/>
            <w:vAlign w:val="bottom"/>
            <w:shd w:val="clear" w:color="auto" w:fill="D9D9D9"/>
          </w:tcPr>
          <w:p>
            <w:pPr>
              <w:spacing w:after="0"/>
              <w:rPr>
                <w:sz w:val="19"/>
                <w:szCs w:val="19"/>
                <w:color w:val="auto"/>
              </w:rPr>
            </w:pPr>
          </w:p>
        </w:tc>
        <w:tc>
          <w:tcPr>
            <w:tcW w:w="29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40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tcPr>
          <w:p>
            <w:pPr>
              <w:ind w:left="140"/>
              <w:spacing w:after="0"/>
              <w:rPr>
                <w:sz w:val="20"/>
                <w:szCs w:val="20"/>
                <w:color w:val="auto"/>
              </w:rPr>
            </w:pPr>
            <w:r>
              <w:rPr>
                <w:rFonts w:ascii="Arial" w:cs="Arial" w:eastAsia="Arial" w:hAnsi="Arial"/>
                <w:sz w:val="16"/>
                <w:szCs w:val="16"/>
                <w:color w:val="333333"/>
              </w:rPr>
              <w:t>Paychex, Inc.</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40"/>
              <w:spacing w:after="0"/>
              <w:rPr>
                <w:sz w:val="20"/>
                <w:szCs w:val="20"/>
                <w:color w:val="auto"/>
              </w:rPr>
            </w:pPr>
            <w:r>
              <w:rPr>
                <w:rFonts w:ascii="Arial" w:cs="Arial" w:eastAsia="Arial" w:hAnsi="Arial"/>
                <w:sz w:val="16"/>
                <w:szCs w:val="16"/>
                <w:color w:val="333333"/>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Paycom Software, Inc.</w:t>
            </w:r>
          </w:p>
        </w:tc>
        <w:tc>
          <w:tcPr>
            <w:tcW w:w="1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D9D9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w:t>
            </w:r>
          </w:p>
        </w:tc>
        <w:tc>
          <w:tcPr>
            <w:tcW w:w="40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9"/>
        </w:trPr>
        <w:tc>
          <w:tcPr>
            <w:tcW w:w="160" w:type="dxa"/>
            <w:vAlign w:val="bottom"/>
            <w:shd w:val="clear" w:color="auto" w:fill="D9D9D9"/>
          </w:tcPr>
          <w:p>
            <w:pPr>
              <w:spacing w:after="0"/>
              <w:rPr>
                <w:sz w:val="19"/>
                <w:szCs w:val="19"/>
                <w:color w:val="auto"/>
              </w:rPr>
            </w:pPr>
          </w:p>
        </w:tc>
        <w:tc>
          <w:tcPr>
            <w:tcW w:w="29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40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tcPr>
          <w:p>
            <w:pPr>
              <w:ind w:left="140"/>
              <w:spacing w:after="0"/>
              <w:rPr>
                <w:sz w:val="20"/>
                <w:szCs w:val="20"/>
                <w:color w:val="auto"/>
              </w:rPr>
            </w:pPr>
            <w:r>
              <w:rPr>
                <w:rFonts w:ascii="Arial" w:cs="Arial" w:eastAsia="Arial" w:hAnsi="Arial"/>
                <w:sz w:val="16"/>
                <w:szCs w:val="16"/>
                <w:color w:val="333333"/>
              </w:rPr>
              <w:t>SS&amp;C Technologies Holdings, Inc.</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40"/>
              <w:spacing w:after="0"/>
              <w:rPr>
                <w:sz w:val="20"/>
                <w:szCs w:val="20"/>
                <w:color w:val="auto"/>
              </w:rPr>
            </w:pPr>
            <w:r>
              <w:rPr>
                <w:rFonts w:ascii="Arial" w:cs="Arial" w:eastAsia="Arial" w:hAnsi="Arial"/>
                <w:sz w:val="16"/>
                <w:szCs w:val="16"/>
                <w:color w:val="333333"/>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6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Wex, Inc.</w:t>
            </w:r>
          </w:p>
        </w:tc>
        <w:tc>
          <w:tcPr>
            <w:tcW w:w="1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D9D9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D9D9D9"/>
          </w:tcPr>
          <w:p>
            <w:pPr>
              <w:ind w:left="140"/>
              <w:spacing w:after="0"/>
              <w:rPr>
                <w:sz w:val="20"/>
                <w:szCs w:val="20"/>
                <w:color w:val="auto"/>
              </w:rPr>
            </w:pPr>
            <w:r>
              <w:rPr>
                <w:rFonts w:ascii="Arial" w:cs="Arial" w:eastAsia="Arial" w:hAnsi="Arial"/>
                <w:sz w:val="16"/>
                <w:szCs w:val="16"/>
                <w:color w:val="333333"/>
              </w:rPr>
              <w:t>√</w:t>
            </w:r>
          </w:p>
        </w:tc>
        <w:tc>
          <w:tcPr>
            <w:tcW w:w="40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52"/>
        </w:trPr>
        <w:tc>
          <w:tcPr>
            <w:tcW w:w="160" w:type="dxa"/>
            <w:vAlign w:val="bottom"/>
            <w:shd w:val="clear" w:color="auto" w:fill="D9D9D9"/>
          </w:tcPr>
          <w:p>
            <w:pPr>
              <w:spacing w:after="0"/>
              <w:rPr>
                <w:sz w:val="13"/>
                <w:szCs w:val="13"/>
                <w:color w:val="auto"/>
              </w:rPr>
            </w:pPr>
          </w:p>
        </w:tc>
        <w:tc>
          <w:tcPr>
            <w:tcW w:w="296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340" w:type="dxa"/>
            <w:vAlign w:val="bottom"/>
            <w:shd w:val="clear" w:color="auto" w:fill="D9D9D9"/>
          </w:tcPr>
          <w:p>
            <w:pPr>
              <w:spacing w:after="0"/>
              <w:rPr>
                <w:sz w:val="13"/>
                <w:szCs w:val="13"/>
                <w:color w:val="auto"/>
              </w:rPr>
            </w:pPr>
          </w:p>
        </w:tc>
        <w:tc>
          <w:tcPr>
            <w:tcW w:w="4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48 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539"/>
        <w:spacing w:after="0" w:line="281" w:lineRule="auto"/>
        <w:rPr>
          <w:sz w:val="20"/>
          <w:szCs w:val="20"/>
          <w:color w:val="auto"/>
        </w:rPr>
      </w:pPr>
      <w:r>
        <w:rPr>
          <w:rFonts w:ascii="Arial" w:cs="Arial" w:eastAsia="Arial" w:hAnsi="Arial"/>
          <w:sz w:val="18"/>
          <w:szCs w:val="18"/>
          <w:b w:val="1"/>
          <w:bCs w:val="1"/>
          <w:color w:val="CF1D4C"/>
        </w:rPr>
        <w:t>Information on Other Compensation- Related Topics</w:t>
      </w:r>
    </w:p>
    <w:p>
      <w:pPr>
        <w:spacing w:after="0" w:line="141" w:lineRule="exact"/>
        <w:rPr>
          <w:sz w:val="20"/>
          <w:szCs w:val="20"/>
          <w:color w:val="auto"/>
        </w:rPr>
      </w:pPr>
    </w:p>
    <w:p>
      <w:pPr>
        <w:ind w:right="179"/>
        <w:spacing w:after="0" w:line="253" w:lineRule="auto"/>
        <w:rPr>
          <w:sz w:val="20"/>
          <w:szCs w:val="20"/>
          <w:color w:val="auto"/>
        </w:rPr>
      </w:pPr>
      <w:r>
        <w:rPr>
          <w:rFonts w:ascii="Arial" w:cs="Arial" w:eastAsia="Arial" w:hAnsi="Arial"/>
          <w:sz w:val="16"/>
          <w:szCs w:val="16"/>
          <w:b w:val="1"/>
          <w:bCs w:val="1"/>
          <w:color w:val="333333"/>
        </w:rPr>
        <w:t xml:space="preserve">Stock Ownership Policy. </w:t>
      </w:r>
      <w:r>
        <w:rPr>
          <w:rFonts w:ascii="Arial" w:cs="Arial" w:eastAsia="Arial" w:hAnsi="Arial"/>
          <w:sz w:val="16"/>
          <w:szCs w:val="16"/>
          <w:color w:val="333333"/>
        </w:rPr>
        <w:t>Our executive officers (other</w:t>
      </w:r>
      <w:r>
        <w:rPr>
          <w:rFonts w:ascii="Arial" w:cs="Arial" w:eastAsia="Arial" w:hAnsi="Arial"/>
          <w:sz w:val="16"/>
          <w:szCs w:val="16"/>
          <w:b w:val="1"/>
          <w:bCs w:val="1"/>
          <w:color w:val="333333"/>
        </w:rPr>
        <w:t xml:space="preserve"> </w:t>
      </w:r>
      <w:r>
        <w:rPr>
          <w:rFonts w:ascii="Arial" w:cs="Arial" w:eastAsia="Arial" w:hAnsi="Arial"/>
          <w:sz w:val="16"/>
          <w:szCs w:val="16"/>
          <w:color w:val="333333"/>
        </w:rPr>
        <w:t>than Ms. Vickery) are subject to stock ownership requirements (expressed as a multiple of base salary). In response to input in our shareholder outreach process, we increased the stock ownership guideline requirements in 2019 to the following levels (which must be obtained within five years):</w:t>
      </w:r>
    </w:p>
    <w:p>
      <w:pPr>
        <w:spacing w:after="0" w:line="154"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xml:space="preserve">  </w:t>
      </w:r>
      <w:r>
        <w:rPr>
          <w:rFonts w:ascii="Arial" w:cs="Arial" w:eastAsia="Arial" w:hAnsi="Arial"/>
          <w:sz w:val="16"/>
          <w:szCs w:val="16"/>
          <w:b w:val="1"/>
          <w:bCs w:val="1"/>
          <w:color w:val="333333"/>
        </w:rPr>
        <w:t>Chief Executive Officer 6x</w:t>
      </w:r>
    </w:p>
    <w:p>
      <w:pPr>
        <w:spacing w:after="0" w:line="19"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xml:space="preserve">  </w:t>
      </w:r>
      <w:r>
        <w:rPr>
          <w:rFonts w:ascii="Arial" w:cs="Arial" w:eastAsia="Arial" w:hAnsi="Arial"/>
          <w:sz w:val="16"/>
          <w:szCs w:val="16"/>
          <w:b w:val="1"/>
          <w:bCs w:val="1"/>
          <w:color w:val="333333"/>
        </w:rPr>
        <w:t>Chief Financial Officer 4x</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4615"/>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333333"/>
        </w:rPr>
        <w:t xml:space="preserve">  </w:t>
      </w:r>
      <w:r>
        <w:rPr>
          <w:rFonts w:ascii="Arial" w:cs="Arial" w:eastAsia="Arial" w:hAnsi="Arial"/>
          <w:sz w:val="16"/>
          <w:szCs w:val="16"/>
          <w:b w:val="1"/>
          <w:bCs w:val="1"/>
          <w:color w:val="333333"/>
        </w:rPr>
        <w:t>All Other Executive Officers 3x</w:t>
      </w:r>
    </w:p>
    <w:p>
      <w:pPr>
        <w:spacing w:after="0" w:line="166" w:lineRule="exact"/>
        <w:rPr>
          <w:sz w:val="20"/>
          <w:szCs w:val="20"/>
          <w:color w:val="auto"/>
        </w:rPr>
      </w:pPr>
    </w:p>
    <w:p>
      <w:pPr>
        <w:ind w:right="219"/>
        <w:spacing w:after="0" w:line="254" w:lineRule="auto"/>
        <w:rPr>
          <w:sz w:val="20"/>
          <w:szCs w:val="20"/>
          <w:color w:val="auto"/>
        </w:rPr>
      </w:pPr>
      <w:r>
        <w:rPr>
          <w:rFonts w:ascii="Arial" w:cs="Arial" w:eastAsia="Arial" w:hAnsi="Arial"/>
          <w:sz w:val="16"/>
          <w:szCs w:val="16"/>
          <w:color w:val="333333"/>
        </w:rPr>
        <w:t>Ms. Vickery, who served as our interim Chief Financial Officer and was not previously an executive officer, is not subject to the stock ownership requirements. Currently, all of our other NEOs are in compliance with this policy or are on track to meet the required ownership level within the applicable time period.</w:t>
      </w:r>
    </w:p>
    <w:p>
      <w:pPr>
        <w:spacing w:after="0" w:line="141" w:lineRule="exact"/>
        <w:rPr>
          <w:sz w:val="20"/>
          <w:szCs w:val="20"/>
          <w:color w:val="auto"/>
        </w:rPr>
      </w:pPr>
    </w:p>
    <w:p>
      <w:pPr>
        <w:ind w:right="139"/>
        <w:spacing w:after="0" w:line="249" w:lineRule="auto"/>
        <w:rPr>
          <w:sz w:val="20"/>
          <w:szCs w:val="20"/>
          <w:color w:val="auto"/>
        </w:rPr>
      </w:pPr>
      <w:r>
        <w:rPr>
          <w:rFonts w:ascii="Arial" w:cs="Arial" w:eastAsia="Arial" w:hAnsi="Arial"/>
          <w:sz w:val="16"/>
          <w:szCs w:val="16"/>
          <w:b w:val="1"/>
          <w:bCs w:val="1"/>
          <w:color w:val="333333"/>
        </w:rPr>
        <w:t xml:space="preserve">Insider Trading Policy. </w:t>
      </w:r>
      <w:r>
        <w:rPr>
          <w:rFonts w:ascii="Arial" w:cs="Arial" w:eastAsia="Arial" w:hAnsi="Arial"/>
          <w:sz w:val="16"/>
          <w:szCs w:val="16"/>
          <w:color w:val="333333"/>
        </w:rPr>
        <w:t>The Company maintains an</w:t>
      </w:r>
      <w:r>
        <w:rPr>
          <w:rFonts w:ascii="Arial" w:cs="Arial" w:eastAsia="Arial" w:hAnsi="Arial"/>
          <w:sz w:val="16"/>
          <w:szCs w:val="16"/>
          <w:b w:val="1"/>
          <w:bCs w:val="1"/>
          <w:color w:val="333333"/>
        </w:rPr>
        <w:t xml:space="preserve"> </w:t>
      </w:r>
      <w:r>
        <w:rPr>
          <w:rFonts w:ascii="Arial" w:cs="Arial" w:eastAsia="Arial" w:hAnsi="Arial"/>
          <w:sz w:val="16"/>
          <w:szCs w:val="16"/>
          <w:color w:val="333333"/>
        </w:rPr>
        <w:t>insider trading policy applicable to all directors and employees. The policy provides that Company personnel may not buy, sell or engage in other transactions in the Company’s stock while in possession of material non-public information, buy or sell securities of other companies while in possession of material non-public information about those companies they become aware of as a result of business dealings between the Company and those companies, or disclose material non-public information to any unauthorized persons outside of the Company. The policy also restricts trading for a limited group of Company employees (including all directors and NEOs) to defined window periods which align with our quarterly earnings releases.</w:t>
      </w:r>
    </w:p>
    <w:p>
      <w:pPr>
        <w:spacing w:after="0" w:line="352" w:lineRule="exact"/>
        <w:rPr>
          <w:sz w:val="20"/>
          <w:szCs w:val="20"/>
          <w:color w:val="auto"/>
        </w:rPr>
      </w:pPr>
    </w:p>
    <w:p>
      <w:pPr>
        <w:ind w:right="179"/>
        <w:spacing w:after="0" w:line="250" w:lineRule="auto"/>
        <w:rPr>
          <w:sz w:val="20"/>
          <w:szCs w:val="20"/>
          <w:color w:val="auto"/>
        </w:rPr>
      </w:pPr>
      <w:r>
        <w:rPr>
          <w:rFonts w:ascii="Arial" w:cs="Arial" w:eastAsia="Arial" w:hAnsi="Arial"/>
          <w:sz w:val="16"/>
          <w:szCs w:val="16"/>
          <w:b w:val="1"/>
          <w:bCs w:val="1"/>
          <w:color w:val="333333"/>
        </w:rPr>
        <w:t xml:space="preserve">Anti-Hedging and Pledging Policy. </w:t>
      </w:r>
      <w:r>
        <w:rPr>
          <w:rFonts w:ascii="Arial" w:cs="Arial" w:eastAsia="Arial" w:hAnsi="Arial"/>
          <w:sz w:val="16"/>
          <w:szCs w:val="16"/>
          <w:color w:val="333333"/>
        </w:rPr>
        <w:t>Our employees,</w:t>
      </w:r>
      <w:r>
        <w:rPr>
          <w:rFonts w:ascii="Arial" w:cs="Arial" w:eastAsia="Arial" w:hAnsi="Arial"/>
          <w:sz w:val="16"/>
          <w:szCs w:val="16"/>
          <w:b w:val="1"/>
          <w:bCs w:val="1"/>
          <w:color w:val="333333"/>
        </w:rPr>
        <w:t xml:space="preserve"> </w:t>
      </w:r>
      <w:r>
        <w:rPr>
          <w:rFonts w:ascii="Arial" w:cs="Arial" w:eastAsia="Arial" w:hAnsi="Arial"/>
          <w:sz w:val="16"/>
          <w:szCs w:val="16"/>
          <w:color w:val="333333"/>
        </w:rPr>
        <w:t>officers and directors are prohibited from purchasing or selling derivative securities, entering into derivatives contracts relating to our stock or otherwise engaging in hedging transactions. The prohibition on hedging transactions does not apply to stock options and awards under employee plans. Furthermore, our insider trading compliance policy prohibits executive officers and directors from pledging or otherwise using our common shares as collateral.</w:t>
      </w:r>
    </w:p>
    <w:p>
      <w:pPr>
        <w:sectPr>
          <w:pgSz w:w="11900" w:h="16838" w:orient="portrait"/>
          <w:cols w:equalWidth="0" w:num="2">
            <w:col w:w="4920" w:space="220"/>
            <w:col w:w="4399"/>
          </w:cols>
          <w:pgMar w:left="920" w:top="114"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80"/>
        </w:numPr>
        <w:rPr>
          <w:rFonts w:ascii="Arial" w:cs="Arial" w:eastAsia="Arial" w:hAnsi="Arial"/>
          <w:sz w:val="17"/>
          <w:szCs w:val="17"/>
          <w:b w:val="1"/>
          <w:bCs w:val="1"/>
          <w:color w:val="auto"/>
        </w:rPr>
      </w:pPr>
      <w:r>
        <w:rPr>
          <w:rFonts w:ascii="Arial" w:cs="Arial" w:eastAsia="Arial" w:hAnsi="Arial"/>
          <w:sz w:val="17"/>
          <w:szCs w:val="17"/>
          <w:color w:val="CF1D4C"/>
        </w:rPr>
        <w:t>COMPENSATION DISCUSSION AND ANALYSIS</w:t>
      </w:r>
    </w:p>
    <w:p>
      <w:pPr>
        <w:sectPr>
          <w:pgSz w:w="11900" w:h="16838" w:orient="portrait"/>
          <w:cols w:equalWidth="0" w:num="1">
            <w:col w:w="10040"/>
          </w:cols>
          <w:pgMar w:left="920" w:top="114" w:right="9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660" w:right="60"/>
        <w:spacing w:after="0" w:line="251" w:lineRule="auto"/>
        <w:rPr>
          <w:sz w:val="20"/>
          <w:szCs w:val="20"/>
          <w:color w:val="auto"/>
        </w:rPr>
      </w:pPr>
      <w:r>
        <w:rPr>
          <w:rFonts w:ascii="Arial" w:cs="Arial" w:eastAsia="Arial" w:hAnsi="Arial"/>
          <w:sz w:val="16"/>
          <w:szCs w:val="16"/>
          <w:b w:val="1"/>
          <w:bCs w:val="1"/>
          <w:color w:val="333333"/>
        </w:rPr>
        <w:t xml:space="preserve">Equity Grant Practices. </w:t>
      </w:r>
      <w:r>
        <w:rPr>
          <w:rFonts w:ascii="Arial" w:cs="Arial" w:eastAsia="Arial" w:hAnsi="Arial"/>
          <w:sz w:val="16"/>
          <w:szCs w:val="16"/>
          <w:color w:val="333333"/>
        </w:rPr>
        <w:t>We generally grant equity-based</w:t>
      </w:r>
      <w:r>
        <w:rPr>
          <w:rFonts w:ascii="Arial" w:cs="Arial" w:eastAsia="Arial" w:hAnsi="Arial"/>
          <w:sz w:val="16"/>
          <w:szCs w:val="16"/>
          <w:b w:val="1"/>
          <w:bCs w:val="1"/>
          <w:color w:val="333333"/>
        </w:rPr>
        <w:t xml:space="preserve"> </w:t>
      </w:r>
      <w:r>
        <w:rPr>
          <w:rFonts w:ascii="Arial" w:cs="Arial" w:eastAsia="Arial" w:hAnsi="Arial"/>
          <w:sz w:val="16"/>
          <w:szCs w:val="16"/>
          <w:color w:val="333333"/>
        </w:rPr>
        <w:t>incentives annually during the first calendar quarter. To date there has been no set program for the award of incremental periodic grants, and our compensation committee retains discretion to make equity awards at any time, including in connection with the promotion of an executive, to reward an executive for extraordinary performance or the assumption of additional responsibilities or for retention purposes.</w:t>
      </w:r>
    </w:p>
    <w:p>
      <w:pPr>
        <w:spacing w:after="0" w:line="158" w:lineRule="exact"/>
        <w:rPr>
          <w:sz w:val="20"/>
          <w:szCs w:val="20"/>
          <w:color w:val="auto"/>
        </w:rPr>
      </w:pPr>
    </w:p>
    <w:p>
      <w:pPr>
        <w:ind w:left="660" w:right="60"/>
        <w:spacing w:after="0" w:line="248" w:lineRule="auto"/>
        <w:rPr>
          <w:sz w:val="20"/>
          <w:szCs w:val="20"/>
          <w:color w:val="auto"/>
        </w:rPr>
      </w:pPr>
      <w:r>
        <w:rPr>
          <w:rFonts w:ascii="Arial" w:cs="Arial" w:eastAsia="Arial" w:hAnsi="Arial"/>
          <w:sz w:val="16"/>
          <w:szCs w:val="16"/>
          <w:b w:val="1"/>
          <w:bCs w:val="1"/>
          <w:color w:val="333333"/>
        </w:rPr>
        <w:t>Clawback Policies</w:t>
      </w:r>
      <w:r>
        <w:rPr>
          <w:rFonts w:ascii="Arial" w:cs="Arial" w:eastAsia="Arial" w:hAnsi="Arial"/>
          <w:sz w:val="16"/>
          <w:szCs w:val="16"/>
          <w:color w:val="333333"/>
        </w:rPr>
        <w:t>. In light of new rules promulgated by</w:t>
      </w:r>
      <w:r>
        <w:rPr>
          <w:rFonts w:ascii="Arial" w:cs="Arial" w:eastAsia="Arial" w:hAnsi="Arial"/>
          <w:sz w:val="16"/>
          <w:szCs w:val="16"/>
          <w:b w:val="1"/>
          <w:bCs w:val="1"/>
          <w:color w:val="333333"/>
        </w:rPr>
        <w:t xml:space="preserve"> </w:t>
      </w:r>
      <w:r>
        <w:rPr>
          <w:rFonts w:ascii="Arial" w:cs="Arial" w:eastAsia="Arial" w:hAnsi="Arial"/>
          <w:sz w:val="16"/>
          <w:szCs w:val="16"/>
          <w:color w:val="333333"/>
        </w:rPr>
        <w:t>the NYSE and SEC requirements, we adopted a compensation recoupment policy in 2023, which policy complies with the required standards (the “NYSE Clawback Policy”). The NYSE Clawback Policy provides for the prompt recovery (or clawback) of certain excess incentive-based compensation received during an applicable three-year recovery period by current or former executive officers in the event we are required to prepare an accounting restatement due to material noncompliance with any financial reporting requirement under the securities laws. Excess incentive-based compensation for these purposes generally means the amount of incentive-based compensation received (on or after October 2,</w:t>
      </w:r>
    </w:p>
    <w:p>
      <w:pPr>
        <w:ind w:left="660"/>
        <w:spacing w:after="0" w:line="248" w:lineRule="auto"/>
        <w:rPr>
          <w:sz w:val="20"/>
          <w:szCs w:val="20"/>
          <w:color w:val="auto"/>
        </w:rPr>
      </w:pPr>
      <w:r>
        <w:rPr>
          <w:rFonts w:ascii="Arial" w:cs="Arial" w:eastAsia="Arial" w:hAnsi="Arial"/>
          <w:sz w:val="16"/>
          <w:szCs w:val="16"/>
          <w:color w:val="333333"/>
        </w:rPr>
        <w:t>2023) by such executive officer that exceeds the amount of incentive-based compensation that would have been received by such executive officer had it been determined based on the restated amounts, without regard to any taxes paid. Incentive-based compensation potentially subject to recovery under the NYSE Clawback Policy is in general limited to any compensation granted, earned or vested based wholly or in part on the attainment of a financial reporting measure.</w:t>
      </w:r>
    </w:p>
    <w:p>
      <w:pPr>
        <w:spacing w:after="0" w:line="149" w:lineRule="exact"/>
        <w:rPr>
          <w:sz w:val="20"/>
          <w:szCs w:val="20"/>
          <w:color w:val="auto"/>
        </w:rPr>
      </w:pPr>
    </w:p>
    <w:p>
      <w:pPr>
        <w:ind w:left="660" w:right="20"/>
        <w:spacing w:after="0" w:line="251" w:lineRule="auto"/>
        <w:rPr>
          <w:sz w:val="20"/>
          <w:szCs w:val="20"/>
          <w:color w:val="auto"/>
        </w:rPr>
      </w:pPr>
      <w:r>
        <w:rPr>
          <w:rFonts w:ascii="Arial" w:cs="Arial" w:eastAsia="Arial" w:hAnsi="Arial"/>
          <w:sz w:val="16"/>
          <w:szCs w:val="16"/>
          <w:color w:val="333333"/>
        </w:rPr>
        <w:t>In general, we may utilize a broad range of recoupment methods under the NYSE Clawback Policy. The NYSE Clawback Policy does not condition clawback on the fault of the executive officer, and clawback thereunder is generally mandatory, except in limited circumstances where the compensation committee has made a determination that recovery would be impracticable and (1) we have already attempted to recover such amounts but the direct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right="840"/>
        <w:spacing w:after="0" w:line="250" w:lineRule="auto"/>
        <w:rPr>
          <w:sz w:val="20"/>
          <w:szCs w:val="20"/>
          <w:color w:val="auto"/>
        </w:rPr>
      </w:pPr>
      <w:r>
        <w:rPr>
          <w:rFonts w:ascii="Arial" w:cs="Arial" w:eastAsia="Arial" w:hAnsi="Arial"/>
          <w:sz w:val="16"/>
          <w:szCs w:val="16"/>
          <w:color w:val="auto"/>
        </w:rPr>
        <w:t>expenses paid to a third party in an effort to enforce the NYSE Clawback Policy would exceed the amount to be recovered, (2) the recovery of amounts would violate applicable home country law, or (3) the recovery would cause the non-compliance of a tax-qualified retirement plan under the Internal Revenue Code and applicable regulations. Operation of the NYSE Clawback Policy is subject to a brief phase-in process during the first few years after its effectiveness. We may not indemnify any such executive officer against the loss of such recovered compensation.</w:t>
      </w:r>
    </w:p>
    <w:p>
      <w:pPr>
        <w:spacing w:after="0" w:line="160" w:lineRule="exact"/>
        <w:rPr>
          <w:sz w:val="20"/>
          <w:szCs w:val="20"/>
          <w:color w:val="auto"/>
        </w:rPr>
      </w:pPr>
    </w:p>
    <w:p>
      <w:pPr>
        <w:ind w:right="660"/>
        <w:spacing w:after="0" w:line="249" w:lineRule="auto"/>
        <w:rPr>
          <w:sz w:val="20"/>
          <w:szCs w:val="20"/>
          <w:color w:val="auto"/>
        </w:rPr>
      </w:pPr>
      <w:r>
        <w:rPr>
          <w:rFonts w:ascii="Arial" w:cs="Arial" w:eastAsia="Arial" w:hAnsi="Arial"/>
          <w:sz w:val="16"/>
          <w:szCs w:val="16"/>
          <w:color w:val="auto"/>
        </w:rPr>
        <w:t>In 2019, we previously adopted a clawback policy applicable to our executive officers, including our NEOs, which applies to all incentive-based compensation earned by our executive officers (the “Supplemental Clawback Policy”). The Supplemental Clawback Policy provides that if our compensation committee determines that an executive officer engaged in misconduct that contributed to the Company being required to make a restatement of its financial statements, the Company will promptly recover from such executive officer all incentive-based compensation received that was in excess of the incentive-based compensation such executive officer would have received under the restated financial results of the Company. The Supplemental Clawback Policy remains in effect with respect to compensation received prior to the October 2, 2023 phase-in date of the NYSE Clawback Policy.</w:t>
      </w:r>
    </w:p>
    <w:p>
      <w:pPr>
        <w:spacing w:after="0" w:line="143" w:lineRule="exact"/>
        <w:rPr>
          <w:sz w:val="20"/>
          <w:szCs w:val="20"/>
          <w:color w:val="auto"/>
        </w:rPr>
      </w:pPr>
    </w:p>
    <w:p>
      <w:pPr>
        <w:ind w:right="1160"/>
        <w:spacing w:after="0" w:line="286" w:lineRule="auto"/>
        <w:rPr>
          <w:sz w:val="20"/>
          <w:szCs w:val="20"/>
          <w:color w:val="auto"/>
        </w:rPr>
      </w:pPr>
      <w:r>
        <w:rPr>
          <w:rFonts w:ascii="Arial" w:cs="Arial" w:eastAsia="Arial" w:hAnsi="Arial"/>
          <w:sz w:val="16"/>
          <w:szCs w:val="16"/>
          <w:b w:val="1"/>
          <w:bCs w:val="1"/>
          <w:color w:val="333333"/>
        </w:rPr>
        <w:t xml:space="preserve">No Excise Tax Gross-Ups. </w:t>
      </w:r>
      <w:r>
        <w:rPr>
          <w:rFonts w:ascii="Arial" w:cs="Arial" w:eastAsia="Arial" w:hAnsi="Arial"/>
          <w:sz w:val="16"/>
          <w:szCs w:val="16"/>
          <w:color w:val="333333"/>
        </w:rPr>
        <w:t>The Company does not</w:t>
      </w:r>
      <w:r>
        <w:rPr>
          <w:rFonts w:ascii="Arial" w:cs="Arial" w:eastAsia="Arial" w:hAnsi="Arial"/>
          <w:sz w:val="16"/>
          <w:szCs w:val="16"/>
          <w:b w:val="1"/>
          <w:bCs w:val="1"/>
          <w:color w:val="333333"/>
        </w:rPr>
        <w:t xml:space="preserve"> </w:t>
      </w:r>
      <w:r>
        <w:rPr>
          <w:rFonts w:ascii="Arial" w:cs="Arial" w:eastAsia="Arial" w:hAnsi="Arial"/>
          <w:sz w:val="16"/>
          <w:szCs w:val="16"/>
          <w:color w:val="333333"/>
        </w:rPr>
        <w:t>provide excise tax gross-ups for any of its NEOs.</w:t>
      </w:r>
    </w:p>
    <w:p>
      <w:pPr>
        <w:spacing w:after="0" w:line="115" w:lineRule="exact"/>
        <w:rPr>
          <w:sz w:val="20"/>
          <w:szCs w:val="20"/>
          <w:color w:val="auto"/>
        </w:rPr>
      </w:pPr>
    </w:p>
    <w:p>
      <w:pPr>
        <w:ind w:right="640"/>
        <w:spacing w:after="0" w:line="252" w:lineRule="auto"/>
        <w:rPr>
          <w:sz w:val="20"/>
          <w:szCs w:val="20"/>
          <w:color w:val="auto"/>
        </w:rPr>
      </w:pPr>
      <w:r>
        <w:rPr>
          <w:rFonts w:ascii="Arial" w:cs="Arial" w:eastAsia="Arial" w:hAnsi="Arial"/>
          <w:sz w:val="16"/>
          <w:szCs w:val="16"/>
          <w:b w:val="1"/>
          <w:bCs w:val="1"/>
          <w:color w:val="333333"/>
        </w:rPr>
        <w:t xml:space="preserve">Risk Assessment in Compensation Programs. </w:t>
      </w:r>
      <w:r>
        <w:rPr>
          <w:rFonts w:ascii="Arial" w:cs="Arial" w:eastAsia="Arial" w:hAnsi="Arial"/>
          <w:sz w:val="16"/>
          <w:szCs w:val="16"/>
          <w:color w:val="333333"/>
        </w:rPr>
        <w:t>We</w:t>
      </w:r>
      <w:r>
        <w:rPr>
          <w:rFonts w:ascii="Arial" w:cs="Arial" w:eastAsia="Arial" w:hAnsi="Arial"/>
          <w:sz w:val="16"/>
          <w:szCs w:val="16"/>
          <w:b w:val="1"/>
          <w:bCs w:val="1"/>
          <w:color w:val="333333"/>
        </w:rPr>
        <w:t xml:space="preserve"> </w:t>
      </w:r>
      <w:r>
        <w:rPr>
          <w:rFonts w:ascii="Arial" w:cs="Arial" w:eastAsia="Arial" w:hAnsi="Arial"/>
          <w:sz w:val="16"/>
          <w:szCs w:val="16"/>
          <w:color w:val="333333"/>
        </w:rPr>
        <w:t>believe our compensation programs encourage and reward prudent business judgment without encouraging undue risk. The compensation committee reviews our compensation programs for features that might encourage inappropriate risk-taking. We believe our compensation policies and practices do not create undue risks that are reasonably likely to have a material adverse effect on us.</w:t>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116840</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880" w:space="260"/>
            <w:col w:w="4900"/>
          </w:cols>
          <w:pgMar w:left="920" w:top="114" w:right="9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CF1D4C"/>
        </w:rPr>
        <w:t>2023 NAMED EXECUTIVE OFFICER COMPENSATION</w:t>
      </w:r>
    </w:p>
    <w:p>
      <w:pPr>
        <w:spacing w:after="0" w:line="3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2023 Summary Compensation Table</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following table shows the compensation for each of the NEOs.</w:t>
      </w:r>
    </w:p>
    <w:p>
      <w:pPr>
        <w:spacing w:after="0" w:line="235" w:lineRule="exact"/>
        <w:rPr>
          <w:sz w:val="20"/>
          <w:szCs w:val="20"/>
          <w:color w:val="auto"/>
        </w:rPr>
      </w:pPr>
    </w:p>
    <w:p>
      <w:pPr>
        <w:ind w:left="660" w:right="299"/>
        <w:spacing w:after="0" w:line="259" w:lineRule="auto"/>
        <w:rPr>
          <w:sz w:val="20"/>
          <w:szCs w:val="20"/>
          <w:color w:val="auto"/>
        </w:rPr>
      </w:pPr>
      <w:r>
        <w:rPr>
          <w:rFonts w:ascii="Arial" w:cs="Arial" w:eastAsia="Arial" w:hAnsi="Arial"/>
          <w:sz w:val="16"/>
          <w:szCs w:val="16"/>
          <w:color w:val="333333"/>
        </w:rPr>
        <w:t>The amounts presented below in the “Stock Awards” and “Option Awards” columns represent the grant date fair value of awards granted to the NEOs and may not reflect the actual value to be realized by each NEO. The actual value realized will not be determined until the time of vesting in the case of Performance Shares, Performance-Based RSUs, and restricted stock, or until option exercise in the case of option awards.</w:t>
      </w:r>
    </w:p>
    <w:p>
      <w:pPr>
        <w:spacing w:after="0" w:line="124" w:lineRule="exact"/>
        <w:rPr>
          <w:sz w:val="20"/>
          <w:szCs w:val="20"/>
          <w:color w:val="auto"/>
        </w:rPr>
      </w:pPr>
    </w:p>
    <w:tbl>
      <w:tblPr>
        <w:tblLayout w:type="fixed"/>
        <w:tblInd w:w="640" w:type="dxa"/>
        <w:tblCellMar>
          <w:top w:w="0" w:type="dxa"/>
          <w:left w:w="0" w:type="dxa"/>
          <w:bottom w:w="0" w:type="dxa"/>
          <w:right w:w="0" w:type="dxa"/>
        </w:tblCellMar>
      </w:tblPr>
      <w:tr>
        <w:trPr>
          <w:trHeight w:val="324"/>
        </w:trPr>
        <w:tc>
          <w:tcPr>
            <w:tcW w:w="120" w:type="dxa"/>
            <w:vAlign w:val="bottom"/>
            <w:shd w:val="clear" w:color="auto" w:fill="CF1D4C"/>
          </w:tcPr>
          <w:p>
            <w:pPr>
              <w:spacing w:after="0"/>
              <w:rPr>
                <w:sz w:val="24"/>
                <w:szCs w:val="24"/>
                <w:color w:val="auto"/>
              </w:rPr>
            </w:pPr>
          </w:p>
        </w:tc>
        <w:tc>
          <w:tcPr>
            <w:tcW w:w="1640" w:type="dxa"/>
            <w:vAlign w:val="bottom"/>
            <w:shd w:val="clear" w:color="auto" w:fill="CF1D4C"/>
          </w:tcPr>
          <w:p>
            <w:pPr>
              <w:spacing w:after="0"/>
              <w:rPr>
                <w:sz w:val="24"/>
                <w:szCs w:val="24"/>
                <w:color w:val="auto"/>
              </w:rPr>
            </w:pPr>
          </w:p>
        </w:tc>
        <w:tc>
          <w:tcPr>
            <w:tcW w:w="80" w:type="dxa"/>
            <w:vAlign w:val="bottom"/>
            <w:shd w:val="clear" w:color="auto" w:fill="CF1D4C"/>
          </w:tcPr>
          <w:p>
            <w:pPr>
              <w:spacing w:after="0"/>
              <w:rPr>
                <w:sz w:val="24"/>
                <w:szCs w:val="24"/>
                <w:color w:val="auto"/>
              </w:rPr>
            </w:pPr>
          </w:p>
        </w:tc>
        <w:tc>
          <w:tcPr>
            <w:tcW w:w="380" w:type="dxa"/>
            <w:vAlign w:val="bottom"/>
            <w:shd w:val="clear" w:color="auto" w:fill="CF1D4C"/>
          </w:tcPr>
          <w:p>
            <w:pPr>
              <w:spacing w:after="0"/>
              <w:rPr>
                <w:sz w:val="24"/>
                <w:szCs w:val="24"/>
                <w:color w:val="auto"/>
              </w:rPr>
            </w:pPr>
          </w:p>
        </w:tc>
        <w:tc>
          <w:tcPr>
            <w:tcW w:w="920" w:type="dxa"/>
            <w:vAlign w:val="bottom"/>
            <w:shd w:val="clear" w:color="auto" w:fill="CF1D4C"/>
          </w:tcPr>
          <w:p>
            <w:pPr>
              <w:spacing w:after="0"/>
              <w:rPr>
                <w:sz w:val="24"/>
                <w:szCs w:val="24"/>
                <w:color w:val="auto"/>
              </w:rPr>
            </w:pPr>
          </w:p>
        </w:tc>
        <w:tc>
          <w:tcPr>
            <w:tcW w:w="660" w:type="dxa"/>
            <w:vAlign w:val="bottom"/>
            <w:shd w:val="clear" w:color="auto" w:fill="CF1D4C"/>
          </w:tcPr>
          <w:p>
            <w:pPr>
              <w:spacing w:after="0"/>
              <w:rPr>
                <w:sz w:val="24"/>
                <w:szCs w:val="24"/>
                <w:color w:val="auto"/>
              </w:rPr>
            </w:pPr>
          </w:p>
        </w:tc>
        <w:tc>
          <w:tcPr>
            <w:tcW w:w="840" w:type="dxa"/>
            <w:vAlign w:val="bottom"/>
            <w:gridSpan w:val="2"/>
            <w:vMerge w:val="restart"/>
            <w:shd w:val="clear" w:color="auto" w:fill="CF1D4C"/>
          </w:tcPr>
          <w:p>
            <w:pPr>
              <w:ind w:left="120"/>
              <w:spacing w:after="0"/>
              <w:rPr>
                <w:sz w:val="20"/>
                <w:szCs w:val="20"/>
                <w:color w:val="auto"/>
              </w:rPr>
            </w:pPr>
            <w:r>
              <w:rPr>
                <w:rFonts w:ascii="Arial" w:cs="Arial" w:eastAsia="Arial" w:hAnsi="Arial"/>
                <w:sz w:val="11"/>
                <w:szCs w:val="11"/>
                <w:b w:val="1"/>
                <w:bCs w:val="1"/>
                <w:color w:val="FFFFFF"/>
              </w:rPr>
              <w:t>Stock</w:t>
            </w:r>
          </w:p>
        </w:tc>
        <w:tc>
          <w:tcPr>
            <w:tcW w:w="920" w:type="dxa"/>
            <w:vAlign w:val="bottom"/>
            <w:gridSpan w:val="2"/>
            <w:vMerge w:val="restart"/>
            <w:shd w:val="clear" w:color="auto" w:fill="CF1D4C"/>
          </w:tcPr>
          <w:p>
            <w:pPr>
              <w:ind w:left="100"/>
              <w:spacing w:after="0"/>
              <w:rPr>
                <w:sz w:val="20"/>
                <w:szCs w:val="20"/>
                <w:color w:val="auto"/>
              </w:rPr>
            </w:pPr>
            <w:r>
              <w:rPr>
                <w:rFonts w:ascii="Arial" w:cs="Arial" w:eastAsia="Arial" w:hAnsi="Arial"/>
                <w:sz w:val="11"/>
                <w:szCs w:val="11"/>
                <w:b w:val="1"/>
                <w:bCs w:val="1"/>
                <w:color w:val="FFFFFF"/>
              </w:rPr>
              <w:t>Option</w:t>
            </w:r>
          </w:p>
        </w:tc>
        <w:tc>
          <w:tcPr>
            <w:tcW w:w="1000" w:type="dxa"/>
            <w:vAlign w:val="bottom"/>
            <w:shd w:val="clear" w:color="auto" w:fill="CF1D4C"/>
          </w:tcPr>
          <w:p>
            <w:pPr>
              <w:ind w:left="100"/>
              <w:spacing w:after="0"/>
              <w:rPr>
                <w:sz w:val="20"/>
                <w:szCs w:val="20"/>
                <w:color w:val="auto"/>
              </w:rPr>
            </w:pPr>
            <w:r>
              <w:rPr>
                <w:rFonts w:ascii="Arial" w:cs="Arial" w:eastAsia="Arial" w:hAnsi="Arial"/>
                <w:sz w:val="11"/>
                <w:szCs w:val="11"/>
                <w:b w:val="1"/>
                <w:bCs w:val="1"/>
                <w:color w:val="FFFFFF"/>
              </w:rPr>
              <w:t>Non-Equity</w:t>
            </w:r>
          </w:p>
        </w:tc>
        <w:tc>
          <w:tcPr>
            <w:tcW w:w="1040" w:type="dxa"/>
            <w:vAlign w:val="bottom"/>
            <w:vMerge w:val="restart"/>
            <w:shd w:val="clear" w:color="auto" w:fill="CF1D4C"/>
          </w:tcPr>
          <w:p>
            <w:pPr>
              <w:ind w:left="140"/>
              <w:spacing w:after="0"/>
              <w:rPr>
                <w:sz w:val="20"/>
                <w:szCs w:val="20"/>
                <w:color w:val="auto"/>
              </w:rPr>
            </w:pPr>
            <w:r>
              <w:rPr>
                <w:rFonts w:ascii="Arial" w:cs="Arial" w:eastAsia="Arial" w:hAnsi="Arial"/>
                <w:sz w:val="11"/>
                <w:szCs w:val="11"/>
                <w:b w:val="1"/>
                <w:bCs w:val="1"/>
                <w:color w:val="FFFFFF"/>
              </w:rPr>
              <w:t>All Other</w:t>
            </w:r>
          </w:p>
        </w:tc>
        <w:tc>
          <w:tcPr>
            <w:tcW w:w="1160" w:type="dxa"/>
            <w:vAlign w:val="bottom"/>
            <w:shd w:val="clear" w:color="auto" w:fill="CF1D4C"/>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CF1D4C"/>
          </w:tcPr>
          <w:p>
            <w:pPr>
              <w:spacing w:after="0"/>
              <w:rPr>
                <w:sz w:val="4"/>
                <w:szCs w:val="4"/>
                <w:color w:val="auto"/>
              </w:rPr>
            </w:pPr>
          </w:p>
        </w:tc>
        <w:tc>
          <w:tcPr>
            <w:tcW w:w="1720" w:type="dxa"/>
            <w:vAlign w:val="bottom"/>
            <w:gridSpan w:val="2"/>
            <w:vMerge w:val="restart"/>
            <w:shd w:val="clear" w:color="auto" w:fill="CF1D4C"/>
          </w:tcPr>
          <w:p>
            <w:pPr>
              <w:ind w:left="60"/>
              <w:spacing w:after="0" w:line="108" w:lineRule="exact"/>
              <w:rPr>
                <w:sz w:val="20"/>
                <w:szCs w:val="20"/>
                <w:color w:val="auto"/>
              </w:rPr>
            </w:pPr>
            <w:r>
              <w:rPr>
                <w:rFonts w:ascii="Arial" w:cs="Arial" w:eastAsia="Arial" w:hAnsi="Arial"/>
                <w:sz w:val="11"/>
                <w:szCs w:val="11"/>
                <w:b w:val="1"/>
                <w:bCs w:val="1"/>
                <w:color w:val="FFFFFF"/>
              </w:rPr>
              <w:t>Name and Principal</w:t>
            </w:r>
          </w:p>
        </w:tc>
        <w:tc>
          <w:tcPr>
            <w:tcW w:w="380" w:type="dxa"/>
            <w:vAlign w:val="bottom"/>
            <w:shd w:val="clear" w:color="auto" w:fill="CF1D4C"/>
          </w:tcPr>
          <w:p>
            <w:pPr>
              <w:spacing w:after="0"/>
              <w:rPr>
                <w:sz w:val="4"/>
                <w:szCs w:val="4"/>
                <w:color w:val="auto"/>
              </w:rPr>
            </w:pPr>
          </w:p>
        </w:tc>
        <w:tc>
          <w:tcPr>
            <w:tcW w:w="920" w:type="dxa"/>
            <w:vAlign w:val="bottom"/>
            <w:vMerge w:val="restart"/>
            <w:shd w:val="clear" w:color="auto" w:fill="CF1D4C"/>
          </w:tcPr>
          <w:p>
            <w:pPr>
              <w:ind w:left="200"/>
              <w:spacing w:after="0" w:line="108" w:lineRule="exact"/>
              <w:rPr>
                <w:sz w:val="20"/>
                <w:szCs w:val="20"/>
                <w:color w:val="auto"/>
              </w:rPr>
            </w:pPr>
            <w:r>
              <w:rPr>
                <w:rFonts w:ascii="Arial" w:cs="Arial" w:eastAsia="Arial" w:hAnsi="Arial"/>
                <w:sz w:val="11"/>
                <w:szCs w:val="11"/>
                <w:b w:val="1"/>
                <w:bCs w:val="1"/>
                <w:color w:val="FFFFFF"/>
              </w:rPr>
              <w:t>Salary</w:t>
            </w:r>
          </w:p>
        </w:tc>
        <w:tc>
          <w:tcPr>
            <w:tcW w:w="660" w:type="dxa"/>
            <w:vAlign w:val="bottom"/>
            <w:vMerge w:val="restart"/>
            <w:shd w:val="clear" w:color="auto" w:fill="CF1D4C"/>
          </w:tcPr>
          <w:p>
            <w:pPr>
              <w:ind w:left="120"/>
              <w:spacing w:after="0" w:line="108" w:lineRule="exact"/>
              <w:rPr>
                <w:sz w:val="20"/>
                <w:szCs w:val="20"/>
                <w:color w:val="auto"/>
              </w:rPr>
            </w:pPr>
            <w:r>
              <w:rPr>
                <w:rFonts w:ascii="Arial" w:cs="Arial" w:eastAsia="Arial" w:hAnsi="Arial"/>
                <w:sz w:val="11"/>
                <w:szCs w:val="11"/>
                <w:b w:val="1"/>
                <w:bCs w:val="1"/>
                <w:color w:val="FFFFFF"/>
              </w:rPr>
              <w:t>Bonus</w:t>
            </w:r>
          </w:p>
        </w:tc>
        <w:tc>
          <w:tcPr>
            <w:tcW w:w="840" w:type="dxa"/>
            <w:vAlign w:val="bottom"/>
            <w:gridSpan w:val="2"/>
            <w:vMerge w:val="continue"/>
            <w:shd w:val="clear" w:color="auto" w:fill="CF1D4C"/>
          </w:tcPr>
          <w:p>
            <w:pPr>
              <w:spacing w:after="0"/>
              <w:rPr>
                <w:sz w:val="4"/>
                <w:szCs w:val="4"/>
                <w:color w:val="auto"/>
              </w:rPr>
            </w:pPr>
          </w:p>
        </w:tc>
        <w:tc>
          <w:tcPr>
            <w:tcW w:w="920" w:type="dxa"/>
            <w:vAlign w:val="bottom"/>
            <w:gridSpan w:val="2"/>
            <w:vMerge w:val="continue"/>
            <w:shd w:val="clear" w:color="auto" w:fill="CF1D4C"/>
          </w:tcPr>
          <w:p>
            <w:pPr>
              <w:spacing w:after="0"/>
              <w:rPr>
                <w:sz w:val="4"/>
                <w:szCs w:val="4"/>
                <w:color w:val="auto"/>
              </w:rPr>
            </w:pPr>
          </w:p>
        </w:tc>
        <w:tc>
          <w:tcPr>
            <w:tcW w:w="1000" w:type="dxa"/>
            <w:vAlign w:val="bottom"/>
            <w:vMerge w:val="restart"/>
            <w:shd w:val="clear" w:color="auto" w:fill="CF1D4C"/>
          </w:tcPr>
          <w:p>
            <w:pPr>
              <w:ind w:left="100"/>
              <w:spacing w:after="0" w:line="108" w:lineRule="exact"/>
              <w:rPr>
                <w:sz w:val="20"/>
                <w:szCs w:val="20"/>
                <w:color w:val="auto"/>
              </w:rPr>
            </w:pPr>
            <w:r>
              <w:rPr>
                <w:rFonts w:ascii="Arial" w:cs="Arial" w:eastAsia="Arial" w:hAnsi="Arial"/>
                <w:sz w:val="11"/>
                <w:szCs w:val="11"/>
                <w:b w:val="1"/>
                <w:bCs w:val="1"/>
                <w:color w:val="FFFFFF"/>
              </w:rPr>
              <w:t>Incentive Plan</w:t>
            </w:r>
          </w:p>
        </w:tc>
        <w:tc>
          <w:tcPr>
            <w:tcW w:w="1040" w:type="dxa"/>
            <w:vAlign w:val="bottom"/>
            <w:vMerge w:val="continue"/>
            <w:shd w:val="clear" w:color="auto" w:fill="CF1D4C"/>
          </w:tcPr>
          <w:p>
            <w:pPr>
              <w:spacing w:after="0"/>
              <w:rPr>
                <w:sz w:val="4"/>
                <w:szCs w:val="4"/>
                <w:color w:val="auto"/>
              </w:rPr>
            </w:pPr>
          </w:p>
        </w:tc>
        <w:tc>
          <w:tcPr>
            <w:tcW w:w="1160" w:type="dxa"/>
            <w:vAlign w:val="bottom"/>
            <w:shd w:val="clear" w:color="auto" w:fill="CF1D4C"/>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CF1D4C"/>
          </w:tcPr>
          <w:p>
            <w:pPr>
              <w:spacing w:after="0"/>
              <w:rPr>
                <w:sz w:val="4"/>
                <w:szCs w:val="4"/>
                <w:color w:val="auto"/>
              </w:rPr>
            </w:pPr>
          </w:p>
        </w:tc>
        <w:tc>
          <w:tcPr>
            <w:tcW w:w="1720" w:type="dxa"/>
            <w:vAlign w:val="bottom"/>
            <w:gridSpan w:val="2"/>
            <w:vMerge w:val="continue"/>
            <w:shd w:val="clear" w:color="auto" w:fill="CF1D4C"/>
          </w:tcPr>
          <w:p>
            <w:pPr>
              <w:spacing w:after="0"/>
              <w:rPr>
                <w:sz w:val="4"/>
                <w:szCs w:val="4"/>
                <w:color w:val="auto"/>
              </w:rPr>
            </w:pPr>
          </w:p>
        </w:tc>
        <w:tc>
          <w:tcPr>
            <w:tcW w:w="380" w:type="dxa"/>
            <w:vAlign w:val="bottom"/>
            <w:vMerge w:val="restart"/>
            <w:shd w:val="clear" w:color="auto" w:fill="CF1D4C"/>
          </w:tcPr>
          <w:p>
            <w:pPr>
              <w:ind w:left="100"/>
              <w:spacing w:after="0" w:line="108" w:lineRule="exact"/>
              <w:rPr>
                <w:sz w:val="20"/>
                <w:szCs w:val="20"/>
                <w:color w:val="auto"/>
              </w:rPr>
            </w:pPr>
            <w:r>
              <w:rPr>
                <w:rFonts w:ascii="Arial" w:cs="Arial" w:eastAsia="Arial" w:hAnsi="Arial"/>
                <w:sz w:val="11"/>
                <w:szCs w:val="11"/>
                <w:b w:val="1"/>
                <w:bCs w:val="1"/>
                <w:color w:val="FFFFFF"/>
              </w:rPr>
              <w:t>Year</w:t>
            </w:r>
          </w:p>
        </w:tc>
        <w:tc>
          <w:tcPr>
            <w:tcW w:w="920" w:type="dxa"/>
            <w:vAlign w:val="bottom"/>
            <w:vMerge w:val="continue"/>
            <w:shd w:val="clear" w:color="auto" w:fill="CF1D4C"/>
          </w:tcPr>
          <w:p>
            <w:pPr>
              <w:spacing w:after="0"/>
              <w:rPr>
                <w:sz w:val="4"/>
                <w:szCs w:val="4"/>
                <w:color w:val="auto"/>
              </w:rPr>
            </w:pPr>
          </w:p>
        </w:tc>
        <w:tc>
          <w:tcPr>
            <w:tcW w:w="660" w:type="dxa"/>
            <w:vAlign w:val="bottom"/>
            <w:vMerge w:val="continue"/>
            <w:shd w:val="clear" w:color="auto" w:fill="CF1D4C"/>
          </w:tcPr>
          <w:p>
            <w:pPr>
              <w:spacing w:after="0"/>
              <w:rPr>
                <w:sz w:val="4"/>
                <w:szCs w:val="4"/>
                <w:color w:val="auto"/>
              </w:rPr>
            </w:pPr>
          </w:p>
        </w:tc>
        <w:tc>
          <w:tcPr>
            <w:tcW w:w="840" w:type="dxa"/>
            <w:vAlign w:val="bottom"/>
            <w:gridSpan w:val="2"/>
            <w:vMerge w:val="restart"/>
            <w:shd w:val="clear" w:color="auto" w:fill="CF1D4C"/>
          </w:tcPr>
          <w:p>
            <w:pPr>
              <w:ind w:left="120"/>
              <w:spacing w:after="0" w:line="108" w:lineRule="exact"/>
              <w:rPr>
                <w:sz w:val="20"/>
                <w:szCs w:val="20"/>
                <w:color w:val="auto"/>
              </w:rPr>
            </w:pPr>
            <w:r>
              <w:rPr>
                <w:rFonts w:ascii="Arial" w:cs="Arial" w:eastAsia="Arial" w:hAnsi="Arial"/>
                <w:sz w:val="11"/>
                <w:szCs w:val="11"/>
                <w:b w:val="1"/>
                <w:bCs w:val="1"/>
                <w:color w:val="FFFFFF"/>
              </w:rPr>
              <w:t>Awards</w:t>
            </w:r>
          </w:p>
        </w:tc>
        <w:tc>
          <w:tcPr>
            <w:tcW w:w="920" w:type="dxa"/>
            <w:vAlign w:val="bottom"/>
            <w:gridSpan w:val="2"/>
            <w:vMerge w:val="restart"/>
            <w:shd w:val="clear" w:color="auto" w:fill="CF1D4C"/>
          </w:tcPr>
          <w:p>
            <w:pPr>
              <w:ind w:left="100"/>
              <w:spacing w:after="0" w:line="108" w:lineRule="exact"/>
              <w:rPr>
                <w:sz w:val="20"/>
                <w:szCs w:val="20"/>
                <w:color w:val="auto"/>
              </w:rPr>
            </w:pPr>
            <w:r>
              <w:rPr>
                <w:rFonts w:ascii="Arial" w:cs="Arial" w:eastAsia="Arial" w:hAnsi="Arial"/>
                <w:sz w:val="11"/>
                <w:szCs w:val="11"/>
                <w:b w:val="1"/>
                <w:bCs w:val="1"/>
                <w:color w:val="FFFFFF"/>
              </w:rPr>
              <w:t>Awards</w:t>
            </w:r>
          </w:p>
        </w:tc>
        <w:tc>
          <w:tcPr>
            <w:tcW w:w="1000" w:type="dxa"/>
            <w:vAlign w:val="bottom"/>
            <w:vMerge w:val="continue"/>
            <w:shd w:val="clear" w:color="auto" w:fill="CF1D4C"/>
          </w:tcPr>
          <w:p>
            <w:pPr>
              <w:spacing w:after="0"/>
              <w:rPr>
                <w:sz w:val="4"/>
                <w:szCs w:val="4"/>
                <w:color w:val="auto"/>
              </w:rPr>
            </w:pPr>
          </w:p>
        </w:tc>
        <w:tc>
          <w:tcPr>
            <w:tcW w:w="1040" w:type="dxa"/>
            <w:vAlign w:val="bottom"/>
            <w:vMerge w:val="restart"/>
            <w:shd w:val="clear" w:color="auto" w:fill="CF1D4C"/>
          </w:tcPr>
          <w:p>
            <w:pPr>
              <w:ind w:left="140"/>
              <w:spacing w:after="0" w:line="108" w:lineRule="exact"/>
              <w:rPr>
                <w:sz w:val="20"/>
                <w:szCs w:val="20"/>
                <w:color w:val="auto"/>
              </w:rPr>
            </w:pPr>
            <w:r>
              <w:rPr>
                <w:rFonts w:ascii="Arial" w:cs="Arial" w:eastAsia="Arial" w:hAnsi="Arial"/>
                <w:sz w:val="11"/>
                <w:szCs w:val="11"/>
                <w:b w:val="1"/>
                <w:bCs w:val="1"/>
                <w:color w:val="FFFFFF"/>
              </w:rPr>
              <w:t>Compensation</w:t>
            </w:r>
          </w:p>
        </w:tc>
        <w:tc>
          <w:tcPr>
            <w:tcW w:w="1160" w:type="dxa"/>
            <w:vAlign w:val="bottom"/>
            <w:vMerge w:val="restart"/>
            <w:shd w:val="clear" w:color="auto" w:fill="CF1D4C"/>
          </w:tcPr>
          <w:p>
            <w:pPr>
              <w:ind w:left="160"/>
              <w:spacing w:after="0" w:line="108" w:lineRule="exact"/>
              <w:rPr>
                <w:sz w:val="20"/>
                <w:szCs w:val="20"/>
                <w:color w:val="auto"/>
              </w:rPr>
            </w:pPr>
            <w:r>
              <w:rPr>
                <w:rFonts w:ascii="Arial" w:cs="Arial" w:eastAsia="Arial" w:hAnsi="Arial"/>
                <w:sz w:val="11"/>
                <w:szCs w:val="11"/>
                <w:b w:val="1"/>
                <w:bCs w:val="1"/>
                <w:color w:val="FFFFFF"/>
              </w:rPr>
              <w:t>Total ($)</w:t>
            </w:r>
          </w:p>
        </w:tc>
        <w:tc>
          <w:tcPr>
            <w:tcW w:w="0" w:type="dxa"/>
            <w:vAlign w:val="bottom"/>
          </w:tcPr>
          <w:p>
            <w:pPr>
              <w:spacing w:after="0"/>
              <w:rPr>
                <w:sz w:val="1"/>
                <w:szCs w:val="1"/>
                <w:color w:val="auto"/>
              </w:rPr>
            </w:pPr>
          </w:p>
        </w:tc>
      </w:tr>
      <w:tr>
        <w:trPr>
          <w:trHeight w:val="54"/>
        </w:trPr>
        <w:tc>
          <w:tcPr>
            <w:tcW w:w="120" w:type="dxa"/>
            <w:vAlign w:val="bottom"/>
            <w:shd w:val="clear" w:color="auto" w:fill="CF1D4C"/>
          </w:tcPr>
          <w:p>
            <w:pPr>
              <w:spacing w:after="0"/>
              <w:rPr>
                <w:sz w:val="4"/>
                <w:szCs w:val="4"/>
                <w:color w:val="auto"/>
              </w:rPr>
            </w:pPr>
          </w:p>
        </w:tc>
        <w:tc>
          <w:tcPr>
            <w:tcW w:w="1720" w:type="dxa"/>
            <w:vAlign w:val="bottom"/>
            <w:gridSpan w:val="2"/>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Position</w:t>
            </w:r>
          </w:p>
        </w:tc>
        <w:tc>
          <w:tcPr>
            <w:tcW w:w="380" w:type="dxa"/>
            <w:vAlign w:val="bottom"/>
            <w:vMerge w:val="continue"/>
            <w:shd w:val="clear" w:color="auto" w:fill="CF1D4C"/>
          </w:tcPr>
          <w:p>
            <w:pPr>
              <w:spacing w:after="0"/>
              <w:rPr>
                <w:sz w:val="4"/>
                <w:szCs w:val="4"/>
                <w:color w:val="auto"/>
              </w:rPr>
            </w:pPr>
          </w:p>
        </w:tc>
        <w:tc>
          <w:tcPr>
            <w:tcW w:w="920" w:type="dxa"/>
            <w:vAlign w:val="bottom"/>
            <w:shd w:val="clear" w:color="auto" w:fill="CF1D4C"/>
          </w:tcPr>
          <w:p>
            <w:pPr>
              <w:ind w:left="320"/>
              <w:spacing w:after="0" w:line="54" w:lineRule="exact"/>
              <w:rPr>
                <w:sz w:val="20"/>
                <w:szCs w:val="20"/>
                <w:color w:val="auto"/>
              </w:rPr>
            </w:pPr>
            <w:r>
              <w:rPr>
                <w:rFonts w:ascii="Arial" w:cs="Arial" w:eastAsia="Arial" w:hAnsi="Arial"/>
                <w:sz w:val="6"/>
                <w:szCs w:val="6"/>
                <w:b w:val="1"/>
                <w:bCs w:val="1"/>
                <w:color w:val="FFFFFF"/>
              </w:rPr>
              <w:t>(1)</w:t>
            </w:r>
          </w:p>
        </w:tc>
        <w:tc>
          <w:tcPr>
            <w:tcW w:w="660" w:type="dxa"/>
            <w:vAlign w:val="bottom"/>
            <w:vMerge w:val="restart"/>
            <w:shd w:val="clear" w:color="auto" w:fill="CF1D4C"/>
          </w:tcPr>
          <w:p>
            <w:pPr>
              <w:ind w:left="120"/>
              <w:spacing w:after="0" w:line="122" w:lineRule="exact"/>
              <w:rPr>
                <w:sz w:val="20"/>
                <w:szCs w:val="20"/>
                <w:color w:val="auto"/>
              </w:rPr>
            </w:pPr>
            <w:r>
              <w:rPr>
                <w:rFonts w:ascii="Arial" w:cs="Arial" w:eastAsia="Arial" w:hAnsi="Arial"/>
                <w:sz w:val="11"/>
                <w:szCs w:val="11"/>
                <w:b w:val="1"/>
                <w:bCs w:val="1"/>
                <w:color w:val="FFFFFF"/>
              </w:rPr>
              <w:t>($)</w:t>
            </w:r>
          </w:p>
        </w:tc>
        <w:tc>
          <w:tcPr>
            <w:tcW w:w="840" w:type="dxa"/>
            <w:vAlign w:val="bottom"/>
            <w:gridSpan w:val="2"/>
            <w:vMerge w:val="continue"/>
            <w:shd w:val="clear" w:color="auto" w:fill="CF1D4C"/>
          </w:tcPr>
          <w:p>
            <w:pPr>
              <w:spacing w:after="0"/>
              <w:rPr>
                <w:sz w:val="4"/>
                <w:szCs w:val="4"/>
                <w:color w:val="auto"/>
              </w:rPr>
            </w:pPr>
          </w:p>
        </w:tc>
        <w:tc>
          <w:tcPr>
            <w:tcW w:w="920" w:type="dxa"/>
            <w:vAlign w:val="bottom"/>
            <w:gridSpan w:val="2"/>
            <w:vMerge w:val="continue"/>
            <w:shd w:val="clear" w:color="auto" w:fill="CF1D4C"/>
          </w:tcPr>
          <w:p>
            <w:pPr>
              <w:spacing w:after="0"/>
              <w:rPr>
                <w:sz w:val="4"/>
                <w:szCs w:val="4"/>
                <w:color w:val="auto"/>
              </w:rPr>
            </w:pPr>
          </w:p>
        </w:tc>
        <w:tc>
          <w:tcPr>
            <w:tcW w:w="1000" w:type="dxa"/>
            <w:vAlign w:val="bottom"/>
            <w:vMerge w:val="restart"/>
            <w:shd w:val="clear" w:color="auto" w:fill="CF1D4C"/>
          </w:tcPr>
          <w:p>
            <w:pPr>
              <w:ind w:left="100"/>
              <w:spacing w:after="0" w:line="122" w:lineRule="exact"/>
              <w:rPr>
                <w:sz w:val="20"/>
                <w:szCs w:val="20"/>
                <w:color w:val="auto"/>
              </w:rPr>
            </w:pPr>
            <w:r>
              <w:rPr>
                <w:rFonts w:ascii="Arial" w:cs="Arial" w:eastAsia="Arial" w:hAnsi="Arial"/>
                <w:sz w:val="11"/>
                <w:szCs w:val="11"/>
                <w:b w:val="1"/>
                <w:bCs w:val="1"/>
                <w:color w:val="FFFFFF"/>
              </w:rPr>
              <w:t>Compensation</w:t>
            </w:r>
          </w:p>
        </w:tc>
        <w:tc>
          <w:tcPr>
            <w:tcW w:w="1040" w:type="dxa"/>
            <w:vAlign w:val="bottom"/>
            <w:vMerge w:val="continue"/>
            <w:shd w:val="clear" w:color="auto" w:fill="CF1D4C"/>
          </w:tcPr>
          <w:p>
            <w:pPr>
              <w:spacing w:after="0"/>
              <w:rPr>
                <w:sz w:val="4"/>
                <w:szCs w:val="4"/>
                <w:color w:val="auto"/>
              </w:rPr>
            </w:pPr>
          </w:p>
        </w:tc>
        <w:tc>
          <w:tcPr>
            <w:tcW w:w="1160" w:type="dxa"/>
            <w:vAlign w:val="bottom"/>
            <w:vMerge w:val="continue"/>
            <w:shd w:val="clear" w:color="auto" w:fill="CF1D4C"/>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CF1D4C"/>
          </w:tcPr>
          <w:p>
            <w:pPr>
              <w:spacing w:after="0"/>
              <w:rPr>
                <w:sz w:val="5"/>
                <w:szCs w:val="5"/>
                <w:color w:val="auto"/>
              </w:rPr>
            </w:pPr>
          </w:p>
        </w:tc>
        <w:tc>
          <w:tcPr>
            <w:tcW w:w="1720" w:type="dxa"/>
            <w:vAlign w:val="bottom"/>
            <w:gridSpan w:val="2"/>
            <w:vMerge w:val="continue"/>
            <w:shd w:val="clear" w:color="auto" w:fill="CF1D4C"/>
          </w:tcPr>
          <w:p>
            <w:pPr>
              <w:spacing w:after="0"/>
              <w:rPr>
                <w:sz w:val="5"/>
                <w:szCs w:val="5"/>
                <w:color w:val="auto"/>
              </w:rPr>
            </w:pPr>
          </w:p>
        </w:tc>
        <w:tc>
          <w:tcPr>
            <w:tcW w:w="380" w:type="dxa"/>
            <w:vAlign w:val="bottom"/>
            <w:shd w:val="clear" w:color="auto" w:fill="CF1D4C"/>
          </w:tcPr>
          <w:p>
            <w:pPr>
              <w:spacing w:after="0"/>
              <w:rPr>
                <w:sz w:val="5"/>
                <w:szCs w:val="5"/>
                <w:color w:val="auto"/>
              </w:rPr>
            </w:pPr>
          </w:p>
        </w:tc>
        <w:tc>
          <w:tcPr>
            <w:tcW w:w="920" w:type="dxa"/>
            <w:vAlign w:val="bottom"/>
            <w:shd w:val="clear" w:color="auto" w:fill="CF1D4C"/>
          </w:tcPr>
          <w:p>
            <w:pPr>
              <w:ind w:left="200"/>
              <w:spacing w:after="0" w:line="68" w:lineRule="exact"/>
              <w:rPr>
                <w:sz w:val="20"/>
                <w:szCs w:val="20"/>
                <w:color w:val="auto"/>
              </w:rPr>
            </w:pPr>
            <w:r>
              <w:rPr>
                <w:rFonts w:ascii="Arial" w:cs="Arial" w:eastAsia="Arial" w:hAnsi="Arial"/>
                <w:sz w:val="6"/>
                <w:szCs w:val="6"/>
                <w:b w:val="1"/>
                <w:bCs w:val="1"/>
                <w:color w:val="FFFFFF"/>
              </w:rPr>
              <w:t>($)</w:t>
            </w:r>
          </w:p>
        </w:tc>
        <w:tc>
          <w:tcPr>
            <w:tcW w:w="660" w:type="dxa"/>
            <w:vAlign w:val="bottom"/>
            <w:vMerge w:val="continue"/>
            <w:shd w:val="clear" w:color="auto" w:fill="CF1D4C"/>
          </w:tcPr>
          <w:p>
            <w:pPr>
              <w:spacing w:after="0"/>
              <w:rPr>
                <w:sz w:val="5"/>
                <w:szCs w:val="5"/>
                <w:color w:val="auto"/>
              </w:rPr>
            </w:pPr>
          </w:p>
        </w:tc>
        <w:tc>
          <w:tcPr>
            <w:tcW w:w="240" w:type="dxa"/>
            <w:vAlign w:val="bottom"/>
            <w:shd w:val="clear" w:color="auto" w:fill="CF1D4C"/>
          </w:tcPr>
          <w:p>
            <w:pPr>
              <w:spacing w:after="0"/>
              <w:rPr>
                <w:sz w:val="5"/>
                <w:szCs w:val="5"/>
                <w:color w:val="auto"/>
              </w:rPr>
            </w:pPr>
          </w:p>
        </w:tc>
        <w:tc>
          <w:tcPr>
            <w:tcW w:w="600" w:type="dxa"/>
            <w:vAlign w:val="bottom"/>
            <w:shd w:val="clear" w:color="auto" w:fill="CF1D4C"/>
          </w:tcPr>
          <w:p>
            <w:pPr>
              <w:jc w:val="right"/>
              <w:ind w:right="465"/>
              <w:spacing w:after="0" w:line="68" w:lineRule="exact"/>
              <w:rPr>
                <w:sz w:val="20"/>
                <w:szCs w:val="20"/>
                <w:color w:val="auto"/>
              </w:rPr>
            </w:pPr>
            <w:r>
              <w:rPr>
                <w:rFonts w:ascii="Arial" w:cs="Arial" w:eastAsia="Arial" w:hAnsi="Arial"/>
                <w:sz w:val="7"/>
                <w:szCs w:val="7"/>
                <w:b w:val="1"/>
                <w:bCs w:val="1"/>
                <w:color w:val="FFFFFF"/>
                <w:w w:val="92"/>
              </w:rPr>
              <w:t>(2)</w:t>
            </w:r>
          </w:p>
        </w:tc>
        <w:tc>
          <w:tcPr>
            <w:tcW w:w="240" w:type="dxa"/>
            <w:vAlign w:val="bottom"/>
            <w:shd w:val="clear" w:color="auto" w:fill="CF1D4C"/>
          </w:tcPr>
          <w:p>
            <w:pPr>
              <w:spacing w:after="0"/>
              <w:rPr>
                <w:sz w:val="5"/>
                <w:szCs w:val="5"/>
                <w:color w:val="auto"/>
              </w:rPr>
            </w:pPr>
          </w:p>
        </w:tc>
        <w:tc>
          <w:tcPr>
            <w:tcW w:w="680" w:type="dxa"/>
            <w:vAlign w:val="bottom"/>
            <w:shd w:val="clear" w:color="auto" w:fill="CF1D4C"/>
          </w:tcPr>
          <w:p>
            <w:pPr>
              <w:jc w:val="right"/>
              <w:ind w:right="545"/>
              <w:spacing w:after="0" w:line="68" w:lineRule="exact"/>
              <w:rPr>
                <w:sz w:val="20"/>
                <w:szCs w:val="20"/>
                <w:color w:val="auto"/>
              </w:rPr>
            </w:pPr>
            <w:r>
              <w:rPr>
                <w:rFonts w:ascii="Arial" w:cs="Arial" w:eastAsia="Arial" w:hAnsi="Arial"/>
                <w:sz w:val="7"/>
                <w:szCs w:val="7"/>
                <w:b w:val="1"/>
                <w:bCs w:val="1"/>
                <w:color w:val="FFFFFF"/>
                <w:w w:val="92"/>
              </w:rPr>
              <w:t>(3)</w:t>
            </w:r>
          </w:p>
        </w:tc>
        <w:tc>
          <w:tcPr>
            <w:tcW w:w="1000" w:type="dxa"/>
            <w:vAlign w:val="bottom"/>
            <w:vMerge w:val="continue"/>
            <w:shd w:val="clear" w:color="auto" w:fill="CF1D4C"/>
          </w:tcPr>
          <w:p>
            <w:pPr>
              <w:spacing w:after="0"/>
              <w:rPr>
                <w:sz w:val="5"/>
                <w:szCs w:val="5"/>
                <w:color w:val="auto"/>
              </w:rPr>
            </w:pPr>
          </w:p>
        </w:tc>
        <w:tc>
          <w:tcPr>
            <w:tcW w:w="1040" w:type="dxa"/>
            <w:vAlign w:val="bottom"/>
            <w:shd w:val="clear" w:color="auto" w:fill="CF1D4C"/>
          </w:tcPr>
          <w:p>
            <w:pPr>
              <w:ind w:left="280"/>
              <w:spacing w:after="0" w:line="68" w:lineRule="exact"/>
              <w:rPr>
                <w:sz w:val="20"/>
                <w:szCs w:val="20"/>
                <w:color w:val="auto"/>
              </w:rPr>
            </w:pPr>
            <w:r>
              <w:rPr>
                <w:rFonts w:ascii="Arial" w:cs="Arial" w:eastAsia="Arial" w:hAnsi="Arial"/>
                <w:sz w:val="7"/>
                <w:szCs w:val="7"/>
                <w:b w:val="1"/>
                <w:bCs w:val="1"/>
                <w:color w:val="FFFFFF"/>
              </w:rPr>
              <w:t>(5)</w:t>
            </w:r>
          </w:p>
        </w:tc>
        <w:tc>
          <w:tcPr>
            <w:tcW w:w="1160" w:type="dxa"/>
            <w:vAlign w:val="bottom"/>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20" w:type="dxa"/>
            <w:vAlign w:val="bottom"/>
            <w:shd w:val="clear" w:color="auto" w:fill="CF1D4C"/>
          </w:tcPr>
          <w:p>
            <w:pPr>
              <w:spacing w:after="0"/>
              <w:rPr>
                <w:sz w:val="19"/>
                <w:szCs w:val="19"/>
                <w:color w:val="auto"/>
              </w:rPr>
            </w:pPr>
          </w:p>
        </w:tc>
        <w:tc>
          <w:tcPr>
            <w:tcW w:w="1640" w:type="dxa"/>
            <w:vAlign w:val="bottom"/>
            <w:shd w:val="clear" w:color="auto" w:fill="CF1D4C"/>
          </w:tcPr>
          <w:p>
            <w:pPr>
              <w:spacing w:after="0"/>
              <w:rPr>
                <w:sz w:val="19"/>
                <w:szCs w:val="19"/>
                <w:color w:val="auto"/>
              </w:rPr>
            </w:pPr>
          </w:p>
        </w:tc>
        <w:tc>
          <w:tcPr>
            <w:tcW w:w="80" w:type="dxa"/>
            <w:vAlign w:val="bottom"/>
            <w:shd w:val="clear" w:color="auto" w:fill="CF1D4C"/>
          </w:tcPr>
          <w:p>
            <w:pPr>
              <w:spacing w:after="0"/>
              <w:rPr>
                <w:sz w:val="19"/>
                <w:szCs w:val="19"/>
                <w:color w:val="auto"/>
              </w:rPr>
            </w:pPr>
          </w:p>
        </w:tc>
        <w:tc>
          <w:tcPr>
            <w:tcW w:w="380" w:type="dxa"/>
            <w:vAlign w:val="bottom"/>
            <w:shd w:val="clear" w:color="auto" w:fill="CF1D4C"/>
          </w:tcPr>
          <w:p>
            <w:pPr>
              <w:spacing w:after="0"/>
              <w:rPr>
                <w:sz w:val="19"/>
                <w:szCs w:val="19"/>
                <w:color w:val="auto"/>
              </w:rPr>
            </w:pPr>
          </w:p>
        </w:tc>
        <w:tc>
          <w:tcPr>
            <w:tcW w:w="920" w:type="dxa"/>
            <w:vAlign w:val="bottom"/>
            <w:shd w:val="clear" w:color="auto" w:fill="CF1D4C"/>
          </w:tcPr>
          <w:p>
            <w:pPr>
              <w:spacing w:after="0"/>
              <w:rPr>
                <w:sz w:val="19"/>
                <w:szCs w:val="19"/>
                <w:color w:val="auto"/>
              </w:rPr>
            </w:pPr>
          </w:p>
        </w:tc>
        <w:tc>
          <w:tcPr>
            <w:tcW w:w="660" w:type="dxa"/>
            <w:vAlign w:val="bottom"/>
            <w:shd w:val="clear" w:color="auto" w:fill="CF1D4C"/>
          </w:tcPr>
          <w:p>
            <w:pPr>
              <w:spacing w:after="0"/>
              <w:rPr>
                <w:sz w:val="19"/>
                <w:szCs w:val="19"/>
                <w:color w:val="auto"/>
              </w:rPr>
            </w:pPr>
          </w:p>
        </w:tc>
        <w:tc>
          <w:tcPr>
            <w:tcW w:w="240" w:type="dxa"/>
            <w:vAlign w:val="bottom"/>
            <w:shd w:val="clear" w:color="auto" w:fill="CF1D4C"/>
          </w:tcPr>
          <w:p>
            <w:pPr>
              <w:ind w:left="120"/>
              <w:spacing w:after="0"/>
              <w:rPr>
                <w:sz w:val="20"/>
                <w:szCs w:val="20"/>
                <w:color w:val="auto"/>
              </w:rPr>
            </w:pPr>
            <w:r>
              <w:rPr>
                <w:rFonts w:ascii="Arial" w:cs="Arial" w:eastAsia="Arial" w:hAnsi="Arial"/>
                <w:sz w:val="11"/>
                <w:szCs w:val="11"/>
                <w:b w:val="1"/>
                <w:bCs w:val="1"/>
                <w:color w:val="FFFFFF"/>
                <w:w w:val="74"/>
              </w:rPr>
              <w:t>($)</w:t>
            </w:r>
          </w:p>
        </w:tc>
        <w:tc>
          <w:tcPr>
            <w:tcW w:w="600" w:type="dxa"/>
            <w:vAlign w:val="bottom"/>
            <w:shd w:val="clear" w:color="auto" w:fill="CF1D4C"/>
          </w:tcPr>
          <w:p>
            <w:pPr>
              <w:spacing w:after="0"/>
              <w:rPr>
                <w:sz w:val="19"/>
                <w:szCs w:val="19"/>
                <w:color w:val="auto"/>
              </w:rPr>
            </w:pPr>
          </w:p>
        </w:tc>
        <w:tc>
          <w:tcPr>
            <w:tcW w:w="240" w:type="dxa"/>
            <w:vAlign w:val="bottom"/>
            <w:shd w:val="clear" w:color="auto" w:fill="CF1D4C"/>
          </w:tcPr>
          <w:p>
            <w:pPr>
              <w:ind w:left="100"/>
              <w:spacing w:after="0"/>
              <w:rPr>
                <w:sz w:val="20"/>
                <w:szCs w:val="20"/>
                <w:color w:val="auto"/>
              </w:rPr>
            </w:pPr>
            <w:r>
              <w:rPr>
                <w:rFonts w:ascii="Arial" w:cs="Arial" w:eastAsia="Arial" w:hAnsi="Arial"/>
                <w:sz w:val="11"/>
                <w:szCs w:val="11"/>
                <w:b w:val="1"/>
                <w:bCs w:val="1"/>
                <w:color w:val="FFFFFF"/>
                <w:w w:val="88"/>
              </w:rPr>
              <w:t>($)</w:t>
            </w:r>
          </w:p>
        </w:tc>
        <w:tc>
          <w:tcPr>
            <w:tcW w:w="680" w:type="dxa"/>
            <w:vAlign w:val="bottom"/>
            <w:shd w:val="clear" w:color="auto" w:fill="CF1D4C"/>
          </w:tcPr>
          <w:p>
            <w:pPr>
              <w:spacing w:after="0"/>
              <w:rPr>
                <w:sz w:val="19"/>
                <w:szCs w:val="19"/>
                <w:color w:val="auto"/>
              </w:rPr>
            </w:pPr>
          </w:p>
        </w:tc>
        <w:tc>
          <w:tcPr>
            <w:tcW w:w="1000" w:type="dxa"/>
            <w:vAlign w:val="bottom"/>
            <w:shd w:val="clear" w:color="auto" w:fill="CF1D4C"/>
          </w:tcPr>
          <w:p>
            <w:pPr>
              <w:ind w:left="100"/>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6"/>
                <w:szCs w:val="16"/>
                <w:b w:val="1"/>
                <w:bCs w:val="1"/>
                <w:color w:val="FFFFFF"/>
                <w:vertAlign w:val="superscript"/>
              </w:rPr>
              <w:t>(4)</w:t>
            </w:r>
          </w:p>
        </w:tc>
        <w:tc>
          <w:tcPr>
            <w:tcW w:w="1040" w:type="dxa"/>
            <w:vAlign w:val="bottom"/>
            <w:shd w:val="clear" w:color="auto" w:fill="CF1D4C"/>
          </w:tcPr>
          <w:p>
            <w:pPr>
              <w:ind w:left="140"/>
              <w:spacing w:after="0"/>
              <w:rPr>
                <w:sz w:val="20"/>
                <w:szCs w:val="20"/>
                <w:color w:val="auto"/>
              </w:rPr>
            </w:pPr>
            <w:r>
              <w:rPr>
                <w:rFonts w:ascii="Arial" w:cs="Arial" w:eastAsia="Arial" w:hAnsi="Arial"/>
                <w:sz w:val="11"/>
                <w:szCs w:val="11"/>
                <w:b w:val="1"/>
                <w:bCs w:val="1"/>
                <w:color w:val="FFFFFF"/>
              </w:rPr>
              <w:t>($)</w:t>
            </w:r>
          </w:p>
        </w:tc>
        <w:tc>
          <w:tcPr>
            <w:tcW w:w="1160" w:type="dxa"/>
            <w:vAlign w:val="bottom"/>
            <w:shd w:val="clear" w:color="auto" w:fill="CF1D4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 w:type="dxa"/>
            <w:vAlign w:val="bottom"/>
            <w:shd w:val="clear" w:color="auto" w:fill="D9D9D9"/>
          </w:tcPr>
          <w:p>
            <w:pPr>
              <w:spacing w:after="0"/>
              <w:rPr>
                <w:sz w:val="19"/>
                <w:szCs w:val="19"/>
                <w:color w:val="auto"/>
              </w:rPr>
            </w:pPr>
          </w:p>
        </w:tc>
        <w:tc>
          <w:tcPr>
            <w:tcW w:w="1720" w:type="dxa"/>
            <w:vAlign w:val="bottom"/>
            <w:gridSpan w:val="2"/>
            <w:shd w:val="clear" w:color="auto" w:fill="D9D9D9"/>
          </w:tcPr>
          <w:p>
            <w:pPr>
              <w:ind w:left="60"/>
              <w:spacing w:after="0"/>
              <w:rPr>
                <w:sz w:val="20"/>
                <w:szCs w:val="20"/>
                <w:color w:val="auto"/>
              </w:rPr>
            </w:pPr>
            <w:r>
              <w:rPr>
                <w:rFonts w:ascii="Arial" w:cs="Arial" w:eastAsia="Arial" w:hAnsi="Arial"/>
                <w:sz w:val="13"/>
                <w:szCs w:val="13"/>
                <w:b w:val="1"/>
                <w:bCs w:val="1"/>
                <w:color w:val="333333"/>
              </w:rPr>
              <w:t>Ronald F. Clarke</w:t>
            </w:r>
          </w:p>
        </w:tc>
        <w:tc>
          <w:tcPr>
            <w:tcW w:w="380" w:type="dxa"/>
            <w:vAlign w:val="bottom"/>
            <w:shd w:val="clear" w:color="auto" w:fill="D9D9D9"/>
          </w:tcPr>
          <w:p>
            <w:pPr>
              <w:ind w:left="100"/>
              <w:spacing w:after="0"/>
              <w:rPr>
                <w:sz w:val="20"/>
                <w:szCs w:val="20"/>
                <w:color w:val="auto"/>
              </w:rPr>
            </w:pPr>
            <w:r>
              <w:rPr>
                <w:rFonts w:ascii="Arial" w:cs="Arial" w:eastAsia="Arial" w:hAnsi="Arial"/>
                <w:sz w:val="13"/>
                <w:szCs w:val="13"/>
                <w:color w:val="333333"/>
                <w:w w:val="89"/>
              </w:rPr>
              <w:t>2023</w:t>
            </w:r>
          </w:p>
        </w:tc>
        <w:tc>
          <w:tcPr>
            <w:tcW w:w="92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$​1,200,000</w:t>
            </w:r>
          </w:p>
        </w:tc>
        <w:tc>
          <w:tcPr>
            <w:tcW w:w="660" w:type="dxa"/>
            <w:vAlign w:val="bottom"/>
            <w:shd w:val="clear" w:color="auto" w:fill="D9D9D9"/>
          </w:tcPr>
          <w:p>
            <w:pPr>
              <w:ind w:left="120"/>
              <w:spacing w:after="0"/>
              <w:rPr>
                <w:sz w:val="20"/>
                <w:szCs w:val="20"/>
                <w:color w:val="auto"/>
              </w:rPr>
            </w:pPr>
            <w:r>
              <w:rPr>
                <w:rFonts w:ascii="Arial" w:cs="Arial" w:eastAsia="Arial" w:hAnsi="Arial"/>
                <w:sz w:val="13"/>
                <w:szCs w:val="13"/>
                <w:color w:val="333333"/>
              </w:rPr>
              <w:t>—</w:t>
            </w:r>
          </w:p>
        </w:tc>
        <w:tc>
          <w:tcPr>
            <w:tcW w:w="840" w:type="dxa"/>
            <w:vAlign w:val="bottom"/>
            <w:gridSpan w:val="2"/>
            <w:shd w:val="clear" w:color="auto" w:fill="D9D9D9"/>
          </w:tcPr>
          <w:p>
            <w:pPr>
              <w:ind w:left="120"/>
              <w:spacing w:after="0"/>
              <w:rPr>
                <w:sz w:val="20"/>
                <w:szCs w:val="20"/>
                <w:color w:val="auto"/>
              </w:rPr>
            </w:pPr>
            <w:r>
              <w:rPr>
                <w:rFonts w:ascii="Arial" w:cs="Arial" w:eastAsia="Arial" w:hAnsi="Arial"/>
                <w:sz w:val="13"/>
                <w:szCs w:val="13"/>
                <w:color w:val="333333"/>
              </w:rPr>
              <w:t>$​1,440,058</w:t>
            </w:r>
          </w:p>
        </w:tc>
        <w:tc>
          <w:tcPr>
            <w:tcW w:w="240" w:type="dxa"/>
            <w:vAlign w:val="bottom"/>
            <w:shd w:val="clear" w:color="auto" w:fill="D9D9D9"/>
          </w:tcPr>
          <w:p>
            <w:pPr>
              <w:ind w:left="100"/>
              <w:spacing w:after="0"/>
              <w:rPr>
                <w:sz w:val="20"/>
                <w:szCs w:val="20"/>
                <w:color w:val="auto"/>
              </w:rPr>
            </w:pPr>
            <w:r>
              <w:rPr>
                <w:rFonts w:ascii="Arial" w:cs="Arial" w:eastAsia="Arial" w:hAnsi="Arial"/>
                <w:sz w:val="13"/>
                <w:szCs w:val="13"/>
                <w:color w:val="333333"/>
                <w:w w:val="91"/>
              </w:rPr>
              <w:t>—</w:t>
            </w:r>
          </w:p>
        </w:tc>
        <w:tc>
          <w:tcPr>
            <w:tcW w:w="680" w:type="dxa"/>
            <w:vAlign w:val="bottom"/>
            <w:shd w:val="clear" w:color="auto" w:fill="D9D9D9"/>
          </w:tcPr>
          <w:p>
            <w:pPr>
              <w:spacing w:after="0"/>
              <w:rPr>
                <w:sz w:val="19"/>
                <w:szCs w:val="19"/>
                <w:color w:val="auto"/>
              </w:rPr>
            </w:pPr>
          </w:p>
        </w:tc>
        <w:tc>
          <w:tcPr>
            <w:tcW w:w="100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1040" w:type="dxa"/>
            <w:vAlign w:val="bottom"/>
            <w:shd w:val="clear" w:color="auto" w:fill="D9D9D9"/>
          </w:tcPr>
          <w:p>
            <w:pPr>
              <w:ind w:left="140"/>
              <w:spacing w:after="0"/>
              <w:rPr>
                <w:sz w:val="20"/>
                <w:szCs w:val="20"/>
                <w:color w:val="auto"/>
              </w:rPr>
            </w:pPr>
            <w:r>
              <w:rPr>
                <w:rFonts w:ascii="Arial" w:cs="Arial" w:eastAsia="Arial" w:hAnsi="Arial"/>
                <w:sz w:val="13"/>
                <w:szCs w:val="13"/>
                <w:color w:val="333333"/>
              </w:rPr>
              <w:t>$​28,966</w:t>
            </w:r>
          </w:p>
        </w:tc>
        <w:tc>
          <w:tcPr>
            <w:tcW w:w="11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$​2,669,024</w:t>
            </w:r>
          </w:p>
        </w:tc>
        <w:tc>
          <w:tcPr>
            <w:tcW w:w="0" w:type="dxa"/>
            <w:vAlign w:val="bottom"/>
          </w:tcPr>
          <w:p>
            <w:pPr>
              <w:spacing w:after="0"/>
              <w:rPr>
                <w:sz w:val="1"/>
                <w:szCs w:val="1"/>
                <w:color w:val="auto"/>
              </w:rPr>
            </w:pPr>
          </w:p>
        </w:tc>
      </w:tr>
      <w:tr>
        <w:trPr>
          <w:trHeight w:val="110"/>
        </w:trPr>
        <w:tc>
          <w:tcPr>
            <w:tcW w:w="120" w:type="dxa"/>
            <w:vAlign w:val="bottom"/>
            <w:vMerge w:val="restart"/>
            <w:shd w:val="clear" w:color="auto" w:fill="D9D9D9"/>
          </w:tcPr>
          <w:p>
            <w:pPr>
              <w:spacing w:after="0"/>
              <w:rPr>
                <w:sz w:val="9"/>
                <w:szCs w:val="9"/>
                <w:color w:val="auto"/>
              </w:rPr>
            </w:pPr>
          </w:p>
        </w:tc>
        <w:tc>
          <w:tcPr>
            <w:tcW w:w="1720" w:type="dxa"/>
            <w:vAlign w:val="bottom"/>
            <w:gridSpan w:val="2"/>
            <w:vMerge w:val="restart"/>
            <w:shd w:val="clear" w:color="auto" w:fill="D9D9D9"/>
          </w:tcPr>
          <w:p>
            <w:pPr>
              <w:ind w:left="60"/>
              <w:spacing w:after="0" w:line="135" w:lineRule="exact"/>
              <w:rPr>
                <w:sz w:val="20"/>
                <w:szCs w:val="20"/>
                <w:color w:val="auto"/>
              </w:rPr>
            </w:pPr>
            <w:r>
              <w:rPr>
                <w:rFonts w:ascii="Arial" w:cs="Arial" w:eastAsia="Arial" w:hAnsi="Arial"/>
                <w:sz w:val="13"/>
                <w:szCs w:val="13"/>
                <w:i w:val="1"/>
                <w:iCs w:val="1"/>
                <w:color w:val="333333"/>
              </w:rPr>
              <w:t>Chief Executive Officer and</w:t>
            </w:r>
          </w:p>
        </w:tc>
        <w:tc>
          <w:tcPr>
            <w:tcW w:w="380" w:type="dxa"/>
            <w:vAlign w:val="bottom"/>
            <w:shd w:val="clear" w:color="auto" w:fill="D9D9D9"/>
          </w:tcPr>
          <w:p>
            <w:pPr>
              <w:spacing w:after="0"/>
              <w:rPr>
                <w:sz w:val="9"/>
                <w:szCs w:val="9"/>
                <w:color w:val="auto"/>
              </w:rPr>
            </w:pPr>
          </w:p>
        </w:tc>
        <w:tc>
          <w:tcPr>
            <w:tcW w:w="920" w:type="dxa"/>
            <w:vAlign w:val="bottom"/>
            <w:shd w:val="clear" w:color="auto" w:fill="D9D9D9"/>
          </w:tcPr>
          <w:p>
            <w:pPr>
              <w:spacing w:after="0"/>
              <w:rPr>
                <w:sz w:val="9"/>
                <w:szCs w:val="9"/>
                <w:color w:val="auto"/>
              </w:rPr>
            </w:pPr>
          </w:p>
        </w:tc>
        <w:tc>
          <w:tcPr>
            <w:tcW w:w="66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60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680" w:type="dxa"/>
            <w:vAlign w:val="bottom"/>
            <w:shd w:val="clear" w:color="auto" w:fill="D9D9D9"/>
          </w:tcPr>
          <w:p>
            <w:pPr>
              <w:spacing w:after="0"/>
              <w:rPr>
                <w:sz w:val="9"/>
                <w:szCs w:val="9"/>
                <w:color w:val="auto"/>
              </w:rPr>
            </w:pPr>
          </w:p>
        </w:tc>
        <w:tc>
          <w:tcPr>
            <w:tcW w:w="1000" w:type="dxa"/>
            <w:vAlign w:val="bottom"/>
            <w:shd w:val="clear" w:color="auto" w:fill="D9D9D9"/>
          </w:tcPr>
          <w:p>
            <w:pPr>
              <w:spacing w:after="0"/>
              <w:rPr>
                <w:sz w:val="9"/>
                <w:szCs w:val="9"/>
                <w:color w:val="auto"/>
              </w:rPr>
            </w:pPr>
          </w:p>
        </w:tc>
        <w:tc>
          <w:tcPr>
            <w:tcW w:w="1040" w:type="dxa"/>
            <w:vAlign w:val="bottom"/>
            <w:shd w:val="clear" w:color="auto" w:fill="D9D9D9"/>
          </w:tcPr>
          <w:p>
            <w:pPr>
              <w:spacing w:after="0"/>
              <w:rPr>
                <w:sz w:val="9"/>
                <w:szCs w:val="9"/>
                <w:color w:val="auto"/>
              </w:rPr>
            </w:pPr>
          </w:p>
        </w:tc>
        <w:tc>
          <w:tcPr>
            <w:tcW w:w="116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20" w:type="dxa"/>
            <w:vAlign w:val="bottom"/>
            <w:vMerge w:val="continue"/>
            <w:shd w:val="clear" w:color="auto" w:fill="D9D9D9"/>
          </w:tcPr>
          <w:p>
            <w:pPr>
              <w:spacing w:after="0"/>
              <w:rPr>
                <w:sz w:val="2"/>
                <w:szCs w:val="2"/>
                <w:color w:val="auto"/>
              </w:rPr>
            </w:pPr>
          </w:p>
        </w:tc>
        <w:tc>
          <w:tcPr>
            <w:tcW w:w="1720" w:type="dxa"/>
            <w:vAlign w:val="bottom"/>
            <w:gridSpan w:val="2"/>
            <w:vMerge w:val="continue"/>
            <w:shd w:val="clear" w:color="auto" w:fill="D9D9D9"/>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0" w:type="dxa"/>
            <w:vAlign w:val="bottom"/>
            <w:shd w:val="clear" w:color="auto" w:fill="D9D9D9"/>
          </w:tcPr>
          <w:p>
            <w:pPr>
              <w:spacing w:after="0"/>
              <w:rPr>
                <w:sz w:val="11"/>
                <w:szCs w:val="11"/>
                <w:color w:val="auto"/>
              </w:rPr>
            </w:pPr>
          </w:p>
        </w:tc>
        <w:tc>
          <w:tcPr>
            <w:tcW w:w="1720" w:type="dxa"/>
            <w:vAlign w:val="bottom"/>
            <w:gridSpan w:val="2"/>
            <w:shd w:val="clear" w:color="auto" w:fill="D9D9D9"/>
          </w:tcPr>
          <w:p>
            <w:pPr>
              <w:ind w:left="60"/>
              <w:spacing w:after="0" w:line="135" w:lineRule="exact"/>
              <w:rPr>
                <w:sz w:val="20"/>
                <w:szCs w:val="20"/>
                <w:color w:val="auto"/>
              </w:rPr>
            </w:pPr>
            <w:r>
              <w:rPr>
                <w:rFonts w:ascii="Arial" w:cs="Arial" w:eastAsia="Arial" w:hAnsi="Arial"/>
                <w:sz w:val="13"/>
                <w:szCs w:val="13"/>
                <w:i w:val="1"/>
                <w:iCs w:val="1"/>
                <w:color w:val="333333"/>
              </w:rPr>
              <w:t>Chairman of the Board of</w:t>
            </w:r>
          </w:p>
        </w:tc>
        <w:tc>
          <w:tcPr>
            <w:tcW w:w="380" w:type="dxa"/>
            <w:vAlign w:val="bottom"/>
            <w:vMerge w:val="restart"/>
          </w:tcPr>
          <w:p>
            <w:pPr>
              <w:ind w:left="100"/>
              <w:spacing w:after="0"/>
              <w:rPr>
                <w:sz w:val="20"/>
                <w:szCs w:val="20"/>
                <w:color w:val="auto"/>
              </w:rPr>
            </w:pPr>
            <w:r>
              <w:rPr>
                <w:rFonts w:ascii="Arial" w:cs="Arial" w:eastAsia="Arial" w:hAnsi="Arial"/>
                <w:sz w:val="13"/>
                <w:szCs w:val="13"/>
                <w:color w:val="333333"/>
                <w:w w:val="89"/>
              </w:rPr>
              <w:t>2022</w:t>
            </w:r>
          </w:p>
        </w:tc>
        <w:tc>
          <w:tcPr>
            <w:tcW w:w="920" w:type="dxa"/>
            <w:vAlign w:val="bottom"/>
            <w:vMerge w:val="restart"/>
          </w:tcPr>
          <w:p>
            <w:pPr>
              <w:ind w:left="200"/>
              <w:spacing w:after="0"/>
              <w:rPr>
                <w:sz w:val="20"/>
                <w:szCs w:val="20"/>
                <w:color w:val="auto"/>
              </w:rPr>
            </w:pPr>
            <w:r>
              <w:rPr>
                <w:rFonts w:ascii="Arial" w:cs="Arial" w:eastAsia="Arial" w:hAnsi="Arial"/>
                <w:sz w:val="13"/>
                <w:szCs w:val="13"/>
                <w:color w:val="333333"/>
              </w:rPr>
              <w:t>$​1,176,923</w:t>
            </w:r>
          </w:p>
        </w:tc>
        <w:tc>
          <w:tcPr>
            <w:tcW w:w="660" w:type="dxa"/>
            <w:vAlign w:val="bottom"/>
            <w:vMerge w:val="restart"/>
          </w:tcPr>
          <w:p>
            <w:pPr>
              <w:ind w:left="120"/>
              <w:spacing w:after="0"/>
              <w:rPr>
                <w:sz w:val="20"/>
                <w:szCs w:val="20"/>
                <w:color w:val="auto"/>
              </w:rPr>
            </w:pPr>
            <w:r>
              <w:rPr>
                <w:rFonts w:ascii="Arial" w:cs="Arial" w:eastAsia="Arial" w:hAnsi="Arial"/>
                <w:sz w:val="13"/>
                <w:szCs w:val="13"/>
                <w:color w:val="333333"/>
              </w:rPr>
              <w:t>—</w:t>
            </w:r>
          </w:p>
        </w:tc>
        <w:tc>
          <w:tcPr>
            <w:tcW w:w="240" w:type="dxa"/>
            <w:vAlign w:val="bottom"/>
            <w:vMerge w:val="restart"/>
          </w:tcPr>
          <w:p>
            <w:pPr>
              <w:ind w:left="120"/>
              <w:spacing w:after="0"/>
              <w:rPr>
                <w:sz w:val="20"/>
                <w:szCs w:val="20"/>
                <w:color w:val="auto"/>
              </w:rPr>
            </w:pPr>
            <w:r>
              <w:rPr>
                <w:rFonts w:ascii="Arial" w:cs="Arial" w:eastAsia="Arial" w:hAnsi="Arial"/>
                <w:sz w:val="13"/>
                <w:szCs w:val="13"/>
                <w:color w:val="333333"/>
                <w:w w:val="76"/>
              </w:rPr>
              <w:t>—</w:t>
            </w:r>
          </w:p>
        </w:tc>
        <w:tc>
          <w:tcPr>
            <w:tcW w:w="600" w:type="dxa"/>
            <w:vAlign w:val="bottom"/>
          </w:tcPr>
          <w:p>
            <w:pPr>
              <w:spacing w:after="0"/>
              <w:rPr>
                <w:sz w:val="11"/>
                <w:szCs w:val="11"/>
                <w:color w:val="auto"/>
              </w:rPr>
            </w:pPr>
          </w:p>
        </w:tc>
        <w:tc>
          <w:tcPr>
            <w:tcW w:w="240" w:type="dxa"/>
            <w:vAlign w:val="bottom"/>
            <w:vMerge w:val="restart"/>
          </w:tcPr>
          <w:p>
            <w:pPr>
              <w:ind w:left="100"/>
              <w:spacing w:after="0"/>
              <w:rPr>
                <w:sz w:val="20"/>
                <w:szCs w:val="20"/>
                <w:color w:val="auto"/>
              </w:rPr>
            </w:pPr>
            <w:r>
              <w:rPr>
                <w:rFonts w:ascii="Arial" w:cs="Arial" w:eastAsia="Arial" w:hAnsi="Arial"/>
                <w:sz w:val="13"/>
                <w:szCs w:val="13"/>
                <w:color w:val="333333"/>
                <w:w w:val="91"/>
              </w:rPr>
              <w:t>​—</w:t>
            </w:r>
          </w:p>
        </w:tc>
        <w:tc>
          <w:tcPr>
            <w:tcW w:w="680" w:type="dxa"/>
            <w:vAlign w:val="bottom"/>
          </w:tcPr>
          <w:p>
            <w:pPr>
              <w:spacing w:after="0"/>
              <w:rPr>
                <w:sz w:val="11"/>
                <w:szCs w:val="11"/>
                <w:color w:val="auto"/>
              </w:rPr>
            </w:pPr>
          </w:p>
        </w:tc>
        <w:tc>
          <w:tcPr>
            <w:tcW w:w="1000" w:type="dxa"/>
            <w:vAlign w:val="bottom"/>
            <w:vMerge w:val="restart"/>
          </w:tcPr>
          <w:p>
            <w:pPr>
              <w:ind w:left="100"/>
              <w:spacing w:after="0"/>
              <w:rPr>
                <w:sz w:val="20"/>
                <w:szCs w:val="20"/>
                <w:color w:val="auto"/>
              </w:rPr>
            </w:pPr>
            <w:r>
              <w:rPr>
                <w:rFonts w:ascii="Arial" w:cs="Arial" w:eastAsia="Arial" w:hAnsi="Arial"/>
                <w:sz w:val="13"/>
                <w:szCs w:val="13"/>
                <w:color w:val="333333"/>
              </w:rPr>
              <w:t>$​2,776,500</w:t>
            </w:r>
          </w:p>
        </w:tc>
        <w:tc>
          <w:tcPr>
            <w:tcW w:w="1040" w:type="dxa"/>
            <w:vAlign w:val="bottom"/>
            <w:vMerge w:val="restart"/>
          </w:tcPr>
          <w:p>
            <w:pPr>
              <w:ind w:left="140"/>
              <w:spacing w:after="0"/>
              <w:rPr>
                <w:sz w:val="20"/>
                <w:szCs w:val="20"/>
                <w:color w:val="auto"/>
              </w:rPr>
            </w:pPr>
            <w:r>
              <w:rPr>
                <w:rFonts w:ascii="Arial" w:cs="Arial" w:eastAsia="Arial" w:hAnsi="Arial"/>
                <w:sz w:val="13"/>
                <w:szCs w:val="13"/>
                <w:color w:val="333333"/>
              </w:rPr>
              <w:t>$​33,575</w:t>
            </w:r>
          </w:p>
        </w:tc>
        <w:tc>
          <w:tcPr>
            <w:tcW w:w="1160" w:type="dxa"/>
            <w:vAlign w:val="bottom"/>
            <w:vMerge w:val="restart"/>
          </w:tcPr>
          <w:p>
            <w:pPr>
              <w:ind w:left="160"/>
              <w:spacing w:after="0"/>
              <w:rPr>
                <w:sz w:val="20"/>
                <w:szCs w:val="20"/>
                <w:color w:val="auto"/>
              </w:rPr>
            </w:pPr>
            <w:r>
              <w:rPr>
                <w:rFonts w:ascii="Arial" w:cs="Arial" w:eastAsia="Arial" w:hAnsi="Arial"/>
                <w:sz w:val="13"/>
                <w:szCs w:val="13"/>
                <w:color w:val="333333"/>
              </w:rPr>
              <w:t>$​3,986,998</w:t>
            </w:r>
          </w:p>
        </w:tc>
        <w:tc>
          <w:tcPr>
            <w:tcW w:w="0" w:type="dxa"/>
            <w:vAlign w:val="bottom"/>
          </w:tcPr>
          <w:p>
            <w:pPr>
              <w:spacing w:after="0"/>
              <w:rPr>
                <w:sz w:val="1"/>
                <w:szCs w:val="1"/>
                <w:color w:val="auto"/>
              </w:rPr>
            </w:pPr>
          </w:p>
        </w:tc>
      </w:tr>
      <w:tr>
        <w:trPr>
          <w:trHeight w:val="110"/>
        </w:trPr>
        <w:tc>
          <w:tcPr>
            <w:tcW w:w="120" w:type="dxa"/>
            <w:vAlign w:val="bottom"/>
            <w:shd w:val="clear" w:color="auto" w:fill="D9D9D9"/>
          </w:tcPr>
          <w:p>
            <w:pPr>
              <w:spacing w:after="0"/>
              <w:rPr>
                <w:sz w:val="9"/>
                <w:szCs w:val="9"/>
                <w:color w:val="auto"/>
              </w:rPr>
            </w:pPr>
          </w:p>
        </w:tc>
        <w:tc>
          <w:tcPr>
            <w:tcW w:w="1720" w:type="dxa"/>
            <w:vAlign w:val="bottom"/>
            <w:gridSpan w:val="2"/>
            <w:vMerge w:val="restart"/>
            <w:shd w:val="clear" w:color="auto" w:fill="D9D9D9"/>
          </w:tcPr>
          <w:p>
            <w:pPr>
              <w:ind w:left="60"/>
              <w:spacing w:after="0"/>
              <w:rPr>
                <w:sz w:val="20"/>
                <w:szCs w:val="20"/>
                <w:color w:val="auto"/>
              </w:rPr>
            </w:pPr>
            <w:r>
              <w:rPr>
                <w:rFonts w:ascii="Arial" w:cs="Arial" w:eastAsia="Arial" w:hAnsi="Arial"/>
                <w:sz w:val="13"/>
                <w:szCs w:val="13"/>
                <w:i w:val="1"/>
                <w:iCs w:val="1"/>
                <w:color w:val="333333"/>
              </w:rPr>
              <w:t>Directors</w:t>
            </w:r>
          </w:p>
        </w:tc>
        <w:tc>
          <w:tcPr>
            <w:tcW w:w="3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0" w:type="dxa"/>
            <w:vAlign w:val="bottom"/>
            <w:shd w:val="clear" w:color="auto" w:fill="D9D9D9"/>
          </w:tcPr>
          <w:p>
            <w:pPr>
              <w:spacing w:after="0"/>
              <w:rPr>
                <w:sz w:val="5"/>
                <w:szCs w:val="5"/>
                <w:color w:val="auto"/>
              </w:rPr>
            </w:pPr>
          </w:p>
        </w:tc>
        <w:tc>
          <w:tcPr>
            <w:tcW w:w="1720" w:type="dxa"/>
            <w:vAlign w:val="bottom"/>
            <w:gridSpan w:val="2"/>
            <w:vMerge w:val="continue"/>
            <w:shd w:val="clear" w:color="auto" w:fill="D9D9D9"/>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20" w:type="dxa"/>
            <w:vAlign w:val="bottom"/>
            <w:shd w:val="clear" w:color="auto" w:fill="D9D9D9"/>
          </w:tcPr>
          <w:p>
            <w:pPr>
              <w:spacing w:after="0"/>
              <w:rPr>
                <w:sz w:val="20"/>
                <w:szCs w:val="20"/>
                <w:color w:val="auto"/>
              </w:rPr>
            </w:pPr>
          </w:p>
        </w:tc>
        <w:tc>
          <w:tcPr>
            <w:tcW w:w="164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380" w:type="dxa"/>
            <w:vAlign w:val="bottom"/>
            <w:shd w:val="clear" w:color="auto" w:fill="D9D9D9"/>
          </w:tcPr>
          <w:p>
            <w:pPr>
              <w:ind w:left="100"/>
              <w:spacing w:after="0"/>
              <w:rPr>
                <w:sz w:val="20"/>
                <w:szCs w:val="20"/>
                <w:color w:val="auto"/>
              </w:rPr>
            </w:pPr>
            <w:r>
              <w:rPr>
                <w:rFonts w:ascii="Arial" w:cs="Arial" w:eastAsia="Arial" w:hAnsi="Arial"/>
                <w:sz w:val="13"/>
                <w:szCs w:val="13"/>
                <w:color w:val="333333"/>
                <w:w w:val="89"/>
              </w:rPr>
              <w:t>2021</w:t>
            </w:r>
          </w:p>
        </w:tc>
        <w:tc>
          <w:tcPr>
            <w:tcW w:w="92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$​1,000,000</w:t>
            </w:r>
          </w:p>
        </w:tc>
        <w:tc>
          <w:tcPr>
            <w:tcW w:w="660" w:type="dxa"/>
            <w:vAlign w:val="bottom"/>
            <w:shd w:val="clear" w:color="auto" w:fill="D9D9D9"/>
          </w:tcPr>
          <w:p>
            <w:pPr>
              <w:ind w:left="120"/>
              <w:spacing w:after="0"/>
              <w:rPr>
                <w:sz w:val="20"/>
                <w:szCs w:val="20"/>
                <w:color w:val="auto"/>
              </w:rPr>
            </w:pPr>
            <w:r>
              <w:rPr>
                <w:rFonts w:ascii="Arial" w:cs="Arial" w:eastAsia="Arial" w:hAnsi="Arial"/>
                <w:sz w:val="13"/>
                <w:szCs w:val="13"/>
                <w:color w:val="333333"/>
              </w:rPr>
              <w:t>—</w:t>
            </w:r>
          </w:p>
        </w:tc>
        <w:tc>
          <w:tcPr>
            <w:tcW w:w="240" w:type="dxa"/>
            <w:vAlign w:val="bottom"/>
            <w:shd w:val="clear" w:color="auto" w:fill="D9D9D9"/>
          </w:tcPr>
          <w:p>
            <w:pPr>
              <w:ind w:left="120"/>
              <w:spacing w:after="0"/>
              <w:rPr>
                <w:sz w:val="20"/>
                <w:szCs w:val="20"/>
                <w:color w:val="auto"/>
              </w:rPr>
            </w:pPr>
            <w:r>
              <w:rPr>
                <w:rFonts w:ascii="Arial" w:cs="Arial" w:eastAsia="Arial" w:hAnsi="Arial"/>
                <w:sz w:val="13"/>
                <w:szCs w:val="13"/>
                <w:color w:val="333333"/>
                <w:w w:val="76"/>
              </w:rPr>
              <w:t>—</w:t>
            </w:r>
          </w:p>
        </w:tc>
        <w:tc>
          <w:tcPr>
            <w:tcW w:w="600" w:type="dxa"/>
            <w:vAlign w:val="bottom"/>
            <w:shd w:val="clear" w:color="auto" w:fill="D9D9D9"/>
          </w:tcPr>
          <w:p>
            <w:pPr>
              <w:spacing w:after="0"/>
              <w:rPr>
                <w:sz w:val="20"/>
                <w:szCs w:val="20"/>
                <w:color w:val="auto"/>
              </w:rPr>
            </w:pPr>
          </w:p>
        </w:tc>
        <w:tc>
          <w:tcPr>
            <w:tcW w:w="920" w:type="dxa"/>
            <w:vAlign w:val="bottom"/>
            <w:gridSpan w:val="2"/>
            <w:shd w:val="clear" w:color="auto" w:fill="D9D9D9"/>
          </w:tcPr>
          <w:p>
            <w:pPr>
              <w:ind w:left="100"/>
              <w:spacing w:after="0"/>
              <w:rPr>
                <w:sz w:val="20"/>
                <w:szCs w:val="20"/>
                <w:color w:val="auto"/>
              </w:rPr>
            </w:pPr>
            <w:r>
              <w:rPr>
                <w:rFonts w:ascii="Arial" w:cs="Arial" w:eastAsia="Arial" w:hAnsi="Arial"/>
                <w:sz w:val="13"/>
                <w:szCs w:val="13"/>
                <w:color w:val="333333"/>
              </w:rPr>
              <w:t>$​55,556,000</w:t>
            </w:r>
          </w:p>
        </w:tc>
        <w:tc>
          <w:tcPr>
            <w:tcW w:w="100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$​1,335,000</w:t>
            </w:r>
          </w:p>
        </w:tc>
        <w:tc>
          <w:tcPr>
            <w:tcW w:w="1040" w:type="dxa"/>
            <w:vAlign w:val="bottom"/>
            <w:shd w:val="clear" w:color="auto" w:fill="D9D9D9"/>
          </w:tcPr>
          <w:p>
            <w:pPr>
              <w:ind w:left="140"/>
              <w:spacing w:after="0"/>
              <w:rPr>
                <w:sz w:val="20"/>
                <w:szCs w:val="20"/>
                <w:color w:val="auto"/>
              </w:rPr>
            </w:pPr>
            <w:r>
              <w:rPr>
                <w:rFonts w:ascii="Arial" w:cs="Arial" w:eastAsia="Arial" w:hAnsi="Arial"/>
                <w:sz w:val="13"/>
                <w:szCs w:val="13"/>
                <w:color w:val="333333"/>
              </w:rPr>
              <w:t>$​32,473</w:t>
            </w:r>
          </w:p>
        </w:tc>
        <w:tc>
          <w:tcPr>
            <w:tcW w:w="11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$​57,923,473</w:t>
            </w:r>
          </w:p>
        </w:tc>
        <w:tc>
          <w:tcPr>
            <w:tcW w:w="0" w:type="dxa"/>
            <w:vAlign w:val="bottom"/>
          </w:tcPr>
          <w:p>
            <w:pPr>
              <w:spacing w:after="0"/>
              <w:rPr>
                <w:sz w:val="1"/>
                <w:szCs w:val="1"/>
                <w:color w:val="auto"/>
              </w:rPr>
            </w:pPr>
          </w:p>
        </w:tc>
      </w:tr>
      <w:tr>
        <w:trPr>
          <w:trHeight w:val="415"/>
        </w:trPr>
        <w:tc>
          <w:tcPr>
            <w:tcW w:w="120" w:type="dxa"/>
            <w:vAlign w:val="bottom"/>
            <w:shd w:val="clear" w:color="auto" w:fill="D9D9D9"/>
          </w:tcPr>
          <w:p>
            <w:pPr>
              <w:spacing w:after="0"/>
              <w:rPr>
                <w:sz w:val="24"/>
                <w:szCs w:val="24"/>
                <w:color w:val="auto"/>
              </w:rPr>
            </w:pPr>
          </w:p>
        </w:tc>
        <w:tc>
          <w:tcPr>
            <w:tcW w:w="164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Tom Panther</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ind w:left="100"/>
              <w:spacing w:after="0"/>
              <w:rPr>
                <w:sz w:val="20"/>
                <w:szCs w:val="20"/>
                <w:color w:val="auto"/>
              </w:rPr>
            </w:pPr>
            <w:r>
              <w:rPr>
                <w:rFonts w:ascii="Arial" w:cs="Arial" w:eastAsia="Arial" w:hAnsi="Arial"/>
                <w:sz w:val="13"/>
                <w:szCs w:val="13"/>
                <w:color w:val="333333"/>
                <w:w w:val="89"/>
              </w:rPr>
              <w:t>2023</w:t>
            </w:r>
          </w:p>
        </w:tc>
        <w:tc>
          <w:tcPr>
            <w:tcW w:w="92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$261,539</w:t>
            </w:r>
          </w:p>
        </w:tc>
        <w:tc>
          <w:tcPr>
            <w:tcW w:w="660" w:type="dxa"/>
            <w:vAlign w:val="bottom"/>
            <w:shd w:val="clear" w:color="auto" w:fill="D9D9D9"/>
          </w:tcPr>
          <w:p>
            <w:pPr>
              <w:ind w:left="120"/>
              <w:spacing w:after="0"/>
              <w:rPr>
                <w:sz w:val="20"/>
                <w:szCs w:val="20"/>
                <w:color w:val="auto"/>
              </w:rPr>
            </w:pPr>
            <w:r>
              <w:rPr>
                <w:rFonts w:ascii="Arial" w:cs="Arial" w:eastAsia="Arial" w:hAnsi="Arial"/>
                <w:sz w:val="13"/>
                <w:szCs w:val="13"/>
                <w:color w:val="333333"/>
              </w:rPr>
              <w:t>—</w:t>
            </w:r>
          </w:p>
        </w:tc>
        <w:tc>
          <w:tcPr>
            <w:tcW w:w="840" w:type="dxa"/>
            <w:vAlign w:val="bottom"/>
            <w:gridSpan w:val="2"/>
            <w:shd w:val="clear" w:color="auto" w:fill="D9D9D9"/>
          </w:tcPr>
          <w:p>
            <w:pPr>
              <w:ind w:left="120"/>
              <w:spacing w:after="0"/>
              <w:rPr>
                <w:sz w:val="20"/>
                <w:szCs w:val="20"/>
                <w:color w:val="auto"/>
              </w:rPr>
            </w:pPr>
            <w:r>
              <w:rPr>
                <w:rFonts w:ascii="Arial" w:cs="Arial" w:eastAsia="Arial" w:hAnsi="Arial"/>
                <w:sz w:val="13"/>
                <w:szCs w:val="13"/>
                <w:color w:val="333333"/>
              </w:rPr>
              <w:t>$1,380,255</w:t>
            </w:r>
          </w:p>
        </w:tc>
        <w:tc>
          <w:tcPr>
            <w:tcW w:w="920" w:type="dxa"/>
            <w:vAlign w:val="bottom"/>
            <w:gridSpan w:val="2"/>
            <w:shd w:val="clear" w:color="auto" w:fill="D9D9D9"/>
          </w:tcPr>
          <w:p>
            <w:pPr>
              <w:ind w:left="100"/>
              <w:spacing w:after="0"/>
              <w:rPr>
                <w:sz w:val="20"/>
                <w:szCs w:val="20"/>
                <w:color w:val="auto"/>
              </w:rPr>
            </w:pPr>
            <w:r>
              <w:rPr>
                <w:rFonts w:ascii="Arial" w:cs="Arial" w:eastAsia="Arial" w:hAnsi="Arial"/>
                <w:sz w:val="13"/>
                <w:szCs w:val="13"/>
                <w:color w:val="333333"/>
              </w:rPr>
              <w:t>$1,200,001</w:t>
            </w:r>
          </w:p>
        </w:tc>
        <w:tc>
          <w:tcPr>
            <w:tcW w:w="100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1040" w:type="dxa"/>
            <w:vAlign w:val="bottom"/>
            <w:shd w:val="clear" w:color="auto" w:fill="D9D9D9"/>
          </w:tcPr>
          <w:p>
            <w:pPr>
              <w:ind w:left="140"/>
              <w:spacing w:after="0"/>
              <w:rPr>
                <w:sz w:val="20"/>
                <w:szCs w:val="20"/>
                <w:color w:val="auto"/>
              </w:rPr>
            </w:pPr>
            <w:r>
              <w:rPr>
                <w:rFonts w:ascii="Arial" w:cs="Arial" w:eastAsia="Arial" w:hAnsi="Arial"/>
                <w:sz w:val="13"/>
                <w:szCs w:val="13"/>
                <w:color w:val="333333"/>
              </w:rPr>
              <w:t>$13,308</w:t>
            </w:r>
          </w:p>
        </w:tc>
        <w:tc>
          <w:tcPr>
            <w:tcW w:w="11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$2,855,102</w:t>
            </w:r>
          </w:p>
        </w:tc>
        <w:tc>
          <w:tcPr>
            <w:tcW w:w="0" w:type="dxa"/>
            <w:vAlign w:val="bottom"/>
          </w:tcPr>
          <w:p>
            <w:pPr>
              <w:spacing w:after="0"/>
              <w:rPr>
                <w:sz w:val="1"/>
                <w:szCs w:val="1"/>
                <w:color w:val="auto"/>
              </w:rPr>
            </w:pPr>
          </w:p>
        </w:tc>
      </w:tr>
      <w:tr>
        <w:trPr>
          <w:trHeight w:val="166"/>
        </w:trPr>
        <w:tc>
          <w:tcPr>
            <w:tcW w:w="120" w:type="dxa"/>
            <w:vAlign w:val="bottom"/>
            <w:shd w:val="clear" w:color="auto" w:fill="D9D9D9"/>
          </w:tcPr>
          <w:p>
            <w:pPr>
              <w:spacing w:after="0"/>
              <w:rPr>
                <w:sz w:val="14"/>
                <w:szCs w:val="14"/>
                <w:color w:val="auto"/>
              </w:rPr>
            </w:pPr>
          </w:p>
        </w:tc>
        <w:tc>
          <w:tcPr>
            <w:tcW w:w="164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Chief Financial Officer</w:t>
            </w:r>
          </w:p>
        </w:tc>
        <w:tc>
          <w:tcPr>
            <w:tcW w:w="80" w:type="dxa"/>
            <w:vAlign w:val="bottom"/>
            <w:shd w:val="clear" w:color="auto" w:fill="D9D9D9"/>
          </w:tcPr>
          <w:p>
            <w:pPr>
              <w:spacing w:after="0"/>
              <w:rPr>
                <w:sz w:val="14"/>
                <w:szCs w:val="14"/>
                <w:color w:val="auto"/>
              </w:rPr>
            </w:pPr>
          </w:p>
        </w:tc>
        <w:tc>
          <w:tcPr>
            <w:tcW w:w="380" w:type="dxa"/>
            <w:vAlign w:val="bottom"/>
            <w:shd w:val="clear" w:color="auto" w:fill="D9D9D9"/>
          </w:tcPr>
          <w:p>
            <w:pPr>
              <w:spacing w:after="0"/>
              <w:rPr>
                <w:sz w:val="14"/>
                <w:szCs w:val="14"/>
                <w:color w:val="auto"/>
              </w:rPr>
            </w:pPr>
          </w:p>
        </w:tc>
        <w:tc>
          <w:tcPr>
            <w:tcW w:w="920" w:type="dxa"/>
            <w:vAlign w:val="bottom"/>
            <w:shd w:val="clear" w:color="auto" w:fill="D9D9D9"/>
          </w:tcPr>
          <w:p>
            <w:pPr>
              <w:spacing w:after="0"/>
              <w:rPr>
                <w:sz w:val="14"/>
                <w:szCs w:val="14"/>
                <w:color w:val="auto"/>
              </w:rPr>
            </w:pPr>
          </w:p>
        </w:tc>
        <w:tc>
          <w:tcPr>
            <w:tcW w:w="66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60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680" w:type="dxa"/>
            <w:vAlign w:val="bottom"/>
            <w:shd w:val="clear" w:color="auto" w:fill="D9D9D9"/>
          </w:tcPr>
          <w:p>
            <w:pPr>
              <w:spacing w:after="0"/>
              <w:rPr>
                <w:sz w:val="14"/>
                <w:szCs w:val="14"/>
                <w:color w:val="auto"/>
              </w:rPr>
            </w:pPr>
          </w:p>
        </w:tc>
        <w:tc>
          <w:tcPr>
            <w:tcW w:w="1000" w:type="dxa"/>
            <w:vAlign w:val="bottom"/>
            <w:shd w:val="clear" w:color="auto" w:fill="D9D9D9"/>
          </w:tcPr>
          <w:p>
            <w:pPr>
              <w:spacing w:after="0"/>
              <w:rPr>
                <w:sz w:val="14"/>
                <w:szCs w:val="14"/>
                <w:color w:val="auto"/>
              </w:rPr>
            </w:pPr>
          </w:p>
        </w:tc>
        <w:tc>
          <w:tcPr>
            <w:tcW w:w="104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20" w:type="dxa"/>
            <w:vAlign w:val="bottom"/>
            <w:shd w:val="clear" w:color="auto" w:fill="D9D9D9"/>
          </w:tcPr>
          <w:p>
            <w:pPr>
              <w:spacing w:after="0"/>
              <w:rPr>
                <w:sz w:val="24"/>
                <w:szCs w:val="24"/>
                <w:color w:val="auto"/>
              </w:rPr>
            </w:pPr>
          </w:p>
        </w:tc>
        <w:tc>
          <w:tcPr>
            <w:tcW w:w="164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Alissa B. Vickery</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ind w:left="100"/>
              <w:spacing w:after="0"/>
              <w:rPr>
                <w:sz w:val="20"/>
                <w:szCs w:val="20"/>
                <w:color w:val="auto"/>
              </w:rPr>
            </w:pPr>
            <w:r>
              <w:rPr>
                <w:rFonts w:ascii="Arial" w:cs="Arial" w:eastAsia="Arial" w:hAnsi="Arial"/>
                <w:sz w:val="13"/>
                <w:szCs w:val="13"/>
                <w:color w:val="333333"/>
                <w:w w:val="89"/>
              </w:rPr>
              <w:t>2023</w:t>
            </w:r>
          </w:p>
        </w:tc>
        <w:tc>
          <w:tcPr>
            <w:tcW w:w="92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$​284,615</w:t>
            </w:r>
          </w:p>
        </w:tc>
        <w:tc>
          <w:tcPr>
            <w:tcW w:w="660" w:type="dxa"/>
            <w:vAlign w:val="bottom"/>
            <w:shd w:val="clear" w:color="auto" w:fill="D9D9D9"/>
          </w:tcPr>
          <w:p>
            <w:pPr>
              <w:ind w:left="120"/>
              <w:spacing w:after="0"/>
              <w:rPr>
                <w:sz w:val="20"/>
                <w:szCs w:val="20"/>
                <w:color w:val="auto"/>
              </w:rPr>
            </w:pPr>
            <w:r>
              <w:rPr>
                <w:rFonts w:ascii="Arial" w:cs="Arial" w:eastAsia="Arial" w:hAnsi="Arial"/>
                <w:sz w:val="13"/>
                <w:szCs w:val="13"/>
                <w:color w:val="333333"/>
              </w:rPr>
              <w:t>—​</w:t>
            </w:r>
          </w:p>
        </w:tc>
        <w:tc>
          <w:tcPr>
            <w:tcW w:w="840" w:type="dxa"/>
            <w:vAlign w:val="bottom"/>
            <w:gridSpan w:val="2"/>
            <w:shd w:val="clear" w:color="auto" w:fill="D9D9D9"/>
          </w:tcPr>
          <w:p>
            <w:pPr>
              <w:ind w:left="120"/>
              <w:spacing w:after="0"/>
              <w:rPr>
                <w:sz w:val="20"/>
                <w:szCs w:val="20"/>
                <w:color w:val="auto"/>
              </w:rPr>
            </w:pPr>
            <w:r>
              <w:rPr>
                <w:rFonts w:ascii="Arial" w:cs="Arial" w:eastAsia="Arial" w:hAnsi="Arial"/>
                <w:sz w:val="13"/>
                <w:szCs w:val="13"/>
                <w:color w:val="333333"/>
              </w:rPr>
              <w:t>$​434,473</w:t>
            </w:r>
          </w:p>
        </w:tc>
        <w:tc>
          <w:tcPr>
            <w:tcW w:w="240" w:type="dxa"/>
            <w:vAlign w:val="bottom"/>
            <w:shd w:val="clear" w:color="auto" w:fill="D9D9D9"/>
          </w:tcPr>
          <w:p>
            <w:pPr>
              <w:ind w:left="100"/>
              <w:spacing w:after="0"/>
              <w:rPr>
                <w:sz w:val="20"/>
                <w:szCs w:val="20"/>
                <w:color w:val="auto"/>
              </w:rPr>
            </w:pPr>
            <w:r>
              <w:rPr>
                <w:rFonts w:ascii="Arial" w:cs="Arial" w:eastAsia="Arial" w:hAnsi="Arial"/>
                <w:sz w:val="13"/>
                <w:szCs w:val="13"/>
                <w:color w:val="333333"/>
                <w:w w:val="91"/>
              </w:rPr>
              <w:t>—​</w:t>
            </w:r>
          </w:p>
        </w:tc>
        <w:tc>
          <w:tcPr>
            <w:tcW w:w="680" w:type="dxa"/>
            <w:vAlign w:val="bottom"/>
            <w:shd w:val="clear" w:color="auto" w:fill="D9D9D9"/>
          </w:tcPr>
          <w:p>
            <w:pPr>
              <w:spacing w:after="0"/>
              <w:rPr>
                <w:sz w:val="24"/>
                <w:szCs w:val="24"/>
                <w:color w:val="auto"/>
              </w:rPr>
            </w:pPr>
          </w:p>
        </w:tc>
        <w:tc>
          <w:tcPr>
            <w:tcW w:w="100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1040" w:type="dxa"/>
            <w:vAlign w:val="bottom"/>
            <w:shd w:val="clear" w:color="auto" w:fill="D9D9D9"/>
          </w:tcPr>
          <w:p>
            <w:pPr>
              <w:ind w:left="140"/>
              <w:spacing w:after="0"/>
              <w:rPr>
                <w:sz w:val="20"/>
                <w:szCs w:val="20"/>
                <w:color w:val="auto"/>
              </w:rPr>
            </w:pPr>
            <w:r>
              <w:rPr>
                <w:rFonts w:ascii="Arial" w:cs="Arial" w:eastAsia="Arial" w:hAnsi="Arial"/>
                <w:sz w:val="13"/>
                <w:szCs w:val="13"/>
                <w:color w:val="333333"/>
              </w:rPr>
              <w:t>$​5,010</w:t>
            </w:r>
          </w:p>
        </w:tc>
        <w:tc>
          <w:tcPr>
            <w:tcW w:w="11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$​724,098</w:t>
            </w:r>
          </w:p>
        </w:tc>
        <w:tc>
          <w:tcPr>
            <w:tcW w:w="0" w:type="dxa"/>
            <w:vAlign w:val="bottom"/>
          </w:tcPr>
          <w:p>
            <w:pPr>
              <w:spacing w:after="0"/>
              <w:rPr>
                <w:sz w:val="1"/>
                <w:szCs w:val="1"/>
                <w:color w:val="auto"/>
              </w:rPr>
            </w:pPr>
          </w:p>
        </w:tc>
      </w:tr>
      <w:tr>
        <w:trPr>
          <w:trHeight w:val="137"/>
        </w:trPr>
        <w:tc>
          <w:tcPr>
            <w:tcW w:w="120" w:type="dxa"/>
            <w:vAlign w:val="bottom"/>
            <w:shd w:val="clear" w:color="auto" w:fill="D9D9D9"/>
          </w:tcPr>
          <w:p>
            <w:pPr>
              <w:spacing w:after="0"/>
              <w:rPr>
                <w:sz w:val="11"/>
                <w:szCs w:val="11"/>
                <w:color w:val="auto"/>
              </w:rPr>
            </w:pPr>
          </w:p>
        </w:tc>
        <w:tc>
          <w:tcPr>
            <w:tcW w:w="1640" w:type="dxa"/>
            <w:vAlign w:val="bottom"/>
            <w:shd w:val="clear" w:color="auto" w:fill="D9D9D9"/>
          </w:tcPr>
          <w:p>
            <w:pPr>
              <w:ind w:left="60"/>
              <w:spacing w:after="0" w:line="138" w:lineRule="exact"/>
              <w:rPr>
                <w:sz w:val="20"/>
                <w:szCs w:val="20"/>
                <w:color w:val="auto"/>
              </w:rPr>
            </w:pPr>
            <w:r>
              <w:rPr>
                <w:rFonts w:ascii="Arial" w:cs="Arial" w:eastAsia="Arial" w:hAnsi="Arial"/>
                <w:sz w:val="13"/>
                <w:szCs w:val="13"/>
                <w:i w:val="1"/>
                <w:iCs w:val="1"/>
                <w:color w:val="333333"/>
              </w:rPr>
              <w:t>Chief Accounting Officer</w:t>
            </w:r>
          </w:p>
        </w:tc>
        <w:tc>
          <w:tcPr>
            <w:tcW w:w="80" w:type="dxa"/>
            <w:vAlign w:val="bottom"/>
            <w:shd w:val="clear" w:color="auto" w:fill="D9D9D9"/>
          </w:tcPr>
          <w:p>
            <w:pPr>
              <w:spacing w:after="0"/>
              <w:rPr>
                <w:sz w:val="11"/>
                <w:szCs w:val="11"/>
                <w:color w:val="auto"/>
              </w:rPr>
            </w:pPr>
          </w:p>
        </w:tc>
        <w:tc>
          <w:tcPr>
            <w:tcW w:w="38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c>
          <w:tcPr>
            <w:tcW w:w="66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6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104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0" w:type="dxa"/>
            <w:vAlign w:val="bottom"/>
            <w:shd w:val="clear" w:color="auto" w:fill="D9D9D9"/>
          </w:tcPr>
          <w:p>
            <w:pPr>
              <w:spacing w:after="0"/>
              <w:rPr>
                <w:sz w:val="11"/>
                <w:szCs w:val="11"/>
                <w:color w:val="auto"/>
              </w:rPr>
            </w:pPr>
          </w:p>
        </w:tc>
        <w:tc>
          <w:tcPr>
            <w:tcW w:w="1640" w:type="dxa"/>
            <w:vAlign w:val="bottom"/>
            <w:shd w:val="clear" w:color="auto" w:fill="D9D9D9"/>
          </w:tcPr>
          <w:p>
            <w:pPr>
              <w:ind w:left="60"/>
              <w:spacing w:after="0" w:line="133" w:lineRule="exact"/>
              <w:rPr>
                <w:sz w:val="20"/>
                <w:szCs w:val="20"/>
                <w:color w:val="auto"/>
              </w:rPr>
            </w:pPr>
            <w:r>
              <w:rPr>
                <w:rFonts w:ascii="Arial" w:cs="Arial" w:eastAsia="Arial" w:hAnsi="Arial"/>
                <w:sz w:val="13"/>
                <w:szCs w:val="13"/>
                <w:i w:val="1"/>
                <w:iCs w:val="1"/>
                <w:color w:val="333333"/>
              </w:rPr>
              <w:t>and Former Interim Chief</w:t>
            </w:r>
          </w:p>
        </w:tc>
        <w:tc>
          <w:tcPr>
            <w:tcW w:w="80" w:type="dxa"/>
            <w:vAlign w:val="bottom"/>
            <w:shd w:val="clear" w:color="auto" w:fill="D9D9D9"/>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20" w:type="dxa"/>
            <w:vAlign w:val="bottom"/>
            <w:shd w:val="clear" w:color="auto" w:fill="D9D9D9"/>
          </w:tcPr>
          <w:p>
            <w:pPr>
              <w:spacing w:after="0"/>
              <w:rPr>
                <w:sz w:val="15"/>
                <w:szCs w:val="15"/>
                <w:color w:val="auto"/>
              </w:rPr>
            </w:pPr>
          </w:p>
        </w:tc>
        <w:tc>
          <w:tcPr>
            <w:tcW w:w="1640" w:type="dxa"/>
            <w:vAlign w:val="bottom"/>
            <w:shd w:val="clear" w:color="auto" w:fill="D9D9D9"/>
          </w:tcPr>
          <w:p>
            <w:pPr>
              <w:ind w:left="60"/>
              <w:spacing w:after="0"/>
              <w:rPr>
                <w:sz w:val="20"/>
                <w:szCs w:val="20"/>
                <w:color w:val="auto"/>
              </w:rPr>
            </w:pPr>
            <w:r>
              <w:rPr>
                <w:rFonts w:ascii="Arial" w:cs="Arial" w:eastAsia="Arial" w:hAnsi="Arial"/>
                <w:sz w:val="13"/>
                <w:szCs w:val="13"/>
                <w:i w:val="1"/>
                <w:iCs w:val="1"/>
                <w:color w:val="333333"/>
              </w:rPr>
              <w:t>Financial Officer</w:t>
            </w:r>
          </w:p>
        </w:tc>
        <w:tc>
          <w:tcPr>
            <w:tcW w:w="80" w:type="dxa"/>
            <w:vAlign w:val="bottom"/>
            <w:shd w:val="clear" w:color="auto" w:fill="D9D9D9"/>
          </w:tcPr>
          <w:p>
            <w:pPr>
              <w:spacing w:after="0"/>
              <w:rPr>
                <w:sz w:val="15"/>
                <w:szCs w:val="15"/>
                <w:color w:val="auto"/>
              </w:rPr>
            </w:pPr>
          </w:p>
        </w:tc>
        <w:tc>
          <w:tcPr>
            <w:tcW w:w="380" w:type="dxa"/>
            <w:vAlign w:val="bottom"/>
          </w:tcPr>
          <w:p>
            <w:pPr>
              <w:ind w:left="100"/>
              <w:spacing w:after="0"/>
              <w:rPr>
                <w:sz w:val="20"/>
                <w:szCs w:val="20"/>
                <w:color w:val="auto"/>
              </w:rPr>
            </w:pPr>
            <w:r>
              <w:rPr>
                <w:rFonts w:ascii="Arial" w:cs="Arial" w:eastAsia="Arial" w:hAnsi="Arial"/>
                <w:sz w:val="13"/>
                <w:szCs w:val="13"/>
                <w:color w:val="333333"/>
                <w:w w:val="89"/>
              </w:rPr>
              <w:t>2022</w:t>
            </w:r>
          </w:p>
        </w:tc>
        <w:tc>
          <w:tcPr>
            <w:tcW w:w="920" w:type="dxa"/>
            <w:vAlign w:val="bottom"/>
          </w:tcPr>
          <w:p>
            <w:pPr>
              <w:ind w:left="200"/>
              <w:spacing w:after="0"/>
              <w:rPr>
                <w:sz w:val="20"/>
                <w:szCs w:val="20"/>
                <w:color w:val="auto"/>
              </w:rPr>
            </w:pPr>
            <w:r>
              <w:rPr>
                <w:rFonts w:ascii="Arial" w:cs="Arial" w:eastAsia="Arial" w:hAnsi="Arial"/>
                <w:sz w:val="13"/>
                <w:szCs w:val="13"/>
                <w:color w:val="333333"/>
              </w:rPr>
              <w:t>$247,115</w:t>
            </w:r>
          </w:p>
        </w:tc>
        <w:tc>
          <w:tcPr>
            <w:tcW w:w="660" w:type="dxa"/>
            <w:vAlign w:val="bottom"/>
          </w:tcPr>
          <w:p>
            <w:pPr>
              <w:ind w:left="120"/>
              <w:spacing w:after="0"/>
              <w:rPr>
                <w:sz w:val="20"/>
                <w:szCs w:val="20"/>
                <w:color w:val="auto"/>
              </w:rPr>
            </w:pPr>
            <w:r>
              <w:rPr>
                <w:rFonts w:ascii="Arial" w:cs="Arial" w:eastAsia="Arial" w:hAnsi="Arial"/>
                <w:sz w:val="13"/>
                <w:szCs w:val="13"/>
                <w:color w:val="333333"/>
              </w:rPr>
              <w:t>$56,250</w:t>
            </w:r>
          </w:p>
        </w:tc>
        <w:tc>
          <w:tcPr>
            <w:tcW w:w="840" w:type="dxa"/>
            <w:vAlign w:val="bottom"/>
            <w:gridSpan w:val="2"/>
          </w:tcPr>
          <w:p>
            <w:pPr>
              <w:ind w:left="120"/>
              <w:spacing w:after="0"/>
              <w:rPr>
                <w:sz w:val="20"/>
                <w:szCs w:val="20"/>
                <w:color w:val="auto"/>
              </w:rPr>
            </w:pPr>
            <w:r>
              <w:rPr>
                <w:rFonts w:ascii="Arial" w:cs="Arial" w:eastAsia="Arial" w:hAnsi="Arial"/>
                <w:sz w:val="13"/>
                <w:szCs w:val="13"/>
                <w:color w:val="333333"/>
              </w:rPr>
              <w:t>$250,024</w:t>
            </w:r>
          </w:p>
        </w:tc>
        <w:tc>
          <w:tcPr>
            <w:tcW w:w="920" w:type="dxa"/>
            <w:vAlign w:val="bottom"/>
            <w:gridSpan w:val="2"/>
          </w:tcPr>
          <w:p>
            <w:pPr>
              <w:ind w:left="100"/>
              <w:spacing w:after="0"/>
              <w:rPr>
                <w:sz w:val="20"/>
                <w:szCs w:val="20"/>
                <w:color w:val="auto"/>
              </w:rPr>
            </w:pPr>
            <w:r>
              <w:rPr>
                <w:rFonts w:ascii="Arial" w:cs="Arial" w:eastAsia="Arial" w:hAnsi="Arial"/>
                <w:sz w:val="13"/>
                <w:szCs w:val="13"/>
                <w:color w:val="333333"/>
              </w:rPr>
              <w:t>$300,009</w:t>
            </w:r>
          </w:p>
        </w:tc>
        <w:tc>
          <w:tcPr>
            <w:tcW w:w="1000" w:type="dxa"/>
            <w:vAlign w:val="bottom"/>
          </w:tcPr>
          <w:p>
            <w:pPr>
              <w:ind w:left="100"/>
              <w:spacing w:after="0"/>
              <w:rPr>
                <w:sz w:val="20"/>
                <w:szCs w:val="20"/>
                <w:color w:val="auto"/>
              </w:rPr>
            </w:pPr>
            <w:r>
              <w:rPr>
                <w:rFonts w:ascii="Arial" w:cs="Arial" w:eastAsia="Arial" w:hAnsi="Arial"/>
                <w:sz w:val="13"/>
                <w:szCs w:val="13"/>
                <w:color w:val="333333"/>
              </w:rPr>
              <w:t>$93,750</w:t>
            </w:r>
          </w:p>
        </w:tc>
        <w:tc>
          <w:tcPr>
            <w:tcW w:w="1040" w:type="dxa"/>
            <w:vAlign w:val="bottom"/>
          </w:tcPr>
          <w:p>
            <w:pPr>
              <w:ind w:left="140"/>
              <w:spacing w:after="0"/>
              <w:rPr>
                <w:sz w:val="20"/>
                <w:szCs w:val="20"/>
                <w:color w:val="auto"/>
              </w:rPr>
            </w:pPr>
            <w:r>
              <w:rPr>
                <w:rFonts w:ascii="Arial" w:cs="Arial" w:eastAsia="Arial" w:hAnsi="Arial"/>
                <w:sz w:val="13"/>
                <w:szCs w:val="13"/>
                <w:color w:val="333333"/>
              </w:rPr>
              <w:t>$3,086</w:t>
            </w:r>
          </w:p>
        </w:tc>
        <w:tc>
          <w:tcPr>
            <w:tcW w:w="1160" w:type="dxa"/>
            <w:vAlign w:val="bottom"/>
          </w:tcPr>
          <w:p>
            <w:pPr>
              <w:ind w:left="160"/>
              <w:spacing w:after="0"/>
              <w:rPr>
                <w:sz w:val="20"/>
                <w:szCs w:val="20"/>
                <w:color w:val="auto"/>
              </w:rPr>
            </w:pPr>
            <w:r>
              <w:rPr>
                <w:rFonts w:ascii="Arial" w:cs="Arial" w:eastAsia="Arial" w:hAnsi="Arial"/>
                <w:sz w:val="13"/>
                <w:szCs w:val="13"/>
                <w:color w:val="333333"/>
              </w:rPr>
              <w:t>$950,235</w:t>
            </w:r>
          </w:p>
        </w:tc>
        <w:tc>
          <w:tcPr>
            <w:tcW w:w="0" w:type="dxa"/>
            <w:vAlign w:val="bottom"/>
          </w:tcPr>
          <w:p>
            <w:pPr>
              <w:spacing w:after="0"/>
              <w:rPr>
                <w:sz w:val="1"/>
                <w:szCs w:val="1"/>
                <w:color w:val="auto"/>
              </w:rPr>
            </w:pPr>
          </w:p>
        </w:tc>
      </w:tr>
      <w:tr>
        <w:trPr>
          <w:trHeight w:val="135"/>
        </w:trPr>
        <w:tc>
          <w:tcPr>
            <w:tcW w:w="120" w:type="dxa"/>
            <w:vAlign w:val="bottom"/>
            <w:shd w:val="clear" w:color="auto" w:fill="D9D9D9"/>
          </w:tcPr>
          <w:p>
            <w:pPr>
              <w:spacing w:after="0"/>
              <w:rPr>
                <w:sz w:val="11"/>
                <w:szCs w:val="11"/>
                <w:color w:val="auto"/>
              </w:rPr>
            </w:pPr>
          </w:p>
        </w:tc>
        <w:tc>
          <w:tcPr>
            <w:tcW w:w="164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spacing w:after="0"/>
              <w:rPr>
                <w:sz w:val="11"/>
                <w:szCs w:val="11"/>
                <w:color w:val="auto"/>
              </w:rPr>
            </w:pPr>
          </w:p>
        </w:tc>
        <w:tc>
          <w:tcPr>
            <w:tcW w:w="920" w:type="dxa"/>
            <w:vAlign w:val="bottom"/>
            <w:gridSpan w:val="2"/>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120" w:type="dxa"/>
            <w:vAlign w:val="bottom"/>
            <w:shd w:val="clear" w:color="auto" w:fill="D9D9D9"/>
          </w:tcPr>
          <w:p>
            <w:pPr>
              <w:spacing w:after="0"/>
              <w:rPr>
                <w:sz w:val="24"/>
                <w:szCs w:val="24"/>
                <w:color w:val="auto"/>
              </w:rPr>
            </w:pPr>
          </w:p>
        </w:tc>
        <w:tc>
          <w:tcPr>
            <w:tcW w:w="164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Armando L. Netto</w:t>
            </w:r>
            <w:r>
              <w:rPr>
                <w:rFonts w:ascii="Arial" w:cs="Arial" w:eastAsia="Arial" w:hAnsi="Arial"/>
                <w:sz w:val="20"/>
                <w:szCs w:val="20"/>
                <w:color w:val="333333"/>
                <w:vertAlign w:val="superscript"/>
              </w:rPr>
              <w:t>(6)</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ind w:left="100"/>
              <w:spacing w:after="0"/>
              <w:rPr>
                <w:sz w:val="20"/>
                <w:szCs w:val="20"/>
                <w:color w:val="auto"/>
              </w:rPr>
            </w:pPr>
            <w:r>
              <w:rPr>
                <w:rFonts w:ascii="Arial" w:cs="Arial" w:eastAsia="Arial" w:hAnsi="Arial"/>
                <w:sz w:val="13"/>
                <w:szCs w:val="13"/>
                <w:color w:val="333333"/>
                <w:w w:val="89"/>
              </w:rPr>
              <w:t>2023</w:t>
            </w:r>
          </w:p>
        </w:tc>
        <w:tc>
          <w:tcPr>
            <w:tcW w:w="92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$​503,091</w:t>
            </w:r>
          </w:p>
        </w:tc>
        <w:tc>
          <w:tcPr>
            <w:tcW w:w="660" w:type="dxa"/>
            <w:vAlign w:val="bottom"/>
            <w:shd w:val="clear" w:color="auto" w:fill="D9D9D9"/>
          </w:tcPr>
          <w:p>
            <w:pPr>
              <w:ind w:left="120"/>
              <w:spacing w:after="0"/>
              <w:rPr>
                <w:sz w:val="20"/>
                <w:szCs w:val="20"/>
                <w:color w:val="auto"/>
              </w:rPr>
            </w:pPr>
            <w:r>
              <w:rPr>
                <w:rFonts w:ascii="Arial" w:cs="Arial" w:eastAsia="Arial" w:hAnsi="Arial"/>
                <w:sz w:val="13"/>
                <w:szCs w:val="13"/>
                <w:color w:val="333333"/>
              </w:rPr>
              <w:t>—​</w:t>
            </w:r>
          </w:p>
        </w:tc>
        <w:tc>
          <w:tcPr>
            <w:tcW w:w="840" w:type="dxa"/>
            <w:vAlign w:val="bottom"/>
            <w:gridSpan w:val="2"/>
            <w:shd w:val="clear" w:color="auto" w:fill="D9D9D9"/>
          </w:tcPr>
          <w:p>
            <w:pPr>
              <w:ind w:left="120"/>
              <w:spacing w:after="0"/>
              <w:rPr>
                <w:sz w:val="20"/>
                <w:szCs w:val="20"/>
                <w:color w:val="auto"/>
              </w:rPr>
            </w:pPr>
            <w:r>
              <w:rPr>
                <w:rFonts w:ascii="Arial" w:cs="Arial" w:eastAsia="Arial" w:hAnsi="Arial"/>
                <w:sz w:val="13"/>
                <w:szCs w:val="13"/>
                <w:color w:val="333333"/>
              </w:rPr>
              <w:t>$​2,610,830</w:t>
            </w:r>
          </w:p>
        </w:tc>
        <w:tc>
          <w:tcPr>
            <w:tcW w:w="920" w:type="dxa"/>
            <w:vAlign w:val="bottom"/>
            <w:gridSpan w:val="2"/>
            <w:shd w:val="clear" w:color="auto" w:fill="D9D9D9"/>
          </w:tcPr>
          <w:p>
            <w:pPr>
              <w:ind w:left="100"/>
              <w:spacing w:after="0"/>
              <w:rPr>
                <w:sz w:val="20"/>
                <w:szCs w:val="20"/>
                <w:color w:val="auto"/>
              </w:rPr>
            </w:pPr>
            <w:r>
              <w:rPr>
                <w:rFonts w:ascii="Arial" w:cs="Arial" w:eastAsia="Arial" w:hAnsi="Arial"/>
                <w:sz w:val="13"/>
                <w:szCs w:val="13"/>
                <w:color w:val="333333"/>
              </w:rPr>
              <w:t>$​1,200,051</w:t>
            </w:r>
          </w:p>
        </w:tc>
        <w:tc>
          <w:tcPr>
            <w:tcW w:w="100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1040" w:type="dxa"/>
            <w:vAlign w:val="bottom"/>
            <w:shd w:val="clear" w:color="auto" w:fill="D9D9D9"/>
          </w:tcPr>
          <w:p>
            <w:pPr>
              <w:ind w:left="140"/>
              <w:spacing w:after="0"/>
              <w:rPr>
                <w:sz w:val="20"/>
                <w:szCs w:val="20"/>
                <w:color w:val="auto"/>
              </w:rPr>
            </w:pPr>
            <w:r>
              <w:rPr>
                <w:rFonts w:ascii="Arial" w:cs="Arial" w:eastAsia="Arial" w:hAnsi="Arial"/>
                <w:sz w:val="13"/>
                <w:szCs w:val="13"/>
                <w:color w:val="333333"/>
              </w:rPr>
              <w:t>$​47,199</w:t>
            </w:r>
          </w:p>
        </w:tc>
        <w:tc>
          <w:tcPr>
            <w:tcW w:w="11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$​4,361,171</w:t>
            </w:r>
          </w:p>
        </w:tc>
        <w:tc>
          <w:tcPr>
            <w:tcW w:w="0" w:type="dxa"/>
            <w:vAlign w:val="bottom"/>
          </w:tcPr>
          <w:p>
            <w:pPr>
              <w:spacing w:after="0"/>
              <w:rPr>
                <w:sz w:val="1"/>
                <w:szCs w:val="1"/>
                <w:color w:val="auto"/>
              </w:rPr>
            </w:pPr>
          </w:p>
        </w:tc>
      </w:tr>
      <w:tr>
        <w:trPr>
          <w:trHeight w:val="70"/>
        </w:trPr>
        <w:tc>
          <w:tcPr>
            <w:tcW w:w="120" w:type="dxa"/>
            <w:vAlign w:val="bottom"/>
            <w:shd w:val="clear" w:color="auto" w:fill="D9D9D9"/>
          </w:tcPr>
          <w:p>
            <w:pPr>
              <w:spacing w:after="0"/>
              <w:rPr>
                <w:sz w:val="6"/>
                <w:szCs w:val="6"/>
                <w:color w:val="auto"/>
              </w:rPr>
            </w:pPr>
          </w:p>
        </w:tc>
        <w:tc>
          <w:tcPr>
            <w:tcW w:w="1640" w:type="dxa"/>
            <w:vAlign w:val="bottom"/>
            <w:vMerge w:val="restart"/>
            <w:shd w:val="clear" w:color="auto" w:fill="D9D9D9"/>
          </w:tcPr>
          <w:p>
            <w:pPr>
              <w:ind w:left="60"/>
              <w:spacing w:after="0" w:line="135" w:lineRule="exact"/>
              <w:rPr>
                <w:sz w:val="20"/>
                <w:szCs w:val="20"/>
                <w:color w:val="auto"/>
              </w:rPr>
            </w:pPr>
            <w:r>
              <w:rPr>
                <w:rFonts w:ascii="Arial" w:cs="Arial" w:eastAsia="Arial" w:hAnsi="Arial"/>
                <w:sz w:val="13"/>
                <w:szCs w:val="13"/>
                <w:i w:val="1"/>
                <w:iCs w:val="1"/>
                <w:color w:val="333333"/>
              </w:rPr>
              <w:t>Group President, Vehicle</w:t>
            </w:r>
          </w:p>
        </w:tc>
        <w:tc>
          <w:tcPr>
            <w:tcW w:w="80" w:type="dxa"/>
            <w:vAlign w:val="bottom"/>
            <w:vMerge w:val="restart"/>
            <w:shd w:val="clear" w:color="auto" w:fill="D9D9D9"/>
          </w:tcPr>
          <w:p>
            <w:pPr>
              <w:spacing w:after="0"/>
              <w:rPr>
                <w:sz w:val="6"/>
                <w:szCs w:val="6"/>
                <w:color w:val="auto"/>
              </w:rPr>
            </w:pPr>
          </w:p>
        </w:tc>
        <w:tc>
          <w:tcPr>
            <w:tcW w:w="380" w:type="dxa"/>
            <w:vAlign w:val="bottom"/>
            <w:shd w:val="clear" w:color="auto" w:fill="D9D9D9"/>
          </w:tcPr>
          <w:p>
            <w:pPr>
              <w:spacing w:after="0"/>
              <w:rPr>
                <w:sz w:val="6"/>
                <w:szCs w:val="6"/>
                <w:color w:val="auto"/>
              </w:rPr>
            </w:pPr>
          </w:p>
        </w:tc>
        <w:tc>
          <w:tcPr>
            <w:tcW w:w="920" w:type="dxa"/>
            <w:vAlign w:val="bottom"/>
            <w:shd w:val="clear" w:color="auto" w:fill="D9D9D9"/>
          </w:tcPr>
          <w:p>
            <w:pPr>
              <w:spacing w:after="0"/>
              <w:rPr>
                <w:sz w:val="6"/>
                <w:szCs w:val="6"/>
                <w:color w:val="auto"/>
              </w:rPr>
            </w:pPr>
          </w:p>
        </w:tc>
        <w:tc>
          <w:tcPr>
            <w:tcW w:w="660" w:type="dxa"/>
            <w:vAlign w:val="bottom"/>
            <w:shd w:val="clear" w:color="auto" w:fill="D9D9D9"/>
          </w:tcPr>
          <w:p>
            <w:pPr>
              <w:spacing w:after="0"/>
              <w:rPr>
                <w:sz w:val="6"/>
                <w:szCs w:val="6"/>
                <w:color w:val="auto"/>
              </w:rPr>
            </w:pPr>
          </w:p>
        </w:tc>
        <w:tc>
          <w:tcPr>
            <w:tcW w:w="240" w:type="dxa"/>
            <w:vAlign w:val="bottom"/>
            <w:shd w:val="clear" w:color="auto" w:fill="D9D9D9"/>
          </w:tcPr>
          <w:p>
            <w:pPr>
              <w:spacing w:after="0"/>
              <w:rPr>
                <w:sz w:val="6"/>
                <w:szCs w:val="6"/>
                <w:color w:val="auto"/>
              </w:rPr>
            </w:pPr>
          </w:p>
        </w:tc>
        <w:tc>
          <w:tcPr>
            <w:tcW w:w="600" w:type="dxa"/>
            <w:vAlign w:val="bottom"/>
            <w:shd w:val="clear" w:color="auto" w:fill="D9D9D9"/>
          </w:tcPr>
          <w:p>
            <w:pPr>
              <w:spacing w:after="0"/>
              <w:rPr>
                <w:sz w:val="6"/>
                <w:szCs w:val="6"/>
                <w:color w:val="auto"/>
              </w:rPr>
            </w:pPr>
          </w:p>
        </w:tc>
        <w:tc>
          <w:tcPr>
            <w:tcW w:w="240" w:type="dxa"/>
            <w:vAlign w:val="bottom"/>
            <w:shd w:val="clear" w:color="auto" w:fill="D9D9D9"/>
          </w:tcPr>
          <w:p>
            <w:pPr>
              <w:spacing w:after="0"/>
              <w:rPr>
                <w:sz w:val="6"/>
                <w:szCs w:val="6"/>
                <w:color w:val="auto"/>
              </w:rPr>
            </w:pPr>
          </w:p>
        </w:tc>
        <w:tc>
          <w:tcPr>
            <w:tcW w:w="680" w:type="dxa"/>
            <w:vAlign w:val="bottom"/>
            <w:shd w:val="clear" w:color="auto" w:fill="D9D9D9"/>
          </w:tcPr>
          <w:p>
            <w:pPr>
              <w:spacing w:after="0"/>
              <w:rPr>
                <w:sz w:val="6"/>
                <w:szCs w:val="6"/>
                <w:color w:val="auto"/>
              </w:rPr>
            </w:pPr>
          </w:p>
        </w:tc>
        <w:tc>
          <w:tcPr>
            <w:tcW w:w="1000" w:type="dxa"/>
            <w:vAlign w:val="bottom"/>
            <w:shd w:val="clear" w:color="auto" w:fill="D9D9D9"/>
          </w:tcPr>
          <w:p>
            <w:pPr>
              <w:spacing w:after="0"/>
              <w:rPr>
                <w:sz w:val="6"/>
                <w:szCs w:val="6"/>
                <w:color w:val="auto"/>
              </w:rPr>
            </w:pPr>
          </w:p>
        </w:tc>
        <w:tc>
          <w:tcPr>
            <w:tcW w:w="1040" w:type="dxa"/>
            <w:vAlign w:val="bottom"/>
            <w:shd w:val="clear" w:color="auto" w:fill="D9D9D9"/>
          </w:tcPr>
          <w:p>
            <w:pPr>
              <w:spacing w:after="0"/>
              <w:rPr>
                <w:sz w:val="6"/>
                <w:szCs w:val="6"/>
                <w:color w:val="auto"/>
              </w:rPr>
            </w:pPr>
          </w:p>
        </w:tc>
        <w:tc>
          <w:tcPr>
            <w:tcW w:w="116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20" w:type="dxa"/>
            <w:vAlign w:val="bottom"/>
            <w:shd w:val="clear" w:color="auto" w:fill="D9D9D9"/>
          </w:tcPr>
          <w:p>
            <w:pPr>
              <w:spacing w:after="0"/>
              <w:rPr>
                <w:sz w:val="5"/>
                <w:szCs w:val="5"/>
                <w:color w:val="auto"/>
              </w:rPr>
            </w:pPr>
          </w:p>
        </w:tc>
        <w:tc>
          <w:tcPr>
            <w:tcW w:w="1640" w:type="dxa"/>
            <w:vAlign w:val="bottom"/>
            <w:vMerge w:val="continue"/>
            <w:shd w:val="clear" w:color="auto" w:fill="D9D9D9"/>
          </w:tcPr>
          <w:p>
            <w:pPr>
              <w:spacing w:after="0"/>
              <w:rPr>
                <w:sz w:val="5"/>
                <w:szCs w:val="5"/>
                <w:color w:val="auto"/>
              </w:rPr>
            </w:pPr>
          </w:p>
        </w:tc>
        <w:tc>
          <w:tcPr>
            <w:tcW w:w="80" w:type="dxa"/>
            <w:vAlign w:val="bottom"/>
            <w:vMerge w:val="continue"/>
            <w:shd w:val="clear" w:color="auto" w:fill="D9D9D9"/>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20" w:type="dxa"/>
            <w:vAlign w:val="bottom"/>
            <w:shd w:val="clear" w:color="auto" w:fill="D9D9D9"/>
          </w:tcPr>
          <w:p>
            <w:pPr>
              <w:spacing w:after="0"/>
              <w:rPr>
                <w:sz w:val="14"/>
                <w:szCs w:val="14"/>
                <w:color w:val="auto"/>
              </w:rPr>
            </w:pPr>
          </w:p>
        </w:tc>
        <w:tc>
          <w:tcPr>
            <w:tcW w:w="1640" w:type="dxa"/>
            <w:vAlign w:val="bottom"/>
            <w:shd w:val="clear" w:color="auto" w:fill="D9D9D9"/>
          </w:tcPr>
          <w:p>
            <w:pPr>
              <w:ind w:left="60"/>
              <w:spacing w:after="0"/>
              <w:rPr>
                <w:sz w:val="20"/>
                <w:szCs w:val="20"/>
                <w:color w:val="auto"/>
              </w:rPr>
            </w:pPr>
            <w:r>
              <w:rPr>
                <w:rFonts w:ascii="Arial" w:cs="Arial" w:eastAsia="Arial" w:hAnsi="Arial"/>
                <w:sz w:val="13"/>
                <w:szCs w:val="13"/>
                <w:i w:val="1"/>
                <w:iCs w:val="1"/>
                <w:color w:val="333333"/>
              </w:rPr>
              <w:t>Payments in Brazil and</w:t>
            </w:r>
          </w:p>
        </w:tc>
        <w:tc>
          <w:tcPr>
            <w:tcW w:w="80" w:type="dxa"/>
            <w:vAlign w:val="bottom"/>
            <w:shd w:val="clear" w:color="auto" w:fill="D9D9D9"/>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3"/>
                <w:szCs w:val="13"/>
                <w:i w:val="1"/>
                <w:iCs w:val="1"/>
                <w:color w:val="333333"/>
                <w:w w:val="89"/>
              </w:rPr>
              <w:t>2022</w:t>
            </w:r>
          </w:p>
        </w:tc>
        <w:tc>
          <w:tcPr>
            <w:tcW w:w="920" w:type="dxa"/>
            <w:vAlign w:val="bottom"/>
          </w:tcPr>
          <w:p>
            <w:pPr>
              <w:ind w:left="200"/>
              <w:spacing w:after="0"/>
              <w:rPr>
                <w:sz w:val="20"/>
                <w:szCs w:val="20"/>
                <w:color w:val="auto"/>
              </w:rPr>
            </w:pPr>
            <w:r>
              <w:rPr>
                <w:rFonts w:ascii="Arial" w:cs="Arial" w:eastAsia="Arial" w:hAnsi="Arial"/>
                <w:sz w:val="13"/>
                <w:szCs w:val="13"/>
                <w:color w:val="333333"/>
              </w:rPr>
              <w:t>$483,780</w:t>
            </w:r>
          </w:p>
        </w:tc>
        <w:tc>
          <w:tcPr>
            <w:tcW w:w="660" w:type="dxa"/>
            <w:vAlign w:val="bottom"/>
          </w:tcPr>
          <w:p>
            <w:pPr>
              <w:ind w:left="120"/>
              <w:spacing w:after="0"/>
              <w:rPr>
                <w:sz w:val="20"/>
                <w:szCs w:val="20"/>
                <w:color w:val="auto"/>
              </w:rPr>
            </w:pPr>
            <w:r>
              <w:rPr>
                <w:rFonts w:ascii="Arial" w:cs="Arial" w:eastAsia="Arial" w:hAnsi="Arial"/>
                <w:sz w:val="13"/>
                <w:szCs w:val="13"/>
                <w:color w:val="333333"/>
              </w:rPr>
              <w:t>$​64,482</w:t>
            </w:r>
          </w:p>
        </w:tc>
        <w:tc>
          <w:tcPr>
            <w:tcW w:w="840" w:type="dxa"/>
            <w:vAlign w:val="bottom"/>
            <w:gridSpan w:val="2"/>
          </w:tcPr>
          <w:p>
            <w:pPr>
              <w:ind w:left="120"/>
              <w:spacing w:after="0"/>
              <w:rPr>
                <w:sz w:val="20"/>
                <w:szCs w:val="20"/>
                <w:color w:val="auto"/>
              </w:rPr>
            </w:pPr>
            <w:r>
              <w:rPr>
                <w:rFonts w:ascii="Arial" w:cs="Arial" w:eastAsia="Arial" w:hAnsi="Arial"/>
                <w:sz w:val="13"/>
                <w:szCs w:val="13"/>
                <w:color w:val="333333"/>
              </w:rPr>
              <w:t>$​1,535,089</w:t>
            </w:r>
          </w:p>
        </w:tc>
        <w:tc>
          <w:tcPr>
            <w:tcW w:w="920" w:type="dxa"/>
            <w:vAlign w:val="bottom"/>
            <w:gridSpan w:val="2"/>
          </w:tcPr>
          <w:p>
            <w:pPr>
              <w:ind w:left="100"/>
              <w:spacing w:after="0"/>
              <w:rPr>
                <w:sz w:val="20"/>
                <w:szCs w:val="20"/>
                <w:color w:val="auto"/>
              </w:rPr>
            </w:pPr>
            <w:r>
              <w:rPr>
                <w:rFonts w:ascii="Arial" w:cs="Arial" w:eastAsia="Arial" w:hAnsi="Arial"/>
                <w:sz w:val="13"/>
                <w:szCs w:val="13"/>
                <w:color w:val="333333"/>
              </w:rPr>
              <w:t>$​2,400,075</w:t>
            </w:r>
          </w:p>
        </w:tc>
        <w:tc>
          <w:tcPr>
            <w:tcW w:w="1000" w:type="dxa"/>
            <w:vAlign w:val="bottom"/>
          </w:tcPr>
          <w:p>
            <w:pPr>
              <w:ind w:left="100"/>
              <w:spacing w:after="0"/>
              <w:rPr>
                <w:sz w:val="20"/>
                <w:szCs w:val="20"/>
                <w:color w:val="auto"/>
              </w:rPr>
            </w:pPr>
            <w:r>
              <w:rPr>
                <w:rFonts w:ascii="Arial" w:cs="Arial" w:eastAsia="Arial" w:hAnsi="Arial"/>
                <w:sz w:val="13"/>
                <w:szCs w:val="13"/>
                <w:color w:val="333333"/>
              </w:rPr>
              <w:t>$​226,582</w:t>
            </w:r>
          </w:p>
        </w:tc>
        <w:tc>
          <w:tcPr>
            <w:tcW w:w="1040" w:type="dxa"/>
            <w:vAlign w:val="bottom"/>
          </w:tcPr>
          <w:p>
            <w:pPr>
              <w:ind w:left="140"/>
              <w:spacing w:after="0"/>
              <w:rPr>
                <w:sz w:val="20"/>
                <w:szCs w:val="20"/>
                <w:color w:val="auto"/>
              </w:rPr>
            </w:pPr>
            <w:r>
              <w:rPr>
                <w:rFonts w:ascii="Arial" w:cs="Arial" w:eastAsia="Arial" w:hAnsi="Arial"/>
                <w:sz w:val="13"/>
                <w:szCs w:val="13"/>
                <w:color w:val="333333"/>
              </w:rPr>
              <w:t>$​32,779</w:t>
            </w:r>
          </w:p>
        </w:tc>
        <w:tc>
          <w:tcPr>
            <w:tcW w:w="1160" w:type="dxa"/>
            <w:vAlign w:val="bottom"/>
          </w:tcPr>
          <w:p>
            <w:pPr>
              <w:ind w:left="160"/>
              <w:spacing w:after="0"/>
              <w:rPr>
                <w:sz w:val="20"/>
                <w:szCs w:val="20"/>
                <w:color w:val="auto"/>
              </w:rPr>
            </w:pPr>
            <w:r>
              <w:rPr>
                <w:rFonts w:ascii="Arial" w:cs="Arial" w:eastAsia="Arial" w:hAnsi="Arial"/>
                <w:sz w:val="13"/>
                <w:szCs w:val="13"/>
                <w:color w:val="333333"/>
              </w:rPr>
              <w:t>$​4,742,787</w:t>
            </w:r>
          </w:p>
        </w:tc>
        <w:tc>
          <w:tcPr>
            <w:tcW w:w="0" w:type="dxa"/>
            <w:vAlign w:val="bottom"/>
          </w:tcPr>
          <w:p>
            <w:pPr>
              <w:spacing w:after="0"/>
              <w:rPr>
                <w:sz w:val="1"/>
                <w:szCs w:val="1"/>
                <w:color w:val="auto"/>
              </w:rPr>
            </w:pPr>
          </w:p>
        </w:tc>
      </w:tr>
      <w:tr>
        <w:trPr>
          <w:trHeight w:val="108"/>
        </w:trPr>
        <w:tc>
          <w:tcPr>
            <w:tcW w:w="120" w:type="dxa"/>
            <w:vAlign w:val="bottom"/>
            <w:shd w:val="clear" w:color="auto" w:fill="D9D9D9"/>
          </w:tcPr>
          <w:p>
            <w:pPr>
              <w:spacing w:after="0"/>
              <w:rPr>
                <w:sz w:val="9"/>
                <w:szCs w:val="9"/>
                <w:color w:val="auto"/>
              </w:rPr>
            </w:pPr>
          </w:p>
        </w:tc>
        <w:tc>
          <w:tcPr>
            <w:tcW w:w="1640" w:type="dxa"/>
            <w:vAlign w:val="bottom"/>
            <w:shd w:val="clear" w:color="auto" w:fill="D9D9D9"/>
          </w:tcPr>
          <w:p>
            <w:pPr>
              <w:ind w:left="60"/>
              <w:spacing w:after="0" w:line="108" w:lineRule="exact"/>
              <w:rPr>
                <w:sz w:val="20"/>
                <w:szCs w:val="20"/>
                <w:color w:val="auto"/>
              </w:rPr>
            </w:pPr>
            <w:r>
              <w:rPr>
                <w:rFonts w:ascii="Arial" w:cs="Arial" w:eastAsia="Arial" w:hAnsi="Arial"/>
                <w:sz w:val="12"/>
                <w:szCs w:val="12"/>
                <w:i w:val="1"/>
                <w:iCs w:val="1"/>
                <w:color w:val="333333"/>
              </w:rPr>
              <w:t>North America</w:t>
            </w:r>
          </w:p>
        </w:tc>
        <w:tc>
          <w:tcPr>
            <w:tcW w:w="80" w:type="dxa"/>
            <w:vAlign w:val="bottom"/>
            <w:shd w:val="clear" w:color="auto" w:fill="D9D9D9"/>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20" w:type="dxa"/>
            <w:vAlign w:val="bottom"/>
            <w:shd w:val="clear" w:color="auto" w:fill="D9D9D9"/>
          </w:tcPr>
          <w:p>
            <w:pPr>
              <w:spacing w:after="0"/>
              <w:rPr>
                <w:sz w:val="19"/>
                <w:szCs w:val="19"/>
                <w:color w:val="auto"/>
              </w:rPr>
            </w:pPr>
          </w:p>
        </w:tc>
        <w:tc>
          <w:tcPr>
            <w:tcW w:w="164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380" w:type="dxa"/>
            <w:vAlign w:val="bottom"/>
            <w:shd w:val="clear" w:color="auto" w:fill="D9D9D9"/>
          </w:tcPr>
          <w:p>
            <w:pPr>
              <w:ind w:left="100"/>
              <w:spacing w:after="0"/>
              <w:rPr>
                <w:sz w:val="20"/>
                <w:szCs w:val="20"/>
                <w:color w:val="auto"/>
              </w:rPr>
            </w:pPr>
            <w:r>
              <w:rPr>
                <w:rFonts w:ascii="Arial" w:cs="Arial" w:eastAsia="Arial" w:hAnsi="Arial"/>
                <w:sz w:val="13"/>
                <w:szCs w:val="13"/>
                <w:color w:val="333333"/>
                <w:w w:val="89"/>
              </w:rPr>
              <w:t>2021</w:t>
            </w:r>
          </w:p>
        </w:tc>
        <w:tc>
          <w:tcPr>
            <w:tcW w:w="92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$​425,945</w:t>
            </w:r>
          </w:p>
        </w:tc>
        <w:tc>
          <w:tcPr>
            <w:tcW w:w="660" w:type="dxa"/>
            <w:vAlign w:val="bottom"/>
            <w:shd w:val="clear" w:color="auto" w:fill="D9D9D9"/>
          </w:tcPr>
          <w:p>
            <w:pPr>
              <w:ind w:left="120"/>
              <w:spacing w:after="0"/>
              <w:rPr>
                <w:sz w:val="20"/>
                <w:szCs w:val="20"/>
                <w:color w:val="auto"/>
              </w:rPr>
            </w:pPr>
            <w:r>
              <w:rPr>
                <w:rFonts w:ascii="Arial" w:cs="Arial" w:eastAsia="Arial" w:hAnsi="Arial"/>
                <w:sz w:val="13"/>
                <w:szCs w:val="13"/>
                <w:color w:val="333333"/>
              </w:rPr>
              <w:t>—</w:t>
            </w:r>
          </w:p>
        </w:tc>
        <w:tc>
          <w:tcPr>
            <w:tcW w:w="840" w:type="dxa"/>
            <w:vAlign w:val="bottom"/>
            <w:gridSpan w:val="2"/>
            <w:shd w:val="clear" w:color="auto" w:fill="D9D9D9"/>
          </w:tcPr>
          <w:p>
            <w:pPr>
              <w:ind w:left="120"/>
              <w:spacing w:after="0"/>
              <w:rPr>
                <w:sz w:val="20"/>
                <w:szCs w:val="20"/>
                <w:color w:val="auto"/>
              </w:rPr>
            </w:pPr>
            <w:r>
              <w:rPr>
                <w:rFonts w:ascii="Arial" w:cs="Arial" w:eastAsia="Arial" w:hAnsi="Arial"/>
                <w:sz w:val="13"/>
                <w:szCs w:val="13"/>
                <w:color w:val="333333"/>
              </w:rPr>
              <w:t>$​1,535,353</w:t>
            </w:r>
          </w:p>
        </w:tc>
        <w:tc>
          <w:tcPr>
            <w:tcW w:w="920" w:type="dxa"/>
            <w:vAlign w:val="bottom"/>
            <w:gridSpan w:val="2"/>
            <w:shd w:val="clear" w:color="auto" w:fill="D9D9D9"/>
          </w:tcPr>
          <w:p>
            <w:pPr>
              <w:ind w:left="100"/>
              <w:spacing w:after="0"/>
              <w:rPr>
                <w:sz w:val="20"/>
                <w:szCs w:val="20"/>
                <w:color w:val="auto"/>
              </w:rPr>
            </w:pPr>
            <w:r>
              <w:rPr>
                <w:rFonts w:ascii="Arial" w:cs="Arial" w:eastAsia="Arial" w:hAnsi="Arial"/>
                <w:sz w:val="13"/>
                <w:szCs w:val="13"/>
                <w:color w:val="333333"/>
              </w:rPr>
              <w:t>$​5,310,426</w:t>
            </w:r>
          </w:p>
        </w:tc>
        <w:tc>
          <w:tcPr>
            <w:tcW w:w="100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$​460,021</w:t>
            </w:r>
          </w:p>
        </w:tc>
        <w:tc>
          <w:tcPr>
            <w:tcW w:w="1040" w:type="dxa"/>
            <w:vAlign w:val="bottom"/>
            <w:shd w:val="clear" w:color="auto" w:fill="D9D9D9"/>
          </w:tcPr>
          <w:p>
            <w:pPr>
              <w:ind w:left="140"/>
              <w:spacing w:after="0"/>
              <w:rPr>
                <w:sz w:val="20"/>
                <w:szCs w:val="20"/>
                <w:color w:val="auto"/>
              </w:rPr>
            </w:pPr>
            <w:r>
              <w:rPr>
                <w:rFonts w:ascii="Arial" w:cs="Arial" w:eastAsia="Arial" w:hAnsi="Arial"/>
                <w:sz w:val="13"/>
                <w:szCs w:val="13"/>
                <w:color w:val="333333"/>
              </w:rPr>
              <w:t>$​31,069</w:t>
            </w:r>
          </w:p>
        </w:tc>
        <w:tc>
          <w:tcPr>
            <w:tcW w:w="11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$​7,762,813</w:t>
            </w:r>
          </w:p>
        </w:tc>
        <w:tc>
          <w:tcPr>
            <w:tcW w:w="0" w:type="dxa"/>
            <w:vAlign w:val="bottom"/>
          </w:tcPr>
          <w:p>
            <w:pPr>
              <w:spacing w:after="0"/>
              <w:rPr>
                <w:sz w:val="1"/>
                <w:szCs w:val="1"/>
                <w:color w:val="auto"/>
              </w:rPr>
            </w:pPr>
          </w:p>
        </w:tc>
      </w:tr>
      <w:tr>
        <w:trPr>
          <w:trHeight w:val="484"/>
        </w:trPr>
        <w:tc>
          <w:tcPr>
            <w:tcW w:w="120" w:type="dxa"/>
            <w:vAlign w:val="bottom"/>
            <w:shd w:val="clear" w:color="auto" w:fill="D9D9D9"/>
          </w:tcPr>
          <w:p>
            <w:pPr>
              <w:spacing w:after="0"/>
              <w:rPr>
                <w:sz w:val="24"/>
                <w:szCs w:val="24"/>
                <w:color w:val="auto"/>
              </w:rPr>
            </w:pPr>
          </w:p>
        </w:tc>
        <w:tc>
          <w:tcPr>
            <w:tcW w:w="164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Alan King</w:t>
            </w:r>
            <w:r>
              <w:rPr>
                <w:rFonts w:ascii="Arial" w:cs="Arial" w:eastAsia="Arial" w:hAnsi="Arial"/>
                <w:sz w:val="20"/>
                <w:szCs w:val="20"/>
                <w:b w:val="1"/>
                <w:bCs w:val="1"/>
                <w:color w:val="333333"/>
                <w:vertAlign w:val="superscript"/>
              </w:rPr>
              <w:t>(6)</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ind w:left="100"/>
              <w:spacing w:after="0"/>
              <w:rPr>
                <w:sz w:val="20"/>
                <w:szCs w:val="20"/>
                <w:color w:val="auto"/>
              </w:rPr>
            </w:pPr>
            <w:r>
              <w:rPr>
                <w:rFonts w:ascii="Arial" w:cs="Arial" w:eastAsia="Arial" w:hAnsi="Arial"/>
                <w:sz w:val="13"/>
                <w:szCs w:val="13"/>
                <w:color w:val="333333"/>
                <w:w w:val="89"/>
              </w:rPr>
              <w:t>2023</w:t>
            </w:r>
          </w:p>
        </w:tc>
        <w:tc>
          <w:tcPr>
            <w:tcW w:w="92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$​450,000</w:t>
            </w:r>
          </w:p>
        </w:tc>
        <w:tc>
          <w:tcPr>
            <w:tcW w:w="660" w:type="dxa"/>
            <w:vAlign w:val="bottom"/>
            <w:shd w:val="clear" w:color="auto" w:fill="D9D9D9"/>
          </w:tcPr>
          <w:p>
            <w:pPr>
              <w:ind w:left="120"/>
              <w:spacing w:after="0"/>
              <w:rPr>
                <w:sz w:val="20"/>
                <w:szCs w:val="20"/>
                <w:color w:val="auto"/>
              </w:rPr>
            </w:pPr>
            <w:r>
              <w:rPr>
                <w:rFonts w:ascii="Arial" w:cs="Arial" w:eastAsia="Arial" w:hAnsi="Arial"/>
                <w:sz w:val="13"/>
                <w:szCs w:val="13"/>
                <w:color w:val="333333"/>
              </w:rPr>
              <w:t>—</w:t>
            </w:r>
          </w:p>
        </w:tc>
        <w:tc>
          <w:tcPr>
            <w:tcW w:w="840" w:type="dxa"/>
            <w:vAlign w:val="bottom"/>
            <w:gridSpan w:val="2"/>
            <w:shd w:val="clear" w:color="auto" w:fill="D9D9D9"/>
          </w:tcPr>
          <w:p>
            <w:pPr>
              <w:ind w:left="120"/>
              <w:spacing w:after="0"/>
              <w:rPr>
                <w:sz w:val="20"/>
                <w:szCs w:val="20"/>
                <w:color w:val="auto"/>
              </w:rPr>
            </w:pPr>
            <w:r>
              <w:rPr>
                <w:rFonts w:ascii="Arial" w:cs="Arial" w:eastAsia="Arial" w:hAnsi="Arial"/>
                <w:sz w:val="13"/>
                <w:szCs w:val="13"/>
                <w:color w:val="333333"/>
              </w:rPr>
              <w:t>$​2,302,532</w:t>
            </w:r>
          </w:p>
        </w:tc>
        <w:tc>
          <w:tcPr>
            <w:tcW w:w="920" w:type="dxa"/>
            <w:vAlign w:val="bottom"/>
            <w:gridSpan w:val="2"/>
            <w:shd w:val="clear" w:color="auto" w:fill="D9D9D9"/>
          </w:tcPr>
          <w:p>
            <w:pPr>
              <w:ind w:left="100"/>
              <w:spacing w:after="0"/>
              <w:rPr>
                <w:sz w:val="20"/>
                <w:szCs w:val="20"/>
                <w:color w:val="auto"/>
              </w:rPr>
            </w:pPr>
            <w:r>
              <w:rPr>
                <w:rFonts w:ascii="Arial" w:cs="Arial" w:eastAsia="Arial" w:hAnsi="Arial"/>
                <w:sz w:val="13"/>
                <w:szCs w:val="13"/>
                <w:color w:val="333333"/>
              </w:rPr>
              <w:t>$​1,200,051</w:t>
            </w:r>
          </w:p>
        </w:tc>
        <w:tc>
          <w:tcPr>
            <w:tcW w:w="100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1040" w:type="dxa"/>
            <w:vAlign w:val="bottom"/>
            <w:shd w:val="clear" w:color="auto" w:fill="D9D9D9"/>
          </w:tcPr>
          <w:p>
            <w:pPr>
              <w:ind w:left="140"/>
              <w:spacing w:after="0"/>
              <w:rPr>
                <w:sz w:val="20"/>
                <w:szCs w:val="20"/>
                <w:color w:val="auto"/>
              </w:rPr>
            </w:pPr>
            <w:r>
              <w:rPr>
                <w:rFonts w:ascii="Arial" w:cs="Arial" w:eastAsia="Arial" w:hAnsi="Arial"/>
                <w:sz w:val="13"/>
                <w:szCs w:val="13"/>
                <w:color w:val="333333"/>
              </w:rPr>
              <w:t>$​411,343</w:t>
            </w:r>
          </w:p>
        </w:tc>
        <w:tc>
          <w:tcPr>
            <w:tcW w:w="11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$​4,363,926</w:t>
            </w:r>
          </w:p>
        </w:tc>
        <w:tc>
          <w:tcPr>
            <w:tcW w:w="0" w:type="dxa"/>
            <w:vAlign w:val="bottom"/>
          </w:tcPr>
          <w:p>
            <w:pPr>
              <w:spacing w:after="0"/>
              <w:rPr>
                <w:sz w:val="1"/>
                <w:szCs w:val="1"/>
                <w:color w:val="auto"/>
              </w:rPr>
            </w:pPr>
          </w:p>
        </w:tc>
      </w:tr>
      <w:tr>
        <w:trPr>
          <w:trHeight w:val="70"/>
        </w:trPr>
        <w:tc>
          <w:tcPr>
            <w:tcW w:w="120" w:type="dxa"/>
            <w:vAlign w:val="bottom"/>
            <w:shd w:val="clear" w:color="auto" w:fill="D9D9D9"/>
          </w:tcPr>
          <w:p>
            <w:pPr>
              <w:spacing w:after="0"/>
              <w:rPr>
                <w:sz w:val="6"/>
                <w:szCs w:val="6"/>
                <w:color w:val="auto"/>
              </w:rPr>
            </w:pPr>
          </w:p>
        </w:tc>
        <w:tc>
          <w:tcPr>
            <w:tcW w:w="1640" w:type="dxa"/>
            <w:vAlign w:val="bottom"/>
            <w:vMerge w:val="restart"/>
            <w:shd w:val="clear" w:color="auto" w:fill="D9D9D9"/>
          </w:tcPr>
          <w:p>
            <w:pPr>
              <w:ind w:left="60"/>
              <w:spacing w:after="0" w:line="135" w:lineRule="exact"/>
              <w:rPr>
                <w:sz w:val="20"/>
                <w:szCs w:val="20"/>
                <w:color w:val="auto"/>
              </w:rPr>
            </w:pPr>
            <w:r>
              <w:rPr>
                <w:rFonts w:ascii="Arial" w:cs="Arial" w:eastAsia="Arial" w:hAnsi="Arial"/>
                <w:sz w:val="13"/>
                <w:szCs w:val="13"/>
                <w:i w:val="1"/>
                <w:iCs w:val="1"/>
                <w:color w:val="333333"/>
              </w:rPr>
              <w:t>Group President, Vehicle</w:t>
            </w:r>
          </w:p>
        </w:tc>
        <w:tc>
          <w:tcPr>
            <w:tcW w:w="80" w:type="dxa"/>
            <w:vAlign w:val="bottom"/>
            <w:shd w:val="clear" w:color="auto" w:fill="D9D9D9"/>
          </w:tcPr>
          <w:p>
            <w:pPr>
              <w:spacing w:after="0"/>
              <w:rPr>
                <w:sz w:val="6"/>
                <w:szCs w:val="6"/>
                <w:color w:val="auto"/>
              </w:rPr>
            </w:pPr>
          </w:p>
        </w:tc>
        <w:tc>
          <w:tcPr>
            <w:tcW w:w="380" w:type="dxa"/>
            <w:vAlign w:val="bottom"/>
            <w:shd w:val="clear" w:color="auto" w:fill="D9D9D9"/>
          </w:tcPr>
          <w:p>
            <w:pPr>
              <w:spacing w:after="0"/>
              <w:rPr>
                <w:sz w:val="6"/>
                <w:szCs w:val="6"/>
                <w:color w:val="auto"/>
              </w:rPr>
            </w:pPr>
          </w:p>
        </w:tc>
        <w:tc>
          <w:tcPr>
            <w:tcW w:w="920" w:type="dxa"/>
            <w:vAlign w:val="bottom"/>
            <w:shd w:val="clear" w:color="auto" w:fill="D9D9D9"/>
          </w:tcPr>
          <w:p>
            <w:pPr>
              <w:spacing w:after="0"/>
              <w:rPr>
                <w:sz w:val="6"/>
                <w:szCs w:val="6"/>
                <w:color w:val="auto"/>
              </w:rPr>
            </w:pPr>
          </w:p>
        </w:tc>
        <w:tc>
          <w:tcPr>
            <w:tcW w:w="660" w:type="dxa"/>
            <w:vAlign w:val="bottom"/>
            <w:shd w:val="clear" w:color="auto" w:fill="D9D9D9"/>
          </w:tcPr>
          <w:p>
            <w:pPr>
              <w:spacing w:after="0"/>
              <w:rPr>
                <w:sz w:val="6"/>
                <w:szCs w:val="6"/>
                <w:color w:val="auto"/>
              </w:rPr>
            </w:pPr>
          </w:p>
        </w:tc>
        <w:tc>
          <w:tcPr>
            <w:tcW w:w="240" w:type="dxa"/>
            <w:vAlign w:val="bottom"/>
            <w:shd w:val="clear" w:color="auto" w:fill="D9D9D9"/>
          </w:tcPr>
          <w:p>
            <w:pPr>
              <w:spacing w:after="0"/>
              <w:rPr>
                <w:sz w:val="6"/>
                <w:szCs w:val="6"/>
                <w:color w:val="auto"/>
              </w:rPr>
            </w:pPr>
          </w:p>
        </w:tc>
        <w:tc>
          <w:tcPr>
            <w:tcW w:w="600" w:type="dxa"/>
            <w:vAlign w:val="bottom"/>
            <w:shd w:val="clear" w:color="auto" w:fill="D9D9D9"/>
          </w:tcPr>
          <w:p>
            <w:pPr>
              <w:spacing w:after="0"/>
              <w:rPr>
                <w:sz w:val="6"/>
                <w:szCs w:val="6"/>
                <w:color w:val="auto"/>
              </w:rPr>
            </w:pPr>
          </w:p>
        </w:tc>
        <w:tc>
          <w:tcPr>
            <w:tcW w:w="240" w:type="dxa"/>
            <w:vAlign w:val="bottom"/>
            <w:shd w:val="clear" w:color="auto" w:fill="D9D9D9"/>
          </w:tcPr>
          <w:p>
            <w:pPr>
              <w:spacing w:after="0"/>
              <w:rPr>
                <w:sz w:val="6"/>
                <w:szCs w:val="6"/>
                <w:color w:val="auto"/>
              </w:rPr>
            </w:pPr>
          </w:p>
        </w:tc>
        <w:tc>
          <w:tcPr>
            <w:tcW w:w="680" w:type="dxa"/>
            <w:vAlign w:val="bottom"/>
            <w:shd w:val="clear" w:color="auto" w:fill="D9D9D9"/>
          </w:tcPr>
          <w:p>
            <w:pPr>
              <w:spacing w:after="0"/>
              <w:rPr>
                <w:sz w:val="6"/>
                <w:szCs w:val="6"/>
                <w:color w:val="auto"/>
              </w:rPr>
            </w:pPr>
          </w:p>
        </w:tc>
        <w:tc>
          <w:tcPr>
            <w:tcW w:w="1000" w:type="dxa"/>
            <w:vAlign w:val="bottom"/>
            <w:shd w:val="clear" w:color="auto" w:fill="D9D9D9"/>
          </w:tcPr>
          <w:p>
            <w:pPr>
              <w:spacing w:after="0"/>
              <w:rPr>
                <w:sz w:val="6"/>
                <w:szCs w:val="6"/>
                <w:color w:val="auto"/>
              </w:rPr>
            </w:pPr>
          </w:p>
        </w:tc>
        <w:tc>
          <w:tcPr>
            <w:tcW w:w="1040" w:type="dxa"/>
            <w:vAlign w:val="bottom"/>
            <w:shd w:val="clear" w:color="auto" w:fill="D9D9D9"/>
          </w:tcPr>
          <w:p>
            <w:pPr>
              <w:spacing w:after="0"/>
              <w:rPr>
                <w:sz w:val="6"/>
                <w:szCs w:val="6"/>
                <w:color w:val="auto"/>
              </w:rPr>
            </w:pPr>
          </w:p>
        </w:tc>
        <w:tc>
          <w:tcPr>
            <w:tcW w:w="116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20" w:type="dxa"/>
            <w:vAlign w:val="bottom"/>
            <w:shd w:val="clear" w:color="auto" w:fill="D9D9D9"/>
          </w:tcPr>
          <w:p>
            <w:pPr>
              <w:spacing w:after="0"/>
              <w:rPr>
                <w:sz w:val="5"/>
                <w:szCs w:val="5"/>
                <w:color w:val="auto"/>
              </w:rPr>
            </w:pPr>
          </w:p>
        </w:tc>
        <w:tc>
          <w:tcPr>
            <w:tcW w:w="1640" w:type="dxa"/>
            <w:vAlign w:val="bottom"/>
            <w:vMerge w:val="continue"/>
            <w:shd w:val="clear" w:color="auto" w:fill="D9D9D9"/>
          </w:tcPr>
          <w:p>
            <w:pPr>
              <w:spacing w:after="0"/>
              <w:rPr>
                <w:sz w:val="5"/>
                <w:szCs w:val="5"/>
                <w:color w:val="auto"/>
              </w:rPr>
            </w:pPr>
          </w:p>
        </w:tc>
        <w:tc>
          <w:tcPr>
            <w:tcW w:w="80" w:type="dxa"/>
            <w:vAlign w:val="bottom"/>
            <w:shd w:val="clear" w:color="auto" w:fill="D9D9D9"/>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20" w:type="dxa"/>
            <w:vAlign w:val="bottom"/>
            <w:shd w:val="clear" w:color="auto" w:fill="D9D9D9"/>
          </w:tcPr>
          <w:p>
            <w:pPr>
              <w:spacing w:after="0"/>
              <w:rPr>
                <w:sz w:val="14"/>
                <w:szCs w:val="14"/>
                <w:color w:val="auto"/>
              </w:rPr>
            </w:pPr>
          </w:p>
        </w:tc>
        <w:tc>
          <w:tcPr>
            <w:tcW w:w="1640" w:type="dxa"/>
            <w:vAlign w:val="bottom"/>
            <w:shd w:val="clear" w:color="auto" w:fill="D9D9D9"/>
          </w:tcPr>
          <w:p>
            <w:pPr>
              <w:ind w:left="60"/>
              <w:spacing w:after="0"/>
              <w:rPr>
                <w:sz w:val="20"/>
                <w:szCs w:val="20"/>
                <w:color w:val="auto"/>
              </w:rPr>
            </w:pPr>
            <w:r>
              <w:rPr>
                <w:rFonts w:ascii="Arial" w:cs="Arial" w:eastAsia="Arial" w:hAnsi="Arial"/>
                <w:sz w:val="13"/>
                <w:szCs w:val="13"/>
                <w:i w:val="1"/>
                <w:iCs w:val="1"/>
                <w:color w:val="333333"/>
              </w:rPr>
              <w:t>Payments in Europe and</w:t>
            </w:r>
          </w:p>
        </w:tc>
        <w:tc>
          <w:tcPr>
            <w:tcW w:w="80" w:type="dxa"/>
            <w:vAlign w:val="bottom"/>
            <w:shd w:val="clear" w:color="auto" w:fill="D9D9D9"/>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3"/>
                <w:szCs w:val="13"/>
                <w:color w:val="333333"/>
                <w:w w:val="89"/>
              </w:rPr>
              <w:t>2022</w:t>
            </w:r>
          </w:p>
        </w:tc>
        <w:tc>
          <w:tcPr>
            <w:tcW w:w="920" w:type="dxa"/>
            <w:vAlign w:val="bottom"/>
          </w:tcPr>
          <w:p>
            <w:pPr>
              <w:ind w:left="200"/>
              <w:spacing w:after="0"/>
              <w:rPr>
                <w:sz w:val="20"/>
                <w:szCs w:val="20"/>
                <w:color w:val="auto"/>
              </w:rPr>
            </w:pPr>
            <w:r>
              <w:rPr>
                <w:rFonts w:ascii="Arial" w:cs="Arial" w:eastAsia="Arial" w:hAnsi="Arial"/>
                <w:sz w:val="13"/>
                <w:szCs w:val="13"/>
                <w:color w:val="333333"/>
              </w:rPr>
              <w:t>$​399,089</w:t>
            </w:r>
          </w:p>
        </w:tc>
        <w:tc>
          <w:tcPr>
            <w:tcW w:w="660" w:type="dxa"/>
            <w:vAlign w:val="bottom"/>
          </w:tcPr>
          <w:p>
            <w:pPr>
              <w:ind w:left="120"/>
              <w:spacing w:after="0"/>
              <w:rPr>
                <w:sz w:val="20"/>
                <w:szCs w:val="20"/>
                <w:color w:val="auto"/>
              </w:rPr>
            </w:pPr>
            <w:r>
              <w:rPr>
                <w:rFonts w:ascii="Arial" w:cs="Arial" w:eastAsia="Arial" w:hAnsi="Arial"/>
                <w:sz w:val="13"/>
                <w:szCs w:val="13"/>
                <w:color w:val="333333"/>
              </w:rPr>
              <w:t>—</w:t>
            </w:r>
          </w:p>
        </w:tc>
        <w:tc>
          <w:tcPr>
            <w:tcW w:w="840" w:type="dxa"/>
            <w:vAlign w:val="bottom"/>
            <w:gridSpan w:val="2"/>
          </w:tcPr>
          <w:p>
            <w:pPr>
              <w:ind w:left="120"/>
              <w:spacing w:after="0"/>
              <w:rPr>
                <w:sz w:val="20"/>
                <w:szCs w:val="20"/>
                <w:color w:val="auto"/>
              </w:rPr>
            </w:pPr>
            <w:r>
              <w:rPr>
                <w:rFonts w:ascii="Arial" w:cs="Arial" w:eastAsia="Arial" w:hAnsi="Arial"/>
                <w:sz w:val="13"/>
                <w:szCs w:val="13"/>
                <w:color w:val="333333"/>
              </w:rPr>
              <w:t>$​1,535,089</w:t>
            </w:r>
          </w:p>
        </w:tc>
        <w:tc>
          <w:tcPr>
            <w:tcW w:w="920" w:type="dxa"/>
            <w:vAlign w:val="bottom"/>
            <w:gridSpan w:val="2"/>
          </w:tcPr>
          <w:p>
            <w:pPr>
              <w:ind w:left="100"/>
              <w:spacing w:after="0"/>
              <w:rPr>
                <w:sz w:val="20"/>
                <w:szCs w:val="20"/>
                <w:color w:val="auto"/>
              </w:rPr>
            </w:pPr>
            <w:r>
              <w:rPr>
                <w:rFonts w:ascii="Arial" w:cs="Arial" w:eastAsia="Arial" w:hAnsi="Arial"/>
                <w:sz w:val="13"/>
                <w:szCs w:val="13"/>
                <w:color w:val="333333"/>
              </w:rPr>
              <w:t>$​2,400,075</w:t>
            </w:r>
          </w:p>
        </w:tc>
        <w:tc>
          <w:tcPr>
            <w:tcW w:w="1000" w:type="dxa"/>
            <w:vAlign w:val="bottom"/>
          </w:tcPr>
          <w:p>
            <w:pPr>
              <w:ind w:left="100"/>
              <w:spacing w:after="0"/>
              <w:rPr>
                <w:sz w:val="20"/>
                <w:szCs w:val="20"/>
                <w:color w:val="auto"/>
              </w:rPr>
            </w:pPr>
            <w:r>
              <w:rPr>
                <w:rFonts w:ascii="Arial" w:cs="Arial" w:eastAsia="Arial" w:hAnsi="Arial"/>
                <w:sz w:val="13"/>
                <w:szCs w:val="13"/>
                <w:color w:val="333333"/>
              </w:rPr>
              <w:t>$​393,986</w:t>
            </w:r>
          </w:p>
        </w:tc>
        <w:tc>
          <w:tcPr>
            <w:tcW w:w="1040" w:type="dxa"/>
            <w:vAlign w:val="bottom"/>
          </w:tcPr>
          <w:p>
            <w:pPr>
              <w:ind w:left="140"/>
              <w:spacing w:after="0"/>
              <w:rPr>
                <w:sz w:val="20"/>
                <w:szCs w:val="20"/>
                <w:color w:val="auto"/>
              </w:rPr>
            </w:pPr>
            <w:r>
              <w:rPr>
                <w:rFonts w:ascii="Arial" w:cs="Arial" w:eastAsia="Arial" w:hAnsi="Arial"/>
                <w:sz w:val="13"/>
                <w:szCs w:val="13"/>
                <w:color w:val="333333"/>
              </w:rPr>
              <w:t>$​253,271</w:t>
            </w:r>
          </w:p>
        </w:tc>
        <w:tc>
          <w:tcPr>
            <w:tcW w:w="1160" w:type="dxa"/>
            <w:vAlign w:val="bottom"/>
          </w:tcPr>
          <w:p>
            <w:pPr>
              <w:ind w:left="160"/>
              <w:spacing w:after="0"/>
              <w:rPr>
                <w:sz w:val="20"/>
                <w:szCs w:val="20"/>
                <w:color w:val="auto"/>
              </w:rPr>
            </w:pPr>
            <w:r>
              <w:rPr>
                <w:rFonts w:ascii="Arial" w:cs="Arial" w:eastAsia="Arial" w:hAnsi="Arial"/>
                <w:sz w:val="13"/>
                <w:szCs w:val="13"/>
                <w:color w:val="333333"/>
              </w:rPr>
              <w:t>$​4,981,510</w:t>
            </w:r>
          </w:p>
        </w:tc>
        <w:tc>
          <w:tcPr>
            <w:tcW w:w="0" w:type="dxa"/>
            <w:vAlign w:val="bottom"/>
          </w:tcPr>
          <w:p>
            <w:pPr>
              <w:spacing w:after="0"/>
              <w:rPr>
                <w:sz w:val="1"/>
                <w:szCs w:val="1"/>
                <w:color w:val="auto"/>
              </w:rPr>
            </w:pPr>
          </w:p>
        </w:tc>
      </w:tr>
      <w:tr>
        <w:trPr>
          <w:trHeight w:val="108"/>
        </w:trPr>
        <w:tc>
          <w:tcPr>
            <w:tcW w:w="120" w:type="dxa"/>
            <w:vAlign w:val="bottom"/>
            <w:shd w:val="clear" w:color="auto" w:fill="D9D9D9"/>
          </w:tcPr>
          <w:p>
            <w:pPr>
              <w:spacing w:after="0"/>
              <w:rPr>
                <w:sz w:val="9"/>
                <w:szCs w:val="9"/>
                <w:color w:val="auto"/>
              </w:rPr>
            </w:pPr>
          </w:p>
        </w:tc>
        <w:tc>
          <w:tcPr>
            <w:tcW w:w="1640" w:type="dxa"/>
            <w:vAlign w:val="bottom"/>
            <w:shd w:val="clear" w:color="auto" w:fill="D9D9D9"/>
          </w:tcPr>
          <w:p>
            <w:pPr>
              <w:ind w:left="60"/>
              <w:spacing w:after="0" w:line="108" w:lineRule="exact"/>
              <w:rPr>
                <w:sz w:val="20"/>
                <w:szCs w:val="20"/>
                <w:color w:val="auto"/>
              </w:rPr>
            </w:pPr>
            <w:r>
              <w:rPr>
                <w:rFonts w:ascii="Arial" w:cs="Arial" w:eastAsia="Arial" w:hAnsi="Arial"/>
                <w:sz w:val="12"/>
                <w:szCs w:val="12"/>
                <w:i w:val="1"/>
                <w:iCs w:val="1"/>
                <w:color w:val="333333"/>
              </w:rPr>
              <w:t>Australia</w:t>
            </w:r>
          </w:p>
        </w:tc>
        <w:tc>
          <w:tcPr>
            <w:tcW w:w="80" w:type="dxa"/>
            <w:vAlign w:val="bottom"/>
            <w:shd w:val="clear" w:color="auto" w:fill="D9D9D9"/>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20" w:type="dxa"/>
            <w:vAlign w:val="bottom"/>
            <w:shd w:val="clear" w:color="auto" w:fill="D9D9D9"/>
          </w:tcPr>
          <w:p>
            <w:pPr>
              <w:spacing w:after="0"/>
              <w:rPr>
                <w:sz w:val="19"/>
                <w:szCs w:val="19"/>
                <w:color w:val="auto"/>
              </w:rPr>
            </w:pPr>
          </w:p>
        </w:tc>
        <w:tc>
          <w:tcPr>
            <w:tcW w:w="164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380" w:type="dxa"/>
            <w:vAlign w:val="bottom"/>
            <w:shd w:val="clear" w:color="auto" w:fill="D9D9D9"/>
          </w:tcPr>
          <w:p>
            <w:pPr>
              <w:ind w:left="100"/>
              <w:spacing w:after="0"/>
              <w:rPr>
                <w:sz w:val="20"/>
                <w:szCs w:val="20"/>
                <w:color w:val="auto"/>
              </w:rPr>
            </w:pPr>
            <w:r>
              <w:rPr>
                <w:rFonts w:ascii="Arial" w:cs="Arial" w:eastAsia="Arial" w:hAnsi="Arial"/>
                <w:sz w:val="13"/>
                <w:szCs w:val="13"/>
                <w:color w:val="333333"/>
                <w:w w:val="89"/>
              </w:rPr>
              <w:t>2021</w:t>
            </w:r>
          </w:p>
        </w:tc>
        <w:tc>
          <w:tcPr>
            <w:tcW w:w="92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$​409,287</w:t>
            </w:r>
          </w:p>
        </w:tc>
        <w:tc>
          <w:tcPr>
            <w:tcW w:w="660" w:type="dxa"/>
            <w:vAlign w:val="bottom"/>
            <w:shd w:val="clear" w:color="auto" w:fill="D9D9D9"/>
          </w:tcPr>
          <w:p>
            <w:pPr>
              <w:ind w:left="120"/>
              <w:spacing w:after="0"/>
              <w:rPr>
                <w:sz w:val="20"/>
                <w:szCs w:val="20"/>
                <w:color w:val="auto"/>
              </w:rPr>
            </w:pPr>
            <w:r>
              <w:rPr>
                <w:rFonts w:ascii="Arial" w:cs="Arial" w:eastAsia="Arial" w:hAnsi="Arial"/>
                <w:sz w:val="13"/>
                <w:szCs w:val="13"/>
                <w:color w:val="333333"/>
              </w:rPr>
              <w:t>—</w:t>
            </w:r>
          </w:p>
        </w:tc>
        <w:tc>
          <w:tcPr>
            <w:tcW w:w="840" w:type="dxa"/>
            <w:vAlign w:val="bottom"/>
            <w:gridSpan w:val="2"/>
            <w:shd w:val="clear" w:color="auto" w:fill="D9D9D9"/>
          </w:tcPr>
          <w:p>
            <w:pPr>
              <w:ind w:left="120"/>
              <w:spacing w:after="0"/>
              <w:rPr>
                <w:sz w:val="20"/>
                <w:szCs w:val="20"/>
                <w:color w:val="auto"/>
              </w:rPr>
            </w:pPr>
            <w:r>
              <w:rPr>
                <w:rFonts w:ascii="Arial" w:cs="Arial" w:eastAsia="Arial" w:hAnsi="Arial"/>
                <w:sz w:val="13"/>
                <w:szCs w:val="13"/>
                <w:color w:val="333333"/>
              </w:rPr>
              <w:t>$​1,335,373</w:t>
            </w:r>
          </w:p>
        </w:tc>
        <w:tc>
          <w:tcPr>
            <w:tcW w:w="920" w:type="dxa"/>
            <w:vAlign w:val="bottom"/>
            <w:gridSpan w:val="2"/>
            <w:shd w:val="clear" w:color="auto" w:fill="D9D9D9"/>
          </w:tcPr>
          <w:p>
            <w:pPr>
              <w:ind w:left="100"/>
              <w:spacing w:after="0"/>
              <w:rPr>
                <w:sz w:val="20"/>
                <w:szCs w:val="20"/>
                <w:color w:val="auto"/>
              </w:rPr>
            </w:pPr>
            <w:r>
              <w:rPr>
                <w:rFonts w:ascii="Arial" w:cs="Arial" w:eastAsia="Arial" w:hAnsi="Arial"/>
                <w:sz w:val="13"/>
                <w:szCs w:val="13"/>
                <w:color w:val="333333"/>
              </w:rPr>
              <w:t>$​986,337</w:t>
            </w:r>
          </w:p>
        </w:tc>
        <w:tc>
          <w:tcPr>
            <w:tcW w:w="100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$​385,161</w:t>
            </w:r>
          </w:p>
        </w:tc>
        <w:tc>
          <w:tcPr>
            <w:tcW w:w="1040" w:type="dxa"/>
            <w:vAlign w:val="bottom"/>
            <w:shd w:val="clear" w:color="auto" w:fill="D9D9D9"/>
          </w:tcPr>
          <w:p>
            <w:pPr>
              <w:ind w:left="140"/>
              <w:spacing w:after="0"/>
              <w:rPr>
                <w:sz w:val="20"/>
                <w:szCs w:val="20"/>
                <w:color w:val="auto"/>
              </w:rPr>
            </w:pPr>
            <w:r>
              <w:rPr>
                <w:rFonts w:ascii="Arial" w:cs="Arial" w:eastAsia="Arial" w:hAnsi="Arial"/>
                <w:sz w:val="13"/>
                <w:szCs w:val="13"/>
                <w:color w:val="333333"/>
              </w:rPr>
              <w:t>$​22,601</w:t>
            </w:r>
          </w:p>
        </w:tc>
        <w:tc>
          <w:tcPr>
            <w:tcW w:w="11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$​3,138,759</w:t>
            </w:r>
          </w:p>
        </w:tc>
        <w:tc>
          <w:tcPr>
            <w:tcW w:w="0" w:type="dxa"/>
            <w:vAlign w:val="bottom"/>
          </w:tcPr>
          <w:p>
            <w:pPr>
              <w:spacing w:after="0"/>
              <w:rPr>
                <w:sz w:val="1"/>
                <w:szCs w:val="1"/>
                <w:color w:val="auto"/>
              </w:rPr>
            </w:pPr>
          </w:p>
        </w:tc>
      </w:tr>
      <w:tr>
        <w:trPr>
          <w:trHeight w:val="68"/>
        </w:trPr>
        <w:tc>
          <w:tcPr>
            <w:tcW w:w="120" w:type="dxa"/>
            <w:vAlign w:val="bottom"/>
            <w:shd w:val="clear" w:color="auto" w:fill="D9D9D9"/>
          </w:tcPr>
          <w:p>
            <w:pPr>
              <w:spacing w:after="0"/>
              <w:rPr>
                <w:sz w:val="5"/>
                <w:szCs w:val="5"/>
                <w:color w:val="auto"/>
              </w:rPr>
            </w:pPr>
          </w:p>
        </w:tc>
        <w:tc>
          <w:tcPr>
            <w:tcW w:w="1640" w:type="dxa"/>
            <w:vAlign w:val="bottom"/>
            <w:shd w:val="clear" w:color="auto" w:fill="D9D9D9"/>
          </w:tcPr>
          <w:p>
            <w:pPr>
              <w:spacing w:after="0"/>
              <w:rPr>
                <w:sz w:val="5"/>
                <w:szCs w:val="5"/>
                <w:color w:val="auto"/>
              </w:rPr>
            </w:pPr>
          </w:p>
        </w:tc>
        <w:tc>
          <w:tcPr>
            <w:tcW w:w="80" w:type="dxa"/>
            <w:vAlign w:val="bottom"/>
            <w:shd w:val="clear" w:color="auto" w:fill="D9D9D9"/>
          </w:tcPr>
          <w:p>
            <w:pPr>
              <w:spacing w:after="0"/>
              <w:rPr>
                <w:sz w:val="5"/>
                <w:szCs w:val="5"/>
                <w:color w:val="auto"/>
              </w:rPr>
            </w:pPr>
          </w:p>
        </w:tc>
        <w:tc>
          <w:tcPr>
            <w:tcW w:w="380" w:type="dxa"/>
            <w:vAlign w:val="bottom"/>
            <w:shd w:val="clear" w:color="auto" w:fill="D9D9D9"/>
          </w:tcPr>
          <w:p>
            <w:pPr>
              <w:spacing w:after="0"/>
              <w:rPr>
                <w:sz w:val="5"/>
                <w:szCs w:val="5"/>
                <w:color w:val="auto"/>
              </w:rPr>
            </w:pPr>
          </w:p>
        </w:tc>
        <w:tc>
          <w:tcPr>
            <w:tcW w:w="920" w:type="dxa"/>
            <w:vAlign w:val="bottom"/>
            <w:shd w:val="clear" w:color="auto" w:fill="D9D9D9"/>
          </w:tcPr>
          <w:p>
            <w:pPr>
              <w:spacing w:after="0"/>
              <w:rPr>
                <w:sz w:val="5"/>
                <w:szCs w:val="5"/>
                <w:color w:val="auto"/>
              </w:rPr>
            </w:pPr>
          </w:p>
        </w:tc>
        <w:tc>
          <w:tcPr>
            <w:tcW w:w="660" w:type="dxa"/>
            <w:vAlign w:val="bottom"/>
            <w:shd w:val="clear" w:color="auto" w:fill="D9D9D9"/>
          </w:tcPr>
          <w:p>
            <w:pPr>
              <w:spacing w:after="0"/>
              <w:rPr>
                <w:sz w:val="5"/>
                <w:szCs w:val="5"/>
                <w:color w:val="auto"/>
              </w:rPr>
            </w:pPr>
          </w:p>
        </w:tc>
        <w:tc>
          <w:tcPr>
            <w:tcW w:w="240" w:type="dxa"/>
            <w:vAlign w:val="bottom"/>
            <w:shd w:val="clear" w:color="auto" w:fill="D9D9D9"/>
          </w:tcPr>
          <w:p>
            <w:pPr>
              <w:spacing w:after="0"/>
              <w:rPr>
                <w:sz w:val="5"/>
                <w:szCs w:val="5"/>
                <w:color w:val="auto"/>
              </w:rPr>
            </w:pPr>
          </w:p>
        </w:tc>
        <w:tc>
          <w:tcPr>
            <w:tcW w:w="600" w:type="dxa"/>
            <w:vAlign w:val="bottom"/>
            <w:shd w:val="clear" w:color="auto" w:fill="D9D9D9"/>
          </w:tcPr>
          <w:p>
            <w:pPr>
              <w:spacing w:after="0"/>
              <w:rPr>
                <w:sz w:val="5"/>
                <w:szCs w:val="5"/>
                <w:color w:val="auto"/>
              </w:rPr>
            </w:pPr>
          </w:p>
        </w:tc>
        <w:tc>
          <w:tcPr>
            <w:tcW w:w="240" w:type="dxa"/>
            <w:vAlign w:val="bottom"/>
            <w:shd w:val="clear" w:color="auto" w:fill="D9D9D9"/>
          </w:tcPr>
          <w:p>
            <w:pPr>
              <w:spacing w:after="0"/>
              <w:rPr>
                <w:sz w:val="5"/>
                <w:szCs w:val="5"/>
                <w:color w:val="auto"/>
              </w:rPr>
            </w:pPr>
          </w:p>
        </w:tc>
        <w:tc>
          <w:tcPr>
            <w:tcW w:w="680" w:type="dxa"/>
            <w:vAlign w:val="bottom"/>
            <w:shd w:val="clear" w:color="auto" w:fill="D9D9D9"/>
          </w:tcPr>
          <w:p>
            <w:pPr>
              <w:spacing w:after="0"/>
              <w:rPr>
                <w:sz w:val="5"/>
                <w:szCs w:val="5"/>
                <w:color w:val="auto"/>
              </w:rPr>
            </w:pPr>
          </w:p>
        </w:tc>
        <w:tc>
          <w:tcPr>
            <w:tcW w:w="1000" w:type="dxa"/>
            <w:vAlign w:val="bottom"/>
            <w:shd w:val="clear" w:color="auto" w:fill="D9D9D9"/>
          </w:tcPr>
          <w:p>
            <w:pPr>
              <w:spacing w:after="0"/>
              <w:rPr>
                <w:sz w:val="5"/>
                <w:szCs w:val="5"/>
                <w:color w:val="auto"/>
              </w:rPr>
            </w:pPr>
          </w:p>
        </w:tc>
        <w:tc>
          <w:tcPr>
            <w:tcW w:w="1040" w:type="dxa"/>
            <w:vAlign w:val="bottom"/>
            <w:shd w:val="clear" w:color="auto" w:fill="D9D9D9"/>
          </w:tcPr>
          <w:p>
            <w:pPr>
              <w:spacing w:after="0"/>
              <w:rPr>
                <w:sz w:val="5"/>
                <w:szCs w:val="5"/>
                <w:color w:val="auto"/>
              </w:rPr>
            </w:pPr>
          </w:p>
        </w:tc>
        <w:tc>
          <w:tcPr>
            <w:tcW w:w="116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-16510</wp:posOffset>
            </wp:positionV>
            <wp:extent cx="5554980" cy="431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554980" cy="4318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-685165</wp:posOffset>
            </wp:positionV>
            <wp:extent cx="5554980" cy="431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554980" cy="4318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-1679575</wp:posOffset>
            </wp:positionV>
            <wp:extent cx="5554980" cy="3257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554980" cy="325755"/>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-1962150</wp:posOffset>
            </wp:positionV>
            <wp:extent cx="5554980" cy="431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554980" cy="4318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-2331085</wp:posOffset>
            </wp:positionV>
            <wp:extent cx="5554980" cy="431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554980" cy="43180"/>
                    </a:xfrm>
                    <a:prstGeom prst="rect">
                      <a:avLst/>
                    </a:prstGeom>
                    <a:noFill/>
                  </pic:spPr>
                </pic:pic>
              </a:graphicData>
            </a:graphic>
          </wp:anchor>
        </w:drawing>
      </w:r>
    </w:p>
    <w:p>
      <w:pPr>
        <w:spacing w:after="0" w:line="234" w:lineRule="exact"/>
        <w:rPr>
          <w:sz w:val="20"/>
          <w:szCs w:val="20"/>
          <w:color w:val="auto"/>
        </w:rPr>
      </w:pPr>
    </w:p>
    <w:p>
      <w:pPr>
        <w:ind w:left="840" w:hanging="190"/>
        <w:spacing w:after="0"/>
        <w:tabs>
          <w:tab w:leader="none" w:pos="840" w:val="left"/>
        </w:tabs>
        <w:numPr>
          <w:ilvl w:val="0"/>
          <w:numId w:val="82"/>
        </w:numPr>
        <w:rPr>
          <w:rFonts w:ascii="Arial" w:cs="Arial" w:eastAsia="Arial" w:hAnsi="Arial"/>
          <w:sz w:val="13"/>
          <w:szCs w:val="13"/>
          <w:i w:val="1"/>
          <w:iCs w:val="1"/>
          <w:color w:val="333333"/>
        </w:rPr>
      </w:pPr>
      <w:r>
        <w:rPr>
          <w:rFonts w:ascii="Arial" w:cs="Arial" w:eastAsia="Arial" w:hAnsi="Arial"/>
          <w:sz w:val="13"/>
          <w:szCs w:val="13"/>
          <w:i w:val="1"/>
          <w:iCs w:val="1"/>
          <w:color w:val="333333"/>
        </w:rPr>
        <w:t>Represents the salary earned for the applicable year.</w:t>
      </w:r>
    </w:p>
    <w:p>
      <w:pPr>
        <w:spacing w:after="0" w:line="9" w:lineRule="exact"/>
        <w:rPr>
          <w:rFonts w:ascii="Arial" w:cs="Arial" w:eastAsia="Arial" w:hAnsi="Arial"/>
          <w:sz w:val="13"/>
          <w:szCs w:val="13"/>
          <w:i w:val="1"/>
          <w:iCs w:val="1"/>
          <w:color w:val="333333"/>
        </w:rPr>
      </w:pPr>
    </w:p>
    <w:p>
      <w:pPr>
        <w:ind w:left="660" w:right="179" w:hanging="10"/>
        <w:spacing w:after="0" w:line="234" w:lineRule="auto"/>
        <w:tabs>
          <w:tab w:leader="none" w:pos="849" w:val="left"/>
        </w:tabs>
        <w:numPr>
          <w:ilvl w:val="0"/>
          <w:numId w:val="82"/>
        </w:numPr>
        <w:rPr>
          <w:rFonts w:ascii="Arial" w:cs="Arial" w:eastAsia="Arial" w:hAnsi="Arial"/>
          <w:sz w:val="12"/>
          <w:szCs w:val="12"/>
          <w:i w:val="1"/>
          <w:iCs w:val="1"/>
          <w:color w:val="333333"/>
        </w:rPr>
      </w:pPr>
      <w:r>
        <w:rPr>
          <w:rFonts w:ascii="Arial" w:cs="Arial" w:eastAsia="Arial" w:hAnsi="Arial"/>
          <w:sz w:val="12"/>
          <w:szCs w:val="12"/>
          <w:i w:val="1"/>
          <w:iCs w:val="1"/>
          <w:color w:val="333333"/>
        </w:rPr>
        <w:t>Includes the aggregate grant date fair value for stock awards, computed in accordance with FASB ASC Topic 718. The assumptions used to value these awards can be found in Note 6 to the financial statements included in our Annual Report on Form 10-K for the year ended December 31, 2023. For an overview of the features of the 2023 awards, see “Compensation Discussion and Analysis — Key Elements of 2023 Named Executive Officer Compensation</w:t>
      </w:r>
    </w:p>
    <w:p>
      <w:pPr>
        <w:spacing w:after="0" w:line="1" w:lineRule="exact"/>
        <w:rPr>
          <w:rFonts w:ascii="Arial" w:cs="Arial" w:eastAsia="Arial" w:hAnsi="Arial"/>
          <w:sz w:val="12"/>
          <w:szCs w:val="12"/>
          <w:i w:val="1"/>
          <w:iCs w:val="1"/>
          <w:color w:val="333333"/>
        </w:rPr>
      </w:pPr>
    </w:p>
    <w:p>
      <w:pPr>
        <w:ind w:left="660" w:right="179"/>
        <w:spacing w:after="0" w:line="241" w:lineRule="auto"/>
        <w:rPr>
          <w:rFonts w:ascii="Arial" w:cs="Arial" w:eastAsia="Arial" w:hAnsi="Arial"/>
          <w:sz w:val="12"/>
          <w:szCs w:val="12"/>
          <w:i w:val="1"/>
          <w:iCs w:val="1"/>
          <w:color w:val="333333"/>
        </w:rPr>
      </w:pPr>
      <w:r>
        <w:rPr>
          <w:rFonts w:ascii="Arial" w:cs="Arial" w:eastAsia="Arial" w:hAnsi="Arial"/>
          <w:sz w:val="12"/>
          <w:szCs w:val="12"/>
          <w:i w:val="1"/>
          <w:iCs w:val="1"/>
          <w:color w:val="333333"/>
        </w:rPr>
        <w:t>— Equity Awards” and “Compensation Discussion and Analysis — Key Elements of 2023 Named Executive Officer Compensation — Annual Incentive.” Grant date fair values for Performance Shares and Performance-Based RSUs are computed based on the probable outcome of the performance conditions as of the grant date for the award. The Performance Shares do not provide for payouts above the target performance level (which was the probable outcome as of the date of grant). The grant date fair value of the Performance-Based RSU awards, assuming maximum performance with respect to the applicable performance goals, would be as follows: $1,350,020 for Mr. Panther; $1,917,657 for Mr. Netto; and $1,917,657 for Mr. King.</w:t>
      </w:r>
    </w:p>
    <w:p>
      <w:pPr>
        <w:spacing w:after="0" w:line="1" w:lineRule="exact"/>
        <w:rPr>
          <w:rFonts w:ascii="Arial" w:cs="Arial" w:eastAsia="Arial" w:hAnsi="Arial"/>
          <w:sz w:val="12"/>
          <w:szCs w:val="12"/>
          <w:i w:val="1"/>
          <w:iCs w:val="1"/>
          <w:color w:val="333333"/>
        </w:rPr>
      </w:pPr>
    </w:p>
    <w:p>
      <w:pPr>
        <w:ind w:left="660" w:right="159" w:hanging="10"/>
        <w:spacing w:after="0" w:line="225" w:lineRule="auto"/>
        <w:tabs>
          <w:tab w:leader="none" w:pos="849" w:val="left"/>
        </w:tabs>
        <w:numPr>
          <w:ilvl w:val="0"/>
          <w:numId w:val="82"/>
        </w:numPr>
        <w:rPr>
          <w:rFonts w:ascii="Arial" w:cs="Arial" w:eastAsia="Arial" w:hAnsi="Arial"/>
          <w:sz w:val="13"/>
          <w:szCs w:val="13"/>
          <w:i w:val="1"/>
          <w:iCs w:val="1"/>
          <w:color w:val="333333"/>
        </w:rPr>
      </w:pPr>
      <w:r>
        <w:rPr>
          <w:rFonts w:ascii="Arial" w:cs="Arial" w:eastAsia="Arial" w:hAnsi="Arial"/>
          <w:sz w:val="13"/>
          <w:szCs w:val="13"/>
          <w:i w:val="1"/>
          <w:iCs w:val="1"/>
          <w:color w:val="333333"/>
        </w:rPr>
        <w:t>Represents the aggregate grant date fair value for the stock option awards, computed in accordance with FASB ASC Topic 718. The assumptions used to value these awards can be found in Note 6 to the financial statements included in our Annual Report on Form 10-K for the year ended December 31, 2023. For an overview of the features of the 2023 awards, see “Compensation Discussion and Analysis — Key Elements of 2023 Named Executive Officer Compensation — Equity Awards.”</w:t>
      </w:r>
    </w:p>
    <w:p>
      <w:pPr>
        <w:jc w:val="both"/>
        <w:ind w:left="660" w:right="259" w:hanging="10"/>
        <w:spacing w:after="0" w:line="226" w:lineRule="auto"/>
        <w:tabs>
          <w:tab w:leader="none" w:pos="849" w:val="left"/>
        </w:tabs>
        <w:numPr>
          <w:ilvl w:val="0"/>
          <w:numId w:val="82"/>
        </w:numPr>
        <w:rPr>
          <w:rFonts w:ascii="Arial" w:cs="Arial" w:eastAsia="Arial" w:hAnsi="Arial"/>
          <w:sz w:val="13"/>
          <w:szCs w:val="13"/>
          <w:i w:val="1"/>
          <w:iCs w:val="1"/>
          <w:color w:val="333333"/>
        </w:rPr>
      </w:pPr>
      <w:r>
        <w:rPr>
          <w:rFonts w:ascii="Arial" w:cs="Arial" w:eastAsia="Arial" w:hAnsi="Arial"/>
          <w:sz w:val="13"/>
          <w:szCs w:val="13"/>
          <w:i w:val="1"/>
          <w:iCs w:val="1"/>
          <w:color w:val="333333"/>
        </w:rPr>
        <w:t>Represents the cash amounts earned under the annual incentive award program based on achievement of performance goals under the program. For a description of the program, including the 2023 performance goals, see “Compensation Discussion and Analysis — Key Elements of 2023 Named Executive Officer Compensation — Annual Incentive.”</w:t>
      </w:r>
    </w:p>
    <w:p>
      <w:pPr>
        <w:spacing w:after="0" w:line="13" w:lineRule="exact"/>
        <w:rPr>
          <w:rFonts w:ascii="Arial" w:cs="Arial" w:eastAsia="Arial" w:hAnsi="Arial"/>
          <w:sz w:val="13"/>
          <w:szCs w:val="13"/>
          <w:i w:val="1"/>
          <w:iCs w:val="1"/>
          <w:color w:val="333333"/>
        </w:rPr>
      </w:pPr>
    </w:p>
    <w:p>
      <w:pPr>
        <w:ind w:left="840" w:hanging="190"/>
        <w:spacing w:after="0"/>
        <w:tabs>
          <w:tab w:leader="none" w:pos="840" w:val="left"/>
        </w:tabs>
        <w:numPr>
          <w:ilvl w:val="0"/>
          <w:numId w:val="82"/>
        </w:numPr>
        <w:rPr>
          <w:rFonts w:ascii="Arial" w:cs="Arial" w:eastAsia="Arial" w:hAnsi="Arial"/>
          <w:sz w:val="13"/>
          <w:szCs w:val="13"/>
          <w:i w:val="1"/>
          <w:iCs w:val="1"/>
          <w:color w:val="333333"/>
        </w:rPr>
      </w:pPr>
      <w:r>
        <w:rPr>
          <w:rFonts w:ascii="Arial" w:cs="Arial" w:eastAsia="Arial" w:hAnsi="Arial"/>
          <w:sz w:val="13"/>
          <w:szCs w:val="13"/>
          <w:i w:val="1"/>
          <w:iCs w:val="1"/>
          <w:color w:val="333333"/>
        </w:rPr>
        <w:t>The following table breaks down the amounts included in the “All Other Compensation” column for 2023:</w:t>
      </w:r>
    </w:p>
    <w:p>
      <w:pPr>
        <w:spacing w:after="0" w:line="204"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50 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125095</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CF1D4C"/>
        </w:rPr>
        <w:t>2023 NAMED EXECUTIVE OFFICER COMPENSATION</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All Other Compensation</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369"/>
        </w:trPr>
        <w:tc>
          <w:tcPr>
            <w:tcW w:w="1780" w:type="dxa"/>
            <w:vAlign w:val="bottom"/>
            <w:vMerge w:val="restart"/>
            <w:shd w:val="clear" w:color="auto" w:fill="CF1D4C"/>
          </w:tcPr>
          <w:p>
            <w:pPr>
              <w:ind w:left="180"/>
              <w:spacing w:after="0"/>
              <w:rPr>
                <w:sz w:val="20"/>
                <w:szCs w:val="20"/>
                <w:color w:val="auto"/>
              </w:rPr>
            </w:pPr>
            <w:r>
              <w:rPr>
                <w:rFonts w:ascii="Arial" w:cs="Arial" w:eastAsia="Arial" w:hAnsi="Arial"/>
                <w:sz w:val="14"/>
                <w:szCs w:val="14"/>
                <w:b w:val="1"/>
                <w:bCs w:val="1"/>
                <w:color w:val="FFFFFF"/>
              </w:rPr>
              <w:t>All other</w:t>
            </w:r>
          </w:p>
        </w:tc>
        <w:tc>
          <w:tcPr>
            <w:tcW w:w="920" w:type="dxa"/>
            <w:vAlign w:val="bottom"/>
            <w:shd w:val="clear" w:color="auto" w:fill="CF1D4C"/>
          </w:tcPr>
          <w:p>
            <w:pPr>
              <w:ind w:left="100"/>
              <w:spacing w:after="0"/>
              <w:rPr>
                <w:sz w:val="20"/>
                <w:szCs w:val="20"/>
                <w:color w:val="auto"/>
              </w:rPr>
            </w:pPr>
            <w:r>
              <w:rPr>
                <w:rFonts w:ascii="Arial" w:cs="Arial" w:eastAsia="Arial" w:hAnsi="Arial"/>
                <w:sz w:val="14"/>
                <w:szCs w:val="14"/>
                <w:b w:val="1"/>
                <w:bCs w:val="1"/>
                <w:color w:val="FFFFFF"/>
              </w:rPr>
              <w:t>Health</w:t>
            </w:r>
          </w:p>
        </w:tc>
        <w:tc>
          <w:tcPr>
            <w:tcW w:w="980" w:type="dxa"/>
            <w:vAlign w:val="bottom"/>
            <w:shd w:val="clear" w:color="auto" w:fill="CF1D4C"/>
          </w:tcPr>
          <w:p>
            <w:pPr>
              <w:ind w:left="120"/>
              <w:spacing w:after="0"/>
              <w:rPr>
                <w:sz w:val="20"/>
                <w:szCs w:val="20"/>
                <w:color w:val="auto"/>
              </w:rPr>
            </w:pPr>
            <w:r>
              <w:rPr>
                <w:rFonts w:ascii="Arial" w:cs="Arial" w:eastAsia="Arial" w:hAnsi="Arial"/>
                <w:sz w:val="14"/>
                <w:szCs w:val="14"/>
                <w:b w:val="1"/>
                <w:bCs w:val="1"/>
                <w:color w:val="FFFFFF"/>
              </w:rPr>
              <w:t>Long-Term</w:t>
            </w:r>
          </w:p>
        </w:tc>
        <w:tc>
          <w:tcPr>
            <w:tcW w:w="1180" w:type="dxa"/>
            <w:vAlign w:val="bottom"/>
            <w:shd w:val="clear" w:color="auto" w:fill="CF1D4C"/>
          </w:tcPr>
          <w:p>
            <w:pPr>
              <w:ind w:left="120"/>
              <w:spacing w:after="0"/>
              <w:rPr>
                <w:sz w:val="20"/>
                <w:szCs w:val="20"/>
                <w:color w:val="auto"/>
              </w:rPr>
            </w:pPr>
            <w:r>
              <w:rPr>
                <w:rFonts w:ascii="Arial" w:cs="Arial" w:eastAsia="Arial" w:hAnsi="Arial"/>
                <w:sz w:val="14"/>
                <w:szCs w:val="14"/>
                <w:b w:val="1"/>
                <w:bCs w:val="1"/>
                <w:color w:val="FFFFFF"/>
              </w:rPr>
              <w:t>Retirement</w:t>
            </w:r>
          </w:p>
        </w:tc>
        <w:tc>
          <w:tcPr>
            <w:tcW w:w="960" w:type="dxa"/>
            <w:vAlign w:val="bottom"/>
            <w:vMerge w:val="restart"/>
            <w:shd w:val="clear" w:color="auto" w:fill="CF1D4C"/>
          </w:tcPr>
          <w:p>
            <w:pPr>
              <w:ind w:left="120"/>
              <w:spacing w:after="0"/>
              <w:rPr>
                <w:sz w:val="20"/>
                <w:szCs w:val="20"/>
                <w:color w:val="auto"/>
              </w:rPr>
            </w:pPr>
            <w:r>
              <w:rPr>
                <w:rFonts w:ascii="Arial" w:cs="Arial" w:eastAsia="Arial" w:hAnsi="Arial"/>
                <w:sz w:val="14"/>
                <w:szCs w:val="14"/>
                <w:b w:val="1"/>
                <w:bCs w:val="1"/>
                <w:color w:val="FFFFFF"/>
              </w:rPr>
              <w:t>Vehicle</w:t>
            </w:r>
          </w:p>
        </w:tc>
        <w:tc>
          <w:tcPr>
            <w:tcW w:w="860" w:type="dxa"/>
            <w:vAlign w:val="bottom"/>
            <w:vMerge w:val="restart"/>
            <w:shd w:val="clear" w:color="auto" w:fill="CF1D4C"/>
          </w:tcPr>
          <w:p>
            <w:pPr>
              <w:ind w:left="80"/>
              <w:spacing w:after="0"/>
              <w:rPr>
                <w:sz w:val="20"/>
                <w:szCs w:val="20"/>
                <w:color w:val="auto"/>
              </w:rPr>
            </w:pPr>
            <w:r>
              <w:rPr>
                <w:rFonts w:ascii="Arial" w:cs="Arial" w:eastAsia="Arial" w:hAnsi="Arial"/>
                <w:sz w:val="14"/>
                <w:szCs w:val="14"/>
                <w:b w:val="1"/>
                <w:bCs w:val="1"/>
                <w:color w:val="FFFFFF"/>
              </w:rPr>
              <w:t>Life</w:t>
            </w:r>
          </w:p>
        </w:tc>
        <w:tc>
          <w:tcPr>
            <w:tcW w:w="1080" w:type="dxa"/>
            <w:vAlign w:val="bottom"/>
            <w:shd w:val="clear" w:color="auto" w:fill="CF1D4C"/>
          </w:tcPr>
          <w:p>
            <w:pPr>
              <w:spacing w:after="0"/>
              <w:rPr>
                <w:sz w:val="24"/>
                <w:szCs w:val="24"/>
                <w:color w:val="auto"/>
              </w:rPr>
            </w:pPr>
          </w:p>
        </w:tc>
        <w:tc>
          <w:tcPr>
            <w:tcW w:w="1000" w:type="dxa"/>
            <w:vAlign w:val="bottom"/>
            <w:shd w:val="clear" w:color="auto" w:fill="CF1D4C"/>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80" w:type="dxa"/>
            <w:vAlign w:val="bottom"/>
            <w:vMerge w:val="continue"/>
            <w:shd w:val="clear" w:color="auto" w:fill="CF1D4C"/>
          </w:tcPr>
          <w:p>
            <w:pPr>
              <w:spacing w:after="0"/>
              <w:rPr>
                <w:sz w:val="7"/>
                <w:szCs w:val="7"/>
                <w:color w:val="auto"/>
              </w:rPr>
            </w:pPr>
          </w:p>
        </w:tc>
        <w:tc>
          <w:tcPr>
            <w:tcW w:w="920" w:type="dxa"/>
            <w:vAlign w:val="bottom"/>
            <w:vMerge w:val="restart"/>
            <w:shd w:val="clear" w:color="auto" w:fill="CF1D4C"/>
          </w:tcPr>
          <w:p>
            <w:pPr>
              <w:ind w:left="100"/>
              <w:spacing w:after="0"/>
              <w:rPr>
                <w:sz w:val="20"/>
                <w:szCs w:val="20"/>
                <w:color w:val="auto"/>
              </w:rPr>
            </w:pPr>
            <w:r>
              <w:rPr>
                <w:rFonts w:ascii="Arial" w:cs="Arial" w:eastAsia="Arial" w:hAnsi="Arial"/>
                <w:sz w:val="14"/>
                <w:szCs w:val="14"/>
                <w:b w:val="1"/>
                <w:bCs w:val="1"/>
                <w:color w:val="FFFFFF"/>
              </w:rPr>
              <w:t>Benefit</w:t>
            </w:r>
          </w:p>
        </w:tc>
        <w:tc>
          <w:tcPr>
            <w:tcW w:w="980" w:type="dxa"/>
            <w:vAlign w:val="bottom"/>
            <w:vMerge w:val="restart"/>
            <w:shd w:val="clear" w:color="auto" w:fill="CF1D4C"/>
          </w:tcPr>
          <w:p>
            <w:pPr>
              <w:ind w:left="120"/>
              <w:spacing w:after="0"/>
              <w:rPr>
                <w:sz w:val="20"/>
                <w:szCs w:val="20"/>
                <w:color w:val="auto"/>
              </w:rPr>
            </w:pPr>
            <w:r>
              <w:rPr>
                <w:rFonts w:ascii="Arial" w:cs="Arial" w:eastAsia="Arial" w:hAnsi="Arial"/>
                <w:sz w:val="14"/>
                <w:szCs w:val="14"/>
                <w:b w:val="1"/>
                <w:bCs w:val="1"/>
                <w:color w:val="FFFFFF"/>
              </w:rPr>
              <w:t>Care</w:t>
            </w:r>
          </w:p>
        </w:tc>
        <w:tc>
          <w:tcPr>
            <w:tcW w:w="1180" w:type="dxa"/>
            <w:vAlign w:val="bottom"/>
            <w:vMerge w:val="restart"/>
            <w:shd w:val="clear" w:color="auto" w:fill="CF1D4C"/>
          </w:tcPr>
          <w:p>
            <w:pPr>
              <w:ind w:left="120"/>
              <w:spacing w:after="0"/>
              <w:rPr>
                <w:sz w:val="20"/>
                <w:szCs w:val="20"/>
                <w:color w:val="auto"/>
              </w:rPr>
            </w:pPr>
            <w:r>
              <w:rPr>
                <w:rFonts w:ascii="Arial" w:cs="Arial" w:eastAsia="Arial" w:hAnsi="Arial"/>
                <w:sz w:val="14"/>
                <w:szCs w:val="14"/>
                <w:b w:val="1"/>
                <w:bCs w:val="1"/>
                <w:color w:val="FFFFFF"/>
              </w:rPr>
              <w:t>Plan</w:t>
            </w:r>
          </w:p>
        </w:tc>
        <w:tc>
          <w:tcPr>
            <w:tcW w:w="960" w:type="dxa"/>
            <w:vAlign w:val="bottom"/>
            <w:vMerge w:val="continue"/>
            <w:shd w:val="clear" w:color="auto" w:fill="CF1D4C"/>
          </w:tcPr>
          <w:p>
            <w:pPr>
              <w:spacing w:after="0"/>
              <w:rPr>
                <w:sz w:val="7"/>
                <w:szCs w:val="7"/>
                <w:color w:val="auto"/>
              </w:rPr>
            </w:pPr>
          </w:p>
        </w:tc>
        <w:tc>
          <w:tcPr>
            <w:tcW w:w="860" w:type="dxa"/>
            <w:vAlign w:val="bottom"/>
            <w:vMerge w:val="continue"/>
            <w:shd w:val="clear" w:color="auto" w:fill="CF1D4C"/>
          </w:tcPr>
          <w:p>
            <w:pPr>
              <w:spacing w:after="0"/>
              <w:rPr>
                <w:sz w:val="7"/>
                <w:szCs w:val="7"/>
                <w:color w:val="auto"/>
              </w:rPr>
            </w:pPr>
          </w:p>
        </w:tc>
        <w:tc>
          <w:tcPr>
            <w:tcW w:w="1080" w:type="dxa"/>
            <w:vAlign w:val="bottom"/>
            <w:vMerge w:val="restart"/>
            <w:shd w:val="clear" w:color="auto" w:fill="CF1D4C"/>
          </w:tcPr>
          <w:p>
            <w:pPr>
              <w:ind w:left="100"/>
              <w:spacing w:after="0"/>
              <w:rPr>
                <w:sz w:val="20"/>
                <w:szCs w:val="20"/>
                <w:color w:val="auto"/>
              </w:rPr>
            </w:pPr>
            <w:r>
              <w:rPr>
                <w:rFonts w:ascii="Arial" w:cs="Arial" w:eastAsia="Arial" w:hAnsi="Arial"/>
                <w:sz w:val="14"/>
                <w:szCs w:val="14"/>
                <w:b w:val="1"/>
                <w:bCs w:val="1"/>
                <w:color w:val="FFFFFF"/>
              </w:rPr>
              <w:t>Other</w:t>
            </w:r>
          </w:p>
        </w:tc>
        <w:tc>
          <w:tcPr>
            <w:tcW w:w="1000" w:type="dxa"/>
            <w:vAlign w:val="bottom"/>
            <w:vMerge w:val="restart"/>
            <w:shd w:val="clear" w:color="auto" w:fill="CF1D4C"/>
          </w:tcPr>
          <w:p>
            <w:pPr>
              <w:ind w:left="6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81"/>
        </w:trPr>
        <w:tc>
          <w:tcPr>
            <w:tcW w:w="1780" w:type="dxa"/>
            <w:vAlign w:val="bottom"/>
            <w:vMerge w:val="restart"/>
            <w:shd w:val="clear" w:color="auto" w:fill="CF1D4C"/>
          </w:tcPr>
          <w:p>
            <w:pPr>
              <w:ind w:left="180"/>
              <w:spacing w:after="0"/>
              <w:rPr>
                <w:sz w:val="20"/>
                <w:szCs w:val="20"/>
                <w:color w:val="auto"/>
              </w:rPr>
            </w:pPr>
            <w:r>
              <w:rPr>
                <w:rFonts w:ascii="Arial" w:cs="Arial" w:eastAsia="Arial" w:hAnsi="Arial"/>
                <w:sz w:val="14"/>
                <w:szCs w:val="14"/>
                <w:b w:val="1"/>
                <w:bCs w:val="1"/>
                <w:color w:val="FFFFFF"/>
              </w:rPr>
              <w:t>Compensation</w:t>
            </w:r>
          </w:p>
        </w:tc>
        <w:tc>
          <w:tcPr>
            <w:tcW w:w="920" w:type="dxa"/>
            <w:vAlign w:val="bottom"/>
            <w:vMerge w:val="continue"/>
            <w:shd w:val="clear" w:color="auto" w:fill="CF1D4C"/>
          </w:tcPr>
          <w:p>
            <w:pPr>
              <w:spacing w:after="0"/>
              <w:rPr>
                <w:sz w:val="7"/>
                <w:szCs w:val="7"/>
                <w:color w:val="auto"/>
              </w:rPr>
            </w:pPr>
          </w:p>
        </w:tc>
        <w:tc>
          <w:tcPr>
            <w:tcW w:w="980" w:type="dxa"/>
            <w:vAlign w:val="bottom"/>
            <w:vMerge w:val="continue"/>
            <w:shd w:val="clear" w:color="auto" w:fill="CF1D4C"/>
          </w:tcPr>
          <w:p>
            <w:pPr>
              <w:spacing w:after="0"/>
              <w:rPr>
                <w:sz w:val="7"/>
                <w:szCs w:val="7"/>
                <w:color w:val="auto"/>
              </w:rPr>
            </w:pPr>
          </w:p>
        </w:tc>
        <w:tc>
          <w:tcPr>
            <w:tcW w:w="1180" w:type="dxa"/>
            <w:vAlign w:val="bottom"/>
            <w:vMerge w:val="continue"/>
            <w:shd w:val="clear" w:color="auto" w:fill="CF1D4C"/>
          </w:tcPr>
          <w:p>
            <w:pPr>
              <w:spacing w:after="0"/>
              <w:rPr>
                <w:sz w:val="7"/>
                <w:szCs w:val="7"/>
                <w:color w:val="auto"/>
              </w:rPr>
            </w:pPr>
          </w:p>
        </w:tc>
        <w:tc>
          <w:tcPr>
            <w:tcW w:w="960" w:type="dxa"/>
            <w:vAlign w:val="bottom"/>
            <w:vMerge w:val="restart"/>
            <w:shd w:val="clear" w:color="auto" w:fill="CF1D4C"/>
          </w:tcPr>
          <w:p>
            <w:pPr>
              <w:ind w:left="120"/>
              <w:spacing w:after="0"/>
              <w:rPr>
                <w:sz w:val="20"/>
                <w:szCs w:val="20"/>
                <w:color w:val="auto"/>
              </w:rPr>
            </w:pPr>
            <w:r>
              <w:rPr>
                <w:rFonts w:ascii="Arial" w:cs="Arial" w:eastAsia="Arial" w:hAnsi="Arial"/>
                <w:sz w:val="14"/>
                <w:szCs w:val="14"/>
                <w:b w:val="1"/>
                <w:bCs w:val="1"/>
                <w:color w:val="FFFFFF"/>
              </w:rPr>
              <w:t>Allowance</w:t>
            </w:r>
          </w:p>
        </w:tc>
        <w:tc>
          <w:tcPr>
            <w:tcW w:w="860" w:type="dxa"/>
            <w:vAlign w:val="bottom"/>
            <w:vMerge w:val="restart"/>
            <w:shd w:val="clear" w:color="auto" w:fill="CF1D4C"/>
          </w:tcPr>
          <w:p>
            <w:pPr>
              <w:ind w:left="80"/>
              <w:spacing w:after="0"/>
              <w:rPr>
                <w:sz w:val="20"/>
                <w:szCs w:val="20"/>
                <w:color w:val="auto"/>
              </w:rPr>
            </w:pPr>
            <w:r>
              <w:rPr>
                <w:rFonts w:ascii="Arial" w:cs="Arial" w:eastAsia="Arial" w:hAnsi="Arial"/>
                <w:sz w:val="14"/>
                <w:szCs w:val="14"/>
                <w:b w:val="1"/>
                <w:bCs w:val="1"/>
                <w:color w:val="FFFFFF"/>
              </w:rPr>
              <w:t>Insurance</w:t>
            </w:r>
          </w:p>
        </w:tc>
        <w:tc>
          <w:tcPr>
            <w:tcW w:w="1080" w:type="dxa"/>
            <w:vAlign w:val="bottom"/>
            <w:vMerge w:val="continue"/>
            <w:shd w:val="clear" w:color="auto" w:fill="CF1D4C"/>
          </w:tcPr>
          <w:p>
            <w:pPr>
              <w:spacing w:after="0"/>
              <w:rPr>
                <w:sz w:val="7"/>
                <w:szCs w:val="7"/>
                <w:color w:val="auto"/>
              </w:rPr>
            </w:pPr>
          </w:p>
        </w:tc>
        <w:tc>
          <w:tcPr>
            <w:tcW w:w="1000" w:type="dxa"/>
            <w:vAlign w:val="bottom"/>
            <w:vMerge w:val="continue"/>
            <w:shd w:val="clear" w:color="auto" w:fill="CF1D4C"/>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80" w:type="dxa"/>
            <w:vAlign w:val="bottom"/>
            <w:vMerge w:val="continue"/>
            <w:shd w:val="clear" w:color="auto" w:fill="CF1D4C"/>
          </w:tcPr>
          <w:p>
            <w:pPr>
              <w:spacing w:after="0"/>
              <w:rPr>
                <w:sz w:val="10"/>
                <w:szCs w:val="10"/>
                <w:color w:val="auto"/>
              </w:rPr>
            </w:pPr>
          </w:p>
        </w:tc>
        <w:tc>
          <w:tcPr>
            <w:tcW w:w="920" w:type="dxa"/>
            <w:vAlign w:val="bottom"/>
            <w:vMerge w:val="restart"/>
            <w:shd w:val="clear" w:color="auto" w:fill="CF1D4C"/>
          </w:tcPr>
          <w:p>
            <w:pPr>
              <w:ind w:left="100"/>
              <w:spacing w:after="0"/>
              <w:rPr>
                <w:sz w:val="20"/>
                <w:szCs w:val="20"/>
                <w:color w:val="auto"/>
              </w:rPr>
            </w:pPr>
            <w:r>
              <w:rPr>
                <w:rFonts w:ascii="Arial" w:cs="Arial" w:eastAsia="Arial" w:hAnsi="Arial"/>
                <w:sz w:val="14"/>
                <w:szCs w:val="14"/>
                <w:b w:val="1"/>
                <w:bCs w:val="1"/>
                <w:color w:val="FFFFFF"/>
              </w:rPr>
              <w:t>Premiums</w:t>
            </w:r>
          </w:p>
        </w:tc>
        <w:tc>
          <w:tcPr>
            <w:tcW w:w="980" w:type="dxa"/>
            <w:vAlign w:val="bottom"/>
            <w:vMerge w:val="restart"/>
            <w:shd w:val="clear" w:color="auto" w:fill="CF1D4C"/>
          </w:tcPr>
          <w:p>
            <w:pPr>
              <w:ind w:left="120"/>
              <w:spacing w:after="0"/>
              <w:rPr>
                <w:sz w:val="20"/>
                <w:szCs w:val="20"/>
                <w:color w:val="auto"/>
              </w:rPr>
            </w:pPr>
            <w:r>
              <w:rPr>
                <w:rFonts w:ascii="Arial" w:cs="Arial" w:eastAsia="Arial" w:hAnsi="Arial"/>
                <w:sz w:val="14"/>
                <w:szCs w:val="14"/>
                <w:b w:val="1"/>
                <w:bCs w:val="1"/>
                <w:color w:val="FFFFFF"/>
              </w:rPr>
              <w:t>Premiums</w:t>
            </w:r>
          </w:p>
        </w:tc>
        <w:tc>
          <w:tcPr>
            <w:tcW w:w="1180" w:type="dxa"/>
            <w:vAlign w:val="bottom"/>
            <w:vMerge w:val="restart"/>
            <w:shd w:val="clear" w:color="auto" w:fill="CF1D4C"/>
          </w:tcPr>
          <w:p>
            <w:pPr>
              <w:ind w:left="120"/>
              <w:spacing w:after="0"/>
              <w:rPr>
                <w:sz w:val="20"/>
                <w:szCs w:val="20"/>
                <w:color w:val="auto"/>
              </w:rPr>
            </w:pPr>
            <w:r>
              <w:rPr>
                <w:rFonts w:ascii="Arial" w:cs="Arial" w:eastAsia="Arial" w:hAnsi="Arial"/>
                <w:sz w:val="14"/>
                <w:szCs w:val="14"/>
                <w:b w:val="1"/>
                <w:bCs w:val="1"/>
                <w:color w:val="FFFFFF"/>
              </w:rPr>
              <w:t>Contributions</w:t>
            </w:r>
          </w:p>
        </w:tc>
        <w:tc>
          <w:tcPr>
            <w:tcW w:w="960" w:type="dxa"/>
            <w:vAlign w:val="bottom"/>
            <w:vMerge w:val="continue"/>
            <w:shd w:val="clear" w:color="auto" w:fill="CF1D4C"/>
          </w:tcPr>
          <w:p>
            <w:pPr>
              <w:spacing w:after="0"/>
              <w:rPr>
                <w:sz w:val="10"/>
                <w:szCs w:val="10"/>
                <w:color w:val="auto"/>
              </w:rPr>
            </w:pPr>
          </w:p>
        </w:tc>
        <w:tc>
          <w:tcPr>
            <w:tcW w:w="860" w:type="dxa"/>
            <w:vAlign w:val="bottom"/>
            <w:vMerge w:val="continue"/>
            <w:shd w:val="clear" w:color="auto" w:fill="CF1D4C"/>
          </w:tcPr>
          <w:p>
            <w:pPr>
              <w:spacing w:after="0"/>
              <w:rPr>
                <w:sz w:val="10"/>
                <w:szCs w:val="10"/>
                <w:color w:val="auto"/>
              </w:rPr>
            </w:pPr>
          </w:p>
        </w:tc>
        <w:tc>
          <w:tcPr>
            <w:tcW w:w="1080" w:type="dxa"/>
            <w:vAlign w:val="bottom"/>
            <w:shd w:val="clear" w:color="auto" w:fill="CF1D4C"/>
          </w:tcPr>
          <w:p>
            <w:pPr>
              <w:spacing w:after="0"/>
              <w:rPr>
                <w:sz w:val="10"/>
                <w:szCs w:val="10"/>
                <w:color w:val="auto"/>
              </w:rPr>
            </w:pPr>
          </w:p>
        </w:tc>
        <w:tc>
          <w:tcPr>
            <w:tcW w:w="1000" w:type="dxa"/>
            <w:vAlign w:val="bottom"/>
            <w:shd w:val="clear" w:color="auto" w:fill="CF1D4C"/>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shd w:val="clear" w:color="auto" w:fill="CF1D4C"/>
          </w:tcPr>
          <w:p>
            <w:pPr>
              <w:spacing w:after="0"/>
              <w:rPr>
                <w:sz w:val="7"/>
                <w:szCs w:val="7"/>
                <w:color w:val="auto"/>
              </w:rPr>
            </w:pPr>
          </w:p>
        </w:tc>
        <w:tc>
          <w:tcPr>
            <w:tcW w:w="920" w:type="dxa"/>
            <w:vAlign w:val="bottom"/>
            <w:vMerge w:val="continue"/>
            <w:shd w:val="clear" w:color="auto" w:fill="CF1D4C"/>
          </w:tcPr>
          <w:p>
            <w:pPr>
              <w:spacing w:after="0"/>
              <w:rPr>
                <w:sz w:val="7"/>
                <w:szCs w:val="7"/>
                <w:color w:val="auto"/>
              </w:rPr>
            </w:pPr>
          </w:p>
        </w:tc>
        <w:tc>
          <w:tcPr>
            <w:tcW w:w="980" w:type="dxa"/>
            <w:vAlign w:val="bottom"/>
            <w:vMerge w:val="continue"/>
            <w:shd w:val="clear" w:color="auto" w:fill="CF1D4C"/>
          </w:tcPr>
          <w:p>
            <w:pPr>
              <w:spacing w:after="0"/>
              <w:rPr>
                <w:sz w:val="7"/>
                <w:szCs w:val="7"/>
                <w:color w:val="auto"/>
              </w:rPr>
            </w:pPr>
          </w:p>
        </w:tc>
        <w:tc>
          <w:tcPr>
            <w:tcW w:w="1180" w:type="dxa"/>
            <w:vAlign w:val="bottom"/>
            <w:vMerge w:val="continue"/>
            <w:shd w:val="clear" w:color="auto" w:fill="CF1D4C"/>
          </w:tcPr>
          <w:p>
            <w:pPr>
              <w:spacing w:after="0"/>
              <w:rPr>
                <w:sz w:val="7"/>
                <w:szCs w:val="7"/>
                <w:color w:val="auto"/>
              </w:rPr>
            </w:pPr>
          </w:p>
        </w:tc>
        <w:tc>
          <w:tcPr>
            <w:tcW w:w="960" w:type="dxa"/>
            <w:vAlign w:val="bottom"/>
            <w:shd w:val="clear" w:color="auto" w:fill="CF1D4C"/>
          </w:tcPr>
          <w:p>
            <w:pPr>
              <w:spacing w:after="0"/>
              <w:rPr>
                <w:sz w:val="7"/>
                <w:szCs w:val="7"/>
                <w:color w:val="auto"/>
              </w:rPr>
            </w:pPr>
          </w:p>
        </w:tc>
        <w:tc>
          <w:tcPr>
            <w:tcW w:w="860" w:type="dxa"/>
            <w:vAlign w:val="bottom"/>
            <w:shd w:val="clear" w:color="auto" w:fill="CF1D4C"/>
          </w:tcPr>
          <w:p>
            <w:pPr>
              <w:spacing w:after="0"/>
              <w:rPr>
                <w:sz w:val="7"/>
                <w:szCs w:val="7"/>
                <w:color w:val="auto"/>
              </w:rPr>
            </w:pPr>
          </w:p>
        </w:tc>
        <w:tc>
          <w:tcPr>
            <w:tcW w:w="1080" w:type="dxa"/>
            <w:vAlign w:val="bottom"/>
            <w:shd w:val="clear" w:color="auto" w:fill="CF1D4C"/>
          </w:tcPr>
          <w:p>
            <w:pPr>
              <w:spacing w:after="0"/>
              <w:rPr>
                <w:sz w:val="7"/>
                <w:szCs w:val="7"/>
                <w:color w:val="auto"/>
              </w:rPr>
            </w:pPr>
          </w:p>
        </w:tc>
        <w:tc>
          <w:tcPr>
            <w:tcW w:w="1000" w:type="dxa"/>
            <w:vAlign w:val="bottom"/>
            <w:shd w:val="clear" w:color="auto" w:fill="CF1D4C"/>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780" w:type="dxa"/>
            <w:vAlign w:val="bottom"/>
            <w:shd w:val="clear" w:color="auto" w:fill="CF1D4C"/>
          </w:tcPr>
          <w:p>
            <w:pPr>
              <w:spacing w:after="0"/>
              <w:rPr>
                <w:sz w:val="11"/>
                <w:szCs w:val="11"/>
                <w:color w:val="auto"/>
              </w:rPr>
            </w:pPr>
          </w:p>
        </w:tc>
        <w:tc>
          <w:tcPr>
            <w:tcW w:w="920" w:type="dxa"/>
            <w:vAlign w:val="bottom"/>
            <w:shd w:val="clear" w:color="auto" w:fill="CF1D4C"/>
          </w:tcPr>
          <w:p>
            <w:pPr>
              <w:spacing w:after="0"/>
              <w:rPr>
                <w:sz w:val="11"/>
                <w:szCs w:val="11"/>
                <w:color w:val="auto"/>
              </w:rPr>
            </w:pPr>
          </w:p>
        </w:tc>
        <w:tc>
          <w:tcPr>
            <w:tcW w:w="980" w:type="dxa"/>
            <w:vAlign w:val="bottom"/>
            <w:shd w:val="clear" w:color="auto" w:fill="CF1D4C"/>
          </w:tcPr>
          <w:p>
            <w:pPr>
              <w:spacing w:after="0"/>
              <w:rPr>
                <w:sz w:val="11"/>
                <w:szCs w:val="11"/>
                <w:color w:val="auto"/>
              </w:rPr>
            </w:pPr>
          </w:p>
        </w:tc>
        <w:tc>
          <w:tcPr>
            <w:tcW w:w="1180" w:type="dxa"/>
            <w:vAlign w:val="bottom"/>
            <w:shd w:val="clear" w:color="auto" w:fill="CF1D4C"/>
          </w:tcPr>
          <w:p>
            <w:pPr>
              <w:spacing w:after="0"/>
              <w:rPr>
                <w:sz w:val="11"/>
                <w:szCs w:val="11"/>
                <w:color w:val="auto"/>
              </w:rPr>
            </w:pPr>
          </w:p>
        </w:tc>
        <w:tc>
          <w:tcPr>
            <w:tcW w:w="960" w:type="dxa"/>
            <w:vAlign w:val="bottom"/>
            <w:shd w:val="clear" w:color="auto" w:fill="CF1D4C"/>
          </w:tcPr>
          <w:p>
            <w:pPr>
              <w:spacing w:after="0"/>
              <w:rPr>
                <w:sz w:val="11"/>
                <w:szCs w:val="11"/>
                <w:color w:val="auto"/>
              </w:rPr>
            </w:pPr>
          </w:p>
        </w:tc>
        <w:tc>
          <w:tcPr>
            <w:tcW w:w="860" w:type="dxa"/>
            <w:vAlign w:val="bottom"/>
            <w:shd w:val="clear" w:color="auto" w:fill="CF1D4C"/>
          </w:tcPr>
          <w:p>
            <w:pPr>
              <w:spacing w:after="0"/>
              <w:rPr>
                <w:sz w:val="11"/>
                <w:szCs w:val="11"/>
                <w:color w:val="auto"/>
              </w:rPr>
            </w:pPr>
          </w:p>
        </w:tc>
        <w:tc>
          <w:tcPr>
            <w:tcW w:w="1080" w:type="dxa"/>
            <w:vAlign w:val="bottom"/>
            <w:shd w:val="clear" w:color="auto" w:fill="CF1D4C"/>
          </w:tcPr>
          <w:p>
            <w:pPr>
              <w:spacing w:after="0"/>
              <w:rPr>
                <w:sz w:val="11"/>
                <w:szCs w:val="11"/>
                <w:color w:val="auto"/>
              </w:rPr>
            </w:pPr>
          </w:p>
        </w:tc>
        <w:tc>
          <w:tcPr>
            <w:tcW w:w="1000" w:type="dxa"/>
            <w:vAlign w:val="bottom"/>
            <w:shd w:val="clear" w:color="auto" w:fill="CF1D4C"/>
          </w:tcPr>
          <w:p>
            <w:pPr>
              <w:spacing w:after="0"/>
              <w:rPr>
                <w:sz w:val="11"/>
                <w:szCs w:val="11"/>
                <w:color w:val="auto"/>
              </w:rPr>
            </w:pPr>
          </w:p>
        </w:tc>
        <w:tc>
          <w:tcPr>
            <w:tcW w:w="0" w:type="dxa"/>
            <w:vAlign w:val="bottom"/>
          </w:tcPr>
          <w:p>
            <w:pPr>
              <w:spacing w:after="0"/>
              <w:rPr>
                <w:sz w:val="1"/>
                <w:szCs w:val="1"/>
                <w:color w:val="auto"/>
              </w:rPr>
            </w:pPr>
          </w:p>
        </w:tc>
      </w:tr>
      <w:tr>
        <w:trPr>
          <w:trHeight w:val="371"/>
        </w:trPr>
        <w:tc>
          <w:tcPr>
            <w:tcW w:w="1780" w:type="dxa"/>
            <w:vAlign w:val="bottom"/>
          </w:tcPr>
          <w:p>
            <w:pPr>
              <w:ind w:left="180"/>
              <w:spacing w:after="0"/>
              <w:rPr>
                <w:sz w:val="20"/>
                <w:szCs w:val="20"/>
                <w:color w:val="auto"/>
              </w:rPr>
            </w:pPr>
            <w:r>
              <w:rPr>
                <w:rFonts w:ascii="Arial" w:cs="Arial" w:eastAsia="Arial" w:hAnsi="Arial"/>
                <w:sz w:val="16"/>
                <w:szCs w:val="16"/>
                <w:b w:val="1"/>
                <w:bCs w:val="1"/>
                <w:color w:val="333333"/>
              </w:rPr>
              <w:t>Ronald F. Clarke</w:t>
            </w:r>
          </w:p>
        </w:tc>
        <w:tc>
          <w:tcPr>
            <w:tcW w:w="920" w:type="dxa"/>
            <w:vAlign w:val="bottom"/>
          </w:tcPr>
          <w:p>
            <w:pPr>
              <w:ind w:left="100"/>
              <w:spacing w:after="0"/>
              <w:rPr>
                <w:sz w:val="20"/>
                <w:szCs w:val="20"/>
                <w:color w:val="auto"/>
              </w:rPr>
            </w:pPr>
            <w:r>
              <w:rPr>
                <w:rFonts w:ascii="Arial" w:cs="Arial" w:eastAsia="Arial" w:hAnsi="Arial"/>
                <w:sz w:val="16"/>
                <w:szCs w:val="16"/>
                <w:color w:val="333333"/>
              </w:rPr>
              <w:t>$25,620</w:t>
            </w:r>
          </w:p>
        </w:tc>
        <w:tc>
          <w:tcPr>
            <w:tcW w:w="980" w:type="dxa"/>
            <w:vAlign w:val="bottom"/>
          </w:tcPr>
          <w:p>
            <w:pPr>
              <w:ind w:left="120"/>
              <w:spacing w:after="0"/>
              <w:rPr>
                <w:sz w:val="20"/>
                <w:szCs w:val="20"/>
                <w:color w:val="auto"/>
              </w:rPr>
            </w:pPr>
            <w:r>
              <w:rPr>
                <w:rFonts w:ascii="Arial" w:cs="Arial" w:eastAsia="Arial" w:hAnsi="Arial"/>
                <w:sz w:val="16"/>
                <w:szCs w:val="16"/>
                <w:color w:val="333333"/>
              </w:rPr>
              <w:t>​$2,686</w:t>
            </w:r>
          </w:p>
        </w:tc>
        <w:tc>
          <w:tcPr>
            <w:tcW w:w="1180" w:type="dxa"/>
            <w:vAlign w:val="bottom"/>
          </w:tcPr>
          <w:p>
            <w:pPr>
              <w:ind w:left="120"/>
              <w:spacing w:after="0"/>
              <w:rPr>
                <w:sz w:val="20"/>
                <w:szCs w:val="20"/>
                <w:color w:val="auto"/>
              </w:rPr>
            </w:pPr>
            <w:r>
              <w:rPr>
                <w:rFonts w:ascii="Arial" w:cs="Arial" w:eastAsia="Arial" w:hAnsi="Arial"/>
                <w:sz w:val="16"/>
                <w:szCs w:val="16"/>
                <w:color w:val="333333"/>
              </w:rPr>
              <w:t>—</w:t>
            </w:r>
          </w:p>
        </w:tc>
        <w:tc>
          <w:tcPr>
            <w:tcW w:w="960" w:type="dxa"/>
            <w:vAlign w:val="bottom"/>
          </w:tcPr>
          <w:p>
            <w:pPr>
              <w:ind w:left="120"/>
              <w:spacing w:after="0"/>
              <w:rPr>
                <w:sz w:val="20"/>
                <w:szCs w:val="20"/>
                <w:color w:val="auto"/>
              </w:rPr>
            </w:pPr>
            <w:r>
              <w:rPr>
                <w:rFonts w:ascii="Arial" w:cs="Arial" w:eastAsia="Arial" w:hAnsi="Arial"/>
                <w:sz w:val="16"/>
                <w:szCs w:val="16"/>
                <w:color w:val="333333"/>
              </w:rPr>
              <w:t>—</w:t>
            </w:r>
          </w:p>
        </w:tc>
        <w:tc>
          <w:tcPr>
            <w:tcW w:w="860" w:type="dxa"/>
            <w:vAlign w:val="bottom"/>
          </w:tcPr>
          <w:p>
            <w:pPr>
              <w:ind w:left="80"/>
              <w:spacing w:after="0"/>
              <w:rPr>
                <w:sz w:val="20"/>
                <w:szCs w:val="20"/>
                <w:color w:val="auto"/>
              </w:rPr>
            </w:pPr>
            <w:r>
              <w:rPr>
                <w:rFonts w:ascii="Arial" w:cs="Arial" w:eastAsia="Arial" w:hAnsi="Arial"/>
                <w:sz w:val="16"/>
                <w:szCs w:val="16"/>
                <w:color w:val="333333"/>
              </w:rPr>
              <w:t>$660</w:t>
            </w:r>
          </w:p>
        </w:tc>
        <w:tc>
          <w:tcPr>
            <w:tcW w:w="1080" w:type="dxa"/>
            <w:vAlign w:val="bottom"/>
          </w:tcPr>
          <w:p>
            <w:pPr>
              <w:ind w:left="100"/>
              <w:spacing w:after="0"/>
              <w:rPr>
                <w:sz w:val="20"/>
                <w:szCs w:val="20"/>
                <w:color w:val="auto"/>
              </w:rPr>
            </w:pPr>
            <w:r>
              <w:rPr>
                <w:rFonts w:ascii="Arial" w:cs="Arial" w:eastAsia="Arial" w:hAnsi="Arial"/>
                <w:sz w:val="16"/>
                <w:szCs w:val="16"/>
                <w:color w:val="333333"/>
              </w:rPr>
              <w:t>—</w:t>
            </w:r>
          </w:p>
        </w:tc>
        <w:tc>
          <w:tcPr>
            <w:tcW w:w="1000" w:type="dxa"/>
            <w:vAlign w:val="bottom"/>
          </w:tcPr>
          <w:p>
            <w:pPr>
              <w:ind w:left="60"/>
              <w:spacing w:after="0"/>
              <w:rPr>
                <w:sz w:val="20"/>
                <w:szCs w:val="20"/>
                <w:color w:val="auto"/>
              </w:rPr>
            </w:pPr>
            <w:r>
              <w:rPr>
                <w:rFonts w:ascii="Arial" w:cs="Arial" w:eastAsia="Arial" w:hAnsi="Arial"/>
                <w:sz w:val="16"/>
                <w:szCs w:val="16"/>
                <w:color w:val="333333"/>
              </w:rPr>
              <w:t>$​28,966</w:t>
            </w:r>
          </w:p>
        </w:tc>
        <w:tc>
          <w:tcPr>
            <w:tcW w:w="0" w:type="dxa"/>
            <w:vAlign w:val="bottom"/>
          </w:tcPr>
          <w:p>
            <w:pPr>
              <w:spacing w:after="0"/>
              <w:rPr>
                <w:sz w:val="1"/>
                <w:szCs w:val="1"/>
                <w:color w:val="auto"/>
              </w:rPr>
            </w:pPr>
          </w:p>
        </w:tc>
      </w:tr>
      <w:tr>
        <w:trPr>
          <w:trHeight w:val="143"/>
        </w:trPr>
        <w:tc>
          <w:tcPr>
            <w:tcW w:w="1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3"/>
        </w:trPr>
        <w:tc>
          <w:tcPr>
            <w:tcW w:w="178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16"/>
                <w:szCs w:val="16"/>
                <w:b w:val="1"/>
                <w:bCs w:val="1"/>
                <w:color w:val="333333"/>
              </w:rPr>
              <w:t>Tom Panther</w:t>
            </w:r>
          </w:p>
        </w:tc>
        <w:tc>
          <w:tcPr>
            <w:tcW w:w="92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16"/>
                <w:szCs w:val="16"/>
                <w:color w:val="333333"/>
              </w:rPr>
              <w:t>$9,583</w:t>
            </w:r>
          </w:p>
        </w:tc>
        <w:tc>
          <w:tcPr>
            <w:tcW w:w="980" w:type="dxa"/>
            <w:vAlign w:val="bottom"/>
            <w:tcBorders>
              <w:bottom w:val="single" w:sz="8" w:color="D9D9D9"/>
            </w:tcBorders>
            <w:shd w:val="clear" w:color="auto" w:fill="D9D9D9"/>
          </w:tcPr>
          <w:p>
            <w:pPr>
              <w:ind w:left="120"/>
              <w:spacing w:after="0"/>
              <w:rPr>
                <w:sz w:val="20"/>
                <w:szCs w:val="20"/>
                <w:color w:val="auto"/>
              </w:rPr>
            </w:pPr>
            <w:r>
              <w:rPr>
                <w:rFonts w:ascii="Arial" w:cs="Arial" w:eastAsia="Arial" w:hAnsi="Arial"/>
                <w:sz w:val="16"/>
                <w:szCs w:val="16"/>
                <w:color w:val="333333"/>
              </w:rPr>
              <w:t>$2,230</w:t>
            </w:r>
          </w:p>
        </w:tc>
        <w:tc>
          <w:tcPr>
            <w:tcW w:w="1180" w:type="dxa"/>
            <w:vAlign w:val="bottom"/>
            <w:tcBorders>
              <w:bottom w:val="single" w:sz="8" w:color="D9D9D9"/>
            </w:tcBorders>
            <w:shd w:val="clear" w:color="auto" w:fill="D9D9D9"/>
          </w:tcPr>
          <w:p>
            <w:pPr>
              <w:ind w:left="120"/>
              <w:spacing w:after="0"/>
              <w:rPr>
                <w:sz w:val="20"/>
                <w:szCs w:val="20"/>
                <w:color w:val="auto"/>
              </w:rPr>
            </w:pPr>
            <w:r>
              <w:rPr>
                <w:rFonts w:ascii="Arial" w:cs="Arial" w:eastAsia="Arial" w:hAnsi="Arial"/>
                <w:sz w:val="16"/>
                <w:szCs w:val="16"/>
                <w:color w:val="333333"/>
              </w:rPr>
              <w:t>—</w:t>
            </w:r>
          </w:p>
        </w:tc>
        <w:tc>
          <w:tcPr>
            <w:tcW w:w="960" w:type="dxa"/>
            <w:vAlign w:val="bottom"/>
            <w:tcBorders>
              <w:bottom w:val="single" w:sz="8" w:color="D9D9D9"/>
            </w:tcBorders>
            <w:shd w:val="clear" w:color="auto" w:fill="D9D9D9"/>
          </w:tcPr>
          <w:p>
            <w:pPr>
              <w:ind w:left="120"/>
              <w:spacing w:after="0"/>
              <w:rPr>
                <w:sz w:val="20"/>
                <w:szCs w:val="20"/>
                <w:color w:val="auto"/>
              </w:rPr>
            </w:pPr>
            <w:r>
              <w:rPr>
                <w:rFonts w:ascii="Arial" w:cs="Arial" w:eastAsia="Arial" w:hAnsi="Arial"/>
                <w:sz w:val="16"/>
                <w:szCs w:val="16"/>
                <w:color w:val="333333"/>
              </w:rPr>
              <w:t>—</w:t>
            </w:r>
          </w:p>
        </w:tc>
        <w:tc>
          <w:tcPr>
            <w:tcW w:w="860" w:type="dxa"/>
            <w:vAlign w:val="bottom"/>
            <w:tcBorders>
              <w:bottom w:val="single" w:sz="8" w:color="D9D9D9"/>
            </w:tcBorders>
            <w:shd w:val="clear" w:color="auto" w:fill="D9D9D9"/>
          </w:tcPr>
          <w:p>
            <w:pPr>
              <w:ind w:left="80"/>
              <w:spacing w:after="0"/>
              <w:rPr>
                <w:sz w:val="20"/>
                <w:szCs w:val="20"/>
                <w:color w:val="auto"/>
              </w:rPr>
            </w:pPr>
            <w:r>
              <w:rPr>
                <w:rFonts w:ascii="Arial" w:cs="Arial" w:eastAsia="Arial" w:hAnsi="Arial"/>
                <w:sz w:val="16"/>
                <w:szCs w:val="16"/>
                <w:color w:val="333333"/>
              </w:rPr>
              <w:t>$495</w:t>
            </w:r>
          </w:p>
        </w:tc>
        <w:tc>
          <w:tcPr>
            <w:tcW w:w="108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16"/>
                <w:szCs w:val="16"/>
                <w:color w:val="333333"/>
              </w:rPr>
              <w:t>$​1,000</w:t>
            </w:r>
            <w:r>
              <w:rPr>
                <w:rFonts w:ascii="Arial" w:cs="Arial" w:eastAsia="Arial" w:hAnsi="Arial"/>
                <w:sz w:val="26"/>
                <w:szCs w:val="26"/>
                <w:color w:val="333333"/>
                <w:vertAlign w:val="superscript"/>
              </w:rPr>
              <w:t>(6)</w:t>
            </w:r>
          </w:p>
        </w:tc>
        <w:tc>
          <w:tcPr>
            <w:tcW w:w="100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6"/>
                <w:szCs w:val="16"/>
                <w:color w:val="333333"/>
              </w:rPr>
              <w:t>$13,308</w:t>
            </w:r>
          </w:p>
        </w:tc>
        <w:tc>
          <w:tcPr>
            <w:tcW w:w="0" w:type="dxa"/>
            <w:vAlign w:val="bottom"/>
          </w:tcPr>
          <w:p>
            <w:pPr>
              <w:spacing w:after="0"/>
              <w:rPr>
                <w:sz w:val="1"/>
                <w:szCs w:val="1"/>
                <w:color w:val="auto"/>
              </w:rPr>
            </w:pPr>
          </w:p>
        </w:tc>
      </w:tr>
      <w:tr>
        <w:trPr>
          <w:trHeight w:val="509"/>
        </w:trPr>
        <w:tc>
          <w:tcPr>
            <w:tcW w:w="1780" w:type="dxa"/>
            <w:vAlign w:val="bottom"/>
          </w:tcPr>
          <w:p>
            <w:pPr>
              <w:ind w:left="180"/>
              <w:spacing w:after="0"/>
              <w:rPr>
                <w:sz w:val="20"/>
                <w:szCs w:val="20"/>
                <w:color w:val="auto"/>
              </w:rPr>
            </w:pPr>
            <w:r>
              <w:rPr>
                <w:rFonts w:ascii="Arial" w:cs="Arial" w:eastAsia="Arial" w:hAnsi="Arial"/>
                <w:sz w:val="16"/>
                <w:szCs w:val="16"/>
                <w:b w:val="1"/>
                <w:bCs w:val="1"/>
                <w:color w:val="333333"/>
              </w:rPr>
              <w:t>Alissa B. Vickery</w:t>
            </w:r>
          </w:p>
        </w:tc>
        <w:tc>
          <w:tcPr>
            <w:tcW w:w="920" w:type="dxa"/>
            <w:vAlign w:val="bottom"/>
          </w:tcPr>
          <w:p>
            <w:pPr>
              <w:ind w:left="100"/>
              <w:spacing w:after="0"/>
              <w:rPr>
                <w:sz w:val="20"/>
                <w:szCs w:val="20"/>
                <w:color w:val="auto"/>
              </w:rPr>
            </w:pPr>
            <w:r>
              <w:rPr>
                <w:rFonts w:ascii="Arial" w:cs="Arial" w:eastAsia="Arial" w:hAnsi="Arial"/>
                <w:sz w:val="16"/>
                <w:szCs w:val="16"/>
                <w:color w:val="333333"/>
              </w:rPr>
              <w:t>—</w:t>
            </w:r>
          </w:p>
        </w:tc>
        <w:tc>
          <w:tcPr>
            <w:tcW w:w="980" w:type="dxa"/>
            <w:vAlign w:val="bottom"/>
          </w:tcPr>
          <w:p>
            <w:pPr>
              <w:ind w:left="120"/>
              <w:spacing w:after="0"/>
              <w:rPr>
                <w:sz w:val="20"/>
                <w:szCs w:val="20"/>
                <w:color w:val="auto"/>
              </w:rPr>
            </w:pPr>
            <w:r>
              <w:rPr>
                <w:rFonts w:ascii="Arial" w:cs="Arial" w:eastAsia="Arial" w:hAnsi="Arial"/>
                <w:sz w:val="16"/>
                <w:szCs w:val="16"/>
                <w:color w:val="333333"/>
              </w:rPr>
              <w:t>—​</w:t>
            </w:r>
          </w:p>
        </w:tc>
        <w:tc>
          <w:tcPr>
            <w:tcW w:w="1180" w:type="dxa"/>
            <w:vAlign w:val="bottom"/>
          </w:tcPr>
          <w:p>
            <w:pPr>
              <w:ind w:left="120"/>
              <w:spacing w:after="0"/>
              <w:rPr>
                <w:sz w:val="20"/>
                <w:szCs w:val="20"/>
                <w:color w:val="auto"/>
              </w:rPr>
            </w:pPr>
            <w:r>
              <w:rPr>
                <w:rFonts w:ascii="Arial" w:cs="Arial" w:eastAsia="Arial" w:hAnsi="Arial"/>
                <w:sz w:val="16"/>
                <w:szCs w:val="16"/>
                <w:color w:val="333333"/>
              </w:rPr>
              <w:t>$​2,250</w:t>
            </w:r>
          </w:p>
        </w:tc>
        <w:tc>
          <w:tcPr>
            <w:tcW w:w="960" w:type="dxa"/>
            <w:vAlign w:val="bottom"/>
          </w:tcPr>
          <w:p>
            <w:pPr>
              <w:ind w:left="120"/>
              <w:spacing w:after="0"/>
              <w:rPr>
                <w:sz w:val="20"/>
                <w:szCs w:val="20"/>
                <w:color w:val="auto"/>
              </w:rPr>
            </w:pPr>
            <w:r>
              <w:rPr>
                <w:rFonts w:ascii="Arial" w:cs="Arial" w:eastAsia="Arial" w:hAnsi="Arial"/>
                <w:sz w:val="16"/>
                <w:szCs w:val="16"/>
                <w:color w:val="333333"/>
              </w:rPr>
              <w:t>—</w:t>
            </w:r>
          </w:p>
        </w:tc>
        <w:tc>
          <w:tcPr>
            <w:tcW w:w="860" w:type="dxa"/>
            <w:vAlign w:val="bottom"/>
          </w:tcPr>
          <w:p>
            <w:pPr>
              <w:ind w:left="80"/>
              <w:spacing w:after="0"/>
              <w:rPr>
                <w:sz w:val="20"/>
                <w:szCs w:val="20"/>
                <w:color w:val="auto"/>
              </w:rPr>
            </w:pPr>
            <w:r>
              <w:rPr>
                <w:rFonts w:ascii="Arial" w:cs="Arial" w:eastAsia="Arial" w:hAnsi="Arial"/>
                <w:sz w:val="16"/>
                <w:szCs w:val="16"/>
                <w:color w:val="333333"/>
              </w:rPr>
              <w:t>$660</w:t>
            </w:r>
          </w:p>
        </w:tc>
        <w:tc>
          <w:tcPr>
            <w:tcW w:w="1080" w:type="dxa"/>
            <w:vAlign w:val="bottom"/>
          </w:tcPr>
          <w:p>
            <w:pPr>
              <w:ind w:left="100"/>
              <w:spacing w:after="0"/>
              <w:rPr>
                <w:sz w:val="20"/>
                <w:szCs w:val="20"/>
                <w:color w:val="auto"/>
              </w:rPr>
            </w:pPr>
            <w:r>
              <w:rPr>
                <w:rFonts w:ascii="Arial" w:cs="Arial" w:eastAsia="Arial" w:hAnsi="Arial"/>
                <w:sz w:val="16"/>
                <w:szCs w:val="16"/>
                <w:color w:val="333333"/>
              </w:rPr>
              <w:t>​$2,100</w:t>
            </w:r>
            <w:r>
              <w:rPr>
                <w:rFonts w:ascii="Arial" w:cs="Arial" w:eastAsia="Arial" w:hAnsi="Arial"/>
                <w:sz w:val="26"/>
                <w:szCs w:val="26"/>
                <w:color w:val="333333"/>
                <w:vertAlign w:val="superscript"/>
              </w:rPr>
              <w:t>(6)</w:t>
            </w:r>
          </w:p>
        </w:tc>
        <w:tc>
          <w:tcPr>
            <w:tcW w:w="1000" w:type="dxa"/>
            <w:vAlign w:val="bottom"/>
          </w:tcPr>
          <w:p>
            <w:pPr>
              <w:ind w:left="60"/>
              <w:spacing w:after="0"/>
              <w:rPr>
                <w:sz w:val="20"/>
                <w:szCs w:val="20"/>
                <w:color w:val="auto"/>
              </w:rPr>
            </w:pPr>
            <w:r>
              <w:rPr>
                <w:rFonts w:ascii="Arial" w:cs="Arial" w:eastAsia="Arial" w:hAnsi="Arial"/>
                <w:sz w:val="16"/>
                <w:szCs w:val="16"/>
                <w:color w:val="333333"/>
              </w:rPr>
              <w:t>$​5,010</w:t>
            </w:r>
          </w:p>
        </w:tc>
        <w:tc>
          <w:tcPr>
            <w:tcW w:w="0" w:type="dxa"/>
            <w:vAlign w:val="bottom"/>
          </w:tcPr>
          <w:p>
            <w:pPr>
              <w:spacing w:after="0"/>
              <w:rPr>
                <w:sz w:val="1"/>
                <w:szCs w:val="1"/>
                <w:color w:val="auto"/>
              </w:rPr>
            </w:pPr>
          </w:p>
        </w:tc>
      </w:tr>
      <w:tr>
        <w:trPr>
          <w:trHeight w:val="45"/>
        </w:trPr>
        <w:tc>
          <w:tcPr>
            <w:tcW w:w="1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3"/>
        </w:trPr>
        <w:tc>
          <w:tcPr>
            <w:tcW w:w="178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16"/>
                <w:szCs w:val="16"/>
                <w:b w:val="1"/>
                <w:bCs w:val="1"/>
                <w:color w:val="333333"/>
              </w:rPr>
              <w:t>Armando L. Netto</w:t>
            </w:r>
            <w:r>
              <w:rPr>
                <w:rFonts w:ascii="Arial" w:cs="Arial" w:eastAsia="Arial" w:hAnsi="Arial"/>
                <w:sz w:val="26"/>
                <w:szCs w:val="26"/>
                <w:b w:val="1"/>
                <w:bCs w:val="1"/>
                <w:color w:val="333333"/>
                <w:vertAlign w:val="superscript"/>
              </w:rPr>
              <w:t>(7)</w:t>
            </w:r>
          </w:p>
        </w:tc>
        <w:tc>
          <w:tcPr>
            <w:tcW w:w="92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16"/>
                <w:szCs w:val="16"/>
                <w:color w:val="333333"/>
              </w:rPr>
              <w:t>$15,580</w:t>
            </w:r>
          </w:p>
        </w:tc>
        <w:tc>
          <w:tcPr>
            <w:tcW w:w="980" w:type="dxa"/>
            <w:vAlign w:val="bottom"/>
            <w:tcBorders>
              <w:bottom w:val="single" w:sz="8" w:color="D9D9D9"/>
            </w:tcBorders>
            <w:shd w:val="clear" w:color="auto" w:fill="D9D9D9"/>
          </w:tcPr>
          <w:p>
            <w:pPr>
              <w:ind w:left="120"/>
              <w:spacing w:after="0"/>
              <w:rPr>
                <w:sz w:val="20"/>
                <w:szCs w:val="20"/>
                <w:color w:val="auto"/>
              </w:rPr>
            </w:pPr>
            <w:r>
              <w:rPr>
                <w:rFonts w:ascii="Arial" w:cs="Arial" w:eastAsia="Arial" w:hAnsi="Arial"/>
                <w:sz w:val="16"/>
                <w:szCs w:val="16"/>
                <w:color w:val="333333"/>
              </w:rPr>
              <w:t>—</w:t>
            </w:r>
          </w:p>
        </w:tc>
        <w:tc>
          <w:tcPr>
            <w:tcW w:w="1180" w:type="dxa"/>
            <w:vAlign w:val="bottom"/>
            <w:tcBorders>
              <w:bottom w:val="single" w:sz="8" w:color="D9D9D9"/>
            </w:tcBorders>
            <w:shd w:val="clear" w:color="auto" w:fill="D9D9D9"/>
          </w:tcPr>
          <w:p>
            <w:pPr>
              <w:ind w:left="120"/>
              <w:spacing w:after="0"/>
              <w:rPr>
                <w:sz w:val="20"/>
                <w:szCs w:val="20"/>
                <w:color w:val="auto"/>
              </w:rPr>
            </w:pPr>
            <w:r>
              <w:rPr>
                <w:rFonts w:ascii="Arial" w:cs="Arial" w:eastAsia="Arial" w:hAnsi="Arial"/>
                <w:sz w:val="16"/>
                <w:szCs w:val="16"/>
                <w:color w:val="333333"/>
              </w:rPr>
              <w:t>—</w:t>
            </w:r>
          </w:p>
        </w:tc>
        <w:tc>
          <w:tcPr>
            <w:tcW w:w="960" w:type="dxa"/>
            <w:vAlign w:val="bottom"/>
            <w:tcBorders>
              <w:bottom w:val="single" w:sz="8" w:color="D9D9D9"/>
            </w:tcBorders>
            <w:shd w:val="clear" w:color="auto" w:fill="D9D9D9"/>
          </w:tcPr>
          <w:p>
            <w:pPr>
              <w:ind w:left="120"/>
              <w:spacing w:after="0"/>
              <w:rPr>
                <w:sz w:val="20"/>
                <w:szCs w:val="20"/>
                <w:color w:val="auto"/>
              </w:rPr>
            </w:pPr>
            <w:r>
              <w:rPr>
                <w:rFonts w:ascii="Arial" w:cs="Arial" w:eastAsia="Arial" w:hAnsi="Arial"/>
                <w:sz w:val="16"/>
                <w:szCs w:val="16"/>
                <w:color w:val="333333"/>
              </w:rPr>
              <w:t>$​23,278</w:t>
            </w:r>
            <w:r>
              <w:rPr>
                <w:rFonts w:ascii="Arial" w:cs="Arial" w:eastAsia="Arial" w:hAnsi="Arial"/>
                <w:sz w:val="26"/>
                <w:szCs w:val="26"/>
                <w:color w:val="333333"/>
                <w:vertAlign w:val="superscript"/>
              </w:rPr>
              <w:t>(8)</w:t>
            </w:r>
          </w:p>
        </w:tc>
        <w:tc>
          <w:tcPr>
            <w:tcW w:w="860" w:type="dxa"/>
            <w:vAlign w:val="bottom"/>
            <w:tcBorders>
              <w:bottom w:val="single" w:sz="8" w:color="D9D9D9"/>
            </w:tcBorders>
            <w:shd w:val="clear" w:color="auto" w:fill="D9D9D9"/>
          </w:tcPr>
          <w:p>
            <w:pPr>
              <w:ind w:left="80"/>
              <w:spacing w:after="0"/>
              <w:rPr>
                <w:sz w:val="20"/>
                <w:szCs w:val="20"/>
                <w:color w:val="auto"/>
              </w:rPr>
            </w:pPr>
            <w:r>
              <w:rPr>
                <w:rFonts w:ascii="Arial" w:cs="Arial" w:eastAsia="Arial" w:hAnsi="Arial"/>
                <w:sz w:val="16"/>
                <w:szCs w:val="16"/>
                <w:color w:val="333333"/>
              </w:rPr>
              <w:t>$​752</w:t>
            </w:r>
          </w:p>
        </w:tc>
        <w:tc>
          <w:tcPr>
            <w:tcW w:w="108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16"/>
                <w:szCs w:val="16"/>
                <w:color w:val="333333"/>
              </w:rPr>
              <w:t>​$7,589</w:t>
            </w:r>
            <w:r>
              <w:rPr>
                <w:rFonts w:ascii="Arial" w:cs="Arial" w:eastAsia="Arial" w:hAnsi="Arial"/>
                <w:sz w:val="26"/>
                <w:szCs w:val="26"/>
                <w:color w:val="333333"/>
                <w:vertAlign w:val="superscript"/>
              </w:rPr>
              <w:t>(9)</w:t>
            </w:r>
          </w:p>
        </w:tc>
        <w:tc>
          <w:tcPr>
            <w:tcW w:w="100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6"/>
                <w:szCs w:val="16"/>
                <w:color w:val="333333"/>
              </w:rPr>
              <w:t>$​47,199</w:t>
            </w:r>
          </w:p>
        </w:tc>
        <w:tc>
          <w:tcPr>
            <w:tcW w:w="0" w:type="dxa"/>
            <w:vAlign w:val="bottom"/>
          </w:tcPr>
          <w:p>
            <w:pPr>
              <w:spacing w:after="0"/>
              <w:rPr>
                <w:sz w:val="1"/>
                <w:szCs w:val="1"/>
                <w:color w:val="auto"/>
              </w:rPr>
            </w:pPr>
          </w:p>
        </w:tc>
      </w:tr>
      <w:tr>
        <w:trPr>
          <w:trHeight w:val="517"/>
        </w:trPr>
        <w:tc>
          <w:tcPr>
            <w:tcW w:w="1780" w:type="dxa"/>
            <w:vAlign w:val="bottom"/>
          </w:tcPr>
          <w:p>
            <w:pPr>
              <w:ind w:left="180"/>
              <w:spacing w:after="0"/>
              <w:rPr>
                <w:sz w:val="20"/>
                <w:szCs w:val="20"/>
                <w:color w:val="auto"/>
              </w:rPr>
            </w:pPr>
            <w:r>
              <w:rPr>
                <w:rFonts w:ascii="Arial" w:cs="Arial" w:eastAsia="Arial" w:hAnsi="Arial"/>
                <w:sz w:val="16"/>
                <w:szCs w:val="16"/>
                <w:b w:val="1"/>
                <w:bCs w:val="1"/>
                <w:color w:val="333333"/>
              </w:rPr>
              <w:t>Alan King</w:t>
            </w:r>
            <w:r>
              <w:rPr>
                <w:rFonts w:ascii="Arial" w:cs="Arial" w:eastAsia="Arial" w:hAnsi="Arial"/>
                <w:sz w:val="26"/>
                <w:szCs w:val="26"/>
                <w:b w:val="1"/>
                <w:bCs w:val="1"/>
                <w:color w:val="333333"/>
                <w:vertAlign w:val="superscript"/>
              </w:rPr>
              <w:t>(7)</w:t>
            </w:r>
          </w:p>
        </w:tc>
        <w:tc>
          <w:tcPr>
            <w:tcW w:w="920" w:type="dxa"/>
            <w:vAlign w:val="bottom"/>
          </w:tcPr>
          <w:p>
            <w:pPr>
              <w:ind w:left="100"/>
              <w:spacing w:after="0"/>
              <w:rPr>
                <w:sz w:val="20"/>
                <w:szCs w:val="20"/>
                <w:color w:val="auto"/>
              </w:rPr>
            </w:pPr>
            <w:r>
              <w:rPr>
                <w:rFonts w:ascii="Arial" w:cs="Arial" w:eastAsia="Arial" w:hAnsi="Arial"/>
                <w:sz w:val="16"/>
                <w:szCs w:val="16"/>
                <w:color w:val="333333"/>
              </w:rPr>
              <w:t>$27,245</w:t>
            </w:r>
          </w:p>
        </w:tc>
        <w:tc>
          <w:tcPr>
            <w:tcW w:w="980" w:type="dxa"/>
            <w:vAlign w:val="bottom"/>
          </w:tcPr>
          <w:p>
            <w:pPr>
              <w:ind w:left="120"/>
              <w:spacing w:after="0"/>
              <w:rPr>
                <w:sz w:val="20"/>
                <w:szCs w:val="20"/>
                <w:color w:val="auto"/>
              </w:rPr>
            </w:pPr>
            <w:r>
              <w:rPr>
                <w:rFonts w:ascii="Arial" w:cs="Arial" w:eastAsia="Arial" w:hAnsi="Arial"/>
                <w:sz w:val="16"/>
                <w:szCs w:val="16"/>
                <w:color w:val="333333"/>
              </w:rPr>
              <w:t>$​468</w:t>
            </w:r>
          </w:p>
        </w:tc>
        <w:tc>
          <w:tcPr>
            <w:tcW w:w="1180" w:type="dxa"/>
            <w:vAlign w:val="bottom"/>
          </w:tcPr>
          <w:p>
            <w:pPr>
              <w:ind w:left="120"/>
              <w:spacing w:after="0"/>
              <w:rPr>
                <w:sz w:val="20"/>
                <w:szCs w:val="20"/>
                <w:color w:val="auto"/>
              </w:rPr>
            </w:pPr>
            <w:r>
              <w:rPr>
                <w:rFonts w:ascii="Arial" w:cs="Arial" w:eastAsia="Arial" w:hAnsi="Arial"/>
                <w:sz w:val="16"/>
                <w:szCs w:val="16"/>
                <w:color w:val="333333"/>
              </w:rPr>
              <w:t>$​4,500</w:t>
            </w:r>
          </w:p>
        </w:tc>
        <w:tc>
          <w:tcPr>
            <w:tcW w:w="960" w:type="dxa"/>
            <w:vAlign w:val="bottom"/>
          </w:tcPr>
          <w:p>
            <w:pPr>
              <w:ind w:left="120"/>
              <w:spacing w:after="0"/>
              <w:rPr>
                <w:sz w:val="20"/>
                <w:szCs w:val="20"/>
                <w:color w:val="auto"/>
              </w:rPr>
            </w:pPr>
            <w:r>
              <w:rPr>
                <w:rFonts w:ascii="Arial" w:cs="Arial" w:eastAsia="Arial" w:hAnsi="Arial"/>
                <w:sz w:val="16"/>
                <w:szCs w:val="16"/>
                <w:color w:val="333333"/>
              </w:rPr>
              <w:t>​$33,237</w:t>
            </w:r>
            <w:r>
              <w:rPr>
                <w:rFonts w:ascii="Arial" w:cs="Arial" w:eastAsia="Arial" w:hAnsi="Arial"/>
                <w:sz w:val="26"/>
                <w:szCs w:val="26"/>
                <w:color w:val="333333"/>
                <w:vertAlign w:val="superscript"/>
              </w:rPr>
              <w:t>(8)</w:t>
            </w:r>
          </w:p>
        </w:tc>
        <w:tc>
          <w:tcPr>
            <w:tcW w:w="860" w:type="dxa"/>
            <w:vAlign w:val="bottom"/>
          </w:tcPr>
          <w:p>
            <w:pPr>
              <w:ind w:left="80"/>
              <w:spacing w:after="0"/>
              <w:rPr>
                <w:sz w:val="20"/>
                <w:szCs w:val="20"/>
                <w:color w:val="auto"/>
              </w:rPr>
            </w:pPr>
            <w:r>
              <w:rPr>
                <w:rFonts w:ascii="Arial" w:cs="Arial" w:eastAsia="Arial" w:hAnsi="Arial"/>
                <w:sz w:val="16"/>
                <w:szCs w:val="16"/>
                <w:color w:val="333333"/>
              </w:rPr>
              <w:t>$​660</w:t>
            </w:r>
          </w:p>
        </w:tc>
        <w:tc>
          <w:tcPr>
            <w:tcW w:w="1080" w:type="dxa"/>
            <w:vAlign w:val="bottom"/>
          </w:tcPr>
          <w:p>
            <w:pPr>
              <w:ind w:left="100"/>
              <w:spacing w:after="0"/>
              <w:rPr>
                <w:sz w:val="20"/>
                <w:szCs w:val="20"/>
                <w:color w:val="auto"/>
              </w:rPr>
            </w:pPr>
            <w:r>
              <w:rPr>
                <w:rFonts w:ascii="Arial" w:cs="Arial" w:eastAsia="Arial" w:hAnsi="Arial"/>
                <w:sz w:val="16"/>
                <w:szCs w:val="16"/>
                <w:color w:val="333333"/>
                <w:w w:val="98"/>
              </w:rPr>
              <w:t>$​345,232</w:t>
            </w:r>
            <w:r>
              <w:rPr>
                <w:rFonts w:ascii="Arial" w:cs="Arial" w:eastAsia="Arial" w:hAnsi="Arial"/>
                <w:sz w:val="26"/>
                <w:szCs w:val="26"/>
                <w:color w:val="333333"/>
                <w:w w:val="98"/>
                <w:vertAlign w:val="superscript"/>
              </w:rPr>
              <w:t>(10)</w:t>
            </w:r>
          </w:p>
        </w:tc>
        <w:tc>
          <w:tcPr>
            <w:tcW w:w="1000" w:type="dxa"/>
            <w:vAlign w:val="bottom"/>
          </w:tcPr>
          <w:p>
            <w:pPr>
              <w:ind w:left="60"/>
              <w:spacing w:after="0"/>
              <w:rPr>
                <w:sz w:val="20"/>
                <w:szCs w:val="20"/>
                <w:color w:val="auto"/>
              </w:rPr>
            </w:pPr>
            <w:r>
              <w:rPr>
                <w:rFonts w:ascii="Arial" w:cs="Arial" w:eastAsia="Arial" w:hAnsi="Arial"/>
                <w:sz w:val="16"/>
                <w:szCs w:val="16"/>
                <w:color w:val="333333"/>
              </w:rPr>
              <w:t>$​411,343</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840" w:hanging="190"/>
        <w:spacing w:after="0"/>
        <w:tabs>
          <w:tab w:leader="none" w:pos="840" w:val="left"/>
        </w:tabs>
        <w:numPr>
          <w:ilvl w:val="0"/>
          <w:numId w:val="84"/>
        </w:numPr>
        <w:rPr>
          <w:rFonts w:ascii="Arial" w:cs="Arial" w:eastAsia="Arial" w:hAnsi="Arial"/>
          <w:sz w:val="13"/>
          <w:szCs w:val="13"/>
          <w:i w:val="1"/>
          <w:iCs w:val="1"/>
          <w:color w:val="333333"/>
        </w:rPr>
      </w:pPr>
      <w:r>
        <w:rPr>
          <w:rFonts w:ascii="Arial" w:cs="Arial" w:eastAsia="Arial" w:hAnsi="Arial"/>
          <w:sz w:val="13"/>
          <w:szCs w:val="13"/>
          <w:i w:val="1"/>
          <w:iCs w:val="1"/>
          <w:color w:val="333333"/>
        </w:rPr>
        <w:t>Amount in the “Other” column for Mr. Panther and Ms. Vickery represents parking and technology allowances.</w:t>
      </w:r>
    </w:p>
    <w:p>
      <w:pPr>
        <w:spacing w:after="0" w:line="14" w:lineRule="exact"/>
        <w:rPr>
          <w:rFonts w:ascii="Arial" w:cs="Arial" w:eastAsia="Arial" w:hAnsi="Arial"/>
          <w:sz w:val="13"/>
          <w:szCs w:val="13"/>
          <w:i w:val="1"/>
          <w:iCs w:val="1"/>
          <w:color w:val="333333"/>
        </w:rPr>
      </w:pPr>
    </w:p>
    <w:p>
      <w:pPr>
        <w:ind w:left="660" w:right="720" w:hanging="10"/>
        <w:spacing w:after="0" w:line="223" w:lineRule="auto"/>
        <w:tabs>
          <w:tab w:leader="none" w:pos="849" w:val="left"/>
        </w:tabs>
        <w:numPr>
          <w:ilvl w:val="0"/>
          <w:numId w:val="84"/>
        </w:numPr>
        <w:rPr>
          <w:rFonts w:ascii="Arial" w:cs="Arial" w:eastAsia="Arial" w:hAnsi="Arial"/>
          <w:sz w:val="13"/>
          <w:szCs w:val="13"/>
          <w:i w:val="1"/>
          <w:iCs w:val="1"/>
          <w:color w:val="333333"/>
        </w:rPr>
      </w:pPr>
      <w:r>
        <w:rPr>
          <w:rFonts w:ascii="Arial" w:cs="Arial" w:eastAsia="Arial" w:hAnsi="Arial"/>
          <w:sz w:val="13"/>
          <w:szCs w:val="13"/>
          <w:i w:val="1"/>
          <w:iCs w:val="1"/>
          <w:color w:val="333333"/>
        </w:rPr>
        <w:t>As Mr. Netto is based in Brazil, his compensation is denominated in Brazilian Real. All amounts for Mr. Netto (other than equity award values) have been converted to U.S. dollars at an average exchange rate of $1 to R$4.9915 for 2023, $1 to R$5.1535 for 2022, and $1 to R$5.3885 for 2021. Prior to his relocation to the U.S., Mr. King was based in the U.K. For compensation earned by Mr. King on or prior to October 31, 2022, amounts were denominated in British Pounds Sterling and have been converted to U.S. dollars at an average exchange rate of $1 to £0.8080 for 2022, 1 to £ 0.7269 for 2021, and 1 to £ 0.7791 for 2020. Compensation earned by Mr. King after October 31, 2022 was paid in U.S. dollars.</w:t>
      </w:r>
    </w:p>
    <w:p>
      <w:pPr>
        <w:spacing w:after="0" w:line="1" w:lineRule="exact"/>
        <w:rPr>
          <w:rFonts w:ascii="Arial" w:cs="Arial" w:eastAsia="Arial" w:hAnsi="Arial"/>
          <w:sz w:val="13"/>
          <w:szCs w:val="13"/>
          <w:i w:val="1"/>
          <w:iCs w:val="1"/>
          <w:color w:val="333333"/>
        </w:rPr>
      </w:pPr>
    </w:p>
    <w:p>
      <w:pPr>
        <w:ind w:left="660" w:right="820" w:hanging="10"/>
        <w:spacing w:after="0" w:line="231" w:lineRule="auto"/>
        <w:tabs>
          <w:tab w:leader="none" w:pos="849" w:val="left"/>
        </w:tabs>
        <w:numPr>
          <w:ilvl w:val="0"/>
          <w:numId w:val="84"/>
        </w:numPr>
        <w:rPr>
          <w:rFonts w:ascii="Arial" w:cs="Arial" w:eastAsia="Arial" w:hAnsi="Arial"/>
          <w:sz w:val="13"/>
          <w:szCs w:val="13"/>
          <w:i w:val="1"/>
          <w:iCs w:val="1"/>
          <w:color w:val="333333"/>
        </w:rPr>
      </w:pPr>
      <w:r>
        <w:rPr>
          <w:rFonts w:ascii="Arial" w:cs="Arial" w:eastAsia="Arial" w:hAnsi="Arial"/>
          <w:sz w:val="13"/>
          <w:szCs w:val="13"/>
          <w:i w:val="1"/>
          <w:iCs w:val="1"/>
          <w:color w:val="333333"/>
        </w:rPr>
        <w:t>Amount in the “Vehicle Allowance” column for Mr. Netto and Mr. King represents the aggregate of monthly cash vehicle allowances paid to each officer during 2023.</w:t>
      </w:r>
    </w:p>
    <w:p>
      <w:pPr>
        <w:spacing w:after="0" w:line="12" w:lineRule="exact"/>
        <w:rPr>
          <w:rFonts w:ascii="Arial" w:cs="Arial" w:eastAsia="Arial" w:hAnsi="Arial"/>
          <w:sz w:val="13"/>
          <w:szCs w:val="13"/>
          <w:i w:val="1"/>
          <w:iCs w:val="1"/>
          <w:color w:val="333333"/>
        </w:rPr>
      </w:pPr>
    </w:p>
    <w:p>
      <w:pPr>
        <w:ind w:left="840" w:hanging="190"/>
        <w:spacing w:after="0"/>
        <w:tabs>
          <w:tab w:leader="none" w:pos="840" w:val="left"/>
        </w:tabs>
        <w:numPr>
          <w:ilvl w:val="0"/>
          <w:numId w:val="84"/>
        </w:numPr>
        <w:rPr>
          <w:rFonts w:ascii="Arial" w:cs="Arial" w:eastAsia="Arial" w:hAnsi="Arial"/>
          <w:sz w:val="13"/>
          <w:szCs w:val="13"/>
          <w:i w:val="1"/>
          <w:iCs w:val="1"/>
          <w:color w:val="333333"/>
        </w:rPr>
      </w:pPr>
      <w:r>
        <w:rPr>
          <w:rFonts w:ascii="Arial" w:cs="Arial" w:eastAsia="Arial" w:hAnsi="Arial"/>
          <w:sz w:val="13"/>
          <w:szCs w:val="13"/>
          <w:i w:val="1"/>
          <w:iCs w:val="1"/>
          <w:color w:val="333333"/>
        </w:rPr>
        <w:t>Amount in the “Other” column for Mr. Netto reflects the cost to the Company of a government mandated food benefit.</w:t>
      </w:r>
    </w:p>
    <w:p>
      <w:pPr>
        <w:spacing w:after="0" w:line="14" w:lineRule="exact"/>
        <w:rPr>
          <w:rFonts w:ascii="Arial" w:cs="Arial" w:eastAsia="Arial" w:hAnsi="Arial"/>
          <w:sz w:val="13"/>
          <w:szCs w:val="13"/>
          <w:i w:val="1"/>
          <w:iCs w:val="1"/>
          <w:color w:val="333333"/>
        </w:rPr>
      </w:pPr>
    </w:p>
    <w:p>
      <w:pPr>
        <w:ind w:left="660" w:right="720" w:hanging="10"/>
        <w:spacing w:after="0" w:line="238" w:lineRule="auto"/>
        <w:tabs>
          <w:tab w:leader="none" w:pos="919" w:val="left"/>
        </w:tabs>
        <w:numPr>
          <w:ilvl w:val="0"/>
          <w:numId w:val="84"/>
        </w:numPr>
        <w:rPr>
          <w:rFonts w:ascii="Arial" w:cs="Arial" w:eastAsia="Arial" w:hAnsi="Arial"/>
          <w:sz w:val="13"/>
          <w:szCs w:val="13"/>
          <w:i w:val="1"/>
          <w:iCs w:val="1"/>
          <w:color w:val="333333"/>
        </w:rPr>
      </w:pPr>
      <w:r>
        <w:rPr>
          <w:rFonts w:ascii="Arial" w:cs="Arial" w:eastAsia="Arial" w:hAnsi="Arial"/>
          <w:sz w:val="13"/>
          <w:szCs w:val="13"/>
          <w:i w:val="1"/>
          <w:iCs w:val="1"/>
          <w:color w:val="333333"/>
        </w:rPr>
        <w:t>Amount in the “Other” column for Mr. King reflects a housing allowance of $284,869, relocation benefits of $26,557, and $33,806 for the cost of a round trip commercial flight for Mr. King and his family from the U.S. to the U.K. in connection with Mr. King's relocation benefits.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CF1D4C"/>
        </w:rPr>
        <w:t>2023 NAMED EXECUTIVE OFFICER COMPENSATION</w:t>
      </w:r>
    </w:p>
    <w:p>
      <w:pPr>
        <w:spacing w:after="0" w:line="3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2023 Grants of Plan-Based Awards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The following table provides information about awards granted in 2023 to each of the NEOs:</w:t>
      </w:r>
    </w:p>
    <w:p>
      <w:pPr>
        <w:spacing w:after="0" w:line="87" w:lineRule="exact"/>
        <w:rPr>
          <w:sz w:val="20"/>
          <w:szCs w:val="20"/>
          <w:color w:val="auto"/>
        </w:rPr>
      </w:pPr>
    </w:p>
    <w:tbl>
      <w:tblPr>
        <w:tblLayout w:type="fixed"/>
        <w:tblInd w:w="640" w:type="dxa"/>
        <w:tblCellMar>
          <w:top w:w="0" w:type="dxa"/>
          <w:left w:w="0" w:type="dxa"/>
          <w:bottom w:w="0" w:type="dxa"/>
          <w:right w:w="0" w:type="dxa"/>
        </w:tblCellMar>
      </w:tblPr>
      <w:tr>
        <w:trPr>
          <w:trHeight w:val="324"/>
        </w:trPr>
        <w:tc>
          <w:tcPr>
            <w:tcW w:w="120" w:type="dxa"/>
            <w:vAlign w:val="bottom"/>
            <w:shd w:val="clear" w:color="auto" w:fill="CF1D4C"/>
          </w:tcPr>
          <w:p>
            <w:pPr>
              <w:spacing w:after="0"/>
              <w:rPr>
                <w:sz w:val="24"/>
                <w:szCs w:val="24"/>
                <w:color w:val="auto"/>
              </w:rPr>
            </w:pPr>
          </w:p>
        </w:tc>
        <w:tc>
          <w:tcPr>
            <w:tcW w:w="880" w:type="dxa"/>
            <w:vAlign w:val="bottom"/>
            <w:shd w:val="clear" w:color="auto" w:fill="CF1D4C"/>
          </w:tcPr>
          <w:p>
            <w:pPr>
              <w:spacing w:after="0"/>
              <w:rPr>
                <w:sz w:val="24"/>
                <w:szCs w:val="24"/>
                <w:color w:val="auto"/>
              </w:rPr>
            </w:pPr>
          </w:p>
        </w:tc>
        <w:tc>
          <w:tcPr>
            <w:tcW w:w="40" w:type="dxa"/>
            <w:vAlign w:val="bottom"/>
            <w:shd w:val="clear" w:color="auto" w:fill="CF1D4C"/>
          </w:tcPr>
          <w:p>
            <w:pPr>
              <w:spacing w:after="0"/>
              <w:rPr>
                <w:sz w:val="24"/>
                <w:szCs w:val="24"/>
                <w:color w:val="auto"/>
              </w:rPr>
            </w:pPr>
          </w:p>
        </w:tc>
        <w:tc>
          <w:tcPr>
            <w:tcW w:w="640" w:type="dxa"/>
            <w:vAlign w:val="bottom"/>
            <w:shd w:val="clear" w:color="auto" w:fill="CF1D4C"/>
          </w:tcPr>
          <w:p>
            <w:pPr>
              <w:spacing w:after="0"/>
              <w:rPr>
                <w:sz w:val="24"/>
                <w:szCs w:val="24"/>
                <w:color w:val="auto"/>
              </w:rPr>
            </w:pPr>
          </w:p>
        </w:tc>
        <w:tc>
          <w:tcPr>
            <w:tcW w:w="40" w:type="dxa"/>
            <w:vAlign w:val="bottom"/>
            <w:shd w:val="clear" w:color="auto" w:fill="CF1D4C"/>
          </w:tcPr>
          <w:p>
            <w:pPr>
              <w:spacing w:after="0"/>
              <w:rPr>
                <w:sz w:val="24"/>
                <w:szCs w:val="24"/>
                <w:color w:val="auto"/>
              </w:rPr>
            </w:pPr>
          </w:p>
        </w:tc>
        <w:tc>
          <w:tcPr>
            <w:tcW w:w="60" w:type="dxa"/>
            <w:vAlign w:val="bottom"/>
            <w:shd w:val="clear" w:color="auto" w:fill="CF1D4C"/>
          </w:tcPr>
          <w:p>
            <w:pPr>
              <w:spacing w:after="0"/>
              <w:rPr>
                <w:sz w:val="24"/>
                <w:szCs w:val="24"/>
                <w:color w:val="auto"/>
              </w:rPr>
            </w:pPr>
          </w:p>
        </w:tc>
        <w:tc>
          <w:tcPr>
            <w:tcW w:w="560" w:type="dxa"/>
            <w:vAlign w:val="bottom"/>
            <w:shd w:val="clear" w:color="auto" w:fill="CF1D4C"/>
          </w:tcPr>
          <w:p>
            <w:pPr>
              <w:spacing w:after="0"/>
              <w:rPr>
                <w:sz w:val="24"/>
                <w:szCs w:val="24"/>
                <w:color w:val="auto"/>
              </w:rPr>
            </w:pPr>
          </w:p>
        </w:tc>
        <w:tc>
          <w:tcPr>
            <w:tcW w:w="680" w:type="dxa"/>
            <w:vAlign w:val="bottom"/>
            <w:shd w:val="clear" w:color="auto" w:fill="CF1D4C"/>
          </w:tcPr>
          <w:p>
            <w:pPr>
              <w:spacing w:after="0"/>
              <w:rPr>
                <w:sz w:val="24"/>
                <w:szCs w:val="24"/>
                <w:color w:val="auto"/>
              </w:rPr>
            </w:pPr>
          </w:p>
        </w:tc>
        <w:tc>
          <w:tcPr>
            <w:tcW w:w="740" w:type="dxa"/>
            <w:vAlign w:val="bottom"/>
            <w:shd w:val="clear" w:color="auto" w:fill="CF1D4C"/>
          </w:tcPr>
          <w:p>
            <w:pPr>
              <w:spacing w:after="0"/>
              <w:rPr>
                <w:sz w:val="24"/>
                <w:szCs w:val="24"/>
                <w:color w:val="auto"/>
              </w:rPr>
            </w:pPr>
          </w:p>
        </w:tc>
        <w:tc>
          <w:tcPr>
            <w:tcW w:w="680" w:type="dxa"/>
            <w:vAlign w:val="bottom"/>
            <w:shd w:val="clear" w:color="auto" w:fill="CF1D4C"/>
          </w:tcPr>
          <w:p>
            <w:pPr>
              <w:spacing w:after="0"/>
              <w:rPr>
                <w:sz w:val="24"/>
                <w:szCs w:val="24"/>
                <w:color w:val="auto"/>
              </w:rPr>
            </w:pPr>
          </w:p>
        </w:tc>
        <w:tc>
          <w:tcPr>
            <w:tcW w:w="420" w:type="dxa"/>
            <w:vAlign w:val="bottom"/>
            <w:shd w:val="clear" w:color="auto" w:fill="CF1D4C"/>
          </w:tcPr>
          <w:p>
            <w:pPr>
              <w:spacing w:after="0"/>
              <w:rPr>
                <w:sz w:val="24"/>
                <w:szCs w:val="24"/>
                <w:color w:val="auto"/>
              </w:rPr>
            </w:pPr>
          </w:p>
        </w:tc>
        <w:tc>
          <w:tcPr>
            <w:tcW w:w="200" w:type="dxa"/>
            <w:vAlign w:val="bottom"/>
            <w:shd w:val="clear" w:color="auto" w:fill="CF1D4C"/>
          </w:tcPr>
          <w:p>
            <w:pPr>
              <w:spacing w:after="0"/>
              <w:rPr>
                <w:sz w:val="24"/>
                <w:szCs w:val="24"/>
                <w:color w:val="auto"/>
              </w:rPr>
            </w:pPr>
          </w:p>
        </w:tc>
        <w:tc>
          <w:tcPr>
            <w:tcW w:w="700" w:type="dxa"/>
            <w:vAlign w:val="bottom"/>
            <w:shd w:val="clear" w:color="auto" w:fill="CF1D4C"/>
          </w:tcPr>
          <w:p>
            <w:pPr>
              <w:spacing w:after="0"/>
              <w:rPr>
                <w:sz w:val="24"/>
                <w:szCs w:val="24"/>
                <w:color w:val="auto"/>
              </w:rPr>
            </w:pPr>
          </w:p>
        </w:tc>
        <w:tc>
          <w:tcPr>
            <w:tcW w:w="740" w:type="dxa"/>
            <w:vAlign w:val="bottom"/>
            <w:shd w:val="clear" w:color="auto" w:fill="CF1D4C"/>
          </w:tcPr>
          <w:p>
            <w:pPr>
              <w:ind w:left="100"/>
              <w:spacing w:after="0"/>
              <w:rPr>
                <w:sz w:val="20"/>
                <w:szCs w:val="20"/>
                <w:color w:val="auto"/>
              </w:rPr>
            </w:pPr>
            <w:r>
              <w:rPr>
                <w:rFonts w:ascii="Arial" w:cs="Arial" w:eastAsia="Arial" w:hAnsi="Arial"/>
                <w:sz w:val="11"/>
                <w:szCs w:val="11"/>
                <w:b w:val="1"/>
                <w:bCs w:val="1"/>
                <w:color w:val="FFFFFF"/>
              </w:rPr>
              <w:t>All​ Other</w:t>
            </w:r>
          </w:p>
        </w:tc>
        <w:tc>
          <w:tcPr>
            <w:tcW w:w="720" w:type="dxa"/>
            <w:vAlign w:val="bottom"/>
            <w:shd w:val="clear" w:color="auto" w:fill="CF1D4C"/>
          </w:tcPr>
          <w:p>
            <w:pPr>
              <w:ind w:left="80"/>
              <w:spacing w:after="0"/>
              <w:rPr>
                <w:sz w:val="20"/>
                <w:szCs w:val="20"/>
                <w:color w:val="auto"/>
              </w:rPr>
            </w:pPr>
            <w:r>
              <w:rPr>
                <w:rFonts w:ascii="Arial" w:cs="Arial" w:eastAsia="Arial" w:hAnsi="Arial"/>
                <w:sz w:val="11"/>
                <w:szCs w:val="11"/>
                <w:b w:val="1"/>
                <w:bCs w:val="1"/>
                <w:color w:val="FFFFFF"/>
              </w:rPr>
              <w:t>All Other</w:t>
            </w:r>
          </w:p>
        </w:tc>
        <w:tc>
          <w:tcPr>
            <w:tcW w:w="740" w:type="dxa"/>
            <w:vAlign w:val="bottom"/>
            <w:shd w:val="clear" w:color="auto" w:fill="CF1D4C"/>
          </w:tcPr>
          <w:p>
            <w:pPr>
              <w:spacing w:after="0"/>
              <w:rPr>
                <w:sz w:val="24"/>
                <w:szCs w:val="24"/>
                <w:color w:val="auto"/>
              </w:rPr>
            </w:pPr>
          </w:p>
        </w:tc>
        <w:tc>
          <w:tcPr>
            <w:tcW w:w="46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Grant</w:t>
            </w:r>
          </w:p>
        </w:tc>
        <w:tc>
          <w:tcPr>
            <w:tcW w:w="340" w:type="dxa"/>
            <w:vAlign w:val="bottom"/>
            <w:shd w:val="clear" w:color="auto" w:fill="CF1D4C"/>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CF1D4C"/>
          </w:tcPr>
          <w:p>
            <w:pPr>
              <w:spacing w:after="0"/>
              <w:rPr>
                <w:sz w:val="4"/>
                <w:szCs w:val="4"/>
                <w:color w:val="auto"/>
              </w:rPr>
            </w:pPr>
          </w:p>
        </w:tc>
        <w:tc>
          <w:tcPr>
            <w:tcW w:w="88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64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60" w:type="dxa"/>
            <w:vAlign w:val="bottom"/>
            <w:shd w:val="clear" w:color="auto" w:fill="CF1D4C"/>
          </w:tcPr>
          <w:p>
            <w:pPr>
              <w:spacing w:after="0"/>
              <w:rPr>
                <w:sz w:val="4"/>
                <w:szCs w:val="4"/>
                <w:color w:val="auto"/>
              </w:rPr>
            </w:pPr>
          </w:p>
        </w:tc>
        <w:tc>
          <w:tcPr>
            <w:tcW w:w="560" w:type="dxa"/>
            <w:vAlign w:val="bottom"/>
            <w:shd w:val="clear" w:color="auto" w:fill="CF1D4C"/>
          </w:tcPr>
          <w:p>
            <w:pPr>
              <w:spacing w:after="0"/>
              <w:rPr>
                <w:sz w:val="4"/>
                <w:szCs w:val="4"/>
                <w:color w:val="auto"/>
              </w:rPr>
            </w:pPr>
          </w:p>
        </w:tc>
        <w:tc>
          <w:tcPr>
            <w:tcW w:w="680" w:type="dxa"/>
            <w:vAlign w:val="bottom"/>
            <w:shd w:val="clear" w:color="auto" w:fill="CF1D4C"/>
          </w:tcPr>
          <w:p>
            <w:pPr>
              <w:spacing w:after="0"/>
              <w:rPr>
                <w:sz w:val="4"/>
                <w:szCs w:val="4"/>
                <w:color w:val="auto"/>
              </w:rPr>
            </w:pPr>
          </w:p>
        </w:tc>
        <w:tc>
          <w:tcPr>
            <w:tcW w:w="740" w:type="dxa"/>
            <w:vAlign w:val="bottom"/>
            <w:shd w:val="clear" w:color="auto" w:fill="CF1D4C"/>
          </w:tcPr>
          <w:p>
            <w:pPr>
              <w:spacing w:after="0"/>
              <w:rPr>
                <w:sz w:val="4"/>
                <w:szCs w:val="4"/>
                <w:color w:val="auto"/>
              </w:rPr>
            </w:pPr>
          </w:p>
        </w:tc>
        <w:tc>
          <w:tcPr>
            <w:tcW w:w="680" w:type="dxa"/>
            <w:vAlign w:val="bottom"/>
            <w:shd w:val="clear" w:color="auto" w:fill="CF1D4C"/>
          </w:tcPr>
          <w:p>
            <w:pPr>
              <w:spacing w:after="0"/>
              <w:rPr>
                <w:sz w:val="4"/>
                <w:szCs w:val="4"/>
                <w:color w:val="auto"/>
              </w:rPr>
            </w:pPr>
          </w:p>
        </w:tc>
        <w:tc>
          <w:tcPr>
            <w:tcW w:w="420" w:type="dxa"/>
            <w:vAlign w:val="bottom"/>
            <w:shd w:val="clear" w:color="auto" w:fill="CF1D4C"/>
          </w:tcPr>
          <w:p>
            <w:pPr>
              <w:spacing w:after="0"/>
              <w:rPr>
                <w:sz w:val="4"/>
                <w:szCs w:val="4"/>
                <w:color w:val="auto"/>
              </w:rPr>
            </w:pPr>
          </w:p>
        </w:tc>
        <w:tc>
          <w:tcPr>
            <w:tcW w:w="200" w:type="dxa"/>
            <w:vAlign w:val="bottom"/>
            <w:shd w:val="clear" w:color="auto" w:fill="CF1D4C"/>
          </w:tcPr>
          <w:p>
            <w:pPr>
              <w:spacing w:after="0"/>
              <w:rPr>
                <w:sz w:val="4"/>
                <w:szCs w:val="4"/>
                <w:color w:val="auto"/>
              </w:rPr>
            </w:pPr>
          </w:p>
        </w:tc>
        <w:tc>
          <w:tcPr>
            <w:tcW w:w="700" w:type="dxa"/>
            <w:vAlign w:val="bottom"/>
            <w:shd w:val="clear" w:color="auto" w:fill="CF1D4C"/>
          </w:tcPr>
          <w:p>
            <w:pPr>
              <w:spacing w:after="0"/>
              <w:rPr>
                <w:sz w:val="4"/>
                <w:szCs w:val="4"/>
                <w:color w:val="auto"/>
              </w:rPr>
            </w:pPr>
          </w:p>
        </w:tc>
        <w:tc>
          <w:tcPr>
            <w:tcW w:w="740" w:type="dxa"/>
            <w:vAlign w:val="bottom"/>
            <w:vMerge w:val="restart"/>
            <w:shd w:val="clear" w:color="auto" w:fill="CF1D4C"/>
          </w:tcPr>
          <w:p>
            <w:pPr>
              <w:ind w:left="100"/>
              <w:spacing w:after="0" w:line="122" w:lineRule="exact"/>
              <w:rPr>
                <w:sz w:val="20"/>
                <w:szCs w:val="20"/>
                <w:color w:val="auto"/>
              </w:rPr>
            </w:pPr>
            <w:r>
              <w:rPr>
                <w:rFonts w:ascii="Arial" w:cs="Arial" w:eastAsia="Arial" w:hAnsi="Arial"/>
                <w:sz w:val="11"/>
                <w:szCs w:val="11"/>
                <w:b w:val="1"/>
                <w:bCs w:val="1"/>
                <w:color w:val="FFFFFF"/>
              </w:rPr>
              <w:t>Stock</w:t>
            </w:r>
          </w:p>
        </w:tc>
        <w:tc>
          <w:tcPr>
            <w:tcW w:w="720" w:type="dxa"/>
            <w:vAlign w:val="bottom"/>
            <w:vMerge w:val="restart"/>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Option</w:t>
            </w:r>
          </w:p>
        </w:tc>
        <w:tc>
          <w:tcPr>
            <w:tcW w:w="740" w:type="dxa"/>
            <w:vAlign w:val="bottom"/>
            <w:shd w:val="clear" w:color="auto" w:fill="CF1D4C"/>
          </w:tcPr>
          <w:p>
            <w:pPr>
              <w:spacing w:after="0"/>
              <w:rPr>
                <w:sz w:val="4"/>
                <w:szCs w:val="4"/>
                <w:color w:val="auto"/>
              </w:rPr>
            </w:pPr>
          </w:p>
        </w:tc>
        <w:tc>
          <w:tcPr>
            <w:tcW w:w="460" w:type="dxa"/>
            <w:vAlign w:val="bottom"/>
            <w:vMerge w:val="continue"/>
            <w:shd w:val="clear" w:color="auto" w:fill="CF1D4C"/>
          </w:tcPr>
          <w:p>
            <w:pPr>
              <w:spacing w:after="0"/>
              <w:rPr>
                <w:sz w:val="4"/>
                <w:szCs w:val="4"/>
                <w:color w:val="auto"/>
              </w:rPr>
            </w:pPr>
          </w:p>
        </w:tc>
        <w:tc>
          <w:tcPr>
            <w:tcW w:w="340" w:type="dxa"/>
            <w:vAlign w:val="bottom"/>
            <w:shd w:val="clear" w:color="auto" w:fill="CF1D4C"/>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CF1D4C"/>
          </w:tcPr>
          <w:p>
            <w:pPr>
              <w:spacing w:after="0"/>
              <w:rPr>
                <w:sz w:val="5"/>
                <w:szCs w:val="5"/>
                <w:color w:val="auto"/>
              </w:rPr>
            </w:pPr>
          </w:p>
        </w:tc>
        <w:tc>
          <w:tcPr>
            <w:tcW w:w="88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64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60" w:type="dxa"/>
            <w:vAlign w:val="bottom"/>
            <w:shd w:val="clear" w:color="auto" w:fill="CF1D4C"/>
          </w:tcPr>
          <w:p>
            <w:pPr>
              <w:spacing w:after="0"/>
              <w:rPr>
                <w:sz w:val="5"/>
                <w:szCs w:val="5"/>
                <w:color w:val="auto"/>
              </w:rPr>
            </w:pPr>
          </w:p>
        </w:tc>
        <w:tc>
          <w:tcPr>
            <w:tcW w:w="560" w:type="dxa"/>
            <w:vAlign w:val="bottom"/>
            <w:shd w:val="clear" w:color="auto" w:fill="CF1D4C"/>
          </w:tcPr>
          <w:p>
            <w:pPr>
              <w:spacing w:after="0"/>
              <w:rPr>
                <w:sz w:val="5"/>
                <w:szCs w:val="5"/>
                <w:color w:val="auto"/>
              </w:rPr>
            </w:pPr>
          </w:p>
        </w:tc>
        <w:tc>
          <w:tcPr>
            <w:tcW w:w="680" w:type="dxa"/>
            <w:vAlign w:val="bottom"/>
            <w:shd w:val="clear" w:color="auto" w:fill="CF1D4C"/>
          </w:tcPr>
          <w:p>
            <w:pPr>
              <w:spacing w:after="0"/>
              <w:rPr>
                <w:sz w:val="5"/>
                <w:szCs w:val="5"/>
                <w:color w:val="auto"/>
              </w:rPr>
            </w:pPr>
          </w:p>
        </w:tc>
        <w:tc>
          <w:tcPr>
            <w:tcW w:w="740" w:type="dxa"/>
            <w:vAlign w:val="bottom"/>
            <w:shd w:val="clear" w:color="auto" w:fill="CF1D4C"/>
          </w:tcPr>
          <w:p>
            <w:pPr>
              <w:spacing w:after="0"/>
              <w:rPr>
                <w:sz w:val="5"/>
                <w:szCs w:val="5"/>
                <w:color w:val="auto"/>
              </w:rPr>
            </w:pPr>
          </w:p>
        </w:tc>
        <w:tc>
          <w:tcPr>
            <w:tcW w:w="680" w:type="dxa"/>
            <w:vAlign w:val="bottom"/>
            <w:shd w:val="clear" w:color="auto" w:fill="CF1D4C"/>
          </w:tcPr>
          <w:p>
            <w:pPr>
              <w:spacing w:after="0"/>
              <w:rPr>
                <w:sz w:val="5"/>
                <w:szCs w:val="5"/>
                <w:color w:val="auto"/>
              </w:rPr>
            </w:pPr>
          </w:p>
        </w:tc>
        <w:tc>
          <w:tcPr>
            <w:tcW w:w="420" w:type="dxa"/>
            <w:vAlign w:val="bottom"/>
            <w:shd w:val="clear" w:color="auto" w:fill="CF1D4C"/>
          </w:tcPr>
          <w:p>
            <w:pPr>
              <w:spacing w:after="0"/>
              <w:rPr>
                <w:sz w:val="5"/>
                <w:szCs w:val="5"/>
                <w:color w:val="auto"/>
              </w:rPr>
            </w:pPr>
          </w:p>
        </w:tc>
        <w:tc>
          <w:tcPr>
            <w:tcW w:w="200" w:type="dxa"/>
            <w:vAlign w:val="bottom"/>
            <w:shd w:val="clear" w:color="auto" w:fill="CF1D4C"/>
          </w:tcPr>
          <w:p>
            <w:pPr>
              <w:spacing w:after="0"/>
              <w:rPr>
                <w:sz w:val="5"/>
                <w:szCs w:val="5"/>
                <w:color w:val="auto"/>
              </w:rPr>
            </w:pPr>
          </w:p>
        </w:tc>
        <w:tc>
          <w:tcPr>
            <w:tcW w:w="700" w:type="dxa"/>
            <w:vAlign w:val="bottom"/>
            <w:shd w:val="clear" w:color="auto" w:fill="CF1D4C"/>
          </w:tcPr>
          <w:p>
            <w:pPr>
              <w:spacing w:after="0"/>
              <w:rPr>
                <w:sz w:val="5"/>
                <w:szCs w:val="5"/>
                <w:color w:val="auto"/>
              </w:rPr>
            </w:pPr>
          </w:p>
        </w:tc>
        <w:tc>
          <w:tcPr>
            <w:tcW w:w="740" w:type="dxa"/>
            <w:vAlign w:val="bottom"/>
            <w:vMerge w:val="continue"/>
            <w:shd w:val="clear" w:color="auto" w:fill="CF1D4C"/>
          </w:tcPr>
          <w:p>
            <w:pPr>
              <w:spacing w:after="0"/>
              <w:rPr>
                <w:sz w:val="5"/>
                <w:szCs w:val="5"/>
                <w:color w:val="auto"/>
              </w:rPr>
            </w:pPr>
          </w:p>
        </w:tc>
        <w:tc>
          <w:tcPr>
            <w:tcW w:w="720" w:type="dxa"/>
            <w:vAlign w:val="bottom"/>
            <w:vMerge w:val="continue"/>
            <w:shd w:val="clear" w:color="auto" w:fill="CF1D4C"/>
          </w:tcPr>
          <w:p>
            <w:pPr>
              <w:spacing w:after="0"/>
              <w:rPr>
                <w:sz w:val="5"/>
                <w:szCs w:val="5"/>
                <w:color w:val="auto"/>
              </w:rPr>
            </w:pPr>
          </w:p>
        </w:tc>
        <w:tc>
          <w:tcPr>
            <w:tcW w:w="740" w:type="dxa"/>
            <w:vAlign w:val="bottom"/>
            <w:vMerge w:val="restart"/>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Exercise or</w:t>
            </w:r>
          </w:p>
        </w:tc>
        <w:tc>
          <w:tcPr>
            <w:tcW w:w="800" w:type="dxa"/>
            <w:vAlign w:val="bottom"/>
            <w:gridSpan w:val="2"/>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Date Fair</w:t>
            </w:r>
          </w:p>
        </w:tc>
        <w:tc>
          <w:tcPr>
            <w:tcW w:w="0" w:type="dxa"/>
            <w:vAlign w:val="bottom"/>
          </w:tcPr>
          <w:p>
            <w:pPr>
              <w:spacing w:after="0"/>
              <w:rPr>
                <w:sz w:val="1"/>
                <w:szCs w:val="1"/>
                <w:color w:val="auto"/>
              </w:rPr>
            </w:pPr>
          </w:p>
        </w:tc>
      </w:tr>
      <w:tr>
        <w:trPr>
          <w:trHeight w:val="54"/>
        </w:trPr>
        <w:tc>
          <w:tcPr>
            <w:tcW w:w="120" w:type="dxa"/>
            <w:vAlign w:val="bottom"/>
            <w:shd w:val="clear" w:color="auto" w:fill="CF1D4C"/>
          </w:tcPr>
          <w:p>
            <w:pPr>
              <w:spacing w:after="0"/>
              <w:rPr>
                <w:sz w:val="4"/>
                <w:szCs w:val="4"/>
                <w:color w:val="auto"/>
              </w:rPr>
            </w:pPr>
          </w:p>
        </w:tc>
        <w:tc>
          <w:tcPr>
            <w:tcW w:w="88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64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60" w:type="dxa"/>
            <w:vAlign w:val="bottom"/>
            <w:shd w:val="clear" w:color="auto" w:fill="CF1D4C"/>
          </w:tcPr>
          <w:p>
            <w:pPr>
              <w:spacing w:after="0"/>
              <w:rPr>
                <w:sz w:val="4"/>
                <w:szCs w:val="4"/>
                <w:color w:val="auto"/>
              </w:rPr>
            </w:pPr>
          </w:p>
        </w:tc>
        <w:tc>
          <w:tcPr>
            <w:tcW w:w="1980" w:type="dxa"/>
            <w:vAlign w:val="bottom"/>
            <w:gridSpan w:val="3"/>
            <w:vMerge w:val="restart"/>
            <w:shd w:val="clear" w:color="auto" w:fill="CF1D4C"/>
          </w:tcPr>
          <w:p>
            <w:pPr>
              <w:jc w:val="center"/>
              <w:ind w:right="38"/>
              <w:spacing w:after="0" w:line="122" w:lineRule="exact"/>
              <w:rPr>
                <w:sz w:val="20"/>
                <w:szCs w:val="20"/>
                <w:color w:val="auto"/>
              </w:rPr>
            </w:pPr>
            <w:r>
              <w:rPr>
                <w:rFonts w:ascii="Arial" w:cs="Arial" w:eastAsia="Arial" w:hAnsi="Arial"/>
                <w:sz w:val="11"/>
                <w:szCs w:val="11"/>
                <w:b w:val="1"/>
                <w:bCs w:val="1"/>
                <w:color w:val="FFFFFF"/>
                <w:w w:val="98"/>
              </w:rPr>
              <w:t>Estimated Possible Payouts</w:t>
            </w:r>
          </w:p>
        </w:tc>
        <w:tc>
          <w:tcPr>
            <w:tcW w:w="680" w:type="dxa"/>
            <w:vAlign w:val="bottom"/>
            <w:shd w:val="clear" w:color="auto" w:fill="CF1D4C"/>
          </w:tcPr>
          <w:p>
            <w:pPr>
              <w:spacing w:after="0"/>
              <w:rPr>
                <w:sz w:val="4"/>
                <w:szCs w:val="4"/>
                <w:color w:val="auto"/>
              </w:rPr>
            </w:pPr>
          </w:p>
        </w:tc>
        <w:tc>
          <w:tcPr>
            <w:tcW w:w="420" w:type="dxa"/>
            <w:vAlign w:val="bottom"/>
            <w:shd w:val="clear" w:color="auto" w:fill="CF1D4C"/>
          </w:tcPr>
          <w:p>
            <w:pPr>
              <w:spacing w:after="0"/>
              <w:rPr>
                <w:sz w:val="4"/>
                <w:szCs w:val="4"/>
                <w:color w:val="auto"/>
              </w:rPr>
            </w:pPr>
          </w:p>
        </w:tc>
        <w:tc>
          <w:tcPr>
            <w:tcW w:w="200" w:type="dxa"/>
            <w:vAlign w:val="bottom"/>
            <w:shd w:val="clear" w:color="auto" w:fill="CF1D4C"/>
          </w:tcPr>
          <w:p>
            <w:pPr>
              <w:spacing w:after="0"/>
              <w:rPr>
                <w:sz w:val="4"/>
                <w:szCs w:val="4"/>
                <w:color w:val="auto"/>
              </w:rPr>
            </w:pPr>
          </w:p>
        </w:tc>
        <w:tc>
          <w:tcPr>
            <w:tcW w:w="700" w:type="dxa"/>
            <w:vAlign w:val="bottom"/>
            <w:shd w:val="clear" w:color="auto" w:fill="CF1D4C"/>
          </w:tcPr>
          <w:p>
            <w:pPr>
              <w:spacing w:after="0"/>
              <w:rPr>
                <w:sz w:val="4"/>
                <w:szCs w:val="4"/>
                <w:color w:val="auto"/>
              </w:rPr>
            </w:pPr>
          </w:p>
        </w:tc>
        <w:tc>
          <w:tcPr>
            <w:tcW w:w="740" w:type="dxa"/>
            <w:vAlign w:val="bottom"/>
            <w:vMerge w:val="restart"/>
            <w:shd w:val="clear" w:color="auto" w:fill="CF1D4C"/>
          </w:tcPr>
          <w:p>
            <w:pPr>
              <w:ind w:left="100"/>
              <w:spacing w:after="0" w:line="122" w:lineRule="exact"/>
              <w:rPr>
                <w:sz w:val="20"/>
                <w:szCs w:val="20"/>
                <w:color w:val="auto"/>
              </w:rPr>
            </w:pPr>
            <w:r>
              <w:rPr>
                <w:rFonts w:ascii="Arial" w:cs="Arial" w:eastAsia="Arial" w:hAnsi="Arial"/>
                <w:sz w:val="11"/>
                <w:szCs w:val="11"/>
                <w:b w:val="1"/>
                <w:bCs w:val="1"/>
                <w:color w:val="FFFFFF"/>
              </w:rPr>
              <w:t>Awards:</w:t>
            </w:r>
          </w:p>
        </w:tc>
        <w:tc>
          <w:tcPr>
            <w:tcW w:w="720" w:type="dxa"/>
            <w:vAlign w:val="bottom"/>
            <w:vMerge w:val="restart"/>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Awards:</w:t>
            </w:r>
          </w:p>
        </w:tc>
        <w:tc>
          <w:tcPr>
            <w:tcW w:w="740" w:type="dxa"/>
            <w:vAlign w:val="bottom"/>
            <w:vMerge w:val="continue"/>
            <w:shd w:val="clear" w:color="auto" w:fill="CF1D4C"/>
          </w:tcPr>
          <w:p>
            <w:pPr>
              <w:spacing w:after="0"/>
              <w:rPr>
                <w:sz w:val="4"/>
                <w:szCs w:val="4"/>
                <w:color w:val="auto"/>
              </w:rPr>
            </w:pPr>
          </w:p>
        </w:tc>
        <w:tc>
          <w:tcPr>
            <w:tcW w:w="800" w:type="dxa"/>
            <w:vAlign w:val="bottom"/>
            <w:gridSpan w:val="2"/>
            <w:vMerge w:val="continue"/>
            <w:shd w:val="clear" w:color="auto" w:fill="CF1D4C"/>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CF1D4C"/>
          </w:tcPr>
          <w:p>
            <w:pPr>
              <w:spacing w:after="0"/>
              <w:rPr>
                <w:sz w:val="5"/>
                <w:szCs w:val="5"/>
                <w:color w:val="auto"/>
              </w:rPr>
            </w:pPr>
          </w:p>
        </w:tc>
        <w:tc>
          <w:tcPr>
            <w:tcW w:w="88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64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60" w:type="dxa"/>
            <w:vAlign w:val="bottom"/>
            <w:shd w:val="clear" w:color="auto" w:fill="CF1D4C"/>
          </w:tcPr>
          <w:p>
            <w:pPr>
              <w:spacing w:after="0"/>
              <w:rPr>
                <w:sz w:val="5"/>
                <w:szCs w:val="5"/>
                <w:color w:val="auto"/>
              </w:rPr>
            </w:pPr>
          </w:p>
        </w:tc>
        <w:tc>
          <w:tcPr>
            <w:tcW w:w="1980" w:type="dxa"/>
            <w:vAlign w:val="bottom"/>
            <w:gridSpan w:val="3"/>
            <w:vMerge w:val="continue"/>
            <w:shd w:val="clear" w:color="auto" w:fill="CF1D4C"/>
          </w:tcPr>
          <w:p>
            <w:pPr>
              <w:spacing w:after="0"/>
              <w:rPr>
                <w:sz w:val="5"/>
                <w:szCs w:val="5"/>
                <w:color w:val="auto"/>
              </w:rPr>
            </w:pPr>
          </w:p>
        </w:tc>
        <w:tc>
          <w:tcPr>
            <w:tcW w:w="2000" w:type="dxa"/>
            <w:vAlign w:val="bottom"/>
            <w:gridSpan w:val="4"/>
            <w:vMerge w:val="restart"/>
            <w:shd w:val="clear" w:color="auto" w:fill="CF1D4C"/>
          </w:tcPr>
          <w:p>
            <w:pPr>
              <w:ind w:left="180"/>
              <w:spacing w:after="0" w:line="122" w:lineRule="exact"/>
              <w:rPr>
                <w:sz w:val="20"/>
                <w:szCs w:val="20"/>
                <w:color w:val="auto"/>
              </w:rPr>
            </w:pPr>
            <w:r>
              <w:rPr>
                <w:rFonts w:ascii="Arial" w:cs="Arial" w:eastAsia="Arial" w:hAnsi="Arial"/>
                <w:sz w:val="11"/>
                <w:szCs w:val="11"/>
                <w:b w:val="1"/>
                <w:bCs w:val="1"/>
                <w:color w:val="FFFFFF"/>
              </w:rPr>
              <w:t>Estimated Future Payouts Under</w:t>
            </w:r>
          </w:p>
        </w:tc>
        <w:tc>
          <w:tcPr>
            <w:tcW w:w="740" w:type="dxa"/>
            <w:vAlign w:val="bottom"/>
            <w:vMerge w:val="continue"/>
            <w:shd w:val="clear" w:color="auto" w:fill="CF1D4C"/>
          </w:tcPr>
          <w:p>
            <w:pPr>
              <w:spacing w:after="0"/>
              <w:rPr>
                <w:sz w:val="5"/>
                <w:szCs w:val="5"/>
                <w:color w:val="auto"/>
              </w:rPr>
            </w:pPr>
          </w:p>
        </w:tc>
        <w:tc>
          <w:tcPr>
            <w:tcW w:w="720" w:type="dxa"/>
            <w:vAlign w:val="bottom"/>
            <w:vMerge w:val="continue"/>
            <w:shd w:val="clear" w:color="auto" w:fill="CF1D4C"/>
          </w:tcPr>
          <w:p>
            <w:pPr>
              <w:spacing w:after="0"/>
              <w:rPr>
                <w:sz w:val="5"/>
                <w:szCs w:val="5"/>
                <w:color w:val="auto"/>
              </w:rPr>
            </w:pPr>
          </w:p>
        </w:tc>
        <w:tc>
          <w:tcPr>
            <w:tcW w:w="740" w:type="dxa"/>
            <w:vAlign w:val="bottom"/>
            <w:vMerge w:val="restart"/>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Base Price</w:t>
            </w:r>
          </w:p>
        </w:tc>
        <w:tc>
          <w:tcPr>
            <w:tcW w:w="800" w:type="dxa"/>
            <w:vAlign w:val="bottom"/>
            <w:gridSpan w:val="2"/>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Value of</w:t>
            </w:r>
          </w:p>
        </w:tc>
        <w:tc>
          <w:tcPr>
            <w:tcW w:w="0" w:type="dxa"/>
            <w:vAlign w:val="bottom"/>
          </w:tcPr>
          <w:p>
            <w:pPr>
              <w:spacing w:after="0"/>
              <w:rPr>
                <w:sz w:val="1"/>
                <w:szCs w:val="1"/>
                <w:color w:val="auto"/>
              </w:rPr>
            </w:pPr>
          </w:p>
        </w:tc>
      </w:tr>
      <w:tr>
        <w:trPr>
          <w:trHeight w:val="54"/>
        </w:trPr>
        <w:tc>
          <w:tcPr>
            <w:tcW w:w="120" w:type="dxa"/>
            <w:vAlign w:val="bottom"/>
            <w:shd w:val="clear" w:color="auto" w:fill="CF1D4C"/>
          </w:tcPr>
          <w:p>
            <w:pPr>
              <w:spacing w:after="0"/>
              <w:rPr>
                <w:sz w:val="4"/>
                <w:szCs w:val="4"/>
                <w:color w:val="auto"/>
              </w:rPr>
            </w:pPr>
          </w:p>
        </w:tc>
        <w:tc>
          <w:tcPr>
            <w:tcW w:w="88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64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60" w:type="dxa"/>
            <w:vAlign w:val="bottom"/>
            <w:shd w:val="clear" w:color="auto" w:fill="CF1D4C"/>
          </w:tcPr>
          <w:p>
            <w:pPr>
              <w:spacing w:after="0"/>
              <w:rPr>
                <w:sz w:val="4"/>
                <w:szCs w:val="4"/>
                <w:color w:val="auto"/>
              </w:rPr>
            </w:pPr>
          </w:p>
        </w:tc>
        <w:tc>
          <w:tcPr>
            <w:tcW w:w="1980" w:type="dxa"/>
            <w:vAlign w:val="bottom"/>
            <w:gridSpan w:val="3"/>
            <w:vMerge w:val="restart"/>
            <w:shd w:val="clear" w:color="auto" w:fill="CF1D4C"/>
          </w:tcPr>
          <w:p>
            <w:pPr>
              <w:jc w:val="center"/>
              <w:ind w:right="18"/>
              <w:spacing w:after="0" w:line="108" w:lineRule="exact"/>
              <w:rPr>
                <w:sz w:val="20"/>
                <w:szCs w:val="20"/>
                <w:color w:val="auto"/>
              </w:rPr>
            </w:pPr>
            <w:r>
              <w:rPr>
                <w:rFonts w:ascii="Arial" w:cs="Arial" w:eastAsia="Arial" w:hAnsi="Arial"/>
                <w:sz w:val="11"/>
                <w:szCs w:val="11"/>
                <w:b w:val="1"/>
                <w:bCs w:val="1"/>
                <w:color w:val="FFFFFF"/>
                <w:w w:val="98"/>
              </w:rPr>
              <w:t>Under Non-Equity Incentive</w:t>
            </w:r>
          </w:p>
        </w:tc>
        <w:tc>
          <w:tcPr>
            <w:tcW w:w="2000" w:type="dxa"/>
            <w:vAlign w:val="bottom"/>
            <w:gridSpan w:val="4"/>
            <w:vMerge w:val="continue"/>
            <w:shd w:val="clear" w:color="auto" w:fill="CF1D4C"/>
          </w:tcPr>
          <w:p>
            <w:pPr>
              <w:spacing w:after="0"/>
              <w:rPr>
                <w:sz w:val="4"/>
                <w:szCs w:val="4"/>
                <w:color w:val="auto"/>
              </w:rPr>
            </w:pPr>
          </w:p>
        </w:tc>
        <w:tc>
          <w:tcPr>
            <w:tcW w:w="740" w:type="dxa"/>
            <w:vAlign w:val="bottom"/>
            <w:vMerge w:val="restart"/>
            <w:shd w:val="clear" w:color="auto" w:fill="CF1D4C"/>
          </w:tcPr>
          <w:p>
            <w:pPr>
              <w:ind w:left="100"/>
              <w:spacing w:after="0" w:line="108" w:lineRule="exact"/>
              <w:rPr>
                <w:sz w:val="20"/>
                <w:szCs w:val="20"/>
                <w:color w:val="auto"/>
              </w:rPr>
            </w:pPr>
            <w:r>
              <w:rPr>
                <w:rFonts w:ascii="Arial" w:cs="Arial" w:eastAsia="Arial" w:hAnsi="Arial"/>
                <w:sz w:val="11"/>
                <w:szCs w:val="11"/>
                <w:b w:val="1"/>
                <w:bCs w:val="1"/>
                <w:color w:val="FFFFFF"/>
              </w:rPr>
              <w:t>Number of</w:t>
            </w:r>
          </w:p>
        </w:tc>
        <w:tc>
          <w:tcPr>
            <w:tcW w:w="720" w:type="dxa"/>
            <w:vAlign w:val="bottom"/>
            <w:vMerge w:val="restart"/>
            <w:shd w:val="clear" w:color="auto" w:fill="CF1D4C"/>
          </w:tcPr>
          <w:p>
            <w:pPr>
              <w:ind w:left="80"/>
              <w:spacing w:after="0" w:line="108" w:lineRule="exact"/>
              <w:rPr>
                <w:sz w:val="20"/>
                <w:szCs w:val="20"/>
                <w:color w:val="auto"/>
              </w:rPr>
            </w:pPr>
            <w:r>
              <w:rPr>
                <w:rFonts w:ascii="Arial" w:cs="Arial" w:eastAsia="Arial" w:hAnsi="Arial"/>
                <w:sz w:val="11"/>
                <w:szCs w:val="11"/>
                <w:b w:val="1"/>
                <w:bCs w:val="1"/>
                <w:color w:val="FFFFFF"/>
              </w:rPr>
              <w:t>Number of</w:t>
            </w:r>
          </w:p>
        </w:tc>
        <w:tc>
          <w:tcPr>
            <w:tcW w:w="740" w:type="dxa"/>
            <w:vAlign w:val="bottom"/>
            <w:vMerge w:val="continue"/>
            <w:shd w:val="clear" w:color="auto" w:fill="CF1D4C"/>
          </w:tcPr>
          <w:p>
            <w:pPr>
              <w:spacing w:after="0"/>
              <w:rPr>
                <w:sz w:val="4"/>
                <w:szCs w:val="4"/>
                <w:color w:val="auto"/>
              </w:rPr>
            </w:pPr>
          </w:p>
        </w:tc>
        <w:tc>
          <w:tcPr>
            <w:tcW w:w="800" w:type="dxa"/>
            <w:vAlign w:val="bottom"/>
            <w:gridSpan w:val="2"/>
            <w:vMerge w:val="continue"/>
            <w:shd w:val="clear" w:color="auto" w:fill="CF1D4C"/>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CF1D4C"/>
          </w:tcPr>
          <w:p>
            <w:pPr>
              <w:spacing w:after="0"/>
              <w:rPr>
                <w:sz w:val="4"/>
                <w:szCs w:val="4"/>
                <w:color w:val="auto"/>
              </w:rPr>
            </w:pPr>
          </w:p>
        </w:tc>
        <w:tc>
          <w:tcPr>
            <w:tcW w:w="88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64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60" w:type="dxa"/>
            <w:vAlign w:val="bottom"/>
            <w:shd w:val="clear" w:color="auto" w:fill="CF1D4C"/>
          </w:tcPr>
          <w:p>
            <w:pPr>
              <w:spacing w:after="0"/>
              <w:rPr>
                <w:sz w:val="4"/>
                <w:szCs w:val="4"/>
                <w:color w:val="auto"/>
              </w:rPr>
            </w:pPr>
          </w:p>
        </w:tc>
        <w:tc>
          <w:tcPr>
            <w:tcW w:w="1980" w:type="dxa"/>
            <w:vAlign w:val="bottom"/>
            <w:gridSpan w:val="3"/>
            <w:vMerge w:val="continue"/>
            <w:shd w:val="clear" w:color="auto" w:fill="CF1D4C"/>
          </w:tcPr>
          <w:p>
            <w:pPr>
              <w:spacing w:after="0"/>
              <w:rPr>
                <w:sz w:val="4"/>
                <w:szCs w:val="4"/>
                <w:color w:val="auto"/>
              </w:rPr>
            </w:pPr>
          </w:p>
        </w:tc>
        <w:tc>
          <w:tcPr>
            <w:tcW w:w="2000" w:type="dxa"/>
            <w:vAlign w:val="bottom"/>
            <w:gridSpan w:val="4"/>
            <w:vMerge w:val="restart"/>
            <w:shd w:val="clear" w:color="auto" w:fill="CF1D4C"/>
          </w:tcPr>
          <w:p>
            <w:pPr>
              <w:ind w:left="280"/>
              <w:spacing w:after="0"/>
              <w:rPr>
                <w:sz w:val="20"/>
                <w:szCs w:val="20"/>
                <w:color w:val="auto"/>
              </w:rPr>
            </w:pPr>
            <w:r>
              <w:rPr>
                <w:rFonts w:ascii="Arial" w:cs="Arial" w:eastAsia="Arial" w:hAnsi="Arial"/>
                <w:sz w:val="11"/>
                <w:szCs w:val="11"/>
                <w:b w:val="1"/>
                <w:bCs w:val="1"/>
                <w:color w:val="FFFFFF"/>
              </w:rPr>
              <w:t>Equity Incentive Plan Awards</w:t>
            </w:r>
          </w:p>
        </w:tc>
        <w:tc>
          <w:tcPr>
            <w:tcW w:w="740" w:type="dxa"/>
            <w:vAlign w:val="bottom"/>
            <w:vMerge w:val="continue"/>
            <w:shd w:val="clear" w:color="auto" w:fill="CF1D4C"/>
          </w:tcPr>
          <w:p>
            <w:pPr>
              <w:spacing w:after="0"/>
              <w:rPr>
                <w:sz w:val="4"/>
                <w:szCs w:val="4"/>
                <w:color w:val="auto"/>
              </w:rPr>
            </w:pPr>
          </w:p>
        </w:tc>
        <w:tc>
          <w:tcPr>
            <w:tcW w:w="720" w:type="dxa"/>
            <w:vAlign w:val="bottom"/>
            <w:vMerge w:val="continue"/>
            <w:shd w:val="clear" w:color="auto" w:fill="CF1D4C"/>
          </w:tcPr>
          <w:p>
            <w:pPr>
              <w:spacing w:after="0"/>
              <w:rPr>
                <w:sz w:val="4"/>
                <w:szCs w:val="4"/>
                <w:color w:val="auto"/>
              </w:rPr>
            </w:pPr>
          </w:p>
        </w:tc>
        <w:tc>
          <w:tcPr>
            <w:tcW w:w="740" w:type="dxa"/>
            <w:vAlign w:val="bottom"/>
            <w:vMerge w:val="restart"/>
            <w:shd w:val="clear" w:color="auto" w:fill="CF1D4C"/>
          </w:tcPr>
          <w:p>
            <w:pPr>
              <w:ind w:left="80"/>
              <w:spacing w:after="0"/>
              <w:rPr>
                <w:sz w:val="20"/>
                <w:szCs w:val="20"/>
                <w:color w:val="auto"/>
              </w:rPr>
            </w:pPr>
            <w:r>
              <w:rPr>
                <w:rFonts w:ascii="Arial" w:cs="Arial" w:eastAsia="Arial" w:hAnsi="Arial"/>
                <w:sz w:val="11"/>
                <w:szCs w:val="11"/>
                <w:b w:val="1"/>
                <w:bCs w:val="1"/>
                <w:color w:val="FFFFFF"/>
              </w:rPr>
              <w:t>of Option</w:t>
            </w:r>
          </w:p>
        </w:tc>
        <w:tc>
          <w:tcPr>
            <w:tcW w:w="800" w:type="dxa"/>
            <w:vAlign w:val="bottom"/>
            <w:gridSpan w:val="2"/>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Stock and</w:t>
            </w:r>
          </w:p>
        </w:tc>
        <w:tc>
          <w:tcPr>
            <w:tcW w:w="0" w:type="dxa"/>
            <w:vAlign w:val="bottom"/>
          </w:tcPr>
          <w:p>
            <w:pPr>
              <w:spacing w:after="0"/>
              <w:rPr>
                <w:sz w:val="1"/>
                <w:szCs w:val="1"/>
                <w:color w:val="auto"/>
              </w:rPr>
            </w:pPr>
          </w:p>
        </w:tc>
      </w:tr>
      <w:tr>
        <w:trPr>
          <w:trHeight w:val="122"/>
        </w:trPr>
        <w:tc>
          <w:tcPr>
            <w:tcW w:w="120" w:type="dxa"/>
            <w:vAlign w:val="bottom"/>
            <w:shd w:val="clear" w:color="auto" w:fill="CF1D4C"/>
          </w:tcPr>
          <w:p>
            <w:pPr>
              <w:spacing w:after="0"/>
              <w:rPr>
                <w:sz w:val="10"/>
                <w:szCs w:val="10"/>
                <w:color w:val="auto"/>
              </w:rPr>
            </w:pPr>
          </w:p>
        </w:tc>
        <w:tc>
          <w:tcPr>
            <w:tcW w:w="880" w:type="dxa"/>
            <w:vAlign w:val="bottom"/>
            <w:shd w:val="clear" w:color="auto" w:fill="CF1D4C"/>
          </w:tcPr>
          <w:p>
            <w:pPr>
              <w:spacing w:after="0"/>
              <w:rPr>
                <w:sz w:val="10"/>
                <w:szCs w:val="10"/>
                <w:color w:val="auto"/>
              </w:rPr>
            </w:pPr>
          </w:p>
        </w:tc>
        <w:tc>
          <w:tcPr>
            <w:tcW w:w="40" w:type="dxa"/>
            <w:vAlign w:val="bottom"/>
            <w:shd w:val="clear" w:color="auto" w:fill="CF1D4C"/>
          </w:tcPr>
          <w:p>
            <w:pPr>
              <w:spacing w:after="0"/>
              <w:rPr>
                <w:sz w:val="10"/>
                <w:szCs w:val="10"/>
                <w:color w:val="auto"/>
              </w:rPr>
            </w:pPr>
          </w:p>
        </w:tc>
        <w:tc>
          <w:tcPr>
            <w:tcW w:w="640" w:type="dxa"/>
            <w:vAlign w:val="bottom"/>
            <w:shd w:val="clear" w:color="auto" w:fill="CF1D4C"/>
          </w:tcPr>
          <w:p>
            <w:pPr>
              <w:spacing w:after="0"/>
              <w:rPr>
                <w:sz w:val="10"/>
                <w:szCs w:val="10"/>
                <w:color w:val="auto"/>
              </w:rPr>
            </w:pPr>
          </w:p>
        </w:tc>
        <w:tc>
          <w:tcPr>
            <w:tcW w:w="40" w:type="dxa"/>
            <w:vAlign w:val="bottom"/>
            <w:shd w:val="clear" w:color="auto" w:fill="CF1D4C"/>
          </w:tcPr>
          <w:p>
            <w:pPr>
              <w:spacing w:after="0"/>
              <w:rPr>
                <w:sz w:val="10"/>
                <w:szCs w:val="10"/>
                <w:color w:val="auto"/>
              </w:rPr>
            </w:pPr>
          </w:p>
        </w:tc>
        <w:tc>
          <w:tcPr>
            <w:tcW w:w="60" w:type="dxa"/>
            <w:vAlign w:val="bottom"/>
            <w:shd w:val="clear" w:color="auto" w:fill="CF1D4C"/>
          </w:tcPr>
          <w:p>
            <w:pPr>
              <w:spacing w:after="0"/>
              <w:rPr>
                <w:sz w:val="10"/>
                <w:szCs w:val="10"/>
                <w:color w:val="auto"/>
              </w:rPr>
            </w:pPr>
          </w:p>
        </w:tc>
        <w:tc>
          <w:tcPr>
            <w:tcW w:w="560" w:type="dxa"/>
            <w:vAlign w:val="bottom"/>
            <w:shd w:val="clear" w:color="auto" w:fill="CF1D4C"/>
          </w:tcPr>
          <w:p>
            <w:pPr>
              <w:spacing w:after="0"/>
              <w:rPr>
                <w:sz w:val="10"/>
                <w:szCs w:val="10"/>
                <w:color w:val="auto"/>
              </w:rPr>
            </w:pPr>
          </w:p>
        </w:tc>
        <w:tc>
          <w:tcPr>
            <w:tcW w:w="1420" w:type="dxa"/>
            <w:vAlign w:val="bottom"/>
            <w:gridSpan w:val="2"/>
            <w:shd w:val="clear" w:color="auto" w:fill="CF1D4C"/>
          </w:tcPr>
          <w:p>
            <w:pPr>
              <w:jc w:val="center"/>
              <w:ind w:right="538"/>
              <w:spacing w:after="0" w:line="122" w:lineRule="exact"/>
              <w:rPr>
                <w:sz w:val="20"/>
                <w:szCs w:val="20"/>
                <w:color w:val="auto"/>
              </w:rPr>
            </w:pPr>
            <w:r>
              <w:rPr>
                <w:rFonts w:ascii="Arial" w:cs="Arial" w:eastAsia="Arial" w:hAnsi="Arial"/>
                <w:sz w:val="10"/>
                <w:szCs w:val="10"/>
                <w:b w:val="1"/>
                <w:bCs w:val="1"/>
                <w:color w:val="FFFFFF"/>
              </w:rPr>
              <w:t>Plan Awards</w:t>
            </w:r>
            <w:r>
              <w:rPr>
                <w:rFonts w:ascii="Arial" w:cs="Arial" w:eastAsia="Arial" w:hAnsi="Arial"/>
                <w:sz w:val="14"/>
                <w:szCs w:val="14"/>
                <w:b w:val="1"/>
                <w:bCs w:val="1"/>
                <w:color w:val="FFFFFF"/>
                <w:vertAlign w:val="superscript"/>
              </w:rPr>
              <w:t>(1)</w:t>
            </w:r>
          </w:p>
        </w:tc>
        <w:tc>
          <w:tcPr>
            <w:tcW w:w="2000" w:type="dxa"/>
            <w:vAlign w:val="bottom"/>
            <w:gridSpan w:val="4"/>
            <w:vMerge w:val="continue"/>
            <w:shd w:val="clear" w:color="auto" w:fill="CF1D4C"/>
          </w:tcPr>
          <w:p>
            <w:pPr>
              <w:spacing w:after="0"/>
              <w:rPr>
                <w:sz w:val="10"/>
                <w:szCs w:val="10"/>
                <w:color w:val="auto"/>
              </w:rPr>
            </w:pPr>
          </w:p>
        </w:tc>
        <w:tc>
          <w:tcPr>
            <w:tcW w:w="740" w:type="dxa"/>
            <w:vAlign w:val="bottom"/>
            <w:shd w:val="clear" w:color="auto" w:fill="CF1D4C"/>
          </w:tcPr>
          <w:p>
            <w:pPr>
              <w:ind w:left="100"/>
              <w:spacing w:after="0" w:line="122" w:lineRule="exact"/>
              <w:rPr>
                <w:sz w:val="20"/>
                <w:szCs w:val="20"/>
                <w:color w:val="auto"/>
              </w:rPr>
            </w:pPr>
            <w:r>
              <w:rPr>
                <w:rFonts w:ascii="Arial" w:cs="Arial" w:eastAsia="Arial" w:hAnsi="Arial"/>
                <w:sz w:val="11"/>
                <w:szCs w:val="11"/>
                <w:b w:val="1"/>
                <w:bCs w:val="1"/>
                <w:color w:val="FFFFFF"/>
              </w:rPr>
              <w:t>Shares of</w:t>
            </w:r>
          </w:p>
        </w:tc>
        <w:tc>
          <w:tcPr>
            <w:tcW w:w="720" w:type="dxa"/>
            <w:vAlign w:val="bottom"/>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Securities</w:t>
            </w:r>
          </w:p>
        </w:tc>
        <w:tc>
          <w:tcPr>
            <w:tcW w:w="740" w:type="dxa"/>
            <w:vAlign w:val="bottom"/>
            <w:vMerge w:val="continue"/>
            <w:shd w:val="clear" w:color="auto" w:fill="CF1D4C"/>
          </w:tcPr>
          <w:p>
            <w:pPr>
              <w:spacing w:after="0"/>
              <w:rPr>
                <w:sz w:val="10"/>
                <w:szCs w:val="10"/>
                <w:color w:val="auto"/>
              </w:rPr>
            </w:pPr>
          </w:p>
        </w:tc>
        <w:tc>
          <w:tcPr>
            <w:tcW w:w="800" w:type="dxa"/>
            <w:vAlign w:val="bottom"/>
            <w:gridSpan w:val="2"/>
            <w:vMerge w:val="continue"/>
            <w:shd w:val="clear" w:color="auto" w:fill="CF1D4C"/>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CF1D4C"/>
          </w:tcPr>
          <w:p>
            <w:pPr>
              <w:spacing w:after="0"/>
              <w:rPr>
                <w:sz w:val="5"/>
                <w:szCs w:val="5"/>
                <w:color w:val="auto"/>
              </w:rPr>
            </w:pPr>
          </w:p>
        </w:tc>
        <w:tc>
          <w:tcPr>
            <w:tcW w:w="88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64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60" w:type="dxa"/>
            <w:vAlign w:val="bottom"/>
            <w:shd w:val="clear" w:color="auto" w:fill="CF1D4C"/>
          </w:tcPr>
          <w:p>
            <w:pPr>
              <w:spacing w:after="0"/>
              <w:rPr>
                <w:sz w:val="5"/>
                <w:szCs w:val="5"/>
                <w:color w:val="auto"/>
              </w:rPr>
            </w:pPr>
          </w:p>
        </w:tc>
        <w:tc>
          <w:tcPr>
            <w:tcW w:w="560" w:type="dxa"/>
            <w:vAlign w:val="bottom"/>
            <w:shd w:val="clear" w:color="auto" w:fill="CF1D4C"/>
          </w:tcPr>
          <w:p>
            <w:pPr>
              <w:spacing w:after="0"/>
              <w:rPr>
                <w:sz w:val="5"/>
                <w:szCs w:val="5"/>
                <w:color w:val="auto"/>
              </w:rPr>
            </w:pPr>
          </w:p>
        </w:tc>
        <w:tc>
          <w:tcPr>
            <w:tcW w:w="680" w:type="dxa"/>
            <w:vAlign w:val="bottom"/>
            <w:shd w:val="clear" w:color="auto" w:fill="CF1D4C"/>
          </w:tcPr>
          <w:p>
            <w:pPr>
              <w:spacing w:after="0"/>
              <w:rPr>
                <w:sz w:val="5"/>
                <w:szCs w:val="5"/>
                <w:color w:val="auto"/>
              </w:rPr>
            </w:pPr>
          </w:p>
        </w:tc>
        <w:tc>
          <w:tcPr>
            <w:tcW w:w="740" w:type="dxa"/>
            <w:vAlign w:val="bottom"/>
            <w:shd w:val="clear" w:color="auto" w:fill="CF1D4C"/>
          </w:tcPr>
          <w:p>
            <w:pPr>
              <w:spacing w:after="0"/>
              <w:rPr>
                <w:sz w:val="5"/>
                <w:szCs w:val="5"/>
                <w:color w:val="auto"/>
              </w:rPr>
            </w:pPr>
          </w:p>
        </w:tc>
        <w:tc>
          <w:tcPr>
            <w:tcW w:w="680" w:type="dxa"/>
            <w:vAlign w:val="bottom"/>
            <w:shd w:val="clear" w:color="auto" w:fill="CF1D4C"/>
          </w:tcPr>
          <w:p>
            <w:pPr>
              <w:spacing w:after="0"/>
              <w:rPr>
                <w:sz w:val="5"/>
                <w:szCs w:val="5"/>
                <w:color w:val="auto"/>
              </w:rPr>
            </w:pPr>
          </w:p>
        </w:tc>
        <w:tc>
          <w:tcPr>
            <w:tcW w:w="420" w:type="dxa"/>
            <w:vAlign w:val="bottom"/>
            <w:shd w:val="clear" w:color="auto" w:fill="CF1D4C"/>
          </w:tcPr>
          <w:p>
            <w:pPr>
              <w:spacing w:after="0"/>
              <w:rPr>
                <w:sz w:val="5"/>
                <w:szCs w:val="5"/>
                <w:color w:val="auto"/>
              </w:rPr>
            </w:pPr>
          </w:p>
        </w:tc>
        <w:tc>
          <w:tcPr>
            <w:tcW w:w="200" w:type="dxa"/>
            <w:vAlign w:val="bottom"/>
            <w:shd w:val="clear" w:color="auto" w:fill="CF1D4C"/>
          </w:tcPr>
          <w:p>
            <w:pPr>
              <w:spacing w:after="0"/>
              <w:rPr>
                <w:sz w:val="5"/>
                <w:szCs w:val="5"/>
                <w:color w:val="auto"/>
              </w:rPr>
            </w:pPr>
          </w:p>
        </w:tc>
        <w:tc>
          <w:tcPr>
            <w:tcW w:w="700" w:type="dxa"/>
            <w:vAlign w:val="bottom"/>
            <w:shd w:val="clear" w:color="auto" w:fill="CF1D4C"/>
          </w:tcPr>
          <w:p>
            <w:pPr>
              <w:spacing w:after="0"/>
              <w:rPr>
                <w:sz w:val="5"/>
                <w:szCs w:val="5"/>
                <w:color w:val="auto"/>
              </w:rPr>
            </w:pPr>
          </w:p>
        </w:tc>
        <w:tc>
          <w:tcPr>
            <w:tcW w:w="740" w:type="dxa"/>
            <w:vAlign w:val="bottom"/>
            <w:vMerge w:val="restart"/>
            <w:shd w:val="clear" w:color="auto" w:fill="CF1D4C"/>
          </w:tcPr>
          <w:p>
            <w:pPr>
              <w:ind w:left="100"/>
              <w:spacing w:after="0" w:line="122" w:lineRule="exact"/>
              <w:rPr>
                <w:sz w:val="20"/>
                <w:szCs w:val="20"/>
                <w:color w:val="auto"/>
              </w:rPr>
            </w:pPr>
            <w:r>
              <w:rPr>
                <w:rFonts w:ascii="Arial" w:cs="Arial" w:eastAsia="Arial" w:hAnsi="Arial"/>
                <w:sz w:val="11"/>
                <w:szCs w:val="11"/>
                <w:b w:val="1"/>
                <w:bCs w:val="1"/>
                <w:color w:val="FFFFFF"/>
              </w:rPr>
              <w:t>Stock or</w:t>
            </w:r>
          </w:p>
        </w:tc>
        <w:tc>
          <w:tcPr>
            <w:tcW w:w="720" w:type="dxa"/>
            <w:vAlign w:val="bottom"/>
            <w:vMerge w:val="restart"/>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Underlying</w:t>
            </w:r>
          </w:p>
        </w:tc>
        <w:tc>
          <w:tcPr>
            <w:tcW w:w="740" w:type="dxa"/>
            <w:vAlign w:val="bottom"/>
            <w:shd w:val="clear" w:color="auto" w:fill="CF1D4C"/>
          </w:tcPr>
          <w:p>
            <w:pPr>
              <w:ind w:left="80"/>
              <w:spacing w:after="0" w:line="68" w:lineRule="exact"/>
              <w:rPr>
                <w:sz w:val="20"/>
                <w:szCs w:val="20"/>
                <w:color w:val="auto"/>
              </w:rPr>
            </w:pPr>
            <w:r>
              <w:rPr>
                <w:rFonts w:ascii="Arial" w:cs="Arial" w:eastAsia="Arial" w:hAnsi="Arial"/>
                <w:sz w:val="6"/>
                <w:szCs w:val="6"/>
                <w:b w:val="1"/>
                <w:bCs w:val="1"/>
                <w:color w:val="FFFFFF"/>
              </w:rPr>
              <w:t>Awards</w:t>
            </w:r>
          </w:p>
        </w:tc>
        <w:tc>
          <w:tcPr>
            <w:tcW w:w="460" w:type="dxa"/>
            <w:vAlign w:val="bottom"/>
            <w:shd w:val="clear" w:color="auto" w:fill="CF1D4C"/>
          </w:tcPr>
          <w:p>
            <w:pPr>
              <w:ind w:left="60"/>
              <w:spacing w:after="0" w:line="68" w:lineRule="exact"/>
              <w:rPr>
                <w:sz w:val="20"/>
                <w:szCs w:val="20"/>
                <w:color w:val="auto"/>
              </w:rPr>
            </w:pPr>
            <w:r>
              <w:rPr>
                <w:rFonts w:ascii="Arial" w:cs="Arial" w:eastAsia="Arial" w:hAnsi="Arial"/>
                <w:sz w:val="6"/>
                <w:szCs w:val="6"/>
                <w:b w:val="1"/>
                <w:bCs w:val="1"/>
                <w:color w:val="FFFFFF"/>
              </w:rPr>
              <w:t>Option</w:t>
            </w:r>
          </w:p>
        </w:tc>
        <w:tc>
          <w:tcPr>
            <w:tcW w:w="340" w:type="dxa"/>
            <w:vAlign w:val="bottom"/>
            <w:vMerge w:val="restart"/>
            <w:shd w:val="clear" w:color="auto" w:fill="CF1D4C"/>
          </w:tcPr>
          <w:p>
            <w:pPr>
              <w:jc w:val="right"/>
              <w:ind w:right="200"/>
              <w:spacing w:after="0"/>
              <w:rPr>
                <w:sz w:val="20"/>
                <w:szCs w:val="20"/>
                <w:color w:val="auto"/>
              </w:rPr>
            </w:pPr>
            <w:r>
              <w:rPr>
                <w:rFonts w:ascii="Arial" w:cs="Arial" w:eastAsia="Arial" w:hAnsi="Arial"/>
                <w:sz w:val="8"/>
                <w:szCs w:val="8"/>
                <w:b w:val="1"/>
                <w:bCs w:val="1"/>
                <w:color w:val="FFFFFF"/>
                <w:w w:val="81"/>
              </w:rPr>
              <w:t>(4)</w:t>
            </w:r>
          </w:p>
        </w:tc>
        <w:tc>
          <w:tcPr>
            <w:tcW w:w="0" w:type="dxa"/>
            <w:vAlign w:val="bottom"/>
          </w:tcPr>
          <w:p>
            <w:pPr>
              <w:spacing w:after="0"/>
              <w:rPr>
                <w:sz w:val="1"/>
                <w:szCs w:val="1"/>
                <w:color w:val="auto"/>
              </w:rPr>
            </w:pPr>
          </w:p>
        </w:tc>
      </w:tr>
      <w:tr>
        <w:trPr>
          <w:trHeight w:val="54"/>
        </w:trPr>
        <w:tc>
          <w:tcPr>
            <w:tcW w:w="120" w:type="dxa"/>
            <w:vAlign w:val="bottom"/>
            <w:shd w:val="clear" w:color="auto" w:fill="CF1D4C"/>
          </w:tcPr>
          <w:p>
            <w:pPr>
              <w:spacing w:after="0"/>
              <w:rPr>
                <w:sz w:val="4"/>
                <w:szCs w:val="4"/>
                <w:color w:val="auto"/>
              </w:rPr>
            </w:pPr>
          </w:p>
        </w:tc>
        <w:tc>
          <w:tcPr>
            <w:tcW w:w="88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64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60" w:type="dxa"/>
            <w:vAlign w:val="bottom"/>
            <w:shd w:val="clear" w:color="auto" w:fill="CF1D4C"/>
          </w:tcPr>
          <w:p>
            <w:pPr>
              <w:spacing w:after="0"/>
              <w:rPr>
                <w:sz w:val="4"/>
                <w:szCs w:val="4"/>
                <w:color w:val="auto"/>
              </w:rPr>
            </w:pPr>
          </w:p>
        </w:tc>
        <w:tc>
          <w:tcPr>
            <w:tcW w:w="560" w:type="dxa"/>
            <w:vAlign w:val="bottom"/>
            <w:shd w:val="clear" w:color="auto" w:fill="CF1D4C"/>
          </w:tcPr>
          <w:p>
            <w:pPr>
              <w:spacing w:after="0"/>
              <w:rPr>
                <w:sz w:val="4"/>
                <w:szCs w:val="4"/>
                <w:color w:val="auto"/>
              </w:rPr>
            </w:pPr>
          </w:p>
        </w:tc>
        <w:tc>
          <w:tcPr>
            <w:tcW w:w="680" w:type="dxa"/>
            <w:vAlign w:val="bottom"/>
            <w:shd w:val="clear" w:color="auto" w:fill="CF1D4C"/>
          </w:tcPr>
          <w:p>
            <w:pPr>
              <w:spacing w:after="0"/>
              <w:rPr>
                <w:sz w:val="4"/>
                <w:szCs w:val="4"/>
                <w:color w:val="auto"/>
              </w:rPr>
            </w:pPr>
          </w:p>
        </w:tc>
        <w:tc>
          <w:tcPr>
            <w:tcW w:w="740" w:type="dxa"/>
            <w:vAlign w:val="bottom"/>
            <w:shd w:val="clear" w:color="auto" w:fill="CF1D4C"/>
          </w:tcPr>
          <w:p>
            <w:pPr>
              <w:spacing w:after="0"/>
              <w:rPr>
                <w:sz w:val="4"/>
                <w:szCs w:val="4"/>
                <w:color w:val="auto"/>
              </w:rPr>
            </w:pPr>
          </w:p>
        </w:tc>
        <w:tc>
          <w:tcPr>
            <w:tcW w:w="680" w:type="dxa"/>
            <w:vAlign w:val="bottom"/>
            <w:shd w:val="clear" w:color="auto" w:fill="CF1D4C"/>
          </w:tcPr>
          <w:p>
            <w:pPr>
              <w:spacing w:after="0"/>
              <w:rPr>
                <w:sz w:val="4"/>
                <w:szCs w:val="4"/>
                <w:color w:val="auto"/>
              </w:rPr>
            </w:pPr>
          </w:p>
        </w:tc>
        <w:tc>
          <w:tcPr>
            <w:tcW w:w="420" w:type="dxa"/>
            <w:vAlign w:val="bottom"/>
            <w:shd w:val="clear" w:color="auto" w:fill="CF1D4C"/>
          </w:tcPr>
          <w:p>
            <w:pPr>
              <w:spacing w:after="0"/>
              <w:rPr>
                <w:sz w:val="4"/>
                <w:szCs w:val="4"/>
                <w:color w:val="auto"/>
              </w:rPr>
            </w:pPr>
          </w:p>
        </w:tc>
        <w:tc>
          <w:tcPr>
            <w:tcW w:w="200" w:type="dxa"/>
            <w:vAlign w:val="bottom"/>
            <w:shd w:val="clear" w:color="auto" w:fill="CF1D4C"/>
          </w:tcPr>
          <w:p>
            <w:pPr>
              <w:spacing w:after="0"/>
              <w:rPr>
                <w:sz w:val="4"/>
                <w:szCs w:val="4"/>
                <w:color w:val="auto"/>
              </w:rPr>
            </w:pPr>
          </w:p>
        </w:tc>
        <w:tc>
          <w:tcPr>
            <w:tcW w:w="700" w:type="dxa"/>
            <w:vAlign w:val="bottom"/>
            <w:shd w:val="clear" w:color="auto" w:fill="CF1D4C"/>
          </w:tcPr>
          <w:p>
            <w:pPr>
              <w:spacing w:after="0"/>
              <w:rPr>
                <w:sz w:val="4"/>
                <w:szCs w:val="4"/>
                <w:color w:val="auto"/>
              </w:rPr>
            </w:pPr>
          </w:p>
        </w:tc>
        <w:tc>
          <w:tcPr>
            <w:tcW w:w="740" w:type="dxa"/>
            <w:vAlign w:val="bottom"/>
            <w:vMerge w:val="continue"/>
            <w:shd w:val="clear" w:color="auto" w:fill="CF1D4C"/>
          </w:tcPr>
          <w:p>
            <w:pPr>
              <w:spacing w:after="0"/>
              <w:rPr>
                <w:sz w:val="4"/>
                <w:szCs w:val="4"/>
                <w:color w:val="auto"/>
              </w:rPr>
            </w:pPr>
          </w:p>
        </w:tc>
        <w:tc>
          <w:tcPr>
            <w:tcW w:w="720" w:type="dxa"/>
            <w:vAlign w:val="bottom"/>
            <w:vMerge w:val="continue"/>
            <w:shd w:val="clear" w:color="auto" w:fill="CF1D4C"/>
          </w:tcPr>
          <w:p>
            <w:pPr>
              <w:spacing w:after="0"/>
              <w:rPr>
                <w:sz w:val="4"/>
                <w:szCs w:val="4"/>
                <w:color w:val="auto"/>
              </w:rPr>
            </w:pPr>
          </w:p>
        </w:tc>
        <w:tc>
          <w:tcPr>
            <w:tcW w:w="740" w:type="dxa"/>
            <w:vAlign w:val="bottom"/>
            <w:shd w:val="clear" w:color="auto" w:fill="CF1D4C"/>
          </w:tcPr>
          <w:p>
            <w:pPr>
              <w:spacing w:after="0"/>
              <w:rPr>
                <w:sz w:val="4"/>
                <w:szCs w:val="4"/>
                <w:color w:val="auto"/>
              </w:rPr>
            </w:pPr>
          </w:p>
        </w:tc>
        <w:tc>
          <w:tcPr>
            <w:tcW w:w="46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w w:val="95"/>
              </w:rPr>
              <w:t>Awards</w:t>
            </w:r>
          </w:p>
        </w:tc>
        <w:tc>
          <w:tcPr>
            <w:tcW w:w="340" w:type="dxa"/>
            <w:vAlign w:val="bottom"/>
            <w:vMerge w:val="continue"/>
            <w:shd w:val="clear" w:color="auto" w:fill="CF1D4C"/>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120" w:type="dxa"/>
            <w:vAlign w:val="bottom"/>
            <w:shd w:val="clear" w:color="auto" w:fill="CF1D4C"/>
          </w:tcPr>
          <w:p>
            <w:pPr>
              <w:spacing w:after="0"/>
              <w:rPr>
                <w:sz w:val="19"/>
                <w:szCs w:val="19"/>
                <w:color w:val="auto"/>
              </w:rPr>
            </w:pPr>
          </w:p>
        </w:tc>
        <w:tc>
          <w:tcPr>
            <w:tcW w:w="880" w:type="dxa"/>
            <w:vAlign w:val="bottom"/>
            <w:shd w:val="clear" w:color="auto" w:fill="CF1D4C"/>
          </w:tcPr>
          <w:p>
            <w:pPr>
              <w:spacing w:after="0"/>
              <w:rPr>
                <w:sz w:val="19"/>
                <w:szCs w:val="19"/>
                <w:color w:val="auto"/>
              </w:rPr>
            </w:pPr>
          </w:p>
        </w:tc>
        <w:tc>
          <w:tcPr>
            <w:tcW w:w="40" w:type="dxa"/>
            <w:vAlign w:val="bottom"/>
            <w:shd w:val="clear" w:color="auto" w:fill="CF1D4C"/>
          </w:tcPr>
          <w:p>
            <w:pPr>
              <w:spacing w:after="0"/>
              <w:rPr>
                <w:sz w:val="19"/>
                <w:szCs w:val="19"/>
                <w:color w:val="auto"/>
              </w:rPr>
            </w:pPr>
          </w:p>
        </w:tc>
        <w:tc>
          <w:tcPr>
            <w:tcW w:w="640" w:type="dxa"/>
            <w:vAlign w:val="bottom"/>
            <w:shd w:val="clear" w:color="auto" w:fill="CF1D4C"/>
          </w:tcPr>
          <w:p>
            <w:pPr>
              <w:spacing w:after="0"/>
              <w:rPr>
                <w:sz w:val="19"/>
                <w:szCs w:val="19"/>
                <w:color w:val="auto"/>
              </w:rPr>
            </w:pPr>
          </w:p>
        </w:tc>
        <w:tc>
          <w:tcPr>
            <w:tcW w:w="40" w:type="dxa"/>
            <w:vAlign w:val="bottom"/>
            <w:shd w:val="clear" w:color="auto" w:fill="CF1D4C"/>
          </w:tcPr>
          <w:p>
            <w:pPr>
              <w:spacing w:after="0"/>
              <w:rPr>
                <w:sz w:val="19"/>
                <w:szCs w:val="19"/>
                <w:color w:val="auto"/>
              </w:rPr>
            </w:pPr>
          </w:p>
        </w:tc>
        <w:tc>
          <w:tcPr>
            <w:tcW w:w="60" w:type="dxa"/>
            <w:vAlign w:val="bottom"/>
            <w:shd w:val="clear" w:color="auto" w:fill="CF1D4C"/>
          </w:tcPr>
          <w:p>
            <w:pPr>
              <w:spacing w:after="0"/>
              <w:rPr>
                <w:sz w:val="19"/>
                <w:szCs w:val="19"/>
                <w:color w:val="auto"/>
              </w:rPr>
            </w:pPr>
          </w:p>
        </w:tc>
        <w:tc>
          <w:tcPr>
            <w:tcW w:w="560" w:type="dxa"/>
            <w:vAlign w:val="bottom"/>
            <w:shd w:val="clear" w:color="auto" w:fill="CF1D4C"/>
          </w:tcPr>
          <w:p>
            <w:pPr>
              <w:spacing w:after="0"/>
              <w:rPr>
                <w:sz w:val="19"/>
                <w:szCs w:val="19"/>
                <w:color w:val="auto"/>
              </w:rPr>
            </w:pPr>
          </w:p>
        </w:tc>
        <w:tc>
          <w:tcPr>
            <w:tcW w:w="680" w:type="dxa"/>
            <w:vAlign w:val="bottom"/>
            <w:shd w:val="clear" w:color="auto" w:fill="CF1D4C"/>
          </w:tcPr>
          <w:p>
            <w:pPr>
              <w:spacing w:after="0"/>
              <w:rPr>
                <w:sz w:val="19"/>
                <w:szCs w:val="19"/>
                <w:color w:val="auto"/>
              </w:rPr>
            </w:pPr>
          </w:p>
        </w:tc>
        <w:tc>
          <w:tcPr>
            <w:tcW w:w="740" w:type="dxa"/>
            <w:vAlign w:val="bottom"/>
            <w:shd w:val="clear" w:color="auto" w:fill="CF1D4C"/>
          </w:tcPr>
          <w:p>
            <w:pPr>
              <w:spacing w:after="0"/>
              <w:rPr>
                <w:sz w:val="19"/>
                <w:szCs w:val="19"/>
                <w:color w:val="auto"/>
              </w:rPr>
            </w:pPr>
          </w:p>
        </w:tc>
        <w:tc>
          <w:tcPr>
            <w:tcW w:w="680" w:type="dxa"/>
            <w:vAlign w:val="bottom"/>
            <w:shd w:val="clear" w:color="auto" w:fill="CF1D4C"/>
          </w:tcPr>
          <w:p>
            <w:pPr>
              <w:spacing w:after="0"/>
              <w:rPr>
                <w:sz w:val="19"/>
                <w:szCs w:val="19"/>
                <w:color w:val="auto"/>
              </w:rPr>
            </w:pPr>
          </w:p>
        </w:tc>
        <w:tc>
          <w:tcPr>
            <w:tcW w:w="420" w:type="dxa"/>
            <w:vAlign w:val="bottom"/>
            <w:shd w:val="clear" w:color="auto" w:fill="CF1D4C"/>
          </w:tcPr>
          <w:p>
            <w:pPr>
              <w:spacing w:after="0"/>
              <w:rPr>
                <w:sz w:val="19"/>
                <w:szCs w:val="19"/>
                <w:color w:val="auto"/>
              </w:rPr>
            </w:pPr>
          </w:p>
        </w:tc>
        <w:tc>
          <w:tcPr>
            <w:tcW w:w="200" w:type="dxa"/>
            <w:vAlign w:val="bottom"/>
            <w:shd w:val="clear" w:color="auto" w:fill="CF1D4C"/>
          </w:tcPr>
          <w:p>
            <w:pPr>
              <w:spacing w:after="0"/>
              <w:rPr>
                <w:sz w:val="19"/>
                <w:szCs w:val="19"/>
                <w:color w:val="auto"/>
              </w:rPr>
            </w:pPr>
          </w:p>
        </w:tc>
        <w:tc>
          <w:tcPr>
            <w:tcW w:w="700" w:type="dxa"/>
            <w:vAlign w:val="bottom"/>
            <w:shd w:val="clear" w:color="auto" w:fill="CF1D4C"/>
          </w:tcPr>
          <w:p>
            <w:pPr>
              <w:spacing w:after="0"/>
              <w:rPr>
                <w:sz w:val="19"/>
                <w:szCs w:val="19"/>
                <w:color w:val="auto"/>
              </w:rPr>
            </w:pPr>
          </w:p>
        </w:tc>
        <w:tc>
          <w:tcPr>
            <w:tcW w:w="740" w:type="dxa"/>
            <w:vAlign w:val="bottom"/>
            <w:shd w:val="clear" w:color="auto" w:fill="CF1D4C"/>
          </w:tcPr>
          <w:p>
            <w:pPr>
              <w:ind w:left="100"/>
              <w:spacing w:after="0"/>
              <w:rPr>
                <w:sz w:val="20"/>
                <w:szCs w:val="20"/>
                <w:color w:val="auto"/>
              </w:rPr>
            </w:pPr>
            <w:r>
              <w:rPr>
                <w:rFonts w:ascii="Arial" w:cs="Arial" w:eastAsia="Arial" w:hAnsi="Arial"/>
                <w:sz w:val="11"/>
                <w:szCs w:val="11"/>
                <w:b w:val="1"/>
                <w:bCs w:val="1"/>
                <w:color w:val="FFFFFF"/>
              </w:rPr>
              <w:t>Units</w:t>
            </w:r>
            <w:r>
              <w:rPr>
                <w:rFonts w:ascii="Arial" w:cs="Arial" w:eastAsia="Arial" w:hAnsi="Arial"/>
                <w:sz w:val="16"/>
                <w:szCs w:val="16"/>
                <w:b w:val="1"/>
                <w:bCs w:val="1"/>
                <w:color w:val="FFFFFF"/>
                <w:vertAlign w:val="superscript"/>
              </w:rPr>
              <w:t>(2)</w:t>
            </w:r>
          </w:p>
        </w:tc>
        <w:tc>
          <w:tcPr>
            <w:tcW w:w="720" w:type="dxa"/>
            <w:vAlign w:val="bottom"/>
            <w:shd w:val="clear" w:color="auto" w:fill="CF1D4C"/>
          </w:tcPr>
          <w:p>
            <w:pPr>
              <w:ind w:left="80"/>
              <w:spacing w:after="0"/>
              <w:rPr>
                <w:sz w:val="20"/>
                <w:szCs w:val="20"/>
                <w:color w:val="auto"/>
              </w:rPr>
            </w:pPr>
            <w:r>
              <w:rPr>
                <w:rFonts w:ascii="Arial" w:cs="Arial" w:eastAsia="Arial" w:hAnsi="Arial"/>
                <w:sz w:val="11"/>
                <w:szCs w:val="11"/>
                <w:b w:val="1"/>
                <w:bCs w:val="1"/>
                <w:color w:val="FFFFFF"/>
              </w:rPr>
              <w:t>Options</w:t>
            </w:r>
            <w:r>
              <w:rPr>
                <w:rFonts w:ascii="Arial" w:cs="Arial" w:eastAsia="Arial" w:hAnsi="Arial"/>
                <w:sz w:val="16"/>
                <w:szCs w:val="16"/>
                <w:b w:val="1"/>
                <w:bCs w:val="1"/>
                <w:color w:val="FFFFFF"/>
                <w:vertAlign w:val="superscript"/>
              </w:rPr>
              <w:t>(3)</w:t>
            </w:r>
          </w:p>
        </w:tc>
        <w:tc>
          <w:tcPr>
            <w:tcW w:w="740" w:type="dxa"/>
            <w:vAlign w:val="bottom"/>
            <w:shd w:val="clear" w:color="auto" w:fill="CF1D4C"/>
          </w:tcPr>
          <w:p>
            <w:pPr>
              <w:spacing w:after="0"/>
              <w:rPr>
                <w:sz w:val="19"/>
                <w:szCs w:val="19"/>
                <w:color w:val="auto"/>
              </w:rPr>
            </w:pPr>
          </w:p>
        </w:tc>
        <w:tc>
          <w:tcPr>
            <w:tcW w:w="460" w:type="dxa"/>
            <w:vAlign w:val="bottom"/>
            <w:vMerge w:val="continue"/>
            <w:shd w:val="clear" w:color="auto" w:fill="CF1D4C"/>
          </w:tcPr>
          <w:p>
            <w:pPr>
              <w:spacing w:after="0"/>
              <w:rPr>
                <w:sz w:val="19"/>
                <w:szCs w:val="19"/>
                <w:color w:val="auto"/>
              </w:rPr>
            </w:pPr>
          </w:p>
        </w:tc>
        <w:tc>
          <w:tcPr>
            <w:tcW w:w="340" w:type="dxa"/>
            <w:vAlign w:val="bottom"/>
            <w:shd w:val="clear" w:color="auto" w:fill="CF1D4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CF1D4C"/>
          </w:tcPr>
          <w:p>
            <w:pPr>
              <w:spacing w:after="0"/>
              <w:rPr>
                <w:sz w:val="17"/>
                <w:szCs w:val="17"/>
                <w:color w:val="auto"/>
              </w:rPr>
            </w:pPr>
          </w:p>
        </w:tc>
        <w:tc>
          <w:tcPr>
            <w:tcW w:w="88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Name</w:t>
            </w:r>
          </w:p>
        </w:tc>
        <w:tc>
          <w:tcPr>
            <w:tcW w:w="680" w:type="dxa"/>
            <w:vAlign w:val="bottom"/>
            <w:gridSpan w:val="2"/>
            <w:shd w:val="clear" w:color="auto" w:fill="CF1D4C"/>
          </w:tcPr>
          <w:p>
            <w:pPr>
              <w:ind w:left="40"/>
              <w:spacing w:after="0"/>
              <w:rPr>
                <w:sz w:val="20"/>
                <w:szCs w:val="20"/>
                <w:color w:val="auto"/>
              </w:rPr>
            </w:pPr>
            <w:r>
              <w:rPr>
                <w:rFonts w:ascii="Arial" w:cs="Arial" w:eastAsia="Arial" w:hAnsi="Arial"/>
                <w:sz w:val="11"/>
                <w:szCs w:val="11"/>
                <w:b w:val="1"/>
                <w:bCs w:val="1"/>
                <w:color w:val="FFFFFF"/>
              </w:rPr>
              <w:t>Grant</w:t>
            </w:r>
          </w:p>
        </w:tc>
        <w:tc>
          <w:tcPr>
            <w:tcW w:w="40" w:type="dxa"/>
            <w:vAlign w:val="bottom"/>
            <w:shd w:val="clear" w:color="auto" w:fill="CF1D4C"/>
          </w:tcPr>
          <w:p>
            <w:pPr>
              <w:spacing w:after="0"/>
              <w:rPr>
                <w:sz w:val="17"/>
                <w:szCs w:val="17"/>
                <w:color w:val="auto"/>
              </w:rPr>
            </w:pPr>
          </w:p>
        </w:tc>
        <w:tc>
          <w:tcPr>
            <w:tcW w:w="620" w:type="dxa"/>
            <w:vAlign w:val="bottom"/>
            <w:gridSpan w:val="2"/>
            <w:shd w:val="clear" w:color="auto" w:fill="CF1D4C"/>
          </w:tcPr>
          <w:p>
            <w:pPr>
              <w:ind w:left="60"/>
              <w:spacing w:after="0"/>
              <w:rPr>
                <w:sz w:val="20"/>
                <w:szCs w:val="20"/>
                <w:color w:val="auto"/>
              </w:rPr>
            </w:pPr>
            <w:r>
              <w:rPr>
                <w:rFonts w:ascii="Arial" w:cs="Arial" w:eastAsia="Arial" w:hAnsi="Arial"/>
                <w:sz w:val="11"/>
                <w:szCs w:val="11"/>
                <w:b w:val="1"/>
                <w:bCs w:val="1"/>
                <w:color w:val="FFFFFF"/>
              </w:rPr>
              <w:t>Threshold</w:t>
            </w:r>
          </w:p>
        </w:tc>
        <w:tc>
          <w:tcPr>
            <w:tcW w:w="680" w:type="dxa"/>
            <w:vAlign w:val="bottom"/>
            <w:shd w:val="clear" w:color="auto" w:fill="CF1D4C"/>
          </w:tcPr>
          <w:p>
            <w:pPr>
              <w:ind w:left="100"/>
              <w:spacing w:after="0"/>
              <w:rPr>
                <w:sz w:val="20"/>
                <w:szCs w:val="20"/>
                <w:color w:val="auto"/>
              </w:rPr>
            </w:pPr>
            <w:r>
              <w:rPr>
                <w:rFonts w:ascii="Arial" w:cs="Arial" w:eastAsia="Arial" w:hAnsi="Arial"/>
                <w:sz w:val="11"/>
                <w:szCs w:val="11"/>
                <w:b w:val="1"/>
                <w:bCs w:val="1"/>
                <w:color w:val="FFFFFF"/>
              </w:rPr>
              <w:t>Target</w:t>
            </w:r>
          </w:p>
        </w:tc>
        <w:tc>
          <w:tcPr>
            <w:tcW w:w="740" w:type="dxa"/>
            <w:vAlign w:val="bottom"/>
            <w:shd w:val="clear" w:color="auto" w:fill="CF1D4C"/>
          </w:tcPr>
          <w:p>
            <w:pPr>
              <w:ind w:left="60"/>
              <w:spacing w:after="0"/>
              <w:rPr>
                <w:sz w:val="20"/>
                <w:szCs w:val="20"/>
                <w:color w:val="auto"/>
              </w:rPr>
            </w:pPr>
            <w:r>
              <w:rPr>
                <w:rFonts w:ascii="Arial" w:cs="Arial" w:eastAsia="Arial" w:hAnsi="Arial"/>
                <w:sz w:val="11"/>
                <w:szCs w:val="11"/>
                <w:b w:val="1"/>
                <w:bCs w:val="1"/>
                <w:color w:val="FFFFFF"/>
              </w:rPr>
              <w:t>Maximum</w:t>
            </w:r>
          </w:p>
        </w:tc>
        <w:tc>
          <w:tcPr>
            <w:tcW w:w="680" w:type="dxa"/>
            <w:vAlign w:val="bottom"/>
            <w:shd w:val="clear" w:color="auto" w:fill="CF1D4C"/>
          </w:tcPr>
          <w:p>
            <w:pPr>
              <w:ind w:left="60"/>
              <w:spacing w:after="0"/>
              <w:rPr>
                <w:sz w:val="20"/>
                <w:szCs w:val="20"/>
                <w:color w:val="auto"/>
              </w:rPr>
            </w:pPr>
            <w:r>
              <w:rPr>
                <w:rFonts w:ascii="Arial" w:cs="Arial" w:eastAsia="Arial" w:hAnsi="Arial"/>
                <w:sz w:val="11"/>
                <w:szCs w:val="11"/>
                <w:b w:val="1"/>
                <w:bCs w:val="1"/>
                <w:color w:val="FFFFFF"/>
              </w:rPr>
              <w:t>Threshold</w:t>
            </w:r>
          </w:p>
        </w:tc>
        <w:tc>
          <w:tcPr>
            <w:tcW w:w="620" w:type="dxa"/>
            <w:vAlign w:val="bottom"/>
            <w:gridSpan w:val="2"/>
            <w:shd w:val="clear" w:color="auto" w:fill="CF1D4C"/>
          </w:tcPr>
          <w:p>
            <w:pPr>
              <w:ind w:left="100"/>
              <w:spacing w:after="0"/>
              <w:rPr>
                <w:sz w:val="20"/>
                <w:szCs w:val="20"/>
                <w:color w:val="auto"/>
              </w:rPr>
            </w:pPr>
            <w:r>
              <w:rPr>
                <w:rFonts w:ascii="Arial" w:cs="Arial" w:eastAsia="Arial" w:hAnsi="Arial"/>
                <w:sz w:val="11"/>
                <w:szCs w:val="11"/>
                <w:b w:val="1"/>
                <w:bCs w:val="1"/>
                <w:color w:val="FFFFFF"/>
              </w:rPr>
              <w:t>Target</w:t>
            </w:r>
          </w:p>
        </w:tc>
        <w:tc>
          <w:tcPr>
            <w:tcW w:w="700" w:type="dxa"/>
            <w:vAlign w:val="bottom"/>
            <w:shd w:val="clear" w:color="auto" w:fill="CF1D4C"/>
          </w:tcPr>
          <w:p>
            <w:pPr>
              <w:ind w:left="80"/>
              <w:spacing w:after="0"/>
              <w:rPr>
                <w:sz w:val="20"/>
                <w:szCs w:val="20"/>
                <w:color w:val="auto"/>
              </w:rPr>
            </w:pPr>
            <w:r>
              <w:rPr>
                <w:rFonts w:ascii="Arial" w:cs="Arial" w:eastAsia="Arial" w:hAnsi="Arial"/>
                <w:sz w:val="11"/>
                <w:szCs w:val="11"/>
                <w:b w:val="1"/>
                <w:bCs w:val="1"/>
                <w:color w:val="FFFFFF"/>
              </w:rPr>
              <w:t>Maximum</w:t>
            </w:r>
          </w:p>
        </w:tc>
        <w:tc>
          <w:tcPr>
            <w:tcW w:w="740" w:type="dxa"/>
            <w:vAlign w:val="bottom"/>
            <w:shd w:val="clear" w:color="auto" w:fill="CF1D4C"/>
          </w:tcPr>
          <w:p>
            <w:pPr>
              <w:spacing w:after="0"/>
              <w:rPr>
                <w:sz w:val="17"/>
                <w:szCs w:val="17"/>
                <w:color w:val="auto"/>
              </w:rPr>
            </w:pPr>
          </w:p>
        </w:tc>
        <w:tc>
          <w:tcPr>
            <w:tcW w:w="720" w:type="dxa"/>
            <w:vAlign w:val="bottom"/>
            <w:shd w:val="clear" w:color="auto" w:fill="CF1D4C"/>
          </w:tcPr>
          <w:p>
            <w:pPr>
              <w:spacing w:after="0"/>
              <w:rPr>
                <w:sz w:val="17"/>
                <w:szCs w:val="17"/>
                <w:color w:val="auto"/>
              </w:rPr>
            </w:pPr>
          </w:p>
        </w:tc>
        <w:tc>
          <w:tcPr>
            <w:tcW w:w="740" w:type="dxa"/>
            <w:vAlign w:val="bottom"/>
            <w:shd w:val="clear" w:color="auto" w:fill="CF1D4C"/>
          </w:tcPr>
          <w:p>
            <w:pPr>
              <w:spacing w:after="0"/>
              <w:rPr>
                <w:sz w:val="17"/>
                <w:szCs w:val="17"/>
                <w:color w:val="auto"/>
              </w:rPr>
            </w:pPr>
          </w:p>
        </w:tc>
        <w:tc>
          <w:tcPr>
            <w:tcW w:w="460" w:type="dxa"/>
            <w:vAlign w:val="bottom"/>
            <w:shd w:val="clear" w:color="auto" w:fill="CF1D4C"/>
          </w:tcPr>
          <w:p>
            <w:pPr>
              <w:spacing w:after="0"/>
              <w:rPr>
                <w:sz w:val="17"/>
                <w:szCs w:val="17"/>
                <w:color w:val="auto"/>
              </w:rPr>
            </w:pPr>
          </w:p>
        </w:tc>
        <w:tc>
          <w:tcPr>
            <w:tcW w:w="340" w:type="dxa"/>
            <w:vAlign w:val="bottom"/>
            <w:shd w:val="clear" w:color="auto" w:fill="CF1D4C"/>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shd w:val="clear" w:color="auto" w:fill="CF1D4C"/>
          </w:tcPr>
          <w:p>
            <w:pPr>
              <w:spacing w:after="0"/>
              <w:rPr>
                <w:sz w:val="6"/>
                <w:szCs w:val="6"/>
                <w:color w:val="auto"/>
              </w:rPr>
            </w:pPr>
          </w:p>
        </w:tc>
        <w:tc>
          <w:tcPr>
            <w:tcW w:w="880" w:type="dxa"/>
            <w:vAlign w:val="bottom"/>
            <w:vMerge w:val="continue"/>
            <w:shd w:val="clear" w:color="auto" w:fill="CF1D4C"/>
          </w:tcPr>
          <w:p>
            <w:pPr>
              <w:spacing w:after="0"/>
              <w:rPr>
                <w:sz w:val="6"/>
                <w:szCs w:val="6"/>
                <w:color w:val="auto"/>
              </w:rPr>
            </w:pPr>
          </w:p>
        </w:tc>
        <w:tc>
          <w:tcPr>
            <w:tcW w:w="680" w:type="dxa"/>
            <w:vAlign w:val="bottom"/>
            <w:gridSpan w:val="2"/>
            <w:vMerge w:val="restart"/>
            <w:shd w:val="clear" w:color="auto" w:fill="CF1D4C"/>
          </w:tcPr>
          <w:p>
            <w:pPr>
              <w:ind w:left="40"/>
              <w:spacing w:after="0"/>
              <w:rPr>
                <w:sz w:val="20"/>
                <w:szCs w:val="20"/>
                <w:color w:val="auto"/>
              </w:rPr>
            </w:pPr>
            <w:r>
              <w:rPr>
                <w:rFonts w:ascii="Arial" w:cs="Arial" w:eastAsia="Arial" w:hAnsi="Arial"/>
                <w:sz w:val="11"/>
                <w:szCs w:val="11"/>
                <w:b w:val="1"/>
                <w:bCs w:val="1"/>
                <w:color w:val="FFFFFF"/>
              </w:rPr>
              <w:t>Date</w:t>
            </w:r>
          </w:p>
        </w:tc>
        <w:tc>
          <w:tcPr>
            <w:tcW w:w="660" w:type="dxa"/>
            <w:vAlign w:val="bottom"/>
            <w:gridSpan w:val="3"/>
            <w:vMerge w:val="restart"/>
            <w:shd w:val="clear" w:color="auto" w:fill="CF1D4C"/>
          </w:tcPr>
          <w:p>
            <w:pPr>
              <w:ind w:left="100"/>
              <w:spacing w:after="0"/>
              <w:rPr>
                <w:sz w:val="20"/>
                <w:szCs w:val="20"/>
                <w:color w:val="auto"/>
              </w:rPr>
            </w:pPr>
            <w:r>
              <w:rPr>
                <w:rFonts w:ascii="Arial" w:cs="Arial" w:eastAsia="Arial" w:hAnsi="Arial"/>
                <w:sz w:val="11"/>
                <w:szCs w:val="11"/>
                <w:b w:val="1"/>
                <w:bCs w:val="1"/>
                <w:color w:val="FFFFFF"/>
              </w:rPr>
              <w:t>($)</w:t>
            </w:r>
          </w:p>
        </w:tc>
        <w:tc>
          <w:tcPr>
            <w:tcW w:w="680" w:type="dxa"/>
            <w:vAlign w:val="bottom"/>
            <w:vMerge w:val="restart"/>
            <w:shd w:val="clear" w:color="auto" w:fill="CF1D4C"/>
          </w:tcPr>
          <w:p>
            <w:pPr>
              <w:ind w:left="100"/>
              <w:spacing w:after="0"/>
              <w:rPr>
                <w:sz w:val="20"/>
                <w:szCs w:val="20"/>
                <w:color w:val="auto"/>
              </w:rPr>
            </w:pPr>
            <w:r>
              <w:rPr>
                <w:rFonts w:ascii="Arial" w:cs="Arial" w:eastAsia="Arial" w:hAnsi="Arial"/>
                <w:sz w:val="11"/>
                <w:szCs w:val="11"/>
                <w:b w:val="1"/>
                <w:bCs w:val="1"/>
                <w:color w:val="FFFFFF"/>
              </w:rPr>
              <w:t>($)</w:t>
            </w:r>
          </w:p>
        </w:tc>
        <w:tc>
          <w:tcPr>
            <w:tcW w:w="74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w:t>
            </w:r>
          </w:p>
        </w:tc>
        <w:tc>
          <w:tcPr>
            <w:tcW w:w="68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w:t>
            </w:r>
          </w:p>
        </w:tc>
        <w:tc>
          <w:tcPr>
            <w:tcW w:w="420" w:type="dxa"/>
            <w:vAlign w:val="bottom"/>
            <w:vMerge w:val="restart"/>
            <w:shd w:val="clear" w:color="auto" w:fill="CF1D4C"/>
          </w:tcPr>
          <w:p>
            <w:pPr>
              <w:ind w:left="100"/>
              <w:spacing w:after="0"/>
              <w:rPr>
                <w:sz w:val="20"/>
                <w:szCs w:val="20"/>
                <w:color w:val="auto"/>
              </w:rPr>
            </w:pPr>
            <w:r>
              <w:rPr>
                <w:rFonts w:ascii="Arial" w:cs="Arial" w:eastAsia="Arial" w:hAnsi="Arial"/>
                <w:sz w:val="11"/>
                <w:szCs w:val="11"/>
                <w:b w:val="1"/>
                <w:bCs w:val="1"/>
                <w:color w:val="FFFFFF"/>
              </w:rPr>
              <w:t>(#)</w:t>
            </w:r>
          </w:p>
        </w:tc>
        <w:tc>
          <w:tcPr>
            <w:tcW w:w="200" w:type="dxa"/>
            <w:vAlign w:val="bottom"/>
            <w:shd w:val="clear" w:color="auto" w:fill="CF1D4C"/>
          </w:tcPr>
          <w:p>
            <w:pPr>
              <w:spacing w:after="0"/>
              <w:rPr>
                <w:sz w:val="6"/>
                <w:szCs w:val="6"/>
                <w:color w:val="auto"/>
              </w:rPr>
            </w:pPr>
          </w:p>
        </w:tc>
        <w:tc>
          <w:tcPr>
            <w:tcW w:w="700" w:type="dxa"/>
            <w:vAlign w:val="bottom"/>
            <w:vMerge w:val="restart"/>
            <w:shd w:val="clear" w:color="auto" w:fill="CF1D4C"/>
          </w:tcPr>
          <w:p>
            <w:pPr>
              <w:ind w:left="80"/>
              <w:spacing w:after="0"/>
              <w:rPr>
                <w:sz w:val="20"/>
                <w:szCs w:val="20"/>
                <w:color w:val="auto"/>
              </w:rPr>
            </w:pPr>
            <w:r>
              <w:rPr>
                <w:rFonts w:ascii="Arial" w:cs="Arial" w:eastAsia="Arial" w:hAnsi="Arial"/>
                <w:sz w:val="11"/>
                <w:szCs w:val="11"/>
                <w:b w:val="1"/>
                <w:bCs w:val="1"/>
                <w:color w:val="FFFFFF"/>
              </w:rPr>
              <w:t>(#)</w:t>
            </w:r>
          </w:p>
        </w:tc>
        <w:tc>
          <w:tcPr>
            <w:tcW w:w="740" w:type="dxa"/>
            <w:vAlign w:val="bottom"/>
            <w:vMerge w:val="restart"/>
            <w:shd w:val="clear" w:color="auto" w:fill="CF1D4C"/>
          </w:tcPr>
          <w:p>
            <w:pPr>
              <w:ind w:left="100"/>
              <w:spacing w:after="0"/>
              <w:rPr>
                <w:sz w:val="20"/>
                <w:szCs w:val="20"/>
                <w:color w:val="auto"/>
              </w:rPr>
            </w:pPr>
            <w:r>
              <w:rPr>
                <w:rFonts w:ascii="Arial" w:cs="Arial" w:eastAsia="Arial" w:hAnsi="Arial"/>
                <w:sz w:val="11"/>
                <w:szCs w:val="11"/>
                <w:b w:val="1"/>
                <w:bCs w:val="1"/>
                <w:color w:val="FFFFFF"/>
              </w:rPr>
              <w:t>(#)</w:t>
            </w:r>
          </w:p>
        </w:tc>
        <w:tc>
          <w:tcPr>
            <w:tcW w:w="720" w:type="dxa"/>
            <w:vAlign w:val="bottom"/>
            <w:vMerge w:val="restart"/>
            <w:shd w:val="clear" w:color="auto" w:fill="CF1D4C"/>
          </w:tcPr>
          <w:p>
            <w:pPr>
              <w:ind w:left="80"/>
              <w:spacing w:after="0"/>
              <w:rPr>
                <w:sz w:val="20"/>
                <w:szCs w:val="20"/>
                <w:color w:val="auto"/>
              </w:rPr>
            </w:pPr>
            <w:r>
              <w:rPr>
                <w:rFonts w:ascii="Arial" w:cs="Arial" w:eastAsia="Arial" w:hAnsi="Arial"/>
                <w:sz w:val="11"/>
                <w:szCs w:val="11"/>
                <w:b w:val="1"/>
                <w:bCs w:val="1"/>
                <w:color w:val="FFFFFF"/>
              </w:rPr>
              <w:t>(#)​</w:t>
            </w:r>
          </w:p>
        </w:tc>
        <w:tc>
          <w:tcPr>
            <w:tcW w:w="740" w:type="dxa"/>
            <w:vAlign w:val="bottom"/>
            <w:vMerge w:val="restart"/>
            <w:shd w:val="clear" w:color="auto" w:fill="CF1D4C"/>
          </w:tcPr>
          <w:p>
            <w:pPr>
              <w:ind w:left="80"/>
              <w:spacing w:after="0"/>
              <w:rPr>
                <w:sz w:val="20"/>
                <w:szCs w:val="20"/>
                <w:color w:val="auto"/>
              </w:rPr>
            </w:pPr>
            <w:r>
              <w:rPr>
                <w:rFonts w:ascii="Arial" w:cs="Arial" w:eastAsia="Arial" w:hAnsi="Arial"/>
                <w:sz w:val="11"/>
                <w:szCs w:val="11"/>
                <w:b w:val="1"/>
                <w:bCs w:val="1"/>
                <w:color w:val="FFFFFF"/>
              </w:rPr>
              <w:t>(​$/Sh)</w:t>
            </w:r>
          </w:p>
        </w:tc>
        <w:tc>
          <w:tcPr>
            <w:tcW w:w="46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w:t>
            </w:r>
          </w:p>
        </w:tc>
        <w:tc>
          <w:tcPr>
            <w:tcW w:w="340" w:type="dxa"/>
            <w:vAlign w:val="bottom"/>
            <w:shd w:val="clear" w:color="auto" w:fill="CF1D4C"/>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CF1D4C"/>
          </w:tcPr>
          <w:p>
            <w:pPr>
              <w:spacing w:after="0"/>
              <w:rPr>
                <w:sz w:val="5"/>
                <w:szCs w:val="5"/>
                <w:color w:val="auto"/>
              </w:rPr>
            </w:pPr>
          </w:p>
        </w:tc>
        <w:tc>
          <w:tcPr>
            <w:tcW w:w="880" w:type="dxa"/>
            <w:vAlign w:val="bottom"/>
            <w:shd w:val="clear" w:color="auto" w:fill="CF1D4C"/>
          </w:tcPr>
          <w:p>
            <w:pPr>
              <w:spacing w:after="0"/>
              <w:rPr>
                <w:sz w:val="5"/>
                <w:szCs w:val="5"/>
                <w:color w:val="auto"/>
              </w:rPr>
            </w:pPr>
          </w:p>
        </w:tc>
        <w:tc>
          <w:tcPr>
            <w:tcW w:w="680" w:type="dxa"/>
            <w:vAlign w:val="bottom"/>
            <w:gridSpan w:val="2"/>
            <w:vMerge w:val="continue"/>
            <w:shd w:val="clear" w:color="auto" w:fill="CF1D4C"/>
          </w:tcPr>
          <w:p>
            <w:pPr>
              <w:spacing w:after="0"/>
              <w:rPr>
                <w:sz w:val="5"/>
                <w:szCs w:val="5"/>
                <w:color w:val="auto"/>
              </w:rPr>
            </w:pPr>
          </w:p>
        </w:tc>
        <w:tc>
          <w:tcPr>
            <w:tcW w:w="660" w:type="dxa"/>
            <w:vAlign w:val="bottom"/>
            <w:gridSpan w:val="3"/>
            <w:vMerge w:val="continue"/>
            <w:shd w:val="clear" w:color="auto" w:fill="CF1D4C"/>
          </w:tcPr>
          <w:p>
            <w:pPr>
              <w:spacing w:after="0"/>
              <w:rPr>
                <w:sz w:val="5"/>
                <w:szCs w:val="5"/>
                <w:color w:val="auto"/>
              </w:rPr>
            </w:pPr>
          </w:p>
        </w:tc>
        <w:tc>
          <w:tcPr>
            <w:tcW w:w="680" w:type="dxa"/>
            <w:vAlign w:val="bottom"/>
            <w:vMerge w:val="continue"/>
            <w:shd w:val="clear" w:color="auto" w:fill="CF1D4C"/>
          </w:tcPr>
          <w:p>
            <w:pPr>
              <w:spacing w:after="0"/>
              <w:rPr>
                <w:sz w:val="5"/>
                <w:szCs w:val="5"/>
                <w:color w:val="auto"/>
              </w:rPr>
            </w:pPr>
          </w:p>
        </w:tc>
        <w:tc>
          <w:tcPr>
            <w:tcW w:w="740" w:type="dxa"/>
            <w:vAlign w:val="bottom"/>
            <w:vMerge w:val="continue"/>
            <w:shd w:val="clear" w:color="auto" w:fill="CF1D4C"/>
          </w:tcPr>
          <w:p>
            <w:pPr>
              <w:spacing w:after="0"/>
              <w:rPr>
                <w:sz w:val="5"/>
                <w:szCs w:val="5"/>
                <w:color w:val="auto"/>
              </w:rPr>
            </w:pPr>
          </w:p>
        </w:tc>
        <w:tc>
          <w:tcPr>
            <w:tcW w:w="680" w:type="dxa"/>
            <w:vAlign w:val="bottom"/>
            <w:vMerge w:val="continue"/>
            <w:shd w:val="clear" w:color="auto" w:fill="CF1D4C"/>
          </w:tcPr>
          <w:p>
            <w:pPr>
              <w:spacing w:after="0"/>
              <w:rPr>
                <w:sz w:val="5"/>
                <w:szCs w:val="5"/>
                <w:color w:val="auto"/>
              </w:rPr>
            </w:pPr>
          </w:p>
        </w:tc>
        <w:tc>
          <w:tcPr>
            <w:tcW w:w="420" w:type="dxa"/>
            <w:vAlign w:val="bottom"/>
            <w:vMerge w:val="continue"/>
            <w:shd w:val="clear" w:color="auto" w:fill="CF1D4C"/>
          </w:tcPr>
          <w:p>
            <w:pPr>
              <w:spacing w:after="0"/>
              <w:rPr>
                <w:sz w:val="5"/>
                <w:szCs w:val="5"/>
                <w:color w:val="auto"/>
              </w:rPr>
            </w:pPr>
          </w:p>
        </w:tc>
        <w:tc>
          <w:tcPr>
            <w:tcW w:w="200" w:type="dxa"/>
            <w:vAlign w:val="bottom"/>
            <w:shd w:val="clear" w:color="auto" w:fill="CF1D4C"/>
          </w:tcPr>
          <w:p>
            <w:pPr>
              <w:spacing w:after="0"/>
              <w:rPr>
                <w:sz w:val="5"/>
                <w:szCs w:val="5"/>
                <w:color w:val="auto"/>
              </w:rPr>
            </w:pPr>
          </w:p>
        </w:tc>
        <w:tc>
          <w:tcPr>
            <w:tcW w:w="700" w:type="dxa"/>
            <w:vAlign w:val="bottom"/>
            <w:vMerge w:val="continue"/>
            <w:shd w:val="clear" w:color="auto" w:fill="CF1D4C"/>
          </w:tcPr>
          <w:p>
            <w:pPr>
              <w:spacing w:after="0"/>
              <w:rPr>
                <w:sz w:val="5"/>
                <w:szCs w:val="5"/>
                <w:color w:val="auto"/>
              </w:rPr>
            </w:pPr>
          </w:p>
        </w:tc>
        <w:tc>
          <w:tcPr>
            <w:tcW w:w="740" w:type="dxa"/>
            <w:vAlign w:val="bottom"/>
            <w:vMerge w:val="continue"/>
            <w:shd w:val="clear" w:color="auto" w:fill="CF1D4C"/>
          </w:tcPr>
          <w:p>
            <w:pPr>
              <w:spacing w:after="0"/>
              <w:rPr>
                <w:sz w:val="5"/>
                <w:szCs w:val="5"/>
                <w:color w:val="auto"/>
              </w:rPr>
            </w:pPr>
          </w:p>
        </w:tc>
        <w:tc>
          <w:tcPr>
            <w:tcW w:w="720" w:type="dxa"/>
            <w:vAlign w:val="bottom"/>
            <w:vMerge w:val="continue"/>
            <w:shd w:val="clear" w:color="auto" w:fill="CF1D4C"/>
          </w:tcPr>
          <w:p>
            <w:pPr>
              <w:spacing w:after="0"/>
              <w:rPr>
                <w:sz w:val="5"/>
                <w:szCs w:val="5"/>
                <w:color w:val="auto"/>
              </w:rPr>
            </w:pPr>
          </w:p>
        </w:tc>
        <w:tc>
          <w:tcPr>
            <w:tcW w:w="740" w:type="dxa"/>
            <w:vAlign w:val="bottom"/>
            <w:vMerge w:val="continue"/>
            <w:shd w:val="clear" w:color="auto" w:fill="CF1D4C"/>
          </w:tcPr>
          <w:p>
            <w:pPr>
              <w:spacing w:after="0"/>
              <w:rPr>
                <w:sz w:val="5"/>
                <w:szCs w:val="5"/>
                <w:color w:val="auto"/>
              </w:rPr>
            </w:pPr>
          </w:p>
        </w:tc>
        <w:tc>
          <w:tcPr>
            <w:tcW w:w="460" w:type="dxa"/>
            <w:vAlign w:val="bottom"/>
            <w:vMerge w:val="continue"/>
            <w:shd w:val="clear" w:color="auto" w:fill="CF1D4C"/>
          </w:tcPr>
          <w:p>
            <w:pPr>
              <w:spacing w:after="0"/>
              <w:rPr>
                <w:sz w:val="5"/>
                <w:szCs w:val="5"/>
                <w:color w:val="auto"/>
              </w:rPr>
            </w:pPr>
          </w:p>
        </w:tc>
        <w:tc>
          <w:tcPr>
            <w:tcW w:w="340" w:type="dxa"/>
            <w:vAlign w:val="bottom"/>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CF1D4C"/>
          </w:tcPr>
          <w:p>
            <w:pPr>
              <w:spacing w:after="0"/>
              <w:rPr>
                <w:sz w:val="5"/>
                <w:szCs w:val="5"/>
                <w:color w:val="auto"/>
              </w:rPr>
            </w:pPr>
          </w:p>
        </w:tc>
        <w:tc>
          <w:tcPr>
            <w:tcW w:w="88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64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60" w:type="dxa"/>
            <w:vAlign w:val="bottom"/>
            <w:shd w:val="clear" w:color="auto" w:fill="CF1D4C"/>
          </w:tcPr>
          <w:p>
            <w:pPr>
              <w:spacing w:after="0"/>
              <w:rPr>
                <w:sz w:val="5"/>
                <w:szCs w:val="5"/>
                <w:color w:val="auto"/>
              </w:rPr>
            </w:pPr>
          </w:p>
        </w:tc>
        <w:tc>
          <w:tcPr>
            <w:tcW w:w="560" w:type="dxa"/>
            <w:vAlign w:val="bottom"/>
            <w:shd w:val="clear" w:color="auto" w:fill="CF1D4C"/>
          </w:tcPr>
          <w:p>
            <w:pPr>
              <w:spacing w:after="0"/>
              <w:rPr>
                <w:sz w:val="5"/>
                <w:szCs w:val="5"/>
                <w:color w:val="auto"/>
              </w:rPr>
            </w:pPr>
          </w:p>
        </w:tc>
        <w:tc>
          <w:tcPr>
            <w:tcW w:w="680" w:type="dxa"/>
            <w:vAlign w:val="bottom"/>
            <w:shd w:val="clear" w:color="auto" w:fill="CF1D4C"/>
          </w:tcPr>
          <w:p>
            <w:pPr>
              <w:spacing w:after="0"/>
              <w:rPr>
                <w:sz w:val="5"/>
                <w:szCs w:val="5"/>
                <w:color w:val="auto"/>
              </w:rPr>
            </w:pPr>
          </w:p>
        </w:tc>
        <w:tc>
          <w:tcPr>
            <w:tcW w:w="740" w:type="dxa"/>
            <w:vAlign w:val="bottom"/>
            <w:shd w:val="clear" w:color="auto" w:fill="CF1D4C"/>
          </w:tcPr>
          <w:p>
            <w:pPr>
              <w:spacing w:after="0"/>
              <w:rPr>
                <w:sz w:val="5"/>
                <w:szCs w:val="5"/>
                <w:color w:val="auto"/>
              </w:rPr>
            </w:pPr>
          </w:p>
        </w:tc>
        <w:tc>
          <w:tcPr>
            <w:tcW w:w="680" w:type="dxa"/>
            <w:vAlign w:val="bottom"/>
            <w:shd w:val="clear" w:color="auto" w:fill="CF1D4C"/>
          </w:tcPr>
          <w:p>
            <w:pPr>
              <w:spacing w:after="0"/>
              <w:rPr>
                <w:sz w:val="5"/>
                <w:szCs w:val="5"/>
                <w:color w:val="auto"/>
              </w:rPr>
            </w:pPr>
          </w:p>
        </w:tc>
        <w:tc>
          <w:tcPr>
            <w:tcW w:w="420" w:type="dxa"/>
            <w:vAlign w:val="bottom"/>
            <w:shd w:val="clear" w:color="auto" w:fill="CF1D4C"/>
          </w:tcPr>
          <w:p>
            <w:pPr>
              <w:spacing w:after="0"/>
              <w:rPr>
                <w:sz w:val="5"/>
                <w:szCs w:val="5"/>
                <w:color w:val="auto"/>
              </w:rPr>
            </w:pPr>
          </w:p>
        </w:tc>
        <w:tc>
          <w:tcPr>
            <w:tcW w:w="200" w:type="dxa"/>
            <w:vAlign w:val="bottom"/>
            <w:shd w:val="clear" w:color="auto" w:fill="CF1D4C"/>
          </w:tcPr>
          <w:p>
            <w:pPr>
              <w:spacing w:after="0"/>
              <w:rPr>
                <w:sz w:val="5"/>
                <w:szCs w:val="5"/>
                <w:color w:val="auto"/>
              </w:rPr>
            </w:pPr>
          </w:p>
        </w:tc>
        <w:tc>
          <w:tcPr>
            <w:tcW w:w="700" w:type="dxa"/>
            <w:vAlign w:val="bottom"/>
            <w:shd w:val="clear" w:color="auto" w:fill="CF1D4C"/>
          </w:tcPr>
          <w:p>
            <w:pPr>
              <w:spacing w:after="0"/>
              <w:rPr>
                <w:sz w:val="5"/>
                <w:szCs w:val="5"/>
                <w:color w:val="auto"/>
              </w:rPr>
            </w:pPr>
          </w:p>
        </w:tc>
        <w:tc>
          <w:tcPr>
            <w:tcW w:w="740" w:type="dxa"/>
            <w:vAlign w:val="bottom"/>
            <w:shd w:val="clear" w:color="auto" w:fill="CF1D4C"/>
          </w:tcPr>
          <w:p>
            <w:pPr>
              <w:spacing w:after="0"/>
              <w:rPr>
                <w:sz w:val="5"/>
                <w:szCs w:val="5"/>
                <w:color w:val="auto"/>
              </w:rPr>
            </w:pPr>
          </w:p>
        </w:tc>
        <w:tc>
          <w:tcPr>
            <w:tcW w:w="720" w:type="dxa"/>
            <w:vAlign w:val="bottom"/>
            <w:shd w:val="clear" w:color="auto" w:fill="CF1D4C"/>
          </w:tcPr>
          <w:p>
            <w:pPr>
              <w:spacing w:after="0"/>
              <w:rPr>
                <w:sz w:val="5"/>
                <w:szCs w:val="5"/>
                <w:color w:val="auto"/>
              </w:rPr>
            </w:pPr>
          </w:p>
        </w:tc>
        <w:tc>
          <w:tcPr>
            <w:tcW w:w="740" w:type="dxa"/>
            <w:vAlign w:val="bottom"/>
            <w:shd w:val="clear" w:color="auto" w:fill="CF1D4C"/>
          </w:tcPr>
          <w:p>
            <w:pPr>
              <w:spacing w:after="0"/>
              <w:rPr>
                <w:sz w:val="5"/>
                <w:szCs w:val="5"/>
                <w:color w:val="auto"/>
              </w:rPr>
            </w:pPr>
          </w:p>
        </w:tc>
        <w:tc>
          <w:tcPr>
            <w:tcW w:w="460" w:type="dxa"/>
            <w:vAlign w:val="bottom"/>
            <w:shd w:val="clear" w:color="auto" w:fill="CF1D4C"/>
          </w:tcPr>
          <w:p>
            <w:pPr>
              <w:spacing w:after="0"/>
              <w:rPr>
                <w:sz w:val="5"/>
                <w:szCs w:val="5"/>
                <w:color w:val="auto"/>
              </w:rPr>
            </w:pPr>
          </w:p>
        </w:tc>
        <w:tc>
          <w:tcPr>
            <w:tcW w:w="340" w:type="dxa"/>
            <w:vAlign w:val="bottom"/>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880" w:type="dxa"/>
            <w:vAlign w:val="bottom"/>
          </w:tcPr>
          <w:p>
            <w:pPr>
              <w:ind w:left="60"/>
              <w:spacing w:after="0"/>
              <w:rPr>
                <w:sz w:val="20"/>
                <w:szCs w:val="20"/>
                <w:color w:val="auto"/>
              </w:rPr>
            </w:pPr>
            <w:r>
              <w:rPr>
                <w:rFonts w:ascii="Arial" w:cs="Arial" w:eastAsia="Arial" w:hAnsi="Arial"/>
                <w:sz w:val="13"/>
                <w:szCs w:val="13"/>
                <w:b w:val="1"/>
                <w:bCs w:val="1"/>
                <w:color w:val="333333"/>
              </w:rPr>
              <w:t>Ronald F.</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color w:val="333333"/>
              </w:rPr>
              <w:t>—​</w:t>
            </w:r>
          </w:p>
        </w:tc>
        <w:tc>
          <w:tcPr>
            <w:tcW w:w="680" w:type="dxa"/>
            <w:vAlign w:val="bottom"/>
            <w:vMerge w:val="restart"/>
          </w:tcPr>
          <w:p>
            <w:pPr>
              <w:ind w:left="100"/>
              <w:spacing w:after="0"/>
              <w:rPr>
                <w:sz w:val="20"/>
                <w:szCs w:val="20"/>
                <w:color w:val="auto"/>
              </w:rPr>
            </w:pPr>
            <w:r>
              <w:rPr>
                <w:rFonts w:ascii="Arial" w:cs="Arial" w:eastAsia="Arial" w:hAnsi="Arial"/>
                <w:sz w:val="13"/>
                <w:szCs w:val="13"/>
                <w:color w:val="333333"/>
              </w:rPr>
              <w:t>$​360,000</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333333"/>
              </w:rPr>
              <w:t>$​2,160,000</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333333"/>
              </w:rPr>
              <w:t>—</w:t>
            </w:r>
          </w:p>
        </w:tc>
        <w:tc>
          <w:tcPr>
            <w:tcW w:w="420" w:type="dxa"/>
            <w:vAlign w:val="bottom"/>
            <w:vMerge w:val="restart"/>
          </w:tcPr>
          <w:p>
            <w:pPr>
              <w:ind w:left="100"/>
              <w:spacing w:after="0"/>
              <w:rPr>
                <w:sz w:val="20"/>
                <w:szCs w:val="20"/>
                <w:color w:val="auto"/>
              </w:rPr>
            </w:pPr>
            <w:r>
              <w:rPr>
                <w:rFonts w:ascii="Arial" w:cs="Arial" w:eastAsia="Arial" w:hAnsi="Arial"/>
                <w:sz w:val="13"/>
                <w:szCs w:val="13"/>
                <w:color w:val="333333"/>
              </w:rPr>
              <w:t>—</w:t>
            </w:r>
          </w:p>
        </w:tc>
        <w:tc>
          <w:tcPr>
            <w:tcW w:w="200" w:type="dxa"/>
            <w:vAlign w:val="bottom"/>
          </w:tcPr>
          <w:p>
            <w:pPr>
              <w:spacing w:after="0"/>
              <w:rPr>
                <w:sz w:val="17"/>
                <w:szCs w:val="17"/>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333333"/>
              </w:rPr>
              <w:t>—</w:t>
            </w:r>
          </w:p>
        </w:tc>
        <w:tc>
          <w:tcPr>
            <w:tcW w:w="740" w:type="dxa"/>
            <w:vAlign w:val="bottom"/>
            <w:vMerge w:val="restart"/>
          </w:tcPr>
          <w:p>
            <w:pPr>
              <w:ind w:left="100"/>
              <w:spacing w:after="0"/>
              <w:rPr>
                <w:sz w:val="20"/>
                <w:szCs w:val="20"/>
                <w:color w:val="auto"/>
              </w:rPr>
            </w:pPr>
            <w:r>
              <w:rPr>
                <w:rFonts w:ascii="Arial" w:cs="Arial" w:eastAsia="Arial" w:hAnsi="Arial"/>
                <w:sz w:val="13"/>
                <w:szCs w:val="13"/>
                <w:color w:val="333333"/>
              </w:rPr>
              <w:t>—</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333333"/>
              </w:rPr>
              <w:t>—</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333333"/>
              </w:rPr>
              <w:t>—</w:t>
            </w:r>
          </w:p>
        </w:tc>
        <w:tc>
          <w:tcPr>
            <w:tcW w:w="460" w:type="dxa"/>
            <w:vAlign w:val="bottom"/>
            <w:vMerge w:val="restart"/>
          </w:tcPr>
          <w:p>
            <w:pPr>
              <w:ind w:left="60"/>
              <w:spacing w:after="0"/>
              <w:rPr>
                <w:sz w:val="20"/>
                <w:szCs w:val="20"/>
                <w:color w:val="auto"/>
              </w:rPr>
            </w:pPr>
            <w:r>
              <w:rPr>
                <w:rFonts w:ascii="Arial" w:cs="Arial" w:eastAsia="Arial" w:hAnsi="Arial"/>
                <w:sz w:val="13"/>
                <w:szCs w:val="13"/>
                <w:color w:val="333333"/>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b w:val="1"/>
                <w:bCs w:val="1"/>
                <w:color w:val="333333"/>
              </w:rPr>
              <w:t>Clarke</w:t>
            </w: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color w:val="333333"/>
              </w:rPr>
              <w:t>3/1/23</w:t>
            </w:r>
          </w:p>
        </w:tc>
        <w:tc>
          <w:tcPr>
            <w:tcW w:w="4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100"/>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60"/>
              <w:spacing w:after="0"/>
              <w:rPr>
                <w:sz w:val="20"/>
                <w:szCs w:val="20"/>
                <w:color w:val="auto"/>
              </w:rPr>
            </w:pPr>
            <w:r>
              <w:rPr>
                <w:rFonts w:ascii="Arial" w:cs="Arial" w:eastAsia="Arial" w:hAnsi="Arial"/>
                <w:sz w:val="13"/>
                <w:szCs w:val="13"/>
                <w:color w:val="333333"/>
              </w:rPr>
              <w:t>—</w:t>
            </w:r>
          </w:p>
        </w:tc>
        <w:tc>
          <w:tcPr>
            <w:tcW w:w="420" w:type="dxa"/>
            <w:vAlign w:val="bottom"/>
          </w:tcPr>
          <w:p>
            <w:pPr>
              <w:ind w:left="100"/>
              <w:spacing w:after="0"/>
              <w:rPr>
                <w:sz w:val="20"/>
                <w:szCs w:val="20"/>
                <w:color w:val="auto"/>
              </w:rPr>
            </w:pPr>
            <w:r>
              <w:rPr>
                <w:rFonts w:ascii="Arial" w:cs="Arial" w:eastAsia="Arial" w:hAnsi="Arial"/>
                <w:sz w:val="13"/>
                <w:szCs w:val="13"/>
                <w:color w:val="333333"/>
              </w:rPr>
              <w:t>—</w:t>
            </w:r>
          </w:p>
        </w:tc>
        <w:tc>
          <w:tcPr>
            <w:tcW w:w="20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100"/>
              <w:spacing w:after="0"/>
              <w:rPr>
                <w:sz w:val="20"/>
                <w:szCs w:val="20"/>
                <w:color w:val="auto"/>
              </w:rPr>
            </w:pPr>
            <w:r>
              <w:rPr>
                <w:rFonts w:ascii="Arial" w:cs="Arial" w:eastAsia="Arial" w:hAnsi="Arial"/>
                <w:sz w:val="13"/>
                <w:szCs w:val="13"/>
                <w:color w:val="333333"/>
              </w:rPr>
              <w:t>6,745</w:t>
            </w:r>
          </w:p>
        </w:tc>
        <w:tc>
          <w:tcPr>
            <w:tcW w:w="72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80"/>
              <w:spacing w:after="0"/>
              <w:rPr>
                <w:sz w:val="20"/>
                <w:szCs w:val="20"/>
                <w:color w:val="auto"/>
              </w:rPr>
            </w:pPr>
            <w:r>
              <w:rPr>
                <w:rFonts w:ascii="Arial" w:cs="Arial" w:eastAsia="Arial" w:hAnsi="Arial"/>
                <w:sz w:val="13"/>
                <w:szCs w:val="13"/>
                <w:color w:val="333333"/>
              </w:rPr>
              <w:t>—</w:t>
            </w:r>
          </w:p>
        </w:tc>
        <w:tc>
          <w:tcPr>
            <w:tcW w:w="800" w:type="dxa"/>
            <w:vAlign w:val="bottom"/>
            <w:gridSpan w:val="2"/>
          </w:tcPr>
          <w:p>
            <w:pPr>
              <w:ind w:left="60"/>
              <w:spacing w:after="0"/>
              <w:rPr>
                <w:sz w:val="20"/>
                <w:szCs w:val="20"/>
                <w:color w:val="auto"/>
              </w:rPr>
            </w:pPr>
            <w:r>
              <w:rPr>
                <w:rFonts w:ascii="Arial" w:cs="Arial" w:eastAsia="Arial" w:hAnsi="Arial"/>
                <w:sz w:val="13"/>
                <w:szCs w:val="13"/>
                <w:color w:val="333333"/>
              </w:rPr>
              <w:t>$1,440,058</w:t>
            </w: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20" w:type="dxa"/>
            <w:vAlign w:val="bottom"/>
            <w:shd w:val="clear" w:color="auto" w:fill="D9D9D9"/>
          </w:tcPr>
          <w:p>
            <w:pPr>
              <w:spacing w:after="0"/>
              <w:rPr>
                <w:sz w:val="17"/>
                <w:szCs w:val="17"/>
                <w:color w:val="auto"/>
              </w:rPr>
            </w:pPr>
          </w:p>
        </w:tc>
        <w:tc>
          <w:tcPr>
            <w:tcW w:w="88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Tom</w:t>
            </w:r>
          </w:p>
        </w:tc>
        <w:tc>
          <w:tcPr>
            <w:tcW w:w="40" w:type="dxa"/>
            <w:vAlign w:val="bottom"/>
            <w:shd w:val="clear" w:color="auto" w:fill="D9D9D9"/>
          </w:tcPr>
          <w:p>
            <w:pPr>
              <w:spacing w:after="0"/>
              <w:rPr>
                <w:sz w:val="17"/>
                <w:szCs w:val="17"/>
                <w:color w:val="auto"/>
              </w:rPr>
            </w:pPr>
          </w:p>
        </w:tc>
        <w:tc>
          <w:tcPr>
            <w:tcW w:w="64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620" w:type="dxa"/>
            <w:vAlign w:val="bottom"/>
            <w:gridSpan w:val="2"/>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$45,000</w:t>
            </w:r>
          </w:p>
        </w:tc>
        <w:tc>
          <w:tcPr>
            <w:tcW w:w="74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$135,000</w:t>
            </w:r>
          </w:p>
        </w:tc>
        <w:tc>
          <w:tcPr>
            <w:tcW w:w="68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42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200" w:type="dxa"/>
            <w:vAlign w:val="bottom"/>
            <w:shd w:val="clear" w:color="auto" w:fill="D9D9D9"/>
          </w:tcPr>
          <w:p>
            <w:pPr>
              <w:spacing w:after="0"/>
              <w:rPr>
                <w:sz w:val="17"/>
                <w:szCs w:val="17"/>
                <w:color w:val="auto"/>
              </w:rPr>
            </w:pPr>
          </w:p>
        </w:tc>
        <w:tc>
          <w:tcPr>
            <w:tcW w:w="70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2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4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3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20" w:type="dxa"/>
            <w:vAlign w:val="bottom"/>
            <w:shd w:val="clear" w:color="auto" w:fill="D9D9D9"/>
          </w:tcPr>
          <w:p>
            <w:pPr>
              <w:spacing w:after="0"/>
              <w:rPr>
                <w:sz w:val="14"/>
                <w:szCs w:val="14"/>
                <w:color w:val="auto"/>
              </w:rPr>
            </w:pPr>
          </w:p>
        </w:tc>
        <w:tc>
          <w:tcPr>
            <w:tcW w:w="88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Panther</w:t>
            </w:r>
          </w:p>
        </w:tc>
        <w:tc>
          <w:tcPr>
            <w:tcW w:w="40" w:type="dxa"/>
            <w:vAlign w:val="bottom"/>
            <w:shd w:val="clear" w:color="auto" w:fill="D9D9D9"/>
          </w:tcPr>
          <w:p>
            <w:pPr>
              <w:spacing w:after="0"/>
              <w:rPr>
                <w:sz w:val="14"/>
                <w:szCs w:val="14"/>
                <w:color w:val="auto"/>
              </w:rPr>
            </w:pPr>
          </w:p>
        </w:tc>
        <w:tc>
          <w:tcPr>
            <w:tcW w:w="640" w:type="dxa"/>
            <w:vAlign w:val="bottom"/>
            <w:vMerge w:val="restart"/>
            <w:shd w:val="clear" w:color="auto" w:fill="D9D9D9"/>
          </w:tcPr>
          <w:p>
            <w:pPr>
              <w:spacing w:after="0"/>
              <w:rPr>
                <w:sz w:val="20"/>
                <w:szCs w:val="20"/>
                <w:color w:val="auto"/>
              </w:rPr>
            </w:pPr>
            <w:r>
              <w:rPr>
                <w:rFonts w:ascii="Arial" w:cs="Arial" w:eastAsia="Arial" w:hAnsi="Arial"/>
                <w:sz w:val="13"/>
                <w:szCs w:val="13"/>
                <w:color w:val="333333"/>
              </w:rPr>
              <w:t>5/2/23</w:t>
            </w:r>
          </w:p>
        </w:tc>
        <w:tc>
          <w:tcPr>
            <w:tcW w:w="4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560" w:type="dxa"/>
            <w:vAlign w:val="bottom"/>
            <w:shd w:val="clear" w:color="auto" w:fill="D9D9D9"/>
          </w:tcPr>
          <w:p>
            <w:pPr>
              <w:spacing w:after="0"/>
              <w:rPr>
                <w:sz w:val="14"/>
                <w:szCs w:val="14"/>
                <w:color w:val="auto"/>
              </w:rPr>
            </w:pPr>
          </w:p>
        </w:tc>
        <w:tc>
          <w:tcPr>
            <w:tcW w:w="680" w:type="dxa"/>
            <w:vAlign w:val="bottom"/>
            <w:vMerge w:val="restart"/>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40" w:type="dxa"/>
            <w:vAlign w:val="bottom"/>
            <w:vMerge w:val="restart"/>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80" w:type="dxa"/>
            <w:vAlign w:val="bottom"/>
            <w:vMerge w:val="restart"/>
            <w:shd w:val="clear" w:color="auto" w:fill="D9D9D9"/>
          </w:tcPr>
          <w:p>
            <w:pPr>
              <w:ind w:left="60"/>
              <w:spacing w:after="0"/>
              <w:rPr>
                <w:sz w:val="20"/>
                <w:szCs w:val="20"/>
                <w:color w:val="auto"/>
              </w:rPr>
            </w:pPr>
            <w:r>
              <w:rPr>
                <w:rFonts w:ascii="Arial" w:cs="Arial" w:eastAsia="Arial" w:hAnsi="Arial"/>
                <w:sz w:val="13"/>
                <w:szCs w:val="13"/>
                <w:color w:val="333333"/>
              </w:rPr>
              <w:t>2,173</w:t>
            </w:r>
          </w:p>
        </w:tc>
        <w:tc>
          <w:tcPr>
            <w:tcW w:w="620" w:type="dxa"/>
            <w:vAlign w:val="bottom"/>
            <w:gridSpan w:val="2"/>
            <w:vMerge w:val="restart"/>
            <w:shd w:val="clear" w:color="auto" w:fill="D9D9D9"/>
          </w:tcPr>
          <w:p>
            <w:pPr>
              <w:ind w:left="100"/>
              <w:spacing w:after="0"/>
              <w:rPr>
                <w:sz w:val="20"/>
                <w:szCs w:val="20"/>
                <w:color w:val="auto"/>
              </w:rPr>
            </w:pPr>
            <w:r>
              <w:rPr>
                <w:rFonts w:ascii="Arial" w:cs="Arial" w:eastAsia="Arial" w:hAnsi="Arial"/>
                <w:sz w:val="13"/>
                <w:szCs w:val="13"/>
                <w:color w:val="333333"/>
              </w:rPr>
              <w:t>4,346</w:t>
            </w:r>
            <w:r>
              <w:rPr>
                <w:rFonts w:ascii="Arial" w:cs="Arial" w:eastAsia="Arial" w:hAnsi="Arial"/>
                <w:sz w:val="20"/>
                <w:szCs w:val="20"/>
                <w:color w:val="333333"/>
                <w:vertAlign w:val="superscript"/>
              </w:rPr>
              <w:t>(5)</w:t>
            </w:r>
          </w:p>
        </w:tc>
        <w:tc>
          <w:tcPr>
            <w:tcW w:w="700" w:type="dxa"/>
            <w:vAlign w:val="bottom"/>
            <w:vMerge w:val="restart"/>
            <w:shd w:val="clear" w:color="auto" w:fill="D9D9D9"/>
          </w:tcPr>
          <w:p>
            <w:pPr>
              <w:ind w:left="80"/>
              <w:spacing w:after="0"/>
              <w:rPr>
                <w:sz w:val="20"/>
                <w:szCs w:val="20"/>
                <w:color w:val="auto"/>
              </w:rPr>
            </w:pPr>
            <w:r>
              <w:rPr>
                <w:rFonts w:ascii="Arial" w:cs="Arial" w:eastAsia="Arial" w:hAnsi="Arial"/>
                <w:sz w:val="13"/>
                <w:szCs w:val="13"/>
                <w:color w:val="333333"/>
              </w:rPr>
              <w:t>6,519</w:t>
            </w:r>
          </w:p>
        </w:tc>
        <w:tc>
          <w:tcPr>
            <w:tcW w:w="740" w:type="dxa"/>
            <w:vAlign w:val="bottom"/>
            <w:vMerge w:val="restart"/>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20" w:type="dxa"/>
            <w:vAlign w:val="bottom"/>
            <w:vMerge w:val="restart"/>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vMerge w:val="restart"/>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800" w:type="dxa"/>
            <w:vAlign w:val="bottom"/>
            <w:gridSpan w:val="2"/>
            <w:vMerge w:val="restart"/>
            <w:shd w:val="clear" w:color="auto" w:fill="D9D9D9"/>
          </w:tcPr>
          <w:p>
            <w:pPr>
              <w:ind w:left="60"/>
              <w:spacing w:after="0"/>
              <w:rPr>
                <w:sz w:val="20"/>
                <w:szCs w:val="20"/>
                <w:color w:val="auto"/>
              </w:rPr>
            </w:pPr>
            <w:r>
              <w:rPr>
                <w:rFonts w:ascii="Arial" w:cs="Arial" w:eastAsia="Arial" w:hAnsi="Arial"/>
                <w:sz w:val="13"/>
                <w:szCs w:val="13"/>
                <w:color w:val="333333"/>
              </w:rPr>
              <w:t>$900,013</w:t>
            </w:r>
          </w:p>
        </w:tc>
        <w:tc>
          <w:tcPr>
            <w:tcW w:w="0" w:type="dxa"/>
            <w:vAlign w:val="bottom"/>
          </w:tcPr>
          <w:p>
            <w:pPr>
              <w:spacing w:after="0"/>
              <w:rPr>
                <w:sz w:val="1"/>
                <w:szCs w:val="1"/>
                <w:color w:val="auto"/>
              </w:rPr>
            </w:pPr>
          </w:p>
        </w:tc>
      </w:tr>
      <w:tr>
        <w:trPr>
          <w:trHeight w:val="264"/>
        </w:trPr>
        <w:tc>
          <w:tcPr>
            <w:tcW w:w="12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40" w:type="dxa"/>
            <w:vAlign w:val="bottom"/>
            <w:shd w:val="clear" w:color="auto" w:fill="D9D9D9"/>
          </w:tcPr>
          <w:p>
            <w:pPr>
              <w:spacing w:after="0"/>
              <w:rPr>
                <w:sz w:val="23"/>
                <w:szCs w:val="23"/>
                <w:color w:val="auto"/>
              </w:rPr>
            </w:pPr>
          </w:p>
        </w:tc>
        <w:tc>
          <w:tcPr>
            <w:tcW w:w="640" w:type="dxa"/>
            <w:vAlign w:val="bottom"/>
            <w:vMerge w:val="continue"/>
            <w:shd w:val="clear" w:color="auto" w:fill="D9D9D9"/>
          </w:tcPr>
          <w:p>
            <w:pPr>
              <w:spacing w:after="0"/>
              <w:rPr>
                <w:sz w:val="23"/>
                <w:szCs w:val="23"/>
                <w:color w:val="auto"/>
              </w:rPr>
            </w:pPr>
          </w:p>
        </w:tc>
        <w:tc>
          <w:tcPr>
            <w:tcW w:w="4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560" w:type="dxa"/>
            <w:vAlign w:val="bottom"/>
            <w:shd w:val="clear" w:color="auto" w:fill="D9D9D9"/>
          </w:tcPr>
          <w:p>
            <w:pPr>
              <w:spacing w:after="0"/>
              <w:rPr>
                <w:sz w:val="23"/>
                <w:szCs w:val="23"/>
                <w:color w:val="auto"/>
              </w:rPr>
            </w:pPr>
          </w:p>
        </w:tc>
        <w:tc>
          <w:tcPr>
            <w:tcW w:w="680" w:type="dxa"/>
            <w:vAlign w:val="bottom"/>
            <w:vMerge w:val="continue"/>
            <w:shd w:val="clear" w:color="auto" w:fill="D9D9D9"/>
          </w:tcPr>
          <w:p>
            <w:pPr>
              <w:spacing w:after="0"/>
              <w:rPr>
                <w:sz w:val="23"/>
                <w:szCs w:val="23"/>
                <w:color w:val="auto"/>
              </w:rPr>
            </w:pPr>
          </w:p>
        </w:tc>
        <w:tc>
          <w:tcPr>
            <w:tcW w:w="740" w:type="dxa"/>
            <w:vAlign w:val="bottom"/>
            <w:vMerge w:val="continue"/>
            <w:shd w:val="clear" w:color="auto" w:fill="D9D9D9"/>
          </w:tcPr>
          <w:p>
            <w:pPr>
              <w:spacing w:after="0"/>
              <w:rPr>
                <w:sz w:val="23"/>
                <w:szCs w:val="23"/>
                <w:color w:val="auto"/>
              </w:rPr>
            </w:pPr>
          </w:p>
        </w:tc>
        <w:tc>
          <w:tcPr>
            <w:tcW w:w="680" w:type="dxa"/>
            <w:vAlign w:val="bottom"/>
            <w:vMerge w:val="continue"/>
            <w:shd w:val="clear" w:color="auto" w:fill="D9D9D9"/>
          </w:tcPr>
          <w:p>
            <w:pPr>
              <w:spacing w:after="0"/>
              <w:rPr>
                <w:sz w:val="23"/>
                <w:szCs w:val="23"/>
                <w:color w:val="auto"/>
              </w:rPr>
            </w:pPr>
          </w:p>
        </w:tc>
        <w:tc>
          <w:tcPr>
            <w:tcW w:w="620" w:type="dxa"/>
            <w:vAlign w:val="bottom"/>
            <w:gridSpan w:val="2"/>
            <w:vMerge w:val="continue"/>
            <w:shd w:val="clear" w:color="auto" w:fill="D9D9D9"/>
          </w:tcPr>
          <w:p>
            <w:pPr>
              <w:spacing w:after="0"/>
              <w:rPr>
                <w:sz w:val="23"/>
                <w:szCs w:val="23"/>
                <w:color w:val="auto"/>
              </w:rPr>
            </w:pPr>
          </w:p>
        </w:tc>
        <w:tc>
          <w:tcPr>
            <w:tcW w:w="700" w:type="dxa"/>
            <w:vAlign w:val="bottom"/>
            <w:vMerge w:val="continue"/>
            <w:shd w:val="clear" w:color="auto" w:fill="D9D9D9"/>
          </w:tcPr>
          <w:p>
            <w:pPr>
              <w:spacing w:after="0"/>
              <w:rPr>
                <w:sz w:val="23"/>
                <w:szCs w:val="23"/>
                <w:color w:val="auto"/>
              </w:rPr>
            </w:pPr>
          </w:p>
        </w:tc>
        <w:tc>
          <w:tcPr>
            <w:tcW w:w="740" w:type="dxa"/>
            <w:vAlign w:val="bottom"/>
            <w:vMerge w:val="continue"/>
            <w:shd w:val="clear" w:color="auto" w:fill="D9D9D9"/>
          </w:tcPr>
          <w:p>
            <w:pPr>
              <w:spacing w:after="0"/>
              <w:rPr>
                <w:sz w:val="23"/>
                <w:szCs w:val="23"/>
                <w:color w:val="auto"/>
              </w:rPr>
            </w:pPr>
          </w:p>
        </w:tc>
        <w:tc>
          <w:tcPr>
            <w:tcW w:w="720" w:type="dxa"/>
            <w:vAlign w:val="bottom"/>
            <w:vMerge w:val="continue"/>
            <w:shd w:val="clear" w:color="auto" w:fill="D9D9D9"/>
          </w:tcPr>
          <w:p>
            <w:pPr>
              <w:spacing w:after="0"/>
              <w:rPr>
                <w:sz w:val="23"/>
                <w:szCs w:val="23"/>
                <w:color w:val="auto"/>
              </w:rPr>
            </w:pPr>
          </w:p>
        </w:tc>
        <w:tc>
          <w:tcPr>
            <w:tcW w:w="740" w:type="dxa"/>
            <w:vAlign w:val="bottom"/>
            <w:vMerge w:val="continue"/>
            <w:shd w:val="clear" w:color="auto" w:fill="D9D9D9"/>
          </w:tcPr>
          <w:p>
            <w:pPr>
              <w:spacing w:after="0"/>
              <w:rPr>
                <w:sz w:val="23"/>
                <w:szCs w:val="23"/>
                <w:color w:val="auto"/>
              </w:rPr>
            </w:pPr>
          </w:p>
        </w:tc>
        <w:tc>
          <w:tcPr>
            <w:tcW w:w="800" w:type="dxa"/>
            <w:vAlign w:val="bottom"/>
            <w:gridSpan w:val="2"/>
            <w:vMerge w:val="continue"/>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12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0"/>
                <w:szCs w:val="20"/>
                <w:color w:val="auto"/>
              </w:rPr>
            </w:pPr>
            <w:r>
              <w:rPr>
                <w:rFonts w:ascii="Arial" w:cs="Arial" w:eastAsia="Arial" w:hAnsi="Arial"/>
                <w:sz w:val="13"/>
                <w:szCs w:val="13"/>
                <w:color w:val="333333"/>
              </w:rPr>
              <w:t>5/2/23</w:t>
            </w:r>
          </w:p>
        </w:tc>
        <w:tc>
          <w:tcPr>
            <w:tcW w:w="40" w:type="dxa"/>
            <w:vAlign w:val="bottom"/>
            <w:shd w:val="clear" w:color="auto" w:fill="D9D9D9"/>
          </w:tcPr>
          <w:p>
            <w:pPr>
              <w:spacing w:after="0"/>
              <w:rPr>
                <w:sz w:val="24"/>
                <w:szCs w:val="24"/>
                <w:color w:val="auto"/>
              </w:rPr>
            </w:pPr>
          </w:p>
        </w:tc>
        <w:tc>
          <w:tcPr>
            <w:tcW w:w="620" w:type="dxa"/>
            <w:vAlign w:val="bottom"/>
            <w:gridSpan w:val="2"/>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20" w:type="dxa"/>
            <w:vAlign w:val="bottom"/>
            <w:gridSpan w:val="2"/>
            <w:shd w:val="clear" w:color="auto" w:fill="D9D9D9"/>
          </w:tcPr>
          <w:p>
            <w:pPr>
              <w:ind w:left="100"/>
              <w:spacing w:after="0"/>
              <w:rPr>
                <w:sz w:val="20"/>
                <w:szCs w:val="20"/>
                <w:color w:val="auto"/>
              </w:rPr>
            </w:pPr>
            <w:r>
              <w:rPr>
                <w:rFonts w:ascii="Arial" w:cs="Arial" w:eastAsia="Arial" w:hAnsi="Arial"/>
                <w:sz w:val="13"/>
                <w:szCs w:val="13"/>
                <w:color w:val="333333"/>
              </w:rPr>
              <w:t>1,449</w:t>
            </w:r>
            <w:r>
              <w:rPr>
                <w:rFonts w:ascii="Arial" w:cs="Arial" w:eastAsia="Arial" w:hAnsi="Arial"/>
                <w:sz w:val="20"/>
                <w:szCs w:val="20"/>
                <w:color w:val="333333"/>
                <w:vertAlign w:val="superscript"/>
              </w:rPr>
              <w:t>(6)</w:t>
            </w:r>
          </w:p>
        </w:tc>
        <w:tc>
          <w:tcPr>
            <w:tcW w:w="70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2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800" w:type="dxa"/>
            <w:vAlign w:val="bottom"/>
            <w:gridSpan w:val="2"/>
            <w:shd w:val="clear" w:color="auto" w:fill="D9D9D9"/>
          </w:tcPr>
          <w:p>
            <w:pPr>
              <w:ind w:left="60"/>
              <w:spacing w:after="0"/>
              <w:rPr>
                <w:sz w:val="20"/>
                <w:szCs w:val="20"/>
                <w:color w:val="auto"/>
              </w:rPr>
            </w:pPr>
            <w:r>
              <w:rPr>
                <w:rFonts w:ascii="Arial" w:cs="Arial" w:eastAsia="Arial" w:hAnsi="Arial"/>
                <w:sz w:val="13"/>
                <w:szCs w:val="13"/>
                <w:color w:val="333333"/>
              </w:rPr>
              <w:t>$300,073</w:t>
            </w:r>
          </w:p>
        </w:tc>
        <w:tc>
          <w:tcPr>
            <w:tcW w:w="0" w:type="dxa"/>
            <w:vAlign w:val="bottom"/>
          </w:tcPr>
          <w:p>
            <w:pPr>
              <w:spacing w:after="0"/>
              <w:rPr>
                <w:sz w:val="1"/>
                <w:szCs w:val="1"/>
                <w:color w:val="auto"/>
              </w:rPr>
            </w:pPr>
          </w:p>
        </w:tc>
      </w:tr>
      <w:tr>
        <w:trPr>
          <w:trHeight w:val="229"/>
        </w:trPr>
        <w:tc>
          <w:tcPr>
            <w:tcW w:w="120" w:type="dxa"/>
            <w:vAlign w:val="bottom"/>
            <w:shd w:val="clear" w:color="auto" w:fill="D9D9D9"/>
          </w:tcPr>
          <w:p>
            <w:pPr>
              <w:spacing w:after="0"/>
              <w:rPr>
                <w:sz w:val="19"/>
                <w:szCs w:val="19"/>
                <w:color w:val="auto"/>
              </w:rPr>
            </w:pPr>
          </w:p>
        </w:tc>
        <w:tc>
          <w:tcPr>
            <w:tcW w:w="88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640" w:type="dxa"/>
            <w:vAlign w:val="bottom"/>
            <w:shd w:val="clear" w:color="auto" w:fill="D9D9D9"/>
          </w:tcPr>
          <w:p>
            <w:pPr>
              <w:spacing w:after="0"/>
              <w:rPr>
                <w:sz w:val="20"/>
                <w:szCs w:val="20"/>
                <w:color w:val="auto"/>
              </w:rPr>
            </w:pPr>
            <w:r>
              <w:rPr>
                <w:rFonts w:ascii="Arial" w:cs="Arial" w:eastAsia="Arial" w:hAnsi="Arial"/>
                <w:sz w:val="13"/>
                <w:szCs w:val="13"/>
                <w:color w:val="333333"/>
              </w:rPr>
              <w:t>5/2/23</w:t>
            </w:r>
          </w:p>
        </w:tc>
        <w:tc>
          <w:tcPr>
            <w:tcW w:w="4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56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42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200" w:type="dxa"/>
            <w:vAlign w:val="bottom"/>
            <w:shd w:val="clear" w:color="auto" w:fill="D9D9D9"/>
          </w:tcPr>
          <w:p>
            <w:pPr>
              <w:spacing w:after="0"/>
              <w:rPr>
                <w:sz w:val="19"/>
                <w:szCs w:val="19"/>
                <w:color w:val="auto"/>
              </w:rPr>
            </w:pPr>
          </w:p>
        </w:tc>
        <w:tc>
          <w:tcPr>
            <w:tcW w:w="70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870</w:t>
            </w:r>
          </w:p>
        </w:tc>
        <w:tc>
          <w:tcPr>
            <w:tcW w:w="72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800" w:type="dxa"/>
            <w:vAlign w:val="bottom"/>
            <w:gridSpan w:val="2"/>
            <w:shd w:val="clear" w:color="auto" w:fill="D9D9D9"/>
          </w:tcPr>
          <w:p>
            <w:pPr>
              <w:ind w:left="60"/>
              <w:spacing w:after="0"/>
              <w:rPr>
                <w:sz w:val="20"/>
                <w:szCs w:val="20"/>
                <w:color w:val="auto"/>
              </w:rPr>
            </w:pPr>
            <w:r>
              <w:rPr>
                <w:rFonts w:ascii="Arial" w:cs="Arial" w:eastAsia="Arial" w:hAnsi="Arial"/>
                <w:sz w:val="13"/>
                <w:szCs w:val="13"/>
                <w:color w:val="333333"/>
              </w:rPr>
              <w:t>$180,168</w:t>
            </w:r>
          </w:p>
        </w:tc>
        <w:tc>
          <w:tcPr>
            <w:tcW w:w="0" w:type="dxa"/>
            <w:vAlign w:val="bottom"/>
          </w:tcPr>
          <w:p>
            <w:pPr>
              <w:spacing w:after="0"/>
              <w:rPr>
                <w:sz w:val="1"/>
                <w:szCs w:val="1"/>
                <w:color w:val="auto"/>
              </w:rPr>
            </w:pPr>
          </w:p>
        </w:tc>
      </w:tr>
      <w:tr>
        <w:trPr>
          <w:trHeight w:val="297"/>
        </w:trPr>
        <w:tc>
          <w:tcPr>
            <w:tcW w:w="12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0"/>
                <w:szCs w:val="20"/>
                <w:color w:val="auto"/>
              </w:rPr>
            </w:pPr>
            <w:r>
              <w:rPr>
                <w:rFonts w:ascii="Arial" w:cs="Arial" w:eastAsia="Arial" w:hAnsi="Arial"/>
                <w:sz w:val="13"/>
                <w:szCs w:val="13"/>
                <w:color w:val="333333"/>
              </w:rPr>
              <w:t>5/2/23</w:t>
            </w:r>
          </w:p>
        </w:tc>
        <w:tc>
          <w:tcPr>
            <w:tcW w:w="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56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42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2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17,002</w:t>
            </w:r>
          </w:p>
        </w:tc>
        <w:tc>
          <w:tcPr>
            <w:tcW w:w="7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$207.09</w:t>
            </w:r>
          </w:p>
        </w:tc>
        <w:tc>
          <w:tcPr>
            <w:tcW w:w="800" w:type="dxa"/>
            <w:vAlign w:val="bottom"/>
            <w:gridSpan w:val="2"/>
            <w:shd w:val="clear" w:color="auto" w:fill="D9D9D9"/>
          </w:tcPr>
          <w:p>
            <w:pPr>
              <w:ind w:left="60"/>
              <w:spacing w:after="0"/>
              <w:rPr>
                <w:sz w:val="20"/>
                <w:szCs w:val="20"/>
                <w:color w:val="auto"/>
              </w:rPr>
            </w:pPr>
            <w:r>
              <w:rPr>
                <w:rFonts w:ascii="Arial" w:cs="Arial" w:eastAsia="Arial" w:hAnsi="Arial"/>
                <w:sz w:val="13"/>
                <w:szCs w:val="13"/>
                <w:color w:val="333333"/>
              </w:rPr>
              <w:t>$1,200,001</w:t>
            </w:r>
          </w:p>
        </w:tc>
        <w:tc>
          <w:tcPr>
            <w:tcW w:w="0" w:type="dxa"/>
            <w:vAlign w:val="bottom"/>
          </w:tcPr>
          <w:p>
            <w:pPr>
              <w:spacing w:after="0"/>
              <w:rPr>
                <w:sz w:val="1"/>
                <w:szCs w:val="1"/>
                <w:color w:val="auto"/>
              </w:rPr>
            </w:pPr>
          </w:p>
        </w:tc>
      </w:tr>
      <w:tr>
        <w:trPr>
          <w:trHeight w:val="68"/>
        </w:trPr>
        <w:tc>
          <w:tcPr>
            <w:tcW w:w="120" w:type="dxa"/>
            <w:vAlign w:val="bottom"/>
            <w:shd w:val="clear" w:color="auto" w:fill="D9D9D9"/>
          </w:tcPr>
          <w:p>
            <w:pPr>
              <w:spacing w:after="0"/>
              <w:rPr>
                <w:sz w:val="5"/>
                <w:szCs w:val="5"/>
                <w:color w:val="auto"/>
              </w:rPr>
            </w:pPr>
          </w:p>
        </w:tc>
        <w:tc>
          <w:tcPr>
            <w:tcW w:w="880" w:type="dxa"/>
            <w:vAlign w:val="bottom"/>
            <w:shd w:val="clear" w:color="auto" w:fill="D9D9D9"/>
          </w:tcPr>
          <w:p>
            <w:pPr>
              <w:spacing w:after="0"/>
              <w:rPr>
                <w:sz w:val="5"/>
                <w:szCs w:val="5"/>
                <w:color w:val="auto"/>
              </w:rPr>
            </w:pPr>
          </w:p>
        </w:tc>
        <w:tc>
          <w:tcPr>
            <w:tcW w:w="40" w:type="dxa"/>
            <w:vAlign w:val="bottom"/>
            <w:shd w:val="clear" w:color="auto" w:fill="D9D9D9"/>
          </w:tcPr>
          <w:p>
            <w:pPr>
              <w:spacing w:after="0"/>
              <w:rPr>
                <w:sz w:val="5"/>
                <w:szCs w:val="5"/>
                <w:color w:val="auto"/>
              </w:rPr>
            </w:pPr>
          </w:p>
        </w:tc>
        <w:tc>
          <w:tcPr>
            <w:tcW w:w="640" w:type="dxa"/>
            <w:vAlign w:val="bottom"/>
            <w:shd w:val="clear" w:color="auto" w:fill="D9D9D9"/>
          </w:tcPr>
          <w:p>
            <w:pPr>
              <w:spacing w:after="0"/>
              <w:rPr>
                <w:sz w:val="5"/>
                <w:szCs w:val="5"/>
                <w:color w:val="auto"/>
              </w:rPr>
            </w:pPr>
          </w:p>
        </w:tc>
        <w:tc>
          <w:tcPr>
            <w:tcW w:w="40" w:type="dxa"/>
            <w:vAlign w:val="bottom"/>
            <w:shd w:val="clear" w:color="auto" w:fill="D9D9D9"/>
          </w:tcPr>
          <w:p>
            <w:pPr>
              <w:spacing w:after="0"/>
              <w:rPr>
                <w:sz w:val="5"/>
                <w:szCs w:val="5"/>
                <w:color w:val="auto"/>
              </w:rPr>
            </w:pPr>
          </w:p>
        </w:tc>
        <w:tc>
          <w:tcPr>
            <w:tcW w:w="60" w:type="dxa"/>
            <w:vAlign w:val="bottom"/>
            <w:shd w:val="clear" w:color="auto" w:fill="D9D9D9"/>
          </w:tcPr>
          <w:p>
            <w:pPr>
              <w:spacing w:after="0"/>
              <w:rPr>
                <w:sz w:val="5"/>
                <w:szCs w:val="5"/>
                <w:color w:val="auto"/>
              </w:rPr>
            </w:pPr>
          </w:p>
        </w:tc>
        <w:tc>
          <w:tcPr>
            <w:tcW w:w="560" w:type="dxa"/>
            <w:vAlign w:val="bottom"/>
            <w:shd w:val="clear" w:color="auto" w:fill="D9D9D9"/>
          </w:tcPr>
          <w:p>
            <w:pPr>
              <w:spacing w:after="0"/>
              <w:rPr>
                <w:sz w:val="5"/>
                <w:szCs w:val="5"/>
                <w:color w:val="auto"/>
              </w:rPr>
            </w:pPr>
          </w:p>
        </w:tc>
        <w:tc>
          <w:tcPr>
            <w:tcW w:w="680" w:type="dxa"/>
            <w:vAlign w:val="bottom"/>
            <w:shd w:val="clear" w:color="auto" w:fill="D9D9D9"/>
          </w:tcPr>
          <w:p>
            <w:pPr>
              <w:spacing w:after="0"/>
              <w:rPr>
                <w:sz w:val="5"/>
                <w:szCs w:val="5"/>
                <w:color w:val="auto"/>
              </w:rPr>
            </w:pPr>
          </w:p>
        </w:tc>
        <w:tc>
          <w:tcPr>
            <w:tcW w:w="740" w:type="dxa"/>
            <w:vAlign w:val="bottom"/>
            <w:shd w:val="clear" w:color="auto" w:fill="D9D9D9"/>
          </w:tcPr>
          <w:p>
            <w:pPr>
              <w:spacing w:after="0"/>
              <w:rPr>
                <w:sz w:val="5"/>
                <w:szCs w:val="5"/>
                <w:color w:val="auto"/>
              </w:rPr>
            </w:pPr>
          </w:p>
        </w:tc>
        <w:tc>
          <w:tcPr>
            <w:tcW w:w="680" w:type="dxa"/>
            <w:vAlign w:val="bottom"/>
            <w:shd w:val="clear" w:color="auto" w:fill="D9D9D9"/>
          </w:tcPr>
          <w:p>
            <w:pPr>
              <w:spacing w:after="0"/>
              <w:rPr>
                <w:sz w:val="5"/>
                <w:szCs w:val="5"/>
                <w:color w:val="auto"/>
              </w:rPr>
            </w:pPr>
          </w:p>
        </w:tc>
        <w:tc>
          <w:tcPr>
            <w:tcW w:w="420" w:type="dxa"/>
            <w:vAlign w:val="bottom"/>
            <w:shd w:val="clear" w:color="auto" w:fill="D9D9D9"/>
          </w:tcPr>
          <w:p>
            <w:pPr>
              <w:spacing w:after="0"/>
              <w:rPr>
                <w:sz w:val="5"/>
                <w:szCs w:val="5"/>
                <w:color w:val="auto"/>
              </w:rPr>
            </w:pPr>
          </w:p>
        </w:tc>
        <w:tc>
          <w:tcPr>
            <w:tcW w:w="200" w:type="dxa"/>
            <w:vAlign w:val="bottom"/>
            <w:shd w:val="clear" w:color="auto" w:fill="D9D9D9"/>
          </w:tcPr>
          <w:p>
            <w:pPr>
              <w:spacing w:after="0"/>
              <w:rPr>
                <w:sz w:val="5"/>
                <w:szCs w:val="5"/>
                <w:color w:val="auto"/>
              </w:rPr>
            </w:pPr>
          </w:p>
        </w:tc>
        <w:tc>
          <w:tcPr>
            <w:tcW w:w="700" w:type="dxa"/>
            <w:vAlign w:val="bottom"/>
            <w:shd w:val="clear" w:color="auto" w:fill="D9D9D9"/>
          </w:tcPr>
          <w:p>
            <w:pPr>
              <w:spacing w:after="0"/>
              <w:rPr>
                <w:sz w:val="5"/>
                <w:szCs w:val="5"/>
                <w:color w:val="auto"/>
              </w:rPr>
            </w:pPr>
          </w:p>
        </w:tc>
        <w:tc>
          <w:tcPr>
            <w:tcW w:w="740" w:type="dxa"/>
            <w:vAlign w:val="bottom"/>
            <w:shd w:val="clear" w:color="auto" w:fill="D9D9D9"/>
          </w:tcPr>
          <w:p>
            <w:pPr>
              <w:spacing w:after="0"/>
              <w:rPr>
                <w:sz w:val="5"/>
                <w:szCs w:val="5"/>
                <w:color w:val="auto"/>
              </w:rPr>
            </w:pPr>
          </w:p>
        </w:tc>
        <w:tc>
          <w:tcPr>
            <w:tcW w:w="720" w:type="dxa"/>
            <w:vAlign w:val="bottom"/>
            <w:shd w:val="clear" w:color="auto" w:fill="D9D9D9"/>
          </w:tcPr>
          <w:p>
            <w:pPr>
              <w:spacing w:after="0"/>
              <w:rPr>
                <w:sz w:val="5"/>
                <w:szCs w:val="5"/>
                <w:color w:val="auto"/>
              </w:rPr>
            </w:pPr>
          </w:p>
        </w:tc>
        <w:tc>
          <w:tcPr>
            <w:tcW w:w="740" w:type="dxa"/>
            <w:vAlign w:val="bottom"/>
            <w:shd w:val="clear" w:color="auto" w:fill="D9D9D9"/>
          </w:tcPr>
          <w:p>
            <w:pPr>
              <w:spacing w:after="0"/>
              <w:rPr>
                <w:sz w:val="5"/>
                <w:szCs w:val="5"/>
                <w:color w:val="auto"/>
              </w:rPr>
            </w:pPr>
          </w:p>
        </w:tc>
        <w:tc>
          <w:tcPr>
            <w:tcW w:w="460" w:type="dxa"/>
            <w:vAlign w:val="bottom"/>
            <w:shd w:val="clear" w:color="auto" w:fill="D9D9D9"/>
          </w:tcPr>
          <w:p>
            <w:pPr>
              <w:spacing w:after="0"/>
              <w:rPr>
                <w:sz w:val="5"/>
                <w:szCs w:val="5"/>
                <w:color w:val="auto"/>
              </w:rPr>
            </w:pPr>
          </w:p>
        </w:tc>
        <w:tc>
          <w:tcPr>
            <w:tcW w:w="34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880" w:type="dxa"/>
            <w:vAlign w:val="bottom"/>
          </w:tcPr>
          <w:p>
            <w:pPr>
              <w:ind w:left="60"/>
              <w:spacing w:after="0"/>
              <w:rPr>
                <w:sz w:val="20"/>
                <w:szCs w:val="20"/>
                <w:color w:val="auto"/>
              </w:rPr>
            </w:pPr>
            <w:r>
              <w:rPr>
                <w:rFonts w:ascii="Arial" w:cs="Arial" w:eastAsia="Arial" w:hAnsi="Arial"/>
                <w:sz w:val="13"/>
                <w:szCs w:val="13"/>
                <w:b w:val="1"/>
                <w:bCs w:val="1"/>
                <w:color w:val="333333"/>
              </w:rPr>
              <w:t>Alissa B.</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100"/>
              <w:spacing w:after="0"/>
              <w:rPr>
                <w:sz w:val="20"/>
                <w:szCs w:val="20"/>
                <w:color w:val="auto"/>
              </w:rPr>
            </w:pPr>
            <w:r>
              <w:rPr>
                <w:rFonts w:ascii="Arial" w:cs="Arial" w:eastAsia="Arial" w:hAnsi="Arial"/>
                <w:sz w:val="13"/>
                <w:szCs w:val="13"/>
                <w:color w:val="333333"/>
              </w:rPr>
              <w:t>$​30,000</w:t>
            </w:r>
          </w:p>
        </w:tc>
        <w:tc>
          <w:tcPr>
            <w:tcW w:w="740" w:type="dxa"/>
            <w:vAlign w:val="bottom"/>
          </w:tcPr>
          <w:p>
            <w:pPr>
              <w:ind w:left="60"/>
              <w:spacing w:after="0"/>
              <w:rPr>
                <w:sz w:val="20"/>
                <w:szCs w:val="20"/>
                <w:color w:val="auto"/>
              </w:rPr>
            </w:pPr>
            <w:r>
              <w:rPr>
                <w:rFonts w:ascii="Arial" w:cs="Arial" w:eastAsia="Arial" w:hAnsi="Arial"/>
                <w:sz w:val="13"/>
                <w:szCs w:val="13"/>
                <w:color w:val="333333"/>
              </w:rPr>
              <w:t>$​48,000</w:t>
            </w:r>
          </w:p>
        </w:tc>
        <w:tc>
          <w:tcPr>
            <w:tcW w:w="680" w:type="dxa"/>
            <w:vAlign w:val="bottom"/>
          </w:tcPr>
          <w:p>
            <w:pPr>
              <w:ind w:left="60"/>
              <w:spacing w:after="0"/>
              <w:rPr>
                <w:sz w:val="20"/>
                <w:szCs w:val="20"/>
                <w:color w:val="auto"/>
              </w:rPr>
            </w:pPr>
            <w:r>
              <w:rPr>
                <w:rFonts w:ascii="Arial" w:cs="Arial" w:eastAsia="Arial" w:hAnsi="Arial"/>
                <w:sz w:val="13"/>
                <w:szCs w:val="13"/>
                <w:color w:val="333333"/>
              </w:rPr>
              <w:t>—</w:t>
            </w:r>
          </w:p>
        </w:tc>
        <w:tc>
          <w:tcPr>
            <w:tcW w:w="420" w:type="dxa"/>
            <w:vAlign w:val="bottom"/>
          </w:tcPr>
          <w:p>
            <w:pPr>
              <w:ind w:left="100"/>
              <w:spacing w:after="0"/>
              <w:rPr>
                <w:sz w:val="20"/>
                <w:szCs w:val="20"/>
                <w:color w:val="auto"/>
              </w:rPr>
            </w:pPr>
            <w:r>
              <w:rPr>
                <w:rFonts w:ascii="Arial" w:cs="Arial" w:eastAsia="Arial" w:hAnsi="Arial"/>
                <w:sz w:val="13"/>
                <w:szCs w:val="13"/>
                <w:color w:val="333333"/>
              </w:rPr>
              <w:t>—</w:t>
            </w:r>
          </w:p>
        </w:tc>
        <w:tc>
          <w:tcPr>
            <w:tcW w:w="200" w:type="dxa"/>
            <w:vAlign w:val="bottom"/>
          </w:tcPr>
          <w:p>
            <w:pPr>
              <w:spacing w:after="0"/>
              <w:rPr>
                <w:sz w:val="17"/>
                <w:szCs w:val="17"/>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100"/>
              <w:spacing w:after="0"/>
              <w:rPr>
                <w:sz w:val="20"/>
                <w:szCs w:val="20"/>
                <w:color w:val="auto"/>
              </w:rPr>
            </w:pPr>
            <w:r>
              <w:rPr>
                <w:rFonts w:ascii="Arial" w:cs="Arial" w:eastAsia="Arial" w:hAnsi="Arial"/>
                <w:sz w:val="13"/>
                <w:szCs w:val="13"/>
                <w:color w:val="333333"/>
              </w:rPr>
              <w:t>—</w:t>
            </w:r>
          </w:p>
        </w:tc>
        <w:tc>
          <w:tcPr>
            <w:tcW w:w="72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80"/>
              <w:spacing w:after="0"/>
              <w:rPr>
                <w:sz w:val="20"/>
                <w:szCs w:val="20"/>
                <w:color w:val="auto"/>
              </w:rPr>
            </w:pPr>
            <w:r>
              <w:rPr>
                <w:rFonts w:ascii="Arial" w:cs="Arial" w:eastAsia="Arial" w:hAnsi="Arial"/>
                <w:sz w:val="13"/>
                <w:szCs w:val="13"/>
                <w:color w:val="333333"/>
              </w:rPr>
              <w:t>—</w:t>
            </w:r>
          </w:p>
        </w:tc>
        <w:tc>
          <w:tcPr>
            <w:tcW w:w="460" w:type="dxa"/>
            <w:vAlign w:val="bottom"/>
          </w:tcPr>
          <w:p>
            <w:pPr>
              <w:ind w:left="60"/>
              <w:spacing w:after="0"/>
              <w:rPr>
                <w:sz w:val="20"/>
                <w:szCs w:val="20"/>
                <w:color w:val="auto"/>
              </w:rPr>
            </w:pPr>
            <w:r>
              <w:rPr>
                <w:rFonts w:ascii="Arial" w:cs="Arial" w:eastAsia="Arial" w:hAnsi="Arial"/>
                <w:sz w:val="13"/>
                <w:szCs w:val="13"/>
                <w:color w:val="333333"/>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3"/>
                <w:szCs w:val="13"/>
                <w:b w:val="1"/>
                <w:bCs w:val="1"/>
                <w:color w:val="333333"/>
              </w:rPr>
              <w:t>Vickery</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0"/>
                <w:szCs w:val="10"/>
                <w:color w:val="333333"/>
                <w:w w:val="81"/>
              </w:rPr>
              <w:t>(6)</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color w:val="333333"/>
              </w:rPr>
              <w:t>3/1/23​</w:t>
            </w:r>
          </w:p>
        </w:tc>
        <w:tc>
          <w:tcPr>
            <w:tcW w:w="40" w:type="dxa"/>
            <w:vAlign w:val="bottom"/>
          </w:tcPr>
          <w:p>
            <w:pPr>
              <w:spacing w:after="0"/>
              <w:rPr>
                <w:sz w:val="17"/>
                <w:szCs w:val="17"/>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100"/>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60"/>
              <w:spacing w:after="0"/>
              <w:rPr>
                <w:sz w:val="20"/>
                <w:szCs w:val="20"/>
                <w:color w:val="auto"/>
              </w:rPr>
            </w:pPr>
            <w:r>
              <w:rPr>
                <w:rFonts w:ascii="Arial" w:cs="Arial" w:eastAsia="Arial" w:hAnsi="Arial"/>
                <w:sz w:val="13"/>
                <w:szCs w:val="13"/>
                <w:color w:val="333333"/>
              </w:rPr>
              <w:t>—</w:t>
            </w:r>
          </w:p>
        </w:tc>
        <w:tc>
          <w:tcPr>
            <w:tcW w:w="420" w:type="dxa"/>
            <w:vAlign w:val="bottom"/>
          </w:tcPr>
          <w:p>
            <w:pPr>
              <w:ind w:left="100"/>
              <w:spacing w:after="0"/>
              <w:rPr>
                <w:sz w:val="20"/>
                <w:szCs w:val="20"/>
                <w:color w:val="auto"/>
              </w:rPr>
            </w:pPr>
            <w:r>
              <w:rPr>
                <w:rFonts w:ascii="Arial" w:cs="Arial" w:eastAsia="Arial" w:hAnsi="Arial"/>
                <w:sz w:val="13"/>
                <w:szCs w:val="13"/>
                <w:color w:val="333333"/>
                <w:w w:val="92"/>
              </w:rPr>
              <w:t>1,171​</w:t>
            </w:r>
          </w:p>
        </w:tc>
        <w:tc>
          <w:tcPr>
            <w:tcW w:w="200" w:type="dxa"/>
            <w:vAlign w:val="bottom"/>
            <w:vMerge w:val="continue"/>
          </w:tcPr>
          <w:p>
            <w:pPr>
              <w:spacing w:after="0"/>
              <w:rPr>
                <w:sz w:val="17"/>
                <w:szCs w:val="17"/>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100"/>
              <w:spacing w:after="0"/>
              <w:rPr>
                <w:sz w:val="20"/>
                <w:szCs w:val="20"/>
                <w:color w:val="auto"/>
              </w:rPr>
            </w:pPr>
            <w:r>
              <w:rPr>
                <w:rFonts w:ascii="Arial" w:cs="Arial" w:eastAsia="Arial" w:hAnsi="Arial"/>
                <w:sz w:val="13"/>
                <w:szCs w:val="13"/>
                <w:color w:val="333333"/>
              </w:rPr>
              <w:t>—</w:t>
            </w:r>
          </w:p>
        </w:tc>
        <w:tc>
          <w:tcPr>
            <w:tcW w:w="72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80"/>
              <w:spacing w:after="0"/>
              <w:rPr>
                <w:sz w:val="20"/>
                <w:szCs w:val="20"/>
                <w:color w:val="auto"/>
              </w:rPr>
            </w:pPr>
            <w:r>
              <w:rPr>
                <w:rFonts w:ascii="Arial" w:cs="Arial" w:eastAsia="Arial" w:hAnsi="Arial"/>
                <w:sz w:val="13"/>
                <w:szCs w:val="13"/>
                <w:color w:val="333333"/>
              </w:rPr>
              <w:t>—</w:t>
            </w:r>
          </w:p>
        </w:tc>
        <w:tc>
          <w:tcPr>
            <w:tcW w:w="800" w:type="dxa"/>
            <w:vAlign w:val="bottom"/>
            <w:gridSpan w:val="2"/>
          </w:tcPr>
          <w:p>
            <w:pPr>
              <w:ind w:left="60"/>
              <w:spacing w:after="0"/>
              <w:rPr>
                <w:sz w:val="20"/>
                <w:szCs w:val="20"/>
                <w:color w:val="auto"/>
              </w:rPr>
            </w:pPr>
            <w:r>
              <w:rPr>
                <w:rFonts w:ascii="Arial" w:cs="Arial" w:eastAsia="Arial" w:hAnsi="Arial"/>
                <w:sz w:val="13"/>
                <w:szCs w:val="13"/>
                <w:color w:val="333333"/>
              </w:rPr>
              <w:t>$250,009</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color w:val="333333"/>
              </w:rPr>
              <w:t>3/1/23​</w:t>
            </w:r>
          </w:p>
        </w:tc>
        <w:tc>
          <w:tcPr>
            <w:tcW w:w="4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100"/>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60"/>
              <w:spacing w:after="0"/>
              <w:rPr>
                <w:sz w:val="20"/>
                <w:szCs w:val="20"/>
                <w:color w:val="auto"/>
              </w:rPr>
            </w:pPr>
            <w:r>
              <w:rPr>
                <w:rFonts w:ascii="Arial" w:cs="Arial" w:eastAsia="Arial" w:hAnsi="Arial"/>
                <w:sz w:val="13"/>
                <w:szCs w:val="13"/>
                <w:color w:val="333333"/>
              </w:rPr>
              <w:t>—</w:t>
            </w:r>
          </w:p>
        </w:tc>
        <w:tc>
          <w:tcPr>
            <w:tcW w:w="420" w:type="dxa"/>
            <w:vAlign w:val="bottom"/>
          </w:tcPr>
          <w:p>
            <w:pPr>
              <w:ind w:left="100"/>
              <w:spacing w:after="0"/>
              <w:rPr>
                <w:sz w:val="20"/>
                <w:szCs w:val="20"/>
                <w:color w:val="auto"/>
              </w:rPr>
            </w:pPr>
            <w:r>
              <w:rPr>
                <w:rFonts w:ascii="Arial" w:cs="Arial" w:eastAsia="Arial" w:hAnsi="Arial"/>
                <w:sz w:val="13"/>
                <w:szCs w:val="13"/>
                <w:color w:val="333333"/>
              </w:rPr>
              <w:t>—</w:t>
            </w:r>
          </w:p>
        </w:tc>
        <w:tc>
          <w:tcPr>
            <w:tcW w:w="20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100"/>
              <w:spacing w:after="0"/>
              <w:rPr>
                <w:sz w:val="20"/>
                <w:szCs w:val="20"/>
                <w:color w:val="auto"/>
              </w:rPr>
            </w:pPr>
            <w:r>
              <w:rPr>
                <w:rFonts w:ascii="Arial" w:cs="Arial" w:eastAsia="Arial" w:hAnsi="Arial"/>
                <w:sz w:val="13"/>
                <w:szCs w:val="13"/>
                <w:color w:val="333333"/>
              </w:rPr>
              <w:t>582​</w:t>
            </w:r>
          </w:p>
        </w:tc>
        <w:tc>
          <w:tcPr>
            <w:tcW w:w="72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80"/>
              <w:spacing w:after="0"/>
              <w:rPr>
                <w:sz w:val="20"/>
                <w:szCs w:val="20"/>
                <w:color w:val="auto"/>
              </w:rPr>
            </w:pPr>
            <w:r>
              <w:rPr>
                <w:rFonts w:ascii="Arial" w:cs="Arial" w:eastAsia="Arial" w:hAnsi="Arial"/>
                <w:sz w:val="13"/>
                <w:szCs w:val="13"/>
                <w:color w:val="333333"/>
              </w:rPr>
              <w:t>—​</w:t>
            </w:r>
          </w:p>
        </w:tc>
        <w:tc>
          <w:tcPr>
            <w:tcW w:w="800" w:type="dxa"/>
            <w:vAlign w:val="bottom"/>
            <w:gridSpan w:val="2"/>
          </w:tcPr>
          <w:p>
            <w:pPr>
              <w:ind w:left="60"/>
              <w:spacing w:after="0"/>
              <w:rPr>
                <w:sz w:val="20"/>
                <w:szCs w:val="20"/>
                <w:color w:val="auto"/>
              </w:rPr>
            </w:pPr>
            <w:r>
              <w:rPr>
                <w:rFonts w:ascii="Arial" w:cs="Arial" w:eastAsia="Arial" w:hAnsi="Arial"/>
                <w:sz w:val="13"/>
                <w:szCs w:val="13"/>
                <w:color w:val="333333"/>
              </w:rPr>
              <w:t>$124,257</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color w:val="333333"/>
              </w:rPr>
              <w:t>3/1/23</w:t>
            </w:r>
          </w:p>
        </w:tc>
        <w:tc>
          <w:tcPr>
            <w:tcW w:w="4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100"/>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60"/>
              <w:spacing w:after="0"/>
              <w:rPr>
                <w:sz w:val="20"/>
                <w:szCs w:val="20"/>
                <w:color w:val="auto"/>
              </w:rPr>
            </w:pPr>
            <w:r>
              <w:rPr>
                <w:rFonts w:ascii="Arial" w:cs="Arial" w:eastAsia="Arial" w:hAnsi="Arial"/>
                <w:sz w:val="13"/>
                <w:szCs w:val="13"/>
                <w:color w:val="333333"/>
              </w:rPr>
              <w:t>—</w:t>
            </w:r>
          </w:p>
        </w:tc>
        <w:tc>
          <w:tcPr>
            <w:tcW w:w="420" w:type="dxa"/>
            <w:vAlign w:val="bottom"/>
          </w:tcPr>
          <w:p>
            <w:pPr>
              <w:ind w:left="100"/>
              <w:spacing w:after="0"/>
              <w:rPr>
                <w:sz w:val="20"/>
                <w:szCs w:val="20"/>
                <w:color w:val="auto"/>
              </w:rPr>
            </w:pPr>
            <w:r>
              <w:rPr>
                <w:rFonts w:ascii="Arial" w:cs="Arial" w:eastAsia="Arial" w:hAnsi="Arial"/>
                <w:sz w:val="13"/>
                <w:szCs w:val="13"/>
                <w:color w:val="333333"/>
              </w:rPr>
              <w:t>—</w:t>
            </w:r>
          </w:p>
        </w:tc>
        <w:tc>
          <w:tcPr>
            <w:tcW w:w="20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100"/>
              <w:spacing w:after="0"/>
              <w:rPr>
                <w:sz w:val="20"/>
                <w:szCs w:val="20"/>
                <w:color w:val="auto"/>
              </w:rPr>
            </w:pPr>
            <w:r>
              <w:rPr>
                <w:rFonts w:ascii="Arial" w:cs="Arial" w:eastAsia="Arial" w:hAnsi="Arial"/>
                <w:sz w:val="13"/>
                <w:szCs w:val="13"/>
                <w:color w:val="333333"/>
              </w:rPr>
              <w:t>282</w:t>
            </w:r>
          </w:p>
        </w:tc>
        <w:tc>
          <w:tcPr>
            <w:tcW w:w="72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80"/>
              <w:spacing w:after="0"/>
              <w:rPr>
                <w:sz w:val="20"/>
                <w:szCs w:val="20"/>
                <w:color w:val="auto"/>
              </w:rPr>
            </w:pPr>
            <w:r>
              <w:rPr>
                <w:rFonts w:ascii="Arial" w:cs="Arial" w:eastAsia="Arial" w:hAnsi="Arial"/>
                <w:sz w:val="13"/>
                <w:szCs w:val="13"/>
                <w:color w:val="333333"/>
              </w:rPr>
              <w:t>—</w:t>
            </w:r>
          </w:p>
        </w:tc>
        <w:tc>
          <w:tcPr>
            <w:tcW w:w="800" w:type="dxa"/>
            <w:vAlign w:val="bottom"/>
            <w:gridSpan w:val="2"/>
          </w:tcPr>
          <w:p>
            <w:pPr>
              <w:ind w:left="60"/>
              <w:spacing w:after="0"/>
              <w:rPr>
                <w:sz w:val="20"/>
                <w:szCs w:val="20"/>
                <w:color w:val="auto"/>
              </w:rPr>
            </w:pPr>
            <w:r>
              <w:rPr>
                <w:rFonts w:ascii="Arial" w:cs="Arial" w:eastAsia="Arial" w:hAnsi="Arial"/>
                <w:sz w:val="13"/>
                <w:szCs w:val="13"/>
                <w:color w:val="333333"/>
              </w:rPr>
              <w:t>$60,207</w:t>
            </w: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20" w:type="dxa"/>
            <w:vAlign w:val="bottom"/>
            <w:shd w:val="clear" w:color="auto" w:fill="D9D9D9"/>
          </w:tcPr>
          <w:p>
            <w:pPr>
              <w:spacing w:after="0"/>
              <w:rPr>
                <w:sz w:val="17"/>
                <w:szCs w:val="17"/>
                <w:color w:val="auto"/>
              </w:rPr>
            </w:pPr>
          </w:p>
        </w:tc>
        <w:tc>
          <w:tcPr>
            <w:tcW w:w="88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Armando L.</w:t>
            </w:r>
          </w:p>
        </w:tc>
        <w:tc>
          <w:tcPr>
            <w:tcW w:w="40" w:type="dxa"/>
            <w:vAlign w:val="bottom"/>
            <w:shd w:val="clear" w:color="auto" w:fill="D9D9D9"/>
          </w:tcPr>
          <w:p>
            <w:pPr>
              <w:spacing w:after="0"/>
              <w:rPr>
                <w:sz w:val="17"/>
                <w:szCs w:val="17"/>
                <w:color w:val="auto"/>
              </w:rPr>
            </w:pPr>
          </w:p>
        </w:tc>
        <w:tc>
          <w:tcPr>
            <w:tcW w:w="64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620" w:type="dxa"/>
            <w:vAlign w:val="bottom"/>
            <w:gridSpan w:val="2"/>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$​86,433</w:t>
            </w:r>
          </w:p>
        </w:tc>
        <w:tc>
          <w:tcPr>
            <w:tcW w:w="74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$​237,359</w:t>
            </w:r>
          </w:p>
        </w:tc>
        <w:tc>
          <w:tcPr>
            <w:tcW w:w="68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42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200" w:type="dxa"/>
            <w:vAlign w:val="bottom"/>
            <w:shd w:val="clear" w:color="auto" w:fill="D9D9D9"/>
          </w:tcPr>
          <w:p>
            <w:pPr>
              <w:spacing w:after="0"/>
              <w:rPr>
                <w:sz w:val="17"/>
                <w:szCs w:val="17"/>
                <w:color w:val="auto"/>
              </w:rPr>
            </w:pPr>
          </w:p>
        </w:tc>
        <w:tc>
          <w:tcPr>
            <w:tcW w:w="70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2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4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3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120" w:type="dxa"/>
            <w:vAlign w:val="bottom"/>
            <w:shd w:val="clear" w:color="auto" w:fill="D9D9D9"/>
          </w:tcPr>
          <w:p>
            <w:pPr>
              <w:spacing w:after="0"/>
              <w:rPr>
                <w:sz w:val="24"/>
                <w:szCs w:val="24"/>
                <w:color w:val="auto"/>
              </w:rPr>
            </w:pPr>
          </w:p>
        </w:tc>
        <w:tc>
          <w:tcPr>
            <w:tcW w:w="88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Netto</w:t>
            </w:r>
            <w:r>
              <w:rPr>
                <w:rFonts w:ascii="Arial" w:cs="Arial" w:eastAsia="Arial" w:hAnsi="Arial"/>
                <w:sz w:val="20"/>
                <w:szCs w:val="20"/>
                <w:b w:val="1"/>
                <w:bCs w:val="1"/>
                <w:color w:val="333333"/>
                <w:vertAlign w:val="superscript"/>
              </w:rPr>
              <w:t>(7)</w:t>
            </w:r>
          </w:p>
        </w:tc>
        <w:tc>
          <w:tcPr>
            <w:tcW w:w="40" w:type="dxa"/>
            <w:vAlign w:val="bottom"/>
            <w:shd w:val="clear" w:color="auto" w:fill="D9D9D9"/>
          </w:tcPr>
          <w:p>
            <w:pPr>
              <w:spacing w:after="0"/>
              <w:rPr>
                <w:sz w:val="24"/>
                <w:szCs w:val="24"/>
                <w:color w:val="auto"/>
              </w:rPr>
            </w:pPr>
          </w:p>
        </w:tc>
        <w:tc>
          <w:tcPr>
            <w:tcW w:w="640" w:type="dxa"/>
            <w:vAlign w:val="bottom"/>
            <w:vMerge w:val="restart"/>
            <w:shd w:val="clear" w:color="auto" w:fill="D9D9D9"/>
          </w:tcPr>
          <w:p>
            <w:pPr>
              <w:spacing w:after="0"/>
              <w:rPr>
                <w:sz w:val="20"/>
                <w:szCs w:val="20"/>
                <w:color w:val="auto"/>
              </w:rPr>
            </w:pPr>
            <w:r>
              <w:rPr>
                <w:rFonts w:ascii="Arial" w:cs="Arial" w:eastAsia="Arial" w:hAnsi="Arial"/>
                <w:sz w:val="13"/>
                <w:szCs w:val="13"/>
                <w:color w:val="333333"/>
              </w:rPr>
              <w:t>1/23/2023​</w:t>
            </w:r>
          </w:p>
        </w:tc>
        <w:tc>
          <w:tcPr>
            <w:tcW w:w="40" w:type="dxa"/>
            <w:vAlign w:val="bottom"/>
            <w:shd w:val="clear" w:color="auto" w:fill="D9D9D9"/>
          </w:tcPr>
          <w:p>
            <w:pPr>
              <w:spacing w:after="0"/>
              <w:rPr>
                <w:sz w:val="24"/>
                <w:szCs w:val="24"/>
                <w:color w:val="auto"/>
              </w:rPr>
            </w:pPr>
          </w:p>
        </w:tc>
        <w:tc>
          <w:tcPr>
            <w:tcW w:w="620" w:type="dxa"/>
            <w:vAlign w:val="bottom"/>
            <w:gridSpan w:val="2"/>
            <w:vMerge w:val="restart"/>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80" w:type="dxa"/>
            <w:vAlign w:val="bottom"/>
            <w:vMerge w:val="restart"/>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40" w:type="dxa"/>
            <w:vAlign w:val="bottom"/>
            <w:vMerge w:val="restart"/>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80" w:type="dxa"/>
            <w:vAlign w:val="bottom"/>
            <w:vMerge w:val="restart"/>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420" w:type="dxa"/>
            <w:vAlign w:val="bottom"/>
            <w:vMerge w:val="restart"/>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200" w:type="dxa"/>
            <w:vAlign w:val="bottom"/>
            <w:shd w:val="clear" w:color="auto" w:fill="D9D9D9"/>
          </w:tcPr>
          <w:p>
            <w:pPr>
              <w:spacing w:after="0"/>
              <w:rPr>
                <w:sz w:val="24"/>
                <w:szCs w:val="24"/>
                <w:color w:val="auto"/>
              </w:rPr>
            </w:pPr>
          </w:p>
        </w:tc>
        <w:tc>
          <w:tcPr>
            <w:tcW w:w="700" w:type="dxa"/>
            <w:vAlign w:val="bottom"/>
            <w:vMerge w:val="restart"/>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vMerge w:val="restart"/>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20" w:type="dxa"/>
            <w:vAlign w:val="bottom"/>
            <w:vMerge w:val="restart"/>
            <w:shd w:val="clear" w:color="auto" w:fill="D9D9D9"/>
          </w:tcPr>
          <w:p>
            <w:pPr>
              <w:ind w:left="80"/>
              <w:spacing w:after="0"/>
              <w:rPr>
                <w:sz w:val="20"/>
                <w:szCs w:val="20"/>
                <w:color w:val="auto"/>
              </w:rPr>
            </w:pPr>
            <w:r>
              <w:rPr>
                <w:rFonts w:ascii="Arial" w:cs="Arial" w:eastAsia="Arial" w:hAnsi="Arial"/>
                <w:sz w:val="13"/>
                <w:szCs w:val="13"/>
                <w:color w:val="333333"/>
              </w:rPr>
              <w:t>17,679​</w:t>
            </w:r>
          </w:p>
        </w:tc>
        <w:tc>
          <w:tcPr>
            <w:tcW w:w="740" w:type="dxa"/>
            <w:vAlign w:val="bottom"/>
            <w:vMerge w:val="restart"/>
            <w:shd w:val="clear" w:color="auto" w:fill="D9D9D9"/>
          </w:tcPr>
          <w:p>
            <w:pPr>
              <w:ind w:left="80"/>
              <w:spacing w:after="0"/>
              <w:rPr>
                <w:sz w:val="20"/>
                <w:szCs w:val="20"/>
                <w:color w:val="auto"/>
              </w:rPr>
            </w:pPr>
            <w:r>
              <w:rPr>
                <w:rFonts w:ascii="Arial" w:cs="Arial" w:eastAsia="Arial" w:hAnsi="Arial"/>
                <w:sz w:val="13"/>
                <w:szCs w:val="13"/>
                <w:color w:val="333333"/>
              </w:rPr>
              <w:t>$​200.41</w:t>
            </w:r>
          </w:p>
        </w:tc>
        <w:tc>
          <w:tcPr>
            <w:tcW w:w="800" w:type="dxa"/>
            <w:vAlign w:val="bottom"/>
            <w:gridSpan w:val="2"/>
            <w:vMerge w:val="restart"/>
            <w:shd w:val="clear" w:color="auto" w:fill="D9D9D9"/>
          </w:tcPr>
          <w:p>
            <w:pPr>
              <w:ind w:left="60"/>
              <w:spacing w:after="0"/>
              <w:rPr>
                <w:sz w:val="20"/>
                <w:szCs w:val="20"/>
                <w:color w:val="auto"/>
              </w:rPr>
            </w:pPr>
            <w:r>
              <w:rPr>
                <w:rFonts w:ascii="Arial" w:cs="Arial" w:eastAsia="Arial" w:hAnsi="Arial"/>
                <w:sz w:val="13"/>
                <w:szCs w:val="13"/>
                <w:color w:val="333333"/>
              </w:rPr>
              <w:t>$1,200,051</w:t>
            </w:r>
          </w:p>
        </w:tc>
        <w:tc>
          <w:tcPr>
            <w:tcW w:w="0" w:type="dxa"/>
            <w:vAlign w:val="bottom"/>
          </w:tcPr>
          <w:p>
            <w:pPr>
              <w:spacing w:after="0"/>
              <w:rPr>
                <w:sz w:val="1"/>
                <w:szCs w:val="1"/>
                <w:color w:val="auto"/>
              </w:rPr>
            </w:pPr>
          </w:p>
        </w:tc>
      </w:tr>
      <w:tr>
        <w:trPr>
          <w:trHeight w:val="40"/>
        </w:trPr>
        <w:tc>
          <w:tcPr>
            <w:tcW w:w="120" w:type="dxa"/>
            <w:vAlign w:val="bottom"/>
            <w:shd w:val="clear" w:color="auto" w:fill="D9D9D9"/>
          </w:tcPr>
          <w:p>
            <w:pPr>
              <w:spacing w:after="0"/>
              <w:rPr>
                <w:sz w:val="3"/>
                <w:szCs w:val="3"/>
                <w:color w:val="auto"/>
              </w:rPr>
            </w:pPr>
          </w:p>
        </w:tc>
        <w:tc>
          <w:tcPr>
            <w:tcW w:w="880" w:type="dxa"/>
            <w:vAlign w:val="bottom"/>
            <w:shd w:val="clear" w:color="auto" w:fill="D9D9D9"/>
          </w:tcPr>
          <w:p>
            <w:pPr>
              <w:spacing w:after="0"/>
              <w:rPr>
                <w:sz w:val="3"/>
                <w:szCs w:val="3"/>
                <w:color w:val="auto"/>
              </w:rPr>
            </w:pPr>
          </w:p>
        </w:tc>
        <w:tc>
          <w:tcPr>
            <w:tcW w:w="40" w:type="dxa"/>
            <w:vAlign w:val="bottom"/>
            <w:shd w:val="clear" w:color="auto" w:fill="D9D9D9"/>
          </w:tcPr>
          <w:p>
            <w:pPr>
              <w:spacing w:after="0"/>
              <w:rPr>
                <w:sz w:val="3"/>
                <w:szCs w:val="3"/>
                <w:color w:val="auto"/>
              </w:rPr>
            </w:pPr>
          </w:p>
        </w:tc>
        <w:tc>
          <w:tcPr>
            <w:tcW w:w="640" w:type="dxa"/>
            <w:vAlign w:val="bottom"/>
            <w:vMerge w:val="continue"/>
            <w:shd w:val="clear" w:color="auto" w:fill="D9D9D9"/>
          </w:tcPr>
          <w:p>
            <w:pPr>
              <w:spacing w:after="0"/>
              <w:rPr>
                <w:sz w:val="3"/>
                <w:szCs w:val="3"/>
                <w:color w:val="auto"/>
              </w:rPr>
            </w:pPr>
          </w:p>
        </w:tc>
        <w:tc>
          <w:tcPr>
            <w:tcW w:w="40" w:type="dxa"/>
            <w:vAlign w:val="bottom"/>
            <w:shd w:val="clear" w:color="auto" w:fill="D9D9D9"/>
          </w:tcPr>
          <w:p>
            <w:pPr>
              <w:spacing w:after="0"/>
              <w:rPr>
                <w:sz w:val="3"/>
                <w:szCs w:val="3"/>
                <w:color w:val="auto"/>
              </w:rPr>
            </w:pPr>
          </w:p>
        </w:tc>
        <w:tc>
          <w:tcPr>
            <w:tcW w:w="620" w:type="dxa"/>
            <w:vAlign w:val="bottom"/>
            <w:gridSpan w:val="2"/>
            <w:vMerge w:val="continue"/>
            <w:shd w:val="clear" w:color="auto" w:fill="D9D9D9"/>
          </w:tcPr>
          <w:p>
            <w:pPr>
              <w:spacing w:after="0"/>
              <w:rPr>
                <w:sz w:val="3"/>
                <w:szCs w:val="3"/>
                <w:color w:val="auto"/>
              </w:rPr>
            </w:pPr>
          </w:p>
        </w:tc>
        <w:tc>
          <w:tcPr>
            <w:tcW w:w="680" w:type="dxa"/>
            <w:vAlign w:val="bottom"/>
            <w:vMerge w:val="continue"/>
            <w:shd w:val="clear" w:color="auto" w:fill="D9D9D9"/>
          </w:tcPr>
          <w:p>
            <w:pPr>
              <w:spacing w:after="0"/>
              <w:rPr>
                <w:sz w:val="3"/>
                <w:szCs w:val="3"/>
                <w:color w:val="auto"/>
              </w:rPr>
            </w:pPr>
          </w:p>
        </w:tc>
        <w:tc>
          <w:tcPr>
            <w:tcW w:w="740" w:type="dxa"/>
            <w:vAlign w:val="bottom"/>
            <w:vMerge w:val="continue"/>
            <w:shd w:val="clear" w:color="auto" w:fill="D9D9D9"/>
          </w:tcPr>
          <w:p>
            <w:pPr>
              <w:spacing w:after="0"/>
              <w:rPr>
                <w:sz w:val="3"/>
                <w:szCs w:val="3"/>
                <w:color w:val="auto"/>
              </w:rPr>
            </w:pPr>
          </w:p>
        </w:tc>
        <w:tc>
          <w:tcPr>
            <w:tcW w:w="680" w:type="dxa"/>
            <w:vAlign w:val="bottom"/>
            <w:vMerge w:val="continue"/>
            <w:shd w:val="clear" w:color="auto" w:fill="D9D9D9"/>
          </w:tcPr>
          <w:p>
            <w:pPr>
              <w:spacing w:after="0"/>
              <w:rPr>
                <w:sz w:val="3"/>
                <w:szCs w:val="3"/>
                <w:color w:val="auto"/>
              </w:rPr>
            </w:pPr>
          </w:p>
        </w:tc>
        <w:tc>
          <w:tcPr>
            <w:tcW w:w="420" w:type="dxa"/>
            <w:vAlign w:val="bottom"/>
            <w:vMerge w:val="continue"/>
            <w:shd w:val="clear" w:color="auto" w:fill="D9D9D9"/>
          </w:tcPr>
          <w:p>
            <w:pPr>
              <w:spacing w:after="0"/>
              <w:rPr>
                <w:sz w:val="3"/>
                <w:szCs w:val="3"/>
                <w:color w:val="auto"/>
              </w:rPr>
            </w:pPr>
          </w:p>
        </w:tc>
        <w:tc>
          <w:tcPr>
            <w:tcW w:w="200" w:type="dxa"/>
            <w:vAlign w:val="bottom"/>
            <w:shd w:val="clear" w:color="auto" w:fill="D9D9D9"/>
          </w:tcPr>
          <w:p>
            <w:pPr>
              <w:spacing w:after="0"/>
              <w:rPr>
                <w:sz w:val="3"/>
                <w:szCs w:val="3"/>
                <w:color w:val="auto"/>
              </w:rPr>
            </w:pPr>
          </w:p>
        </w:tc>
        <w:tc>
          <w:tcPr>
            <w:tcW w:w="700" w:type="dxa"/>
            <w:vAlign w:val="bottom"/>
            <w:vMerge w:val="continue"/>
            <w:shd w:val="clear" w:color="auto" w:fill="D9D9D9"/>
          </w:tcPr>
          <w:p>
            <w:pPr>
              <w:spacing w:after="0"/>
              <w:rPr>
                <w:sz w:val="3"/>
                <w:szCs w:val="3"/>
                <w:color w:val="auto"/>
              </w:rPr>
            </w:pPr>
          </w:p>
        </w:tc>
        <w:tc>
          <w:tcPr>
            <w:tcW w:w="740" w:type="dxa"/>
            <w:vAlign w:val="bottom"/>
            <w:vMerge w:val="continue"/>
            <w:shd w:val="clear" w:color="auto" w:fill="D9D9D9"/>
          </w:tcPr>
          <w:p>
            <w:pPr>
              <w:spacing w:after="0"/>
              <w:rPr>
                <w:sz w:val="3"/>
                <w:szCs w:val="3"/>
                <w:color w:val="auto"/>
              </w:rPr>
            </w:pPr>
          </w:p>
        </w:tc>
        <w:tc>
          <w:tcPr>
            <w:tcW w:w="720" w:type="dxa"/>
            <w:vAlign w:val="bottom"/>
            <w:vMerge w:val="continue"/>
            <w:shd w:val="clear" w:color="auto" w:fill="D9D9D9"/>
          </w:tcPr>
          <w:p>
            <w:pPr>
              <w:spacing w:after="0"/>
              <w:rPr>
                <w:sz w:val="3"/>
                <w:szCs w:val="3"/>
                <w:color w:val="auto"/>
              </w:rPr>
            </w:pPr>
          </w:p>
        </w:tc>
        <w:tc>
          <w:tcPr>
            <w:tcW w:w="740" w:type="dxa"/>
            <w:vAlign w:val="bottom"/>
            <w:vMerge w:val="continue"/>
            <w:shd w:val="clear" w:color="auto" w:fill="D9D9D9"/>
          </w:tcPr>
          <w:p>
            <w:pPr>
              <w:spacing w:after="0"/>
              <w:rPr>
                <w:sz w:val="3"/>
                <w:szCs w:val="3"/>
                <w:color w:val="auto"/>
              </w:rPr>
            </w:pPr>
          </w:p>
        </w:tc>
        <w:tc>
          <w:tcPr>
            <w:tcW w:w="800" w:type="dxa"/>
            <w:vAlign w:val="bottom"/>
            <w:gridSpan w:val="2"/>
            <w:vMerge w:val="continue"/>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12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0"/>
                <w:szCs w:val="20"/>
                <w:color w:val="auto"/>
              </w:rPr>
            </w:pPr>
            <w:r>
              <w:rPr>
                <w:rFonts w:ascii="Arial" w:cs="Arial" w:eastAsia="Arial" w:hAnsi="Arial"/>
                <w:sz w:val="13"/>
                <w:szCs w:val="13"/>
                <w:color w:val="333333"/>
              </w:rPr>
              <w:t>1/23/2023​</w:t>
            </w:r>
          </w:p>
        </w:tc>
        <w:tc>
          <w:tcPr>
            <w:tcW w:w="40" w:type="dxa"/>
            <w:vAlign w:val="bottom"/>
            <w:shd w:val="clear" w:color="auto" w:fill="D9D9D9"/>
          </w:tcPr>
          <w:p>
            <w:pPr>
              <w:spacing w:after="0"/>
              <w:rPr>
                <w:sz w:val="24"/>
                <w:szCs w:val="24"/>
                <w:color w:val="auto"/>
              </w:rPr>
            </w:pPr>
          </w:p>
        </w:tc>
        <w:tc>
          <w:tcPr>
            <w:tcW w:w="620" w:type="dxa"/>
            <w:vAlign w:val="bottom"/>
            <w:gridSpan w:val="2"/>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42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3,071​</w:t>
            </w:r>
          </w:p>
        </w:tc>
        <w:tc>
          <w:tcPr>
            <w:tcW w:w="72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800" w:type="dxa"/>
            <w:vAlign w:val="bottom"/>
            <w:gridSpan w:val="2"/>
            <w:shd w:val="clear" w:color="auto" w:fill="D9D9D9"/>
          </w:tcPr>
          <w:p>
            <w:pPr>
              <w:ind w:left="60"/>
              <w:spacing w:after="0"/>
              <w:rPr>
                <w:sz w:val="20"/>
                <w:szCs w:val="20"/>
                <w:color w:val="auto"/>
              </w:rPr>
            </w:pPr>
            <w:r>
              <w:rPr>
                <w:rFonts w:ascii="Arial" w:cs="Arial" w:eastAsia="Arial" w:hAnsi="Arial"/>
                <w:sz w:val="13"/>
                <w:szCs w:val="13"/>
                <w:color w:val="333333"/>
              </w:rPr>
              <w:t>$​615,459</w:t>
            </w:r>
          </w:p>
        </w:tc>
        <w:tc>
          <w:tcPr>
            <w:tcW w:w="0" w:type="dxa"/>
            <w:vAlign w:val="bottom"/>
          </w:tcPr>
          <w:p>
            <w:pPr>
              <w:spacing w:after="0"/>
              <w:rPr>
                <w:sz w:val="1"/>
                <w:szCs w:val="1"/>
                <w:color w:val="auto"/>
              </w:rPr>
            </w:pPr>
          </w:p>
        </w:tc>
      </w:tr>
      <w:tr>
        <w:trPr>
          <w:trHeight w:val="297"/>
        </w:trPr>
        <w:tc>
          <w:tcPr>
            <w:tcW w:w="12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0"/>
                <w:szCs w:val="20"/>
                <w:color w:val="auto"/>
              </w:rPr>
            </w:pPr>
            <w:r>
              <w:rPr>
                <w:rFonts w:ascii="Arial" w:cs="Arial" w:eastAsia="Arial" w:hAnsi="Arial"/>
                <w:sz w:val="13"/>
                <w:szCs w:val="13"/>
                <w:color w:val="333333"/>
              </w:rPr>
              <w:t>3/1/23​</w:t>
            </w:r>
          </w:p>
        </w:tc>
        <w:tc>
          <w:tcPr>
            <w:tcW w:w="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56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42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1,362​</w:t>
            </w:r>
          </w:p>
        </w:tc>
        <w:tc>
          <w:tcPr>
            <w:tcW w:w="72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800" w:type="dxa"/>
            <w:vAlign w:val="bottom"/>
            <w:gridSpan w:val="2"/>
            <w:shd w:val="clear" w:color="auto" w:fill="D9D9D9"/>
          </w:tcPr>
          <w:p>
            <w:pPr>
              <w:ind w:left="60"/>
              <w:spacing w:after="0"/>
              <w:rPr>
                <w:sz w:val="20"/>
                <w:szCs w:val="20"/>
                <w:color w:val="auto"/>
              </w:rPr>
            </w:pPr>
            <w:r>
              <w:rPr>
                <w:rFonts w:ascii="Arial" w:cs="Arial" w:eastAsia="Arial" w:hAnsi="Arial"/>
                <w:sz w:val="13"/>
                <w:szCs w:val="13"/>
                <w:color w:val="333333"/>
              </w:rPr>
              <w:t>$290,787</w:t>
            </w:r>
          </w:p>
        </w:tc>
        <w:tc>
          <w:tcPr>
            <w:tcW w:w="0" w:type="dxa"/>
            <w:vAlign w:val="bottom"/>
          </w:tcPr>
          <w:p>
            <w:pPr>
              <w:spacing w:after="0"/>
              <w:rPr>
                <w:sz w:val="1"/>
                <w:szCs w:val="1"/>
                <w:color w:val="auto"/>
              </w:rPr>
            </w:pPr>
          </w:p>
        </w:tc>
      </w:tr>
      <w:tr>
        <w:trPr>
          <w:trHeight w:val="338"/>
        </w:trPr>
        <w:tc>
          <w:tcPr>
            <w:tcW w:w="12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0"/>
                <w:szCs w:val="20"/>
                <w:color w:val="auto"/>
              </w:rPr>
            </w:pPr>
            <w:r>
              <w:rPr>
                <w:rFonts w:ascii="Arial" w:cs="Arial" w:eastAsia="Arial" w:hAnsi="Arial"/>
                <w:sz w:val="13"/>
                <w:szCs w:val="13"/>
                <w:color w:val="333333"/>
              </w:rPr>
              <w:t>3/1/23​</w:t>
            </w:r>
          </w:p>
        </w:tc>
        <w:tc>
          <w:tcPr>
            <w:tcW w:w="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56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2,994​</w:t>
            </w:r>
          </w:p>
        </w:tc>
        <w:tc>
          <w:tcPr>
            <w:tcW w:w="420" w:type="dxa"/>
            <w:vAlign w:val="bottom"/>
            <w:shd w:val="clear" w:color="auto" w:fill="D9D9D9"/>
          </w:tcPr>
          <w:p>
            <w:pPr>
              <w:ind w:left="100"/>
              <w:spacing w:after="0"/>
              <w:rPr>
                <w:sz w:val="20"/>
                <w:szCs w:val="20"/>
                <w:color w:val="auto"/>
              </w:rPr>
            </w:pPr>
            <w:r>
              <w:rPr>
                <w:rFonts w:ascii="Arial" w:cs="Arial" w:eastAsia="Arial" w:hAnsi="Arial"/>
                <w:sz w:val="13"/>
                <w:szCs w:val="13"/>
                <w:color w:val="333333"/>
                <w:w w:val="92"/>
              </w:rPr>
              <w:t>5,988​</w:t>
            </w:r>
          </w:p>
        </w:tc>
        <w:tc>
          <w:tcPr>
            <w:tcW w:w="200" w:type="dxa"/>
            <w:vAlign w:val="bottom"/>
            <w:shd w:val="clear" w:color="auto" w:fill="D9D9D9"/>
          </w:tcPr>
          <w:p>
            <w:pPr>
              <w:jc w:val="right"/>
              <w:ind w:right="28"/>
              <w:spacing w:after="0"/>
              <w:rPr>
                <w:sz w:val="20"/>
                <w:szCs w:val="20"/>
                <w:color w:val="auto"/>
              </w:rPr>
            </w:pPr>
            <w:r>
              <w:rPr>
                <w:rFonts w:ascii="Arial" w:cs="Arial" w:eastAsia="Arial" w:hAnsi="Arial"/>
                <w:sz w:val="10"/>
                <w:szCs w:val="10"/>
                <w:color w:val="333333"/>
                <w:w w:val="81"/>
              </w:rPr>
              <w:t>(5)</w:t>
            </w:r>
          </w:p>
        </w:tc>
        <w:tc>
          <w:tcPr>
            <w:tcW w:w="70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8,982​</w:t>
            </w:r>
          </w:p>
        </w:tc>
        <w:tc>
          <w:tcPr>
            <w:tcW w:w="7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2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800" w:type="dxa"/>
            <w:vAlign w:val="bottom"/>
            <w:gridSpan w:val="2"/>
            <w:shd w:val="clear" w:color="auto" w:fill="D9D9D9"/>
          </w:tcPr>
          <w:p>
            <w:pPr>
              <w:ind w:left="60"/>
              <w:spacing w:after="0"/>
              <w:rPr>
                <w:sz w:val="20"/>
                <w:szCs w:val="20"/>
                <w:color w:val="auto"/>
              </w:rPr>
            </w:pPr>
            <w:r>
              <w:rPr>
                <w:rFonts w:ascii="Arial" w:cs="Arial" w:eastAsia="Arial" w:hAnsi="Arial"/>
                <w:sz w:val="13"/>
                <w:szCs w:val="13"/>
                <w:color w:val="333333"/>
              </w:rPr>
              <w:t>$1,278,438</w:t>
            </w:r>
          </w:p>
        </w:tc>
        <w:tc>
          <w:tcPr>
            <w:tcW w:w="0" w:type="dxa"/>
            <w:vAlign w:val="bottom"/>
          </w:tcPr>
          <w:p>
            <w:pPr>
              <w:spacing w:after="0"/>
              <w:rPr>
                <w:sz w:val="1"/>
                <w:szCs w:val="1"/>
                <w:color w:val="auto"/>
              </w:rPr>
            </w:pPr>
          </w:p>
        </w:tc>
      </w:tr>
      <w:tr>
        <w:trPr>
          <w:trHeight w:val="405"/>
        </w:trPr>
        <w:tc>
          <w:tcPr>
            <w:tcW w:w="12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0"/>
                <w:szCs w:val="20"/>
                <w:color w:val="auto"/>
              </w:rPr>
            </w:pPr>
            <w:r>
              <w:rPr>
                <w:rFonts w:ascii="Arial" w:cs="Arial" w:eastAsia="Arial" w:hAnsi="Arial"/>
                <w:sz w:val="13"/>
                <w:szCs w:val="13"/>
                <w:color w:val="333333"/>
              </w:rPr>
              <w:t>3/1/23</w:t>
            </w:r>
          </w:p>
        </w:tc>
        <w:tc>
          <w:tcPr>
            <w:tcW w:w="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56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8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20" w:type="dxa"/>
            <w:vAlign w:val="bottom"/>
            <w:gridSpan w:val="2"/>
            <w:shd w:val="clear" w:color="auto" w:fill="D9D9D9"/>
          </w:tcPr>
          <w:p>
            <w:pPr>
              <w:ind w:left="100"/>
              <w:spacing w:after="0"/>
              <w:rPr>
                <w:sz w:val="20"/>
                <w:szCs w:val="20"/>
                <w:color w:val="auto"/>
              </w:rPr>
            </w:pPr>
            <w:r>
              <w:rPr>
                <w:rFonts w:ascii="Arial" w:cs="Arial" w:eastAsia="Arial" w:hAnsi="Arial"/>
                <w:sz w:val="13"/>
                <w:szCs w:val="13"/>
                <w:color w:val="333333"/>
              </w:rPr>
              <w:t>1,996</w:t>
            </w:r>
            <w:r>
              <w:rPr>
                <w:rFonts w:ascii="Arial" w:cs="Arial" w:eastAsia="Arial" w:hAnsi="Arial"/>
                <w:sz w:val="20"/>
                <w:szCs w:val="20"/>
                <w:color w:val="333333"/>
                <w:vertAlign w:val="superscript"/>
              </w:rPr>
              <w:t>(6)</w:t>
            </w:r>
          </w:p>
        </w:tc>
        <w:tc>
          <w:tcPr>
            <w:tcW w:w="70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72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800" w:type="dxa"/>
            <w:vAlign w:val="bottom"/>
            <w:gridSpan w:val="2"/>
            <w:shd w:val="clear" w:color="auto" w:fill="D9D9D9"/>
          </w:tcPr>
          <w:p>
            <w:pPr>
              <w:ind w:left="60"/>
              <w:spacing w:after="0"/>
              <w:rPr>
                <w:sz w:val="20"/>
                <w:szCs w:val="20"/>
                <w:color w:val="auto"/>
              </w:rPr>
            </w:pPr>
            <w:r>
              <w:rPr>
                <w:rFonts w:ascii="Arial" w:cs="Arial" w:eastAsia="Arial" w:hAnsi="Arial"/>
                <w:sz w:val="13"/>
                <w:szCs w:val="13"/>
                <w:color w:val="333333"/>
              </w:rPr>
              <w:t>$426,146</w:t>
            </w:r>
          </w:p>
        </w:tc>
        <w:tc>
          <w:tcPr>
            <w:tcW w:w="0" w:type="dxa"/>
            <w:vAlign w:val="bottom"/>
          </w:tcPr>
          <w:p>
            <w:pPr>
              <w:spacing w:after="0"/>
              <w:rPr>
                <w:sz w:val="1"/>
                <w:szCs w:val="1"/>
                <w:color w:val="auto"/>
              </w:rPr>
            </w:pPr>
          </w:p>
        </w:tc>
      </w:tr>
      <w:tr>
        <w:trPr>
          <w:trHeight w:val="235"/>
        </w:trPr>
        <w:tc>
          <w:tcPr>
            <w:tcW w:w="120" w:type="dxa"/>
            <w:vAlign w:val="bottom"/>
          </w:tcPr>
          <w:p>
            <w:pPr>
              <w:spacing w:after="0"/>
              <w:rPr>
                <w:sz w:val="20"/>
                <w:szCs w:val="20"/>
                <w:color w:val="auto"/>
              </w:rPr>
            </w:pPr>
          </w:p>
        </w:tc>
        <w:tc>
          <w:tcPr>
            <w:tcW w:w="880" w:type="dxa"/>
            <w:vAlign w:val="bottom"/>
          </w:tcPr>
          <w:p>
            <w:pPr>
              <w:ind w:left="60"/>
              <w:spacing w:after="0"/>
              <w:rPr>
                <w:sz w:val="20"/>
                <w:szCs w:val="20"/>
                <w:color w:val="auto"/>
              </w:rPr>
            </w:pPr>
            <w:r>
              <w:rPr>
                <w:rFonts w:ascii="Arial" w:cs="Arial" w:eastAsia="Arial" w:hAnsi="Arial"/>
                <w:sz w:val="13"/>
                <w:szCs w:val="13"/>
                <w:b w:val="1"/>
                <w:bCs w:val="1"/>
                <w:color w:val="333333"/>
              </w:rPr>
              <w:t>Alan King</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100"/>
              <w:spacing w:after="0"/>
              <w:rPr>
                <w:sz w:val="20"/>
                <w:szCs w:val="20"/>
                <w:color w:val="auto"/>
              </w:rPr>
            </w:pPr>
            <w:r>
              <w:rPr>
                <w:rFonts w:ascii="Arial" w:cs="Arial" w:eastAsia="Arial" w:hAnsi="Arial"/>
                <w:sz w:val="13"/>
                <w:szCs w:val="13"/>
                <w:color w:val="333333"/>
              </w:rPr>
              <w:t>$67,500</w:t>
            </w:r>
          </w:p>
        </w:tc>
        <w:tc>
          <w:tcPr>
            <w:tcW w:w="740" w:type="dxa"/>
            <w:vAlign w:val="bottom"/>
          </w:tcPr>
          <w:p>
            <w:pPr>
              <w:ind w:left="60"/>
              <w:spacing w:after="0"/>
              <w:rPr>
                <w:sz w:val="20"/>
                <w:szCs w:val="20"/>
                <w:color w:val="auto"/>
              </w:rPr>
            </w:pPr>
            <w:r>
              <w:rPr>
                <w:rFonts w:ascii="Arial" w:cs="Arial" w:eastAsia="Arial" w:hAnsi="Arial"/>
                <w:sz w:val="13"/>
                <w:szCs w:val="13"/>
                <w:color w:val="333333"/>
              </w:rPr>
              <w:t>$202,500</w:t>
            </w:r>
          </w:p>
        </w:tc>
        <w:tc>
          <w:tcPr>
            <w:tcW w:w="680" w:type="dxa"/>
            <w:vAlign w:val="bottom"/>
          </w:tcPr>
          <w:p>
            <w:pPr>
              <w:ind w:left="60"/>
              <w:spacing w:after="0"/>
              <w:rPr>
                <w:sz w:val="20"/>
                <w:szCs w:val="20"/>
                <w:color w:val="auto"/>
              </w:rPr>
            </w:pPr>
            <w:r>
              <w:rPr>
                <w:rFonts w:ascii="Arial" w:cs="Arial" w:eastAsia="Arial" w:hAnsi="Arial"/>
                <w:sz w:val="13"/>
                <w:szCs w:val="13"/>
                <w:color w:val="333333"/>
              </w:rPr>
              <w:t>—</w:t>
            </w:r>
          </w:p>
        </w:tc>
        <w:tc>
          <w:tcPr>
            <w:tcW w:w="420" w:type="dxa"/>
            <w:vAlign w:val="bottom"/>
          </w:tcPr>
          <w:p>
            <w:pPr>
              <w:ind w:left="100"/>
              <w:spacing w:after="0"/>
              <w:rPr>
                <w:sz w:val="20"/>
                <w:szCs w:val="20"/>
                <w:color w:val="auto"/>
              </w:rPr>
            </w:pPr>
            <w:r>
              <w:rPr>
                <w:rFonts w:ascii="Arial" w:cs="Arial" w:eastAsia="Arial" w:hAnsi="Arial"/>
                <w:sz w:val="13"/>
                <w:szCs w:val="13"/>
                <w:color w:val="333333"/>
              </w:rPr>
              <w:t>—</w:t>
            </w:r>
          </w:p>
        </w:tc>
        <w:tc>
          <w:tcPr>
            <w:tcW w:w="20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100"/>
              <w:spacing w:after="0"/>
              <w:rPr>
                <w:sz w:val="20"/>
                <w:szCs w:val="20"/>
                <w:color w:val="auto"/>
              </w:rPr>
            </w:pPr>
            <w:r>
              <w:rPr>
                <w:rFonts w:ascii="Arial" w:cs="Arial" w:eastAsia="Arial" w:hAnsi="Arial"/>
                <w:sz w:val="13"/>
                <w:szCs w:val="13"/>
                <w:color w:val="333333"/>
              </w:rPr>
              <w:t>—</w:t>
            </w:r>
          </w:p>
        </w:tc>
        <w:tc>
          <w:tcPr>
            <w:tcW w:w="72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80"/>
              <w:spacing w:after="0"/>
              <w:rPr>
                <w:sz w:val="20"/>
                <w:szCs w:val="20"/>
                <w:color w:val="auto"/>
              </w:rPr>
            </w:pPr>
            <w:r>
              <w:rPr>
                <w:rFonts w:ascii="Arial" w:cs="Arial" w:eastAsia="Arial" w:hAnsi="Arial"/>
                <w:sz w:val="13"/>
                <w:szCs w:val="13"/>
                <w:color w:val="333333"/>
              </w:rPr>
              <w:t>—</w:t>
            </w:r>
          </w:p>
        </w:tc>
        <w:tc>
          <w:tcPr>
            <w:tcW w:w="460" w:type="dxa"/>
            <w:vAlign w:val="bottom"/>
          </w:tcPr>
          <w:p>
            <w:pPr>
              <w:ind w:left="60"/>
              <w:spacing w:after="0"/>
              <w:rPr>
                <w:sz w:val="20"/>
                <w:szCs w:val="20"/>
                <w:color w:val="auto"/>
              </w:rPr>
            </w:pPr>
            <w:r>
              <w:rPr>
                <w:rFonts w:ascii="Arial" w:cs="Arial" w:eastAsia="Arial" w:hAnsi="Arial"/>
                <w:sz w:val="13"/>
                <w:szCs w:val="13"/>
                <w:color w:val="333333"/>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color w:val="333333"/>
              </w:rPr>
              <w:t>1/23/2023</w:t>
            </w:r>
          </w:p>
        </w:tc>
        <w:tc>
          <w:tcPr>
            <w:tcW w:w="4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100"/>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60"/>
              <w:spacing w:after="0"/>
              <w:rPr>
                <w:sz w:val="20"/>
                <w:szCs w:val="20"/>
                <w:color w:val="auto"/>
              </w:rPr>
            </w:pPr>
            <w:r>
              <w:rPr>
                <w:rFonts w:ascii="Arial" w:cs="Arial" w:eastAsia="Arial" w:hAnsi="Arial"/>
                <w:sz w:val="13"/>
                <w:szCs w:val="13"/>
                <w:color w:val="333333"/>
              </w:rPr>
              <w:t>—</w:t>
            </w:r>
          </w:p>
        </w:tc>
        <w:tc>
          <w:tcPr>
            <w:tcW w:w="420" w:type="dxa"/>
            <w:vAlign w:val="bottom"/>
          </w:tcPr>
          <w:p>
            <w:pPr>
              <w:ind w:left="100"/>
              <w:spacing w:after="0"/>
              <w:rPr>
                <w:sz w:val="20"/>
                <w:szCs w:val="20"/>
                <w:color w:val="auto"/>
              </w:rPr>
            </w:pPr>
            <w:r>
              <w:rPr>
                <w:rFonts w:ascii="Arial" w:cs="Arial" w:eastAsia="Arial" w:hAnsi="Arial"/>
                <w:sz w:val="13"/>
                <w:szCs w:val="13"/>
                <w:color w:val="333333"/>
              </w:rPr>
              <w:t>—</w:t>
            </w:r>
          </w:p>
        </w:tc>
        <w:tc>
          <w:tcPr>
            <w:tcW w:w="20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100"/>
              <w:spacing w:after="0"/>
              <w:rPr>
                <w:sz w:val="20"/>
                <w:szCs w:val="20"/>
                <w:color w:val="auto"/>
              </w:rPr>
            </w:pPr>
            <w:r>
              <w:rPr>
                <w:rFonts w:ascii="Arial" w:cs="Arial" w:eastAsia="Arial" w:hAnsi="Arial"/>
                <w:sz w:val="13"/>
                <w:szCs w:val="13"/>
                <w:color w:val="333333"/>
              </w:rPr>
              <w:t>1,636​</w:t>
            </w:r>
          </w:p>
        </w:tc>
        <w:tc>
          <w:tcPr>
            <w:tcW w:w="72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80"/>
              <w:spacing w:after="0"/>
              <w:rPr>
                <w:sz w:val="20"/>
                <w:szCs w:val="20"/>
                <w:color w:val="auto"/>
              </w:rPr>
            </w:pPr>
            <w:r>
              <w:rPr>
                <w:rFonts w:ascii="Arial" w:cs="Arial" w:eastAsia="Arial" w:hAnsi="Arial"/>
                <w:sz w:val="13"/>
                <w:szCs w:val="13"/>
                <w:color w:val="333333"/>
              </w:rPr>
              <w:t>—</w:t>
            </w:r>
          </w:p>
        </w:tc>
        <w:tc>
          <w:tcPr>
            <w:tcW w:w="800" w:type="dxa"/>
            <w:vAlign w:val="bottom"/>
            <w:gridSpan w:val="2"/>
          </w:tcPr>
          <w:p>
            <w:pPr>
              <w:ind w:left="60"/>
              <w:spacing w:after="0"/>
              <w:rPr>
                <w:sz w:val="20"/>
                <w:szCs w:val="20"/>
                <w:color w:val="auto"/>
              </w:rPr>
            </w:pPr>
            <w:r>
              <w:rPr>
                <w:rFonts w:ascii="Arial" w:cs="Arial" w:eastAsia="Arial" w:hAnsi="Arial"/>
                <w:sz w:val="13"/>
                <w:szCs w:val="13"/>
                <w:color w:val="333333"/>
              </w:rPr>
              <w:t>$327,871</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color w:val="333333"/>
              </w:rPr>
              <w:t>1/23/2023​</w:t>
            </w:r>
          </w:p>
        </w:tc>
        <w:tc>
          <w:tcPr>
            <w:tcW w:w="4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100"/>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60"/>
              <w:spacing w:after="0"/>
              <w:rPr>
                <w:sz w:val="20"/>
                <w:szCs w:val="20"/>
                <w:color w:val="auto"/>
              </w:rPr>
            </w:pPr>
            <w:r>
              <w:rPr>
                <w:rFonts w:ascii="Arial" w:cs="Arial" w:eastAsia="Arial" w:hAnsi="Arial"/>
                <w:sz w:val="13"/>
                <w:szCs w:val="13"/>
                <w:color w:val="333333"/>
              </w:rPr>
              <w:t>—​</w:t>
            </w:r>
          </w:p>
        </w:tc>
        <w:tc>
          <w:tcPr>
            <w:tcW w:w="420" w:type="dxa"/>
            <w:vAlign w:val="bottom"/>
          </w:tcPr>
          <w:p>
            <w:pPr>
              <w:ind w:left="100"/>
              <w:spacing w:after="0"/>
              <w:rPr>
                <w:sz w:val="20"/>
                <w:szCs w:val="20"/>
                <w:color w:val="auto"/>
              </w:rPr>
            </w:pPr>
            <w:r>
              <w:rPr>
                <w:rFonts w:ascii="Arial" w:cs="Arial" w:eastAsia="Arial" w:hAnsi="Arial"/>
                <w:sz w:val="13"/>
                <w:szCs w:val="13"/>
                <w:color w:val="333333"/>
              </w:rPr>
              <w:t>—​</w:t>
            </w:r>
          </w:p>
        </w:tc>
        <w:tc>
          <w:tcPr>
            <w:tcW w:w="20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100"/>
              <w:spacing w:after="0"/>
              <w:rPr>
                <w:sz w:val="20"/>
                <w:szCs w:val="20"/>
                <w:color w:val="auto"/>
              </w:rPr>
            </w:pPr>
            <w:r>
              <w:rPr>
                <w:rFonts w:ascii="Arial" w:cs="Arial" w:eastAsia="Arial" w:hAnsi="Arial"/>
                <w:sz w:val="13"/>
                <w:szCs w:val="13"/>
                <w:color w:val="333333"/>
              </w:rPr>
              <w:t>—</w:t>
            </w:r>
          </w:p>
        </w:tc>
        <w:tc>
          <w:tcPr>
            <w:tcW w:w="720" w:type="dxa"/>
            <w:vAlign w:val="bottom"/>
          </w:tcPr>
          <w:p>
            <w:pPr>
              <w:ind w:left="80"/>
              <w:spacing w:after="0"/>
              <w:rPr>
                <w:sz w:val="20"/>
                <w:szCs w:val="20"/>
                <w:color w:val="auto"/>
              </w:rPr>
            </w:pPr>
            <w:r>
              <w:rPr>
                <w:rFonts w:ascii="Arial" w:cs="Arial" w:eastAsia="Arial" w:hAnsi="Arial"/>
                <w:sz w:val="13"/>
                <w:szCs w:val="13"/>
                <w:color w:val="333333"/>
              </w:rPr>
              <w:t>17,679​</w:t>
            </w:r>
          </w:p>
        </w:tc>
        <w:tc>
          <w:tcPr>
            <w:tcW w:w="740" w:type="dxa"/>
            <w:vAlign w:val="bottom"/>
          </w:tcPr>
          <w:p>
            <w:pPr>
              <w:ind w:left="80"/>
              <w:spacing w:after="0"/>
              <w:rPr>
                <w:sz w:val="20"/>
                <w:szCs w:val="20"/>
                <w:color w:val="auto"/>
              </w:rPr>
            </w:pPr>
            <w:r>
              <w:rPr>
                <w:rFonts w:ascii="Arial" w:cs="Arial" w:eastAsia="Arial" w:hAnsi="Arial"/>
                <w:sz w:val="13"/>
                <w:szCs w:val="13"/>
                <w:color w:val="333333"/>
              </w:rPr>
              <w:t>$​200.41</w:t>
            </w:r>
          </w:p>
        </w:tc>
        <w:tc>
          <w:tcPr>
            <w:tcW w:w="800" w:type="dxa"/>
            <w:vAlign w:val="bottom"/>
            <w:gridSpan w:val="2"/>
          </w:tcPr>
          <w:p>
            <w:pPr>
              <w:ind w:left="60"/>
              <w:spacing w:after="0"/>
              <w:rPr>
                <w:sz w:val="20"/>
                <w:szCs w:val="20"/>
                <w:color w:val="auto"/>
              </w:rPr>
            </w:pPr>
            <w:r>
              <w:rPr>
                <w:rFonts w:ascii="Arial" w:cs="Arial" w:eastAsia="Arial" w:hAnsi="Arial"/>
                <w:sz w:val="13"/>
                <w:szCs w:val="13"/>
                <w:color w:val="333333"/>
              </w:rPr>
              <w:t>$1,200,051</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color w:val="333333"/>
              </w:rPr>
              <w:t>3/1/23​</w:t>
            </w:r>
          </w:p>
        </w:tc>
        <w:tc>
          <w:tcPr>
            <w:tcW w:w="4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100"/>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60"/>
              <w:spacing w:after="0"/>
              <w:rPr>
                <w:sz w:val="20"/>
                <w:szCs w:val="20"/>
                <w:color w:val="auto"/>
              </w:rPr>
            </w:pPr>
            <w:r>
              <w:rPr>
                <w:rFonts w:ascii="Arial" w:cs="Arial" w:eastAsia="Arial" w:hAnsi="Arial"/>
                <w:sz w:val="13"/>
                <w:szCs w:val="13"/>
                <w:color w:val="333333"/>
              </w:rPr>
              <w:t>—</w:t>
            </w:r>
          </w:p>
        </w:tc>
        <w:tc>
          <w:tcPr>
            <w:tcW w:w="420" w:type="dxa"/>
            <w:vAlign w:val="bottom"/>
          </w:tcPr>
          <w:p>
            <w:pPr>
              <w:ind w:left="100"/>
              <w:spacing w:after="0"/>
              <w:rPr>
                <w:sz w:val="20"/>
                <w:szCs w:val="20"/>
                <w:color w:val="auto"/>
              </w:rPr>
            </w:pPr>
            <w:r>
              <w:rPr>
                <w:rFonts w:ascii="Arial" w:cs="Arial" w:eastAsia="Arial" w:hAnsi="Arial"/>
                <w:sz w:val="13"/>
                <w:szCs w:val="13"/>
                <w:color w:val="333333"/>
              </w:rPr>
              <w:t>—​</w:t>
            </w:r>
          </w:p>
        </w:tc>
        <w:tc>
          <w:tcPr>
            <w:tcW w:w="20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100"/>
              <w:spacing w:after="0"/>
              <w:rPr>
                <w:sz w:val="20"/>
                <w:szCs w:val="20"/>
                <w:color w:val="auto"/>
              </w:rPr>
            </w:pPr>
            <w:r>
              <w:rPr>
                <w:rFonts w:ascii="Arial" w:cs="Arial" w:eastAsia="Arial" w:hAnsi="Arial"/>
                <w:sz w:val="13"/>
                <w:szCs w:val="13"/>
                <w:color w:val="333333"/>
              </w:rPr>
              <w:t>1,265</w:t>
            </w:r>
          </w:p>
        </w:tc>
        <w:tc>
          <w:tcPr>
            <w:tcW w:w="72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80"/>
              <w:spacing w:after="0"/>
              <w:rPr>
                <w:sz w:val="20"/>
                <w:szCs w:val="20"/>
                <w:color w:val="auto"/>
              </w:rPr>
            </w:pPr>
            <w:r>
              <w:rPr>
                <w:rFonts w:ascii="Arial" w:cs="Arial" w:eastAsia="Arial" w:hAnsi="Arial"/>
                <w:sz w:val="13"/>
                <w:szCs w:val="13"/>
                <w:color w:val="333333"/>
              </w:rPr>
              <w:t>—​</w:t>
            </w:r>
          </w:p>
        </w:tc>
        <w:tc>
          <w:tcPr>
            <w:tcW w:w="800" w:type="dxa"/>
            <w:vAlign w:val="bottom"/>
            <w:gridSpan w:val="2"/>
          </w:tcPr>
          <w:p>
            <w:pPr>
              <w:ind w:left="60"/>
              <w:spacing w:after="0"/>
              <w:rPr>
                <w:sz w:val="20"/>
                <w:szCs w:val="20"/>
                <w:color w:val="auto"/>
              </w:rPr>
            </w:pPr>
            <w:r>
              <w:rPr>
                <w:rFonts w:ascii="Arial" w:cs="Arial" w:eastAsia="Arial" w:hAnsi="Arial"/>
                <w:sz w:val="13"/>
                <w:szCs w:val="13"/>
                <w:color w:val="333333"/>
              </w:rPr>
              <w:t>$270,078</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color w:val="333333"/>
              </w:rPr>
              <w:t>3/1/23​</w:t>
            </w:r>
          </w:p>
        </w:tc>
        <w:tc>
          <w:tcPr>
            <w:tcW w:w="4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100"/>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60"/>
              <w:spacing w:after="0"/>
              <w:rPr>
                <w:sz w:val="20"/>
                <w:szCs w:val="20"/>
                <w:color w:val="auto"/>
              </w:rPr>
            </w:pPr>
            <w:r>
              <w:rPr>
                <w:rFonts w:ascii="Arial" w:cs="Arial" w:eastAsia="Arial" w:hAnsi="Arial"/>
                <w:sz w:val="13"/>
                <w:szCs w:val="13"/>
                <w:color w:val="333333"/>
              </w:rPr>
              <w:t>—</w:t>
            </w:r>
          </w:p>
        </w:tc>
        <w:tc>
          <w:tcPr>
            <w:tcW w:w="420" w:type="dxa"/>
            <w:vAlign w:val="bottom"/>
          </w:tcPr>
          <w:p>
            <w:pPr>
              <w:ind w:left="100"/>
              <w:spacing w:after="0"/>
              <w:rPr>
                <w:sz w:val="20"/>
                <w:szCs w:val="20"/>
                <w:color w:val="auto"/>
              </w:rPr>
            </w:pPr>
            <w:r>
              <w:rPr>
                <w:rFonts w:ascii="Arial" w:cs="Arial" w:eastAsia="Arial" w:hAnsi="Arial"/>
                <w:sz w:val="13"/>
                <w:szCs w:val="13"/>
                <w:color w:val="333333"/>
                <w:w w:val="92"/>
              </w:rPr>
              <w:t>1,996​</w:t>
            </w:r>
          </w:p>
        </w:tc>
        <w:tc>
          <w:tcPr>
            <w:tcW w:w="200" w:type="dxa"/>
            <w:vAlign w:val="bottom"/>
          </w:tcPr>
          <w:p>
            <w:pPr>
              <w:jc w:val="right"/>
              <w:ind w:right="28"/>
              <w:spacing w:after="0"/>
              <w:rPr>
                <w:sz w:val="20"/>
                <w:szCs w:val="20"/>
                <w:color w:val="auto"/>
              </w:rPr>
            </w:pPr>
            <w:r>
              <w:rPr>
                <w:rFonts w:ascii="Arial" w:cs="Arial" w:eastAsia="Arial" w:hAnsi="Arial"/>
                <w:sz w:val="10"/>
                <w:szCs w:val="10"/>
                <w:color w:val="333333"/>
                <w:w w:val="81"/>
              </w:rPr>
              <w:t>(6)</w:t>
            </w:r>
          </w:p>
        </w:tc>
        <w:tc>
          <w:tcPr>
            <w:tcW w:w="70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100"/>
              <w:spacing w:after="0"/>
              <w:rPr>
                <w:sz w:val="20"/>
                <w:szCs w:val="20"/>
                <w:color w:val="auto"/>
              </w:rPr>
            </w:pPr>
            <w:r>
              <w:rPr>
                <w:rFonts w:ascii="Arial" w:cs="Arial" w:eastAsia="Arial" w:hAnsi="Arial"/>
                <w:sz w:val="13"/>
                <w:szCs w:val="13"/>
                <w:color w:val="333333"/>
              </w:rPr>
              <w:t>—​</w:t>
            </w:r>
          </w:p>
        </w:tc>
        <w:tc>
          <w:tcPr>
            <w:tcW w:w="72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80"/>
              <w:spacing w:after="0"/>
              <w:rPr>
                <w:sz w:val="20"/>
                <w:szCs w:val="20"/>
                <w:color w:val="auto"/>
              </w:rPr>
            </w:pPr>
            <w:r>
              <w:rPr>
                <w:rFonts w:ascii="Arial" w:cs="Arial" w:eastAsia="Arial" w:hAnsi="Arial"/>
                <w:sz w:val="13"/>
                <w:szCs w:val="13"/>
                <w:color w:val="333333"/>
              </w:rPr>
              <w:t>​—</w:t>
            </w:r>
          </w:p>
        </w:tc>
        <w:tc>
          <w:tcPr>
            <w:tcW w:w="800" w:type="dxa"/>
            <w:vAlign w:val="bottom"/>
            <w:gridSpan w:val="2"/>
          </w:tcPr>
          <w:p>
            <w:pPr>
              <w:ind w:left="60"/>
              <w:spacing w:after="0"/>
              <w:rPr>
                <w:sz w:val="20"/>
                <w:szCs w:val="20"/>
                <w:color w:val="auto"/>
              </w:rPr>
            </w:pPr>
            <w:r>
              <w:rPr>
                <w:rFonts w:ascii="Arial" w:cs="Arial" w:eastAsia="Arial" w:hAnsi="Arial"/>
                <w:sz w:val="13"/>
                <w:szCs w:val="13"/>
                <w:color w:val="333333"/>
              </w:rPr>
              <w:t>$426,146</w:t>
            </w: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color w:val="333333"/>
              </w:rPr>
              <w:t>3/1/23​</w:t>
            </w:r>
          </w:p>
        </w:tc>
        <w:tc>
          <w:tcPr>
            <w:tcW w:w="4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100"/>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680" w:type="dxa"/>
            <w:vAlign w:val="bottom"/>
          </w:tcPr>
          <w:p>
            <w:pPr>
              <w:ind w:left="60"/>
              <w:spacing w:after="0"/>
              <w:rPr>
                <w:sz w:val="20"/>
                <w:szCs w:val="20"/>
                <w:color w:val="auto"/>
              </w:rPr>
            </w:pPr>
            <w:r>
              <w:rPr>
                <w:rFonts w:ascii="Arial" w:cs="Arial" w:eastAsia="Arial" w:hAnsi="Arial"/>
                <w:sz w:val="13"/>
                <w:szCs w:val="13"/>
                <w:color w:val="333333"/>
              </w:rPr>
              <w:t>2,994​</w:t>
            </w:r>
          </w:p>
        </w:tc>
        <w:tc>
          <w:tcPr>
            <w:tcW w:w="620" w:type="dxa"/>
            <w:vAlign w:val="bottom"/>
            <w:gridSpan w:val="2"/>
          </w:tcPr>
          <w:p>
            <w:pPr>
              <w:ind w:left="100"/>
              <w:spacing w:after="0"/>
              <w:rPr>
                <w:sz w:val="20"/>
                <w:szCs w:val="20"/>
                <w:color w:val="auto"/>
              </w:rPr>
            </w:pPr>
            <w:r>
              <w:rPr>
                <w:rFonts w:ascii="Arial" w:cs="Arial" w:eastAsia="Arial" w:hAnsi="Arial"/>
                <w:sz w:val="13"/>
                <w:szCs w:val="13"/>
                <w:color w:val="333333"/>
              </w:rPr>
              <w:t>​5,988</w:t>
            </w:r>
            <w:r>
              <w:rPr>
                <w:rFonts w:ascii="Arial" w:cs="Arial" w:eastAsia="Arial" w:hAnsi="Arial"/>
                <w:sz w:val="20"/>
                <w:szCs w:val="20"/>
                <w:color w:val="333333"/>
                <w:vertAlign w:val="superscript"/>
              </w:rPr>
              <w:t>(5)</w:t>
            </w:r>
          </w:p>
        </w:tc>
        <w:tc>
          <w:tcPr>
            <w:tcW w:w="700" w:type="dxa"/>
            <w:vAlign w:val="bottom"/>
          </w:tcPr>
          <w:p>
            <w:pPr>
              <w:ind w:left="80"/>
              <w:spacing w:after="0"/>
              <w:rPr>
                <w:sz w:val="20"/>
                <w:szCs w:val="20"/>
                <w:color w:val="auto"/>
              </w:rPr>
            </w:pPr>
            <w:r>
              <w:rPr>
                <w:rFonts w:ascii="Arial" w:cs="Arial" w:eastAsia="Arial" w:hAnsi="Arial"/>
                <w:sz w:val="13"/>
                <w:szCs w:val="13"/>
                <w:color w:val="333333"/>
              </w:rPr>
              <w:t>8,982</w:t>
            </w:r>
          </w:p>
        </w:tc>
        <w:tc>
          <w:tcPr>
            <w:tcW w:w="740" w:type="dxa"/>
            <w:vAlign w:val="bottom"/>
          </w:tcPr>
          <w:p>
            <w:pPr>
              <w:ind w:left="100"/>
              <w:spacing w:after="0"/>
              <w:rPr>
                <w:sz w:val="20"/>
                <w:szCs w:val="20"/>
                <w:color w:val="auto"/>
              </w:rPr>
            </w:pPr>
            <w:r>
              <w:rPr>
                <w:rFonts w:ascii="Arial" w:cs="Arial" w:eastAsia="Arial" w:hAnsi="Arial"/>
                <w:sz w:val="13"/>
                <w:szCs w:val="13"/>
                <w:color w:val="333333"/>
              </w:rPr>
              <w:t>—​</w:t>
            </w:r>
          </w:p>
        </w:tc>
        <w:tc>
          <w:tcPr>
            <w:tcW w:w="720" w:type="dxa"/>
            <w:vAlign w:val="bottom"/>
          </w:tcPr>
          <w:p>
            <w:pPr>
              <w:ind w:left="80"/>
              <w:spacing w:after="0"/>
              <w:rPr>
                <w:sz w:val="20"/>
                <w:szCs w:val="20"/>
                <w:color w:val="auto"/>
              </w:rPr>
            </w:pPr>
            <w:r>
              <w:rPr>
                <w:rFonts w:ascii="Arial" w:cs="Arial" w:eastAsia="Arial" w:hAnsi="Arial"/>
                <w:sz w:val="13"/>
                <w:szCs w:val="13"/>
                <w:color w:val="333333"/>
              </w:rPr>
              <w:t>—​</w:t>
            </w:r>
          </w:p>
        </w:tc>
        <w:tc>
          <w:tcPr>
            <w:tcW w:w="740" w:type="dxa"/>
            <w:vAlign w:val="bottom"/>
          </w:tcPr>
          <w:p>
            <w:pPr>
              <w:ind w:left="80"/>
              <w:spacing w:after="0"/>
              <w:rPr>
                <w:sz w:val="20"/>
                <w:szCs w:val="20"/>
                <w:color w:val="auto"/>
              </w:rPr>
            </w:pPr>
            <w:r>
              <w:rPr>
                <w:rFonts w:ascii="Arial" w:cs="Arial" w:eastAsia="Arial" w:hAnsi="Arial"/>
                <w:sz w:val="13"/>
                <w:szCs w:val="13"/>
                <w:color w:val="333333"/>
              </w:rPr>
              <w:t>​—</w:t>
            </w:r>
          </w:p>
        </w:tc>
        <w:tc>
          <w:tcPr>
            <w:tcW w:w="800" w:type="dxa"/>
            <w:vAlign w:val="bottom"/>
            <w:gridSpan w:val="2"/>
          </w:tcPr>
          <w:p>
            <w:pPr>
              <w:ind w:left="60"/>
              <w:spacing w:after="0"/>
              <w:rPr>
                <w:sz w:val="20"/>
                <w:szCs w:val="20"/>
                <w:color w:val="auto"/>
              </w:rPr>
            </w:pPr>
            <w:r>
              <w:rPr>
                <w:rFonts w:ascii="Arial" w:cs="Arial" w:eastAsia="Arial" w:hAnsi="Arial"/>
                <w:sz w:val="13"/>
                <w:szCs w:val="13"/>
                <w:color w:val="333333"/>
              </w:rPr>
              <w:t>$1,278,438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660" w:right="319" w:hanging="10"/>
        <w:spacing w:after="0" w:line="229" w:lineRule="auto"/>
        <w:tabs>
          <w:tab w:leader="none" w:pos="849" w:val="left"/>
        </w:tabs>
        <w:numPr>
          <w:ilvl w:val="0"/>
          <w:numId w:val="86"/>
        </w:numPr>
        <w:rPr>
          <w:rFonts w:ascii="Arial" w:cs="Arial" w:eastAsia="Arial" w:hAnsi="Arial"/>
          <w:sz w:val="13"/>
          <w:szCs w:val="13"/>
          <w:i w:val="1"/>
          <w:iCs w:val="1"/>
          <w:color w:val="333333"/>
        </w:rPr>
      </w:pPr>
      <w:r>
        <w:rPr>
          <w:rFonts w:ascii="Arial" w:cs="Arial" w:eastAsia="Arial" w:hAnsi="Arial"/>
          <w:sz w:val="13"/>
          <w:szCs w:val="13"/>
          <w:i w:val="1"/>
          <w:iCs w:val="1"/>
          <w:color w:val="333333"/>
        </w:rPr>
        <w:t>Reflects the amounts that could be earned under the cash portion of our 2023 annual incentive program for each NEO. For information concerning this program, see “Compensation Discussion and Analysis—Key Elements of 2023 Named Executive Officer Compensation—Annual Incentive.” See the 2023 Summary Compensation Table for actual cash amounts earned for 2023 performance.</w:t>
      </w:r>
    </w:p>
    <w:p>
      <w:pPr>
        <w:ind w:left="660" w:right="199" w:hanging="10"/>
        <w:spacing w:after="0" w:line="224" w:lineRule="auto"/>
        <w:tabs>
          <w:tab w:leader="none" w:pos="849" w:val="left"/>
        </w:tabs>
        <w:numPr>
          <w:ilvl w:val="0"/>
          <w:numId w:val="86"/>
        </w:numPr>
        <w:rPr>
          <w:rFonts w:ascii="Arial" w:cs="Arial" w:eastAsia="Arial" w:hAnsi="Arial"/>
          <w:sz w:val="13"/>
          <w:szCs w:val="13"/>
          <w:i w:val="1"/>
          <w:iCs w:val="1"/>
          <w:color w:val="333333"/>
        </w:rPr>
      </w:pPr>
      <w:r>
        <w:rPr>
          <w:rFonts w:ascii="Arial" w:cs="Arial" w:eastAsia="Arial" w:hAnsi="Arial"/>
          <w:sz w:val="13"/>
          <w:szCs w:val="13"/>
          <w:i w:val="1"/>
          <w:iCs w:val="1"/>
          <w:color w:val="333333"/>
        </w:rPr>
        <w:t>Reflects the number of shares of time-based restricted stock granted in 2023 in connection with our 2023 annual incentive program and our special 2023 restricted stock award program. For information concerning these grants and the vesting terms, see “Compensation Discussion and Analysis— Key Elements of 2023 Named Executive Officer Compensation — Annual Incentive” and “Compensation Discussion and Analysis— Key Elements of 2023 Named Executive Officer Compensation — Equity Awards.”</w:t>
      </w:r>
    </w:p>
    <w:p>
      <w:pPr>
        <w:ind w:left="660" w:right="399" w:hanging="10"/>
        <w:spacing w:after="0" w:line="233" w:lineRule="auto"/>
        <w:tabs>
          <w:tab w:leader="none" w:pos="849" w:val="left"/>
        </w:tabs>
        <w:numPr>
          <w:ilvl w:val="0"/>
          <w:numId w:val="86"/>
        </w:numPr>
        <w:rPr>
          <w:rFonts w:ascii="Arial" w:cs="Arial" w:eastAsia="Arial" w:hAnsi="Arial"/>
          <w:sz w:val="13"/>
          <w:szCs w:val="13"/>
          <w:i w:val="1"/>
          <w:iCs w:val="1"/>
          <w:color w:val="333333"/>
        </w:rPr>
      </w:pPr>
      <w:r>
        <w:rPr>
          <w:rFonts w:ascii="Arial" w:cs="Arial" w:eastAsia="Arial" w:hAnsi="Arial"/>
          <w:sz w:val="13"/>
          <w:szCs w:val="13"/>
          <w:i w:val="1"/>
          <w:iCs w:val="1"/>
          <w:color w:val="333333"/>
        </w:rPr>
        <w:t>Reflects the number of time-based stock options granted in 2023. For information concerning these grants and the vesting terms, see “Compensation Discussion and Analysis — Key Elements of 2023 Named Executive Officer Compensation — Equity Awards.”</w:t>
      </w:r>
    </w:p>
    <w:p>
      <w:pPr>
        <w:spacing w:after="0" w:line="1" w:lineRule="exact"/>
        <w:rPr>
          <w:rFonts w:ascii="Arial" w:cs="Arial" w:eastAsia="Arial" w:hAnsi="Arial"/>
          <w:sz w:val="13"/>
          <w:szCs w:val="13"/>
          <w:i w:val="1"/>
          <w:iCs w:val="1"/>
          <w:color w:val="333333"/>
        </w:rPr>
      </w:pPr>
    </w:p>
    <w:p>
      <w:pPr>
        <w:jc w:val="both"/>
        <w:ind w:left="660" w:right="139" w:hanging="10"/>
        <w:spacing w:after="0" w:line="222" w:lineRule="auto"/>
        <w:tabs>
          <w:tab w:leader="none" w:pos="849" w:val="left"/>
        </w:tabs>
        <w:numPr>
          <w:ilvl w:val="0"/>
          <w:numId w:val="86"/>
        </w:numPr>
        <w:rPr>
          <w:rFonts w:ascii="Arial" w:cs="Arial" w:eastAsia="Arial" w:hAnsi="Arial"/>
          <w:sz w:val="13"/>
          <w:szCs w:val="13"/>
          <w:i w:val="1"/>
          <w:iCs w:val="1"/>
          <w:color w:val="333333"/>
        </w:rPr>
      </w:pPr>
      <w:r>
        <w:rPr>
          <w:rFonts w:ascii="Arial" w:cs="Arial" w:eastAsia="Arial" w:hAnsi="Arial"/>
          <w:sz w:val="13"/>
          <w:szCs w:val="13"/>
          <w:i w:val="1"/>
          <w:iCs w:val="1"/>
          <w:color w:val="333333"/>
        </w:rPr>
        <w:t>Reflects the grant date fair value of Performance Shares, Performance-Based RSUs, time-based restricted stock, and stock option awards granted to each of the NEOs in 2023 computed in accordance with FASB ASC Topic 718. Awards with performance conditions are computed based on the probable outcome of the performance condition as of the grant date for the award. There can be no assurance that the grant date fair value of stock and option awards will ever be realized by the named executive officers.</w:t>
      </w:r>
    </w:p>
    <w:p>
      <w:pPr>
        <w:ind w:left="660" w:right="219" w:hanging="10"/>
        <w:spacing w:after="0" w:line="231" w:lineRule="auto"/>
        <w:tabs>
          <w:tab w:leader="none" w:pos="849" w:val="left"/>
        </w:tabs>
        <w:numPr>
          <w:ilvl w:val="0"/>
          <w:numId w:val="86"/>
        </w:numPr>
        <w:rPr>
          <w:rFonts w:ascii="Arial" w:cs="Arial" w:eastAsia="Arial" w:hAnsi="Arial"/>
          <w:sz w:val="13"/>
          <w:szCs w:val="13"/>
          <w:i w:val="1"/>
          <w:iCs w:val="1"/>
          <w:color w:val="333333"/>
        </w:rPr>
      </w:pPr>
      <w:r>
        <w:rPr>
          <w:rFonts w:ascii="Arial" w:cs="Arial" w:eastAsia="Arial" w:hAnsi="Arial"/>
          <w:sz w:val="13"/>
          <w:szCs w:val="13"/>
          <w:i w:val="1"/>
          <w:iCs w:val="1"/>
          <w:color w:val="333333"/>
        </w:rPr>
        <w:t>Reflects the Performance-Based RSU awards granted in 2023. For information concerning these grants, see “Compensation Discussion and Analysis — Key Elements of 2023 Named Executive Officer Compensation — Equity Awards.”</w:t>
      </w:r>
    </w:p>
    <w:p>
      <w:pPr>
        <w:spacing w:after="0" w:line="1" w:lineRule="exact"/>
        <w:rPr>
          <w:rFonts w:ascii="Arial" w:cs="Arial" w:eastAsia="Arial" w:hAnsi="Arial"/>
          <w:sz w:val="13"/>
          <w:szCs w:val="13"/>
          <w:i w:val="1"/>
          <w:iCs w:val="1"/>
          <w:color w:val="333333"/>
        </w:rPr>
      </w:pPr>
    </w:p>
    <w:p>
      <w:pPr>
        <w:ind w:left="660" w:right="299" w:hanging="10"/>
        <w:spacing w:after="0" w:line="233" w:lineRule="auto"/>
        <w:tabs>
          <w:tab w:leader="none" w:pos="849" w:val="left"/>
        </w:tabs>
        <w:numPr>
          <w:ilvl w:val="0"/>
          <w:numId w:val="86"/>
        </w:numPr>
        <w:rPr>
          <w:rFonts w:ascii="Arial" w:cs="Arial" w:eastAsia="Arial" w:hAnsi="Arial"/>
          <w:sz w:val="13"/>
          <w:szCs w:val="13"/>
          <w:i w:val="1"/>
          <w:iCs w:val="1"/>
          <w:color w:val="333333"/>
        </w:rPr>
      </w:pPr>
      <w:r>
        <w:rPr>
          <w:rFonts w:ascii="Arial" w:cs="Arial" w:eastAsia="Arial" w:hAnsi="Arial"/>
          <w:sz w:val="13"/>
          <w:szCs w:val="13"/>
          <w:i w:val="1"/>
          <w:iCs w:val="1"/>
          <w:color w:val="333333"/>
        </w:rPr>
        <w:t>Reflects the Performance Share awards granted in 2023. For information concerning these grants, see “Compensation Discussion and Analysis — Key Elements of 2023 Named Executive Officer Compensation — Equity Awards.”</w:t>
      </w:r>
    </w:p>
    <w:p>
      <w:pPr>
        <w:spacing w:after="0" w:line="1" w:lineRule="exact"/>
        <w:rPr>
          <w:rFonts w:ascii="Arial" w:cs="Arial" w:eastAsia="Arial" w:hAnsi="Arial"/>
          <w:sz w:val="13"/>
          <w:szCs w:val="13"/>
          <w:i w:val="1"/>
          <w:iCs w:val="1"/>
          <w:color w:val="333333"/>
        </w:rPr>
      </w:pPr>
    </w:p>
    <w:p>
      <w:pPr>
        <w:ind w:left="660" w:right="419" w:hanging="10"/>
        <w:spacing w:after="0" w:line="231" w:lineRule="auto"/>
        <w:tabs>
          <w:tab w:leader="none" w:pos="849" w:val="left"/>
        </w:tabs>
        <w:numPr>
          <w:ilvl w:val="0"/>
          <w:numId w:val="86"/>
        </w:numPr>
        <w:rPr>
          <w:rFonts w:ascii="Arial" w:cs="Arial" w:eastAsia="Arial" w:hAnsi="Arial"/>
          <w:sz w:val="13"/>
          <w:szCs w:val="13"/>
          <w:i w:val="1"/>
          <w:iCs w:val="1"/>
          <w:color w:val="333333"/>
        </w:rPr>
      </w:pPr>
      <w:r>
        <w:rPr>
          <w:rFonts w:ascii="Arial" w:cs="Arial" w:eastAsia="Arial" w:hAnsi="Arial"/>
          <w:sz w:val="13"/>
          <w:szCs w:val="13"/>
          <w:i w:val="1"/>
          <w:iCs w:val="1"/>
          <w:color w:val="333333"/>
        </w:rPr>
        <w:t>As Mr. Netto is based in Brazil, his cash compensation is denominated in Brazilian Real. Non-equity incentive plan award amounts for Mr. Netto have been converted to U.S. dollars at an average exchange rate of $1 to R$4.9915 for 2023.</w:t>
      </w:r>
    </w:p>
    <w:p>
      <w:pPr>
        <w:sectPr>
          <w:pgSz w:w="11900" w:h="16838" w:orient="portrait"/>
          <w:cols w:equalWidth="0" w:num="1">
            <w:col w:w="9539"/>
          </w:cols>
          <w:pgMar w:left="920" w:top="114" w:right="1440"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0"/>
          <w:szCs w:val="10"/>
          <w:b w:val="1"/>
          <w:bCs w:val="1"/>
          <w:color w:val="333333"/>
        </w:rPr>
        <w:t xml:space="preserve">52 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CF1D4C"/>
        </w:rPr>
        <w:t>2023 NAMED EXECUTIVE OFFICER COMPENSATION</w:t>
      </w:r>
    </w:p>
    <w:p>
      <w:pPr>
        <w:spacing w:after="0" w:line="351" w:lineRule="exact"/>
        <w:rPr>
          <w:sz w:val="20"/>
          <w:szCs w:val="20"/>
          <w:color w:val="auto"/>
        </w:rPr>
      </w:pPr>
    </w:p>
    <w:p>
      <w:pPr>
        <w:ind w:left="660" w:right="800"/>
        <w:spacing w:after="0" w:line="259" w:lineRule="auto"/>
        <w:rPr>
          <w:sz w:val="20"/>
          <w:szCs w:val="20"/>
          <w:color w:val="auto"/>
        </w:rPr>
      </w:pPr>
      <w:r>
        <w:rPr>
          <w:rFonts w:ascii="Arial" w:cs="Arial" w:eastAsia="Arial" w:hAnsi="Arial"/>
          <w:sz w:val="16"/>
          <w:szCs w:val="16"/>
          <w:color w:val="auto"/>
        </w:rPr>
        <w:t>For information regarding the amount of salary and bonus in proportion to total compensation of our NEOs, see “Compensation Discussion and Analysis — Components of Compensation and Target Direct Compensation Mix” above. For information regarding the employment agreements and offer letters with our NEOs, see “Potential Payments Upon Termination or Change in Control” below.</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Outstanding Equity Awards at 2023 Fiscal Year-End</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The following table shows the number of stock options and stock awards held by the NEOs on December 31, 2023:</w:t>
      </w:r>
    </w:p>
    <w:p>
      <w:pPr>
        <w:spacing w:after="0" w:line="87" w:lineRule="exact"/>
        <w:rPr>
          <w:sz w:val="20"/>
          <w:szCs w:val="20"/>
          <w:color w:val="auto"/>
        </w:rPr>
      </w:pPr>
    </w:p>
    <w:tbl>
      <w:tblPr>
        <w:tblLayout w:type="fixed"/>
        <w:tblInd w:w="640" w:type="dxa"/>
        <w:tblCellMar>
          <w:top w:w="0" w:type="dxa"/>
          <w:left w:w="0" w:type="dxa"/>
          <w:bottom w:w="0" w:type="dxa"/>
          <w:right w:w="0" w:type="dxa"/>
        </w:tblCellMar>
      </w:tblPr>
      <w:tr>
        <w:trPr>
          <w:trHeight w:val="310"/>
        </w:trPr>
        <w:tc>
          <w:tcPr>
            <w:tcW w:w="120" w:type="dxa"/>
            <w:vAlign w:val="bottom"/>
            <w:shd w:val="clear" w:color="auto" w:fill="CF1D4C"/>
          </w:tcPr>
          <w:p>
            <w:pPr>
              <w:spacing w:after="0"/>
              <w:rPr>
                <w:sz w:val="24"/>
                <w:szCs w:val="24"/>
                <w:color w:val="auto"/>
              </w:rPr>
            </w:pPr>
          </w:p>
        </w:tc>
        <w:tc>
          <w:tcPr>
            <w:tcW w:w="680" w:type="dxa"/>
            <w:vAlign w:val="bottom"/>
            <w:shd w:val="clear" w:color="auto" w:fill="CF1D4C"/>
          </w:tcPr>
          <w:p>
            <w:pPr>
              <w:spacing w:after="0"/>
              <w:rPr>
                <w:sz w:val="24"/>
                <w:szCs w:val="24"/>
                <w:color w:val="auto"/>
              </w:rPr>
            </w:pPr>
          </w:p>
        </w:tc>
        <w:tc>
          <w:tcPr>
            <w:tcW w:w="40" w:type="dxa"/>
            <w:vAlign w:val="bottom"/>
            <w:shd w:val="clear" w:color="auto" w:fill="CF1D4C"/>
          </w:tcPr>
          <w:p>
            <w:pPr>
              <w:spacing w:after="0"/>
              <w:rPr>
                <w:sz w:val="24"/>
                <w:szCs w:val="24"/>
                <w:color w:val="auto"/>
              </w:rPr>
            </w:pPr>
          </w:p>
        </w:tc>
        <w:tc>
          <w:tcPr>
            <w:tcW w:w="700" w:type="dxa"/>
            <w:vAlign w:val="bottom"/>
            <w:shd w:val="clear" w:color="auto" w:fill="CF1D4C"/>
          </w:tcPr>
          <w:p>
            <w:pPr>
              <w:spacing w:after="0"/>
              <w:rPr>
                <w:sz w:val="24"/>
                <w:szCs w:val="24"/>
                <w:color w:val="auto"/>
              </w:rPr>
            </w:pPr>
          </w:p>
        </w:tc>
        <w:tc>
          <w:tcPr>
            <w:tcW w:w="40" w:type="dxa"/>
            <w:vAlign w:val="bottom"/>
            <w:shd w:val="clear" w:color="auto" w:fill="CF1D4C"/>
          </w:tcPr>
          <w:p>
            <w:pPr>
              <w:spacing w:after="0"/>
              <w:rPr>
                <w:sz w:val="24"/>
                <w:szCs w:val="24"/>
                <w:color w:val="auto"/>
              </w:rPr>
            </w:pPr>
          </w:p>
        </w:tc>
        <w:tc>
          <w:tcPr>
            <w:tcW w:w="800" w:type="dxa"/>
            <w:vAlign w:val="bottom"/>
            <w:shd w:val="clear" w:color="auto" w:fill="CF1D4C"/>
          </w:tcPr>
          <w:p>
            <w:pPr>
              <w:spacing w:after="0"/>
              <w:rPr>
                <w:sz w:val="24"/>
                <w:szCs w:val="24"/>
                <w:color w:val="auto"/>
              </w:rPr>
            </w:pPr>
          </w:p>
        </w:tc>
        <w:tc>
          <w:tcPr>
            <w:tcW w:w="1800" w:type="dxa"/>
            <w:vAlign w:val="bottom"/>
            <w:gridSpan w:val="3"/>
            <w:shd w:val="clear" w:color="auto" w:fill="CF1D4C"/>
          </w:tcPr>
          <w:p>
            <w:pPr>
              <w:ind w:left="720"/>
              <w:spacing w:after="0"/>
              <w:rPr>
                <w:sz w:val="20"/>
                <w:szCs w:val="20"/>
                <w:color w:val="auto"/>
              </w:rPr>
            </w:pPr>
            <w:r>
              <w:rPr>
                <w:rFonts w:ascii="Arial" w:cs="Arial" w:eastAsia="Arial" w:hAnsi="Arial"/>
                <w:sz w:val="11"/>
                <w:szCs w:val="11"/>
                <w:b w:val="1"/>
                <w:bCs w:val="1"/>
                <w:color w:val="FFFFFF"/>
              </w:rPr>
              <w:t>OPTION AWARDS</w:t>
            </w:r>
          </w:p>
        </w:tc>
        <w:tc>
          <w:tcPr>
            <w:tcW w:w="580" w:type="dxa"/>
            <w:vAlign w:val="bottom"/>
            <w:shd w:val="clear" w:color="auto" w:fill="CF1D4C"/>
          </w:tcPr>
          <w:p>
            <w:pPr>
              <w:spacing w:after="0"/>
              <w:rPr>
                <w:sz w:val="24"/>
                <w:szCs w:val="24"/>
                <w:color w:val="auto"/>
              </w:rPr>
            </w:pPr>
          </w:p>
        </w:tc>
        <w:tc>
          <w:tcPr>
            <w:tcW w:w="760" w:type="dxa"/>
            <w:vAlign w:val="bottom"/>
            <w:shd w:val="clear" w:color="auto" w:fill="CF1D4C"/>
          </w:tcPr>
          <w:p>
            <w:pPr>
              <w:spacing w:after="0"/>
              <w:rPr>
                <w:sz w:val="24"/>
                <w:szCs w:val="24"/>
                <w:color w:val="auto"/>
              </w:rPr>
            </w:pPr>
          </w:p>
        </w:tc>
        <w:tc>
          <w:tcPr>
            <w:tcW w:w="80" w:type="dxa"/>
            <w:vAlign w:val="bottom"/>
            <w:shd w:val="clear" w:color="auto" w:fill="CF1D4C"/>
          </w:tcPr>
          <w:p>
            <w:pPr>
              <w:spacing w:after="0"/>
              <w:rPr>
                <w:sz w:val="24"/>
                <w:szCs w:val="24"/>
                <w:color w:val="auto"/>
              </w:rPr>
            </w:pPr>
          </w:p>
        </w:tc>
        <w:tc>
          <w:tcPr>
            <w:tcW w:w="540" w:type="dxa"/>
            <w:vAlign w:val="bottom"/>
            <w:shd w:val="clear" w:color="auto" w:fill="CF1D4C"/>
          </w:tcPr>
          <w:p>
            <w:pPr>
              <w:spacing w:after="0"/>
              <w:rPr>
                <w:sz w:val="24"/>
                <w:szCs w:val="24"/>
                <w:color w:val="auto"/>
              </w:rPr>
            </w:pPr>
          </w:p>
        </w:tc>
        <w:tc>
          <w:tcPr>
            <w:tcW w:w="1560" w:type="dxa"/>
            <w:vAlign w:val="bottom"/>
            <w:gridSpan w:val="2"/>
            <w:shd w:val="clear" w:color="auto" w:fill="CF1D4C"/>
          </w:tcPr>
          <w:p>
            <w:pPr>
              <w:ind w:left="560"/>
              <w:spacing w:after="0"/>
              <w:rPr>
                <w:sz w:val="20"/>
                <w:szCs w:val="20"/>
                <w:color w:val="auto"/>
              </w:rPr>
            </w:pPr>
            <w:r>
              <w:rPr>
                <w:rFonts w:ascii="Arial" w:cs="Arial" w:eastAsia="Arial" w:hAnsi="Arial"/>
                <w:sz w:val="11"/>
                <w:szCs w:val="11"/>
                <w:b w:val="1"/>
                <w:bCs w:val="1"/>
                <w:color w:val="FFFFFF"/>
              </w:rPr>
              <w:t>STOCK AWARDS</w:t>
            </w:r>
          </w:p>
        </w:tc>
        <w:tc>
          <w:tcPr>
            <w:tcW w:w="960" w:type="dxa"/>
            <w:vAlign w:val="bottom"/>
            <w:shd w:val="clear" w:color="auto" w:fill="CF1D4C"/>
          </w:tcPr>
          <w:p>
            <w:pPr>
              <w:spacing w:after="0"/>
              <w:rPr>
                <w:sz w:val="24"/>
                <w:szCs w:val="24"/>
                <w:color w:val="auto"/>
              </w:rPr>
            </w:pPr>
          </w:p>
        </w:tc>
        <w:tc>
          <w:tcPr>
            <w:tcW w:w="100" w:type="dxa"/>
            <w:vAlign w:val="bottom"/>
            <w:shd w:val="clear" w:color="auto" w:fill="CF1D4C"/>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20" w:type="dxa"/>
            <w:vAlign w:val="bottom"/>
            <w:shd w:val="clear" w:color="auto" w:fill="CF1D4C"/>
          </w:tcPr>
          <w:p>
            <w:pPr>
              <w:spacing w:after="0"/>
              <w:rPr>
                <w:sz w:val="24"/>
                <w:szCs w:val="24"/>
                <w:color w:val="auto"/>
              </w:rPr>
            </w:pPr>
          </w:p>
        </w:tc>
        <w:tc>
          <w:tcPr>
            <w:tcW w:w="680" w:type="dxa"/>
            <w:vAlign w:val="bottom"/>
            <w:shd w:val="clear" w:color="auto" w:fill="CF1D4C"/>
          </w:tcPr>
          <w:p>
            <w:pPr>
              <w:spacing w:after="0"/>
              <w:rPr>
                <w:sz w:val="24"/>
                <w:szCs w:val="24"/>
                <w:color w:val="auto"/>
              </w:rPr>
            </w:pPr>
          </w:p>
        </w:tc>
        <w:tc>
          <w:tcPr>
            <w:tcW w:w="40" w:type="dxa"/>
            <w:vAlign w:val="bottom"/>
            <w:shd w:val="clear" w:color="auto" w:fill="CF1D4C"/>
          </w:tcPr>
          <w:p>
            <w:pPr>
              <w:spacing w:after="0"/>
              <w:rPr>
                <w:sz w:val="24"/>
                <w:szCs w:val="24"/>
                <w:color w:val="auto"/>
              </w:rPr>
            </w:pPr>
          </w:p>
        </w:tc>
        <w:tc>
          <w:tcPr>
            <w:tcW w:w="700" w:type="dxa"/>
            <w:vAlign w:val="bottom"/>
            <w:shd w:val="clear" w:color="auto" w:fill="CF1D4C"/>
          </w:tcPr>
          <w:p>
            <w:pPr>
              <w:spacing w:after="0"/>
              <w:rPr>
                <w:sz w:val="24"/>
                <w:szCs w:val="24"/>
                <w:color w:val="auto"/>
              </w:rPr>
            </w:pPr>
          </w:p>
        </w:tc>
        <w:tc>
          <w:tcPr>
            <w:tcW w:w="40" w:type="dxa"/>
            <w:vAlign w:val="bottom"/>
            <w:shd w:val="clear" w:color="auto" w:fill="CF1D4C"/>
          </w:tcPr>
          <w:p>
            <w:pPr>
              <w:spacing w:after="0"/>
              <w:rPr>
                <w:sz w:val="24"/>
                <w:szCs w:val="24"/>
                <w:color w:val="auto"/>
              </w:rPr>
            </w:pPr>
          </w:p>
        </w:tc>
        <w:tc>
          <w:tcPr>
            <w:tcW w:w="800" w:type="dxa"/>
            <w:vAlign w:val="bottom"/>
            <w:shd w:val="clear" w:color="auto" w:fill="CF1D4C"/>
          </w:tcPr>
          <w:p>
            <w:pPr>
              <w:spacing w:after="0"/>
              <w:rPr>
                <w:sz w:val="24"/>
                <w:szCs w:val="24"/>
                <w:color w:val="auto"/>
              </w:rPr>
            </w:pPr>
          </w:p>
        </w:tc>
        <w:tc>
          <w:tcPr>
            <w:tcW w:w="960" w:type="dxa"/>
            <w:vAlign w:val="bottom"/>
            <w:shd w:val="clear" w:color="auto" w:fill="CF1D4C"/>
          </w:tcPr>
          <w:p>
            <w:pPr>
              <w:spacing w:after="0"/>
              <w:rPr>
                <w:sz w:val="24"/>
                <w:szCs w:val="24"/>
                <w:color w:val="auto"/>
              </w:rPr>
            </w:pPr>
          </w:p>
        </w:tc>
        <w:tc>
          <w:tcPr>
            <w:tcW w:w="660" w:type="dxa"/>
            <w:vAlign w:val="bottom"/>
            <w:shd w:val="clear" w:color="auto" w:fill="CF1D4C"/>
          </w:tcPr>
          <w:p>
            <w:pPr>
              <w:spacing w:after="0"/>
              <w:rPr>
                <w:sz w:val="24"/>
                <w:szCs w:val="24"/>
                <w:color w:val="auto"/>
              </w:rPr>
            </w:pPr>
          </w:p>
        </w:tc>
        <w:tc>
          <w:tcPr>
            <w:tcW w:w="180" w:type="dxa"/>
            <w:vAlign w:val="bottom"/>
            <w:shd w:val="clear" w:color="auto" w:fill="CF1D4C"/>
          </w:tcPr>
          <w:p>
            <w:pPr>
              <w:spacing w:after="0"/>
              <w:rPr>
                <w:sz w:val="24"/>
                <w:szCs w:val="24"/>
                <w:color w:val="auto"/>
              </w:rPr>
            </w:pPr>
          </w:p>
        </w:tc>
        <w:tc>
          <w:tcPr>
            <w:tcW w:w="580" w:type="dxa"/>
            <w:vAlign w:val="bottom"/>
            <w:shd w:val="clear" w:color="auto" w:fill="CF1D4C"/>
          </w:tcPr>
          <w:p>
            <w:pPr>
              <w:spacing w:after="0"/>
              <w:rPr>
                <w:sz w:val="24"/>
                <w:szCs w:val="24"/>
                <w:color w:val="auto"/>
              </w:rPr>
            </w:pPr>
          </w:p>
        </w:tc>
        <w:tc>
          <w:tcPr>
            <w:tcW w:w="760" w:type="dxa"/>
            <w:vAlign w:val="bottom"/>
            <w:shd w:val="clear" w:color="auto" w:fill="CF1D4C"/>
          </w:tcPr>
          <w:p>
            <w:pPr>
              <w:spacing w:after="0"/>
              <w:rPr>
                <w:sz w:val="24"/>
                <w:szCs w:val="24"/>
                <w:color w:val="auto"/>
              </w:rPr>
            </w:pPr>
          </w:p>
        </w:tc>
        <w:tc>
          <w:tcPr>
            <w:tcW w:w="80" w:type="dxa"/>
            <w:vAlign w:val="bottom"/>
            <w:shd w:val="clear" w:color="auto" w:fill="CF1D4C"/>
          </w:tcPr>
          <w:p>
            <w:pPr>
              <w:spacing w:after="0"/>
              <w:rPr>
                <w:sz w:val="24"/>
                <w:szCs w:val="24"/>
                <w:color w:val="auto"/>
              </w:rPr>
            </w:pPr>
          </w:p>
        </w:tc>
        <w:tc>
          <w:tcPr>
            <w:tcW w:w="540" w:type="dxa"/>
            <w:vAlign w:val="bottom"/>
            <w:shd w:val="clear" w:color="auto" w:fill="CF1D4C"/>
          </w:tcPr>
          <w:p>
            <w:pPr>
              <w:spacing w:after="0"/>
              <w:rPr>
                <w:sz w:val="24"/>
                <w:szCs w:val="24"/>
                <w:color w:val="auto"/>
              </w:rPr>
            </w:pPr>
          </w:p>
        </w:tc>
        <w:tc>
          <w:tcPr>
            <w:tcW w:w="740" w:type="dxa"/>
            <w:vAlign w:val="bottom"/>
            <w:shd w:val="clear" w:color="auto" w:fill="CF1D4C"/>
          </w:tcPr>
          <w:p>
            <w:pPr>
              <w:spacing w:after="0"/>
              <w:rPr>
                <w:sz w:val="24"/>
                <w:szCs w:val="24"/>
                <w:color w:val="auto"/>
              </w:rPr>
            </w:pPr>
          </w:p>
        </w:tc>
        <w:tc>
          <w:tcPr>
            <w:tcW w:w="820" w:type="dxa"/>
            <w:vAlign w:val="bottom"/>
            <w:shd w:val="clear" w:color="auto" w:fill="CF1D4C"/>
          </w:tcPr>
          <w:p>
            <w:pPr>
              <w:ind w:left="60"/>
              <w:spacing w:after="0"/>
              <w:rPr>
                <w:sz w:val="20"/>
                <w:szCs w:val="20"/>
                <w:color w:val="auto"/>
              </w:rPr>
            </w:pPr>
            <w:r>
              <w:rPr>
                <w:rFonts w:ascii="Arial" w:cs="Arial" w:eastAsia="Arial" w:hAnsi="Arial"/>
                <w:sz w:val="11"/>
                <w:szCs w:val="11"/>
                <w:b w:val="1"/>
                <w:bCs w:val="1"/>
                <w:color w:val="FFFFFF"/>
              </w:rPr>
              <w:t>Equity</w:t>
            </w:r>
          </w:p>
        </w:tc>
        <w:tc>
          <w:tcPr>
            <w:tcW w:w="1060" w:type="dxa"/>
            <w:vAlign w:val="bottom"/>
            <w:gridSpan w:val="2"/>
            <w:shd w:val="clear" w:color="auto" w:fill="CF1D4C"/>
          </w:tcPr>
          <w:p>
            <w:pPr>
              <w:ind w:left="80"/>
              <w:spacing w:after="0"/>
              <w:rPr>
                <w:sz w:val="20"/>
                <w:szCs w:val="20"/>
                <w:color w:val="auto"/>
              </w:rPr>
            </w:pPr>
            <w:r>
              <w:rPr>
                <w:rFonts w:ascii="Arial" w:cs="Arial" w:eastAsia="Arial" w:hAnsi="Arial"/>
                <w:sz w:val="11"/>
                <w:szCs w:val="11"/>
                <w:b w:val="1"/>
                <w:bCs w:val="1"/>
                <w:color w:val="FFFFFF"/>
              </w:rPr>
              <w:t>Equity</w:t>
            </w:r>
          </w:p>
        </w:tc>
        <w:tc>
          <w:tcPr>
            <w:tcW w:w="0" w:type="dxa"/>
            <w:vAlign w:val="bottom"/>
          </w:tcPr>
          <w:p>
            <w:pPr>
              <w:spacing w:after="0"/>
              <w:rPr>
                <w:sz w:val="1"/>
                <w:szCs w:val="1"/>
                <w:color w:val="auto"/>
              </w:rPr>
            </w:pPr>
          </w:p>
        </w:tc>
      </w:tr>
      <w:tr>
        <w:trPr>
          <w:trHeight w:val="122"/>
        </w:trPr>
        <w:tc>
          <w:tcPr>
            <w:tcW w:w="120" w:type="dxa"/>
            <w:vAlign w:val="bottom"/>
            <w:shd w:val="clear" w:color="auto" w:fill="CF1D4C"/>
          </w:tcPr>
          <w:p>
            <w:pPr>
              <w:spacing w:after="0"/>
              <w:rPr>
                <w:sz w:val="10"/>
                <w:szCs w:val="10"/>
                <w:color w:val="auto"/>
              </w:rPr>
            </w:pPr>
          </w:p>
        </w:tc>
        <w:tc>
          <w:tcPr>
            <w:tcW w:w="680" w:type="dxa"/>
            <w:vAlign w:val="bottom"/>
            <w:shd w:val="clear" w:color="auto" w:fill="CF1D4C"/>
          </w:tcPr>
          <w:p>
            <w:pPr>
              <w:spacing w:after="0"/>
              <w:rPr>
                <w:sz w:val="10"/>
                <w:szCs w:val="10"/>
                <w:color w:val="auto"/>
              </w:rPr>
            </w:pPr>
          </w:p>
        </w:tc>
        <w:tc>
          <w:tcPr>
            <w:tcW w:w="40" w:type="dxa"/>
            <w:vAlign w:val="bottom"/>
            <w:shd w:val="clear" w:color="auto" w:fill="CF1D4C"/>
          </w:tcPr>
          <w:p>
            <w:pPr>
              <w:spacing w:after="0"/>
              <w:rPr>
                <w:sz w:val="10"/>
                <w:szCs w:val="10"/>
                <w:color w:val="auto"/>
              </w:rPr>
            </w:pPr>
          </w:p>
        </w:tc>
        <w:tc>
          <w:tcPr>
            <w:tcW w:w="700" w:type="dxa"/>
            <w:vAlign w:val="bottom"/>
            <w:shd w:val="clear" w:color="auto" w:fill="CF1D4C"/>
          </w:tcPr>
          <w:p>
            <w:pPr>
              <w:spacing w:after="0"/>
              <w:rPr>
                <w:sz w:val="10"/>
                <w:szCs w:val="10"/>
                <w:color w:val="auto"/>
              </w:rPr>
            </w:pPr>
          </w:p>
        </w:tc>
        <w:tc>
          <w:tcPr>
            <w:tcW w:w="40" w:type="dxa"/>
            <w:vAlign w:val="bottom"/>
            <w:shd w:val="clear" w:color="auto" w:fill="CF1D4C"/>
          </w:tcPr>
          <w:p>
            <w:pPr>
              <w:spacing w:after="0"/>
              <w:rPr>
                <w:sz w:val="10"/>
                <w:szCs w:val="10"/>
                <w:color w:val="auto"/>
              </w:rPr>
            </w:pPr>
          </w:p>
        </w:tc>
        <w:tc>
          <w:tcPr>
            <w:tcW w:w="800" w:type="dxa"/>
            <w:vAlign w:val="bottom"/>
            <w:shd w:val="clear" w:color="auto" w:fill="CF1D4C"/>
          </w:tcPr>
          <w:p>
            <w:pPr>
              <w:spacing w:after="0"/>
              <w:rPr>
                <w:sz w:val="10"/>
                <w:szCs w:val="10"/>
                <w:color w:val="auto"/>
              </w:rPr>
            </w:pPr>
          </w:p>
        </w:tc>
        <w:tc>
          <w:tcPr>
            <w:tcW w:w="960" w:type="dxa"/>
            <w:vAlign w:val="bottom"/>
            <w:shd w:val="clear" w:color="auto" w:fill="CF1D4C"/>
          </w:tcPr>
          <w:p>
            <w:pPr>
              <w:spacing w:after="0"/>
              <w:rPr>
                <w:sz w:val="10"/>
                <w:szCs w:val="10"/>
                <w:color w:val="auto"/>
              </w:rPr>
            </w:pPr>
          </w:p>
        </w:tc>
        <w:tc>
          <w:tcPr>
            <w:tcW w:w="660" w:type="dxa"/>
            <w:vAlign w:val="bottom"/>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Equity</w:t>
            </w:r>
          </w:p>
        </w:tc>
        <w:tc>
          <w:tcPr>
            <w:tcW w:w="180" w:type="dxa"/>
            <w:vAlign w:val="bottom"/>
            <w:shd w:val="clear" w:color="auto" w:fill="CF1D4C"/>
          </w:tcPr>
          <w:p>
            <w:pPr>
              <w:spacing w:after="0"/>
              <w:rPr>
                <w:sz w:val="10"/>
                <w:szCs w:val="10"/>
                <w:color w:val="auto"/>
              </w:rPr>
            </w:pPr>
          </w:p>
        </w:tc>
        <w:tc>
          <w:tcPr>
            <w:tcW w:w="580" w:type="dxa"/>
            <w:vAlign w:val="bottom"/>
            <w:shd w:val="clear" w:color="auto" w:fill="CF1D4C"/>
          </w:tcPr>
          <w:p>
            <w:pPr>
              <w:spacing w:after="0"/>
              <w:rPr>
                <w:sz w:val="10"/>
                <w:szCs w:val="10"/>
                <w:color w:val="auto"/>
              </w:rPr>
            </w:pPr>
          </w:p>
        </w:tc>
        <w:tc>
          <w:tcPr>
            <w:tcW w:w="760" w:type="dxa"/>
            <w:vAlign w:val="bottom"/>
            <w:shd w:val="clear" w:color="auto" w:fill="CF1D4C"/>
          </w:tcPr>
          <w:p>
            <w:pPr>
              <w:spacing w:after="0"/>
              <w:rPr>
                <w:sz w:val="10"/>
                <w:szCs w:val="10"/>
                <w:color w:val="auto"/>
              </w:rPr>
            </w:pPr>
          </w:p>
        </w:tc>
        <w:tc>
          <w:tcPr>
            <w:tcW w:w="80" w:type="dxa"/>
            <w:vAlign w:val="bottom"/>
            <w:shd w:val="clear" w:color="auto" w:fill="CF1D4C"/>
          </w:tcPr>
          <w:p>
            <w:pPr>
              <w:spacing w:after="0"/>
              <w:rPr>
                <w:sz w:val="10"/>
                <w:szCs w:val="10"/>
                <w:color w:val="auto"/>
              </w:rPr>
            </w:pPr>
          </w:p>
        </w:tc>
        <w:tc>
          <w:tcPr>
            <w:tcW w:w="540" w:type="dxa"/>
            <w:vAlign w:val="bottom"/>
            <w:vMerge w:val="restart"/>
            <w:shd w:val="clear" w:color="auto" w:fill="CF1D4C"/>
          </w:tcPr>
          <w:p>
            <w:pPr>
              <w:spacing w:after="0"/>
              <w:rPr>
                <w:sz w:val="20"/>
                <w:szCs w:val="20"/>
                <w:color w:val="auto"/>
              </w:rPr>
            </w:pPr>
            <w:r>
              <w:rPr>
                <w:rFonts w:ascii="Arial" w:cs="Arial" w:eastAsia="Arial" w:hAnsi="Arial"/>
                <w:sz w:val="11"/>
                <w:szCs w:val="11"/>
                <w:b w:val="1"/>
                <w:bCs w:val="1"/>
                <w:color w:val="FFFFFF"/>
              </w:rPr>
              <w:t>Number</w:t>
            </w:r>
          </w:p>
        </w:tc>
        <w:tc>
          <w:tcPr>
            <w:tcW w:w="74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Market</w:t>
            </w:r>
          </w:p>
        </w:tc>
        <w:tc>
          <w:tcPr>
            <w:tcW w:w="820" w:type="dxa"/>
            <w:vAlign w:val="bottom"/>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Incentive</w:t>
            </w:r>
          </w:p>
        </w:tc>
        <w:tc>
          <w:tcPr>
            <w:tcW w:w="1060" w:type="dxa"/>
            <w:vAlign w:val="bottom"/>
            <w:gridSpan w:val="2"/>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Incentive</w:t>
            </w:r>
          </w:p>
        </w:tc>
        <w:tc>
          <w:tcPr>
            <w:tcW w:w="0" w:type="dxa"/>
            <w:vAlign w:val="bottom"/>
          </w:tcPr>
          <w:p>
            <w:pPr>
              <w:spacing w:after="0"/>
              <w:rPr>
                <w:sz w:val="1"/>
                <w:szCs w:val="1"/>
                <w:color w:val="auto"/>
              </w:rPr>
            </w:pPr>
          </w:p>
        </w:tc>
      </w:tr>
      <w:tr>
        <w:trPr>
          <w:trHeight w:val="54"/>
        </w:trPr>
        <w:tc>
          <w:tcPr>
            <w:tcW w:w="120" w:type="dxa"/>
            <w:vAlign w:val="bottom"/>
            <w:shd w:val="clear" w:color="auto" w:fill="CF1D4C"/>
          </w:tcPr>
          <w:p>
            <w:pPr>
              <w:spacing w:after="0"/>
              <w:rPr>
                <w:sz w:val="4"/>
                <w:szCs w:val="4"/>
                <w:color w:val="auto"/>
              </w:rPr>
            </w:pPr>
          </w:p>
        </w:tc>
        <w:tc>
          <w:tcPr>
            <w:tcW w:w="68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70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800" w:type="dxa"/>
            <w:vAlign w:val="bottom"/>
            <w:shd w:val="clear" w:color="auto" w:fill="CF1D4C"/>
          </w:tcPr>
          <w:p>
            <w:pPr>
              <w:spacing w:after="0"/>
              <w:rPr>
                <w:sz w:val="4"/>
                <w:szCs w:val="4"/>
                <w:color w:val="auto"/>
              </w:rPr>
            </w:pPr>
          </w:p>
        </w:tc>
        <w:tc>
          <w:tcPr>
            <w:tcW w:w="960" w:type="dxa"/>
            <w:vAlign w:val="bottom"/>
            <w:shd w:val="clear" w:color="auto" w:fill="CF1D4C"/>
          </w:tcPr>
          <w:p>
            <w:pPr>
              <w:spacing w:after="0"/>
              <w:rPr>
                <w:sz w:val="4"/>
                <w:szCs w:val="4"/>
                <w:color w:val="auto"/>
              </w:rPr>
            </w:pPr>
          </w:p>
        </w:tc>
        <w:tc>
          <w:tcPr>
            <w:tcW w:w="660" w:type="dxa"/>
            <w:vAlign w:val="bottom"/>
            <w:vMerge w:val="restart"/>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Incentive</w:t>
            </w:r>
          </w:p>
        </w:tc>
        <w:tc>
          <w:tcPr>
            <w:tcW w:w="180" w:type="dxa"/>
            <w:vAlign w:val="bottom"/>
            <w:shd w:val="clear" w:color="auto" w:fill="CF1D4C"/>
          </w:tcPr>
          <w:p>
            <w:pPr>
              <w:spacing w:after="0"/>
              <w:rPr>
                <w:sz w:val="4"/>
                <w:szCs w:val="4"/>
                <w:color w:val="auto"/>
              </w:rPr>
            </w:pPr>
          </w:p>
        </w:tc>
        <w:tc>
          <w:tcPr>
            <w:tcW w:w="580" w:type="dxa"/>
            <w:vAlign w:val="bottom"/>
            <w:shd w:val="clear" w:color="auto" w:fill="CF1D4C"/>
          </w:tcPr>
          <w:p>
            <w:pPr>
              <w:spacing w:after="0"/>
              <w:rPr>
                <w:sz w:val="4"/>
                <w:szCs w:val="4"/>
                <w:color w:val="auto"/>
              </w:rPr>
            </w:pPr>
          </w:p>
        </w:tc>
        <w:tc>
          <w:tcPr>
            <w:tcW w:w="760" w:type="dxa"/>
            <w:vAlign w:val="bottom"/>
            <w:shd w:val="clear" w:color="auto" w:fill="CF1D4C"/>
          </w:tcPr>
          <w:p>
            <w:pPr>
              <w:spacing w:after="0"/>
              <w:rPr>
                <w:sz w:val="4"/>
                <w:szCs w:val="4"/>
                <w:color w:val="auto"/>
              </w:rPr>
            </w:pPr>
          </w:p>
        </w:tc>
        <w:tc>
          <w:tcPr>
            <w:tcW w:w="80" w:type="dxa"/>
            <w:vAlign w:val="bottom"/>
            <w:shd w:val="clear" w:color="auto" w:fill="CF1D4C"/>
          </w:tcPr>
          <w:p>
            <w:pPr>
              <w:spacing w:after="0"/>
              <w:rPr>
                <w:sz w:val="4"/>
                <w:szCs w:val="4"/>
                <w:color w:val="auto"/>
              </w:rPr>
            </w:pPr>
          </w:p>
        </w:tc>
        <w:tc>
          <w:tcPr>
            <w:tcW w:w="540" w:type="dxa"/>
            <w:vAlign w:val="bottom"/>
            <w:vMerge w:val="continue"/>
            <w:shd w:val="clear" w:color="auto" w:fill="CF1D4C"/>
          </w:tcPr>
          <w:p>
            <w:pPr>
              <w:spacing w:after="0"/>
              <w:rPr>
                <w:sz w:val="4"/>
                <w:szCs w:val="4"/>
                <w:color w:val="auto"/>
              </w:rPr>
            </w:pPr>
          </w:p>
        </w:tc>
        <w:tc>
          <w:tcPr>
            <w:tcW w:w="740" w:type="dxa"/>
            <w:vAlign w:val="bottom"/>
            <w:vMerge w:val="continue"/>
            <w:shd w:val="clear" w:color="auto" w:fill="CF1D4C"/>
          </w:tcPr>
          <w:p>
            <w:pPr>
              <w:spacing w:after="0"/>
              <w:rPr>
                <w:sz w:val="4"/>
                <w:szCs w:val="4"/>
                <w:color w:val="auto"/>
              </w:rPr>
            </w:pPr>
          </w:p>
        </w:tc>
        <w:tc>
          <w:tcPr>
            <w:tcW w:w="820" w:type="dxa"/>
            <w:vAlign w:val="bottom"/>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Plan Awards:</w:t>
            </w:r>
          </w:p>
        </w:tc>
        <w:tc>
          <w:tcPr>
            <w:tcW w:w="1060" w:type="dxa"/>
            <w:vAlign w:val="bottom"/>
            <w:gridSpan w:val="2"/>
            <w:vMerge w:val="restart"/>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Plan Awards:</w:t>
            </w:r>
          </w:p>
        </w:tc>
        <w:tc>
          <w:tcPr>
            <w:tcW w:w="0" w:type="dxa"/>
            <w:vAlign w:val="bottom"/>
          </w:tcPr>
          <w:p>
            <w:pPr>
              <w:spacing w:after="0"/>
              <w:rPr>
                <w:sz w:val="1"/>
                <w:szCs w:val="1"/>
                <w:color w:val="auto"/>
              </w:rPr>
            </w:pPr>
          </w:p>
        </w:tc>
      </w:tr>
      <w:tr>
        <w:trPr>
          <w:trHeight w:val="68"/>
        </w:trPr>
        <w:tc>
          <w:tcPr>
            <w:tcW w:w="120" w:type="dxa"/>
            <w:vAlign w:val="bottom"/>
            <w:shd w:val="clear" w:color="auto" w:fill="CF1D4C"/>
          </w:tcPr>
          <w:p>
            <w:pPr>
              <w:spacing w:after="0"/>
              <w:rPr>
                <w:sz w:val="5"/>
                <w:szCs w:val="5"/>
                <w:color w:val="auto"/>
              </w:rPr>
            </w:pPr>
          </w:p>
        </w:tc>
        <w:tc>
          <w:tcPr>
            <w:tcW w:w="68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70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800" w:type="dxa"/>
            <w:vAlign w:val="bottom"/>
            <w:vMerge w:val="restart"/>
            <w:shd w:val="clear" w:color="auto" w:fill="CF1D4C"/>
          </w:tcPr>
          <w:p>
            <w:pPr>
              <w:ind w:left="40"/>
              <w:spacing w:after="0" w:line="122" w:lineRule="exact"/>
              <w:rPr>
                <w:sz w:val="20"/>
                <w:szCs w:val="20"/>
                <w:color w:val="auto"/>
              </w:rPr>
            </w:pPr>
            <w:r>
              <w:rPr>
                <w:rFonts w:ascii="Arial" w:cs="Arial" w:eastAsia="Arial" w:hAnsi="Arial"/>
                <w:sz w:val="11"/>
                <w:szCs w:val="11"/>
                <w:b w:val="1"/>
                <w:bCs w:val="1"/>
                <w:color w:val="FFFFFF"/>
              </w:rPr>
              <w:t>Number of</w:t>
            </w:r>
          </w:p>
        </w:tc>
        <w:tc>
          <w:tcPr>
            <w:tcW w:w="960" w:type="dxa"/>
            <w:vAlign w:val="bottom"/>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Number of</w:t>
            </w:r>
          </w:p>
        </w:tc>
        <w:tc>
          <w:tcPr>
            <w:tcW w:w="660" w:type="dxa"/>
            <w:vAlign w:val="bottom"/>
            <w:vMerge w:val="continue"/>
            <w:shd w:val="clear" w:color="auto" w:fill="CF1D4C"/>
          </w:tcPr>
          <w:p>
            <w:pPr>
              <w:spacing w:after="0"/>
              <w:rPr>
                <w:sz w:val="5"/>
                <w:szCs w:val="5"/>
                <w:color w:val="auto"/>
              </w:rPr>
            </w:pPr>
          </w:p>
        </w:tc>
        <w:tc>
          <w:tcPr>
            <w:tcW w:w="180" w:type="dxa"/>
            <w:vAlign w:val="bottom"/>
            <w:shd w:val="clear" w:color="auto" w:fill="CF1D4C"/>
          </w:tcPr>
          <w:p>
            <w:pPr>
              <w:spacing w:after="0"/>
              <w:rPr>
                <w:sz w:val="5"/>
                <w:szCs w:val="5"/>
                <w:color w:val="auto"/>
              </w:rPr>
            </w:pPr>
          </w:p>
        </w:tc>
        <w:tc>
          <w:tcPr>
            <w:tcW w:w="580" w:type="dxa"/>
            <w:vAlign w:val="bottom"/>
            <w:shd w:val="clear" w:color="auto" w:fill="CF1D4C"/>
          </w:tcPr>
          <w:p>
            <w:pPr>
              <w:spacing w:after="0"/>
              <w:rPr>
                <w:sz w:val="5"/>
                <w:szCs w:val="5"/>
                <w:color w:val="auto"/>
              </w:rPr>
            </w:pPr>
          </w:p>
        </w:tc>
        <w:tc>
          <w:tcPr>
            <w:tcW w:w="760" w:type="dxa"/>
            <w:vAlign w:val="bottom"/>
            <w:shd w:val="clear" w:color="auto" w:fill="CF1D4C"/>
          </w:tcPr>
          <w:p>
            <w:pPr>
              <w:spacing w:after="0"/>
              <w:rPr>
                <w:sz w:val="5"/>
                <w:szCs w:val="5"/>
                <w:color w:val="auto"/>
              </w:rPr>
            </w:pPr>
          </w:p>
        </w:tc>
        <w:tc>
          <w:tcPr>
            <w:tcW w:w="80" w:type="dxa"/>
            <w:vAlign w:val="bottom"/>
            <w:shd w:val="clear" w:color="auto" w:fill="CF1D4C"/>
          </w:tcPr>
          <w:p>
            <w:pPr>
              <w:spacing w:after="0"/>
              <w:rPr>
                <w:sz w:val="5"/>
                <w:szCs w:val="5"/>
                <w:color w:val="auto"/>
              </w:rPr>
            </w:pPr>
          </w:p>
        </w:tc>
        <w:tc>
          <w:tcPr>
            <w:tcW w:w="540" w:type="dxa"/>
            <w:vAlign w:val="bottom"/>
            <w:vMerge w:val="restart"/>
            <w:shd w:val="clear" w:color="auto" w:fill="CF1D4C"/>
          </w:tcPr>
          <w:p>
            <w:pPr>
              <w:spacing w:after="0" w:line="122" w:lineRule="exact"/>
              <w:rPr>
                <w:sz w:val="20"/>
                <w:szCs w:val="20"/>
                <w:color w:val="auto"/>
              </w:rPr>
            </w:pPr>
            <w:r>
              <w:rPr>
                <w:rFonts w:ascii="Arial" w:cs="Arial" w:eastAsia="Arial" w:hAnsi="Arial"/>
                <w:sz w:val="11"/>
                <w:szCs w:val="11"/>
                <w:b w:val="1"/>
                <w:bCs w:val="1"/>
                <w:color w:val="FFFFFF"/>
              </w:rPr>
              <w:t>of Shares</w:t>
            </w:r>
          </w:p>
        </w:tc>
        <w:tc>
          <w:tcPr>
            <w:tcW w:w="740" w:type="dxa"/>
            <w:vAlign w:val="bottom"/>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Value of</w:t>
            </w:r>
          </w:p>
        </w:tc>
        <w:tc>
          <w:tcPr>
            <w:tcW w:w="820" w:type="dxa"/>
            <w:vAlign w:val="bottom"/>
            <w:vMerge w:val="continue"/>
            <w:shd w:val="clear" w:color="auto" w:fill="CF1D4C"/>
          </w:tcPr>
          <w:p>
            <w:pPr>
              <w:spacing w:after="0"/>
              <w:rPr>
                <w:sz w:val="5"/>
                <w:szCs w:val="5"/>
                <w:color w:val="auto"/>
              </w:rPr>
            </w:pPr>
          </w:p>
        </w:tc>
        <w:tc>
          <w:tcPr>
            <w:tcW w:w="1060" w:type="dxa"/>
            <w:vAlign w:val="bottom"/>
            <w:gridSpan w:val="2"/>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CF1D4C"/>
          </w:tcPr>
          <w:p>
            <w:pPr>
              <w:spacing w:after="0"/>
              <w:rPr>
                <w:sz w:val="4"/>
                <w:szCs w:val="4"/>
                <w:color w:val="auto"/>
              </w:rPr>
            </w:pPr>
          </w:p>
        </w:tc>
        <w:tc>
          <w:tcPr>
            <w:tcW w:w="68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70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800" w:type="dxa"/>
            <w:vAlign w:val="bottom"/>
            <w:vMerge w:val="continue"/>
            <w:shd w:val="clear" w:color="auto" w:fill="CF1D4C"/>
          </w:tcPr>
          <w:p>
            <w:pPr>
              <w:spacing w:after="0"/>
              <w:rPr>
                <w:sz w:val="4"/>
                <w:szCs w:val="4"/>
                <w:color w:val="auto"/>
              </w:rPr>
            </w:pPr>
          </w:p>
        </w:tc>
        <w:tc>
          <w:tcPr>
            <w:tcW w:w="960" w:type="dxa"/>
            <w:vAlign w:val="bottom"/>
            <w:vMerge w:val="continue"/>
            <w:shd w:val="clear" w:color="auto" w:fill="CF1D4C"/>
          </w:tcPr>
          <w:p>
            <w:pPr>
              <w:spacing w:after="0"/>
              <w:rPr>
                <w:sz w:val="4"/>
                <w:szCs w:val="4"/>
                <w:color w:val="auto"/>
              </w:rPr>
            </w:pPr>
          </w:p>
        </w:tc>
        <w:tc>
          <w:tcPr>
            <w:tcW w:w="840" w:type="dxa"/>
            <w:vAlign w:val="bottom"/>
            <w:gridSpan w:val="2"/>
            <w:vMerge w:val="restart"/>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Plan Awards:</w:t>
            </w:r>
          </w:p>
        </w:tc>
        <w:tc>
          <w:tcPr>
            <w:tcW w:w="580" w:type="dxa"/>
            <w:vAlign w:val="bottom"/>
            <w:shd w:val="clear" w:color="auto" w:fill="CF1D4C"/>
          </w:tcPr>
          <w:p>
            <w:pPr>
              <w:spacing w:after="0"/>
              <w:rPr>
                <w:sz w:val="4"/>
                <w:szCs w:val="4"/>
                <w:color w:val="auto"/>
              </w:rPr>
            </w:pPr>
          </w:p>
        </w:tc>
        <w:tc>
          <w:tcPr>
            <w:tcW w:w="760" w:type="dxa"/>
            <w:vAlign w:val="bottom"/>
            <w:shd w:val="clear" w:color="auto" w:fill="CF1D4C"/>
          </w:tcPr>
          <w:p>
            <w:pPr>
              <w:spacing w:after="0"/>
              <w:rPr>
                <w:sz w:val="4"/>
                <w:szCs w:val="4"/>
                <w:color w:val="auto"/>
              </w:rPr>
            </w:pPr>
          </w:p>
        </w:tc>
        <w:tc>
          <w:tcPr>
            <w:tcW w:w="80" w:type="dxa"/>
            <w:vAlign w:val="bottom"/>
            <w:shd w:val="clear" w:color="auto" w:fill="CF1D4C"/>
          </w:tcPr>
          <w:p>
            <w:pPr>
              <w:spacing w:after="0"/>
              <w:rPr>
                <w:sz w:val="4"/>
                <w:szCs w:val="4"/>
                <w:color w:val="auto"/>
              </w:rPr>
            </w:pPr>
          </w:p>
        </w:tc>
        <w:tc>
          <w:tcPr>
            <w:tcW w:w="540" w:type="dxa"/>
            <w:vAlign w:val="bottom"/>
            <w:vMerge w:val="continue"/>
            <w:shd w:val="clear" w:color="auto" w:fill="CF1D4C"/>
          </w:tcPr>
          <w:p>
            <w:pPr>
              <w:spacing w:after="0"/>
              <w:rPr>
                <w:sz w:val="4"/>
                <w:szCs w:val="4"/>
                <w:color w:val="auto"/>
              </w:rPr>
            </w:pPr>
          </w:p>
        </w:tc>
        <w:tc>
          <w:tcPr>
            <w:tcW w:w="740" w:type="dxa"/>
            <w:vAlign w:val="bottom"/>
            <w:vMerge w:val="continue"/>
            <w:shd w:val="clear" w:color="auto" w:fill="CF1D4C"/>
          </w:tcPr>
          <w:p>
            <w:pPr>
              <w:spacing w:after="0"/>
              <w:rPr>
                <w:sz w:val="4"/>
                <w:szCs w:val="4"/>
                <w:color w:val="auto"/>
              </w:rPr>
            </w:pPr>
          </w:p>
        </w:tc>
        <w:tc>
          <w:tcPr>
            <w:tcW w:w="820" w:type="dxa"/>
            <w:vAlign w:val="bottom"/>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Number of</w:t>
            </w:r>
          </w:p>
        </w:tc>
        <w:tc>
          <w:tcPr>
            <w:tcW w:w="1060" w:type="dxa"/>
            <w:vAlign w:val="bottom"/>
            <w:gridSpan w:val="2"/>
            <w:vMerge w:val="restart"/>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Market or</w:t>
            </w:r>
          </w:p>
        </w:tc>
        <w:tc>
          <w:tcPr>
            <w:tcW w:w="0" w:type="dxa"/>
            <w:vAlign w:val="bottom"/>
          </w:tcPr>
          <w:p>
            <w:pPr>
              <w:spacing w:after="0"/>
              <w:rPr>
                <w:sz w:val="1"/>
                <w:szCs w:val="1"/>
                <w:color w:val="auto"/>
              </w:rPr>
            </w:pPr>
          </w:p>
        </w:tc>
      </w:tr>
      <w:tr>
        <w:trPr>
          <w:trHeight w:val="68"/>
        </w:trPr>
        <w:tc>
          <w:tcPr>
            <w:tcW w:w="120" w:type="dxa"/>
            <w:vAlign w:val="bottom"/>
            <w:shd w:val="clear" w:color="auto" w:fill="CF1D4C"/>
          </w:tcPr>
          <w:p>
            <w:pPr>
              <w:spacing w:after="0"/>
              <w:rPr>
                <w:sz w:val="5"/>
                <w:szCs w:val="5"/>
                <w:color w:val="auto"/>
              </w:rPr>
            </w:pPr>
          </w:p>
        </w:tc>
        <w:tc>
          <w:tcPr>
            <w:tcW w:w="68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70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800" w:type="dxa"/>
            <w:vAlign w:val="bottom"/>
            <w:vMerge w:val="restart"/>
            <w:shd w:val="clear" w:color="auto" w:fill="CF1D4C"/>
          </w:tcPr>
          <w:p>
            <w:pPr>
              <w:ind w:left="40"/>
              <w:spacing w:after="0" w:line="122" w:lineRule="exact"/>
              <w:rPr>
                <w:sz w:val="20"/>
                <w:szCs w:val="20"/>
                <w:color w:val="auto"/>
              </w:rPr>
            </w:pPr>
            <w:r>
              <w:rPr>
                <w:rFonts w:ascii="Arial" w:cs="Arial" w:eastAsia="Arial" w:hAnsi="Arial"/>
                <w:sz w:val="11"/>
                <w:szCs w:val="11"/>
                <w:b w:val="1"/>
                <w:bCs w:val="1"/>
                <w:color w:val="FFFFFF"/>
              </w:rPr>
              <w:t>Securities</w:t>
            </w:r>
          </w:p>
        </w:tc>
        <w:tc>
          <w:tcPr>
            <w:tcW w:w="960" w:type="dxa"/>
            <w:vAlign w:val="bottom"/>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Securities</w:t>
            </w:r>
          </w:p>
        </w:tc>
        <w:tc>
          <w:tcPr>
            <w:tcW w:w="840" w:type="dxa"/>
            <w:vAlign w:val="bottom"/>
            <w:gridSpan w:val="2"/>
            <w:vMerge w:val="continue"/>
            <w:shd w:val="clear" w:color="auto" w:fill="CF1D4C"/>
          </w:tcPr>
          <w:p>
            <w:pPr>
              <w:spacing w:after="0"/>
              <w:rPr>
                <w:sz w:val="5"/>
                <w:szCs w:val="5"/>
                <w:color w:val="auto"/>
              </w:rPr>
            </w:pPr>
          </w:p>
        </w:tc>
        <w:tc>
          <w:tcPr>
            <w:tcW w:w="580" w:type="dxa"/>
            <w:vAlign w:val="bottom"/>
            <w:vMerge w:val="restart"/>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Option</w:t>
            </w:r>
          </w:p>
        </w:tc>
        <w:tc>
          <w:tcPr>
            <w:tcW w:w="760" w:type="dxa"/>
            <w:vAlign w:val="bottom"/>
            <w:shd w:val="clear" w:color="auto" w:fill="CF1D4C"/>
          </w:tcPr>
          <w:p>
            <w:pPr>
              <w:spacing w:after="0"/>
              <w:rPr>
                <w:sz w:val="5"/>
                <w:szCs w:val="5"/>
                <w:color w:val="auto"/>
              </w:rPr>
            </w:pPr>
          </w:p>
        </w:tc>
        <w:tc>
          <w:tcPr>
            <w:tcW w:w="80" w:type="dxa"/>
            <w:vAlign w:val="bottom"/>
            <w:shd w:val="clear" w:color="auto" w:fill="CF1D4C"/>
          </w:tcPr>
          <w:p>
            <w:pPr>
              <w:spacing w:after="0"/>
              <w:rPr>
                <w:sz w:val="5"/>
                <w:szCs w:val="5"/>
                <w:color w:val="auto"/>
              </w:rPr>
            </w:pPr>
          </w:p>
        </w:tc>
        <w:tc>
          <w:tcPr>
            <w:tcW w:w="540" w:type="dxa"/>
            <w:vAlign w:val="bottom"/>
            <w:vMerge w:val="restart"/>
            <w:shd w:val="clear" w:color="auto" w:fill="CF1D4C"/>
          </w:tcPr>
          <w:p>
            <w:pPr>
              <w:spacing w:after="0" w:line="122" w:lineRule="exact"/>
              <w:rPr>
                <w:sz w:val="20"/>
                <w:szCs w:val="20"/>
                <w:color w:val="auto"/>
              </w:rPr>
            </w:pPr>
            <w:r>
              <w:rPr>
                <w:rFonts w:ascii="Arial" w:cs="Arial" w:eastAsia="Arial" w:hAnsi="Arial"/>
                <w:sz w:val="11"/>
                <w:szCs w:val="11"/>
                <w:b w:val="1"/>
                <w:bCs w:val="1"/>
                <w:color w:val="FFFFFF"/>
              </w:rPr>
              <w:t>or Units</w:t>
            </w:r>
          </w:p>
        </w:tc>
        <w:tc>
          <w:tcPr>
            <w:tcW w:w="740" w:type="dxa"/>
            <w:vAlign w:val="bottom"/>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Shares or</w:t>
            </w:r>
          </w:p>
        </w:tc>
        <w:tc>
          <w:tcPr>
            <w:tcW w:w="820" w:type="dxa"/>
            <w:vAlign w:val="bottom"/>
            <w:vMerge w:val="continue"/>
            <w:shd w:val="clear" w:color="auto" w:fill="CF1D4C"/>
          </w:tcPr>
          <w:p>
            <w:pPr>
              <w:spacing w:after="0"/>
              <w:rPr>
                <w:sz w:val="5"/>
                <w:szCs w:val="5"/>
                <w:color w:val="auto"/>
              </w:rPr>
            </w:pPr>
          </w:p>
        </w:tc>
        <w:tc>
          <w:tcPr>
            <w:tcW w:w="1060" w:type="dxa"/>
            <w:vAlign w:val="bottom"/>
            <w:gridSpan w:val="2"/>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CF1D4C"/>
          </w:tcPr>
          <w:p>
            <w:pPr>
              <w:spacing w:after="0"/>
              <w:rPr>
                <w:sz w:val="4"/>
                <w:szCs w:val="4"/>
                <w:color w:val="auto"/>
              </w:rPr>
            </w:pPr>
          </w:p>
        </w:tc>
        <w:tc>
          <w:tcPr>
            <w:tcW w:w="68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70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800" w:type="dxa"/>
            <w:vAlign w:val="bottom"/>
            <w:vMerge w:val="continue"/>
            <w:shd w:val="clear" w:color="auto" w:fill="CF1D4C"/>
          </w:tcPr>
          <w:p>
            <w:pPr>
              <w:spacing w:after="0"/>
              <w:rPr>
                <w:sz w:val="4"/>
                <w:szCs w:val="4"/>
                <w:color w:val="auto"/>
              </w:rPr>
            </w:pPr>
          </w:p>
        </w:tc>
        <w:tc>
          <w:tcPr>
            <w:tcW w:w="960" w:type="dxa"/>
            <w:vAlign w:val="bottom"/>
            <w:vMerge w:val="continue"/>
            <w:shd w:val="clear" w:color="auto" w:fill="CF1D4C"/>
          </w:tcPr>
          <w:p>
            <w:pPr>
              <w:spacing w:after="0"/>
              <w:rPr>
                <w:sz w:val="4"/>
                <w:szCs w:val="4"/>
                <w:color w:val="auto"/>
              </w:rPr>
            </w:pPr>
          </w:p>
        </w:tc>
        <w:tc>
          <w:tcPr>
            <w:tcW w:w="660" w:type="dxa"/>
            <w:vAlign w:val="bottom"/>
            <w:vMerge w:val="restart"/>
            <w:shd w:val="clear" w:color="auto" w:fill="CF1D4C"/>
          </w:tcPr>
          <w:p>
            <w:pPr>
              <w:ind w:left="80"/>
              <w:spacing w:after="0"/>
              <w:rPr>
                <w:sz w:val="20"/>
                <w:szCs w:val="20"/>
                <w:color w:val="auto"/>
              </w:rPr>
            </w:pPr>
            <w:r>
              <w:rPr>
                <w:rFonts w:ascii="Arial" w:cs="Arial" w:eastAsia="Arial" w:hAnsi="Arial"/>
                <w:sz w:val="11"/>
                <w:szCs w:val="11"/>
                <w:b w:val="1"/>
                <w:bCs w:val="1"/>
                <w:color w:val="FFFFFF"/>
              </w:rPr>
              <w:t>Number of</w:t>
            </w:r>
          </w:p>
        </w:tc>
        <w:tc>
          <w:tcPr>
            <w:tcW w:w="180" w:type="dxa"/>
            <w:vAlign w:val="bottom"/>
            <w:shd w:val="clear" w:color="auto" w:fill="CF1D4C"/>
          </w:tcPr>
          <w:p>
            <w:pPr>
              <w:spacing w:after="0"/>
              <w:rPr>
                <w:sz w:val="4"/>
                <w:szCs w:val="4"/>
                <w:color w:val="auto"/>
              </w:rPr>
            </w:pPr>
          </w:p>
        </w:tc>
        <w:tc>
          <w:tcPr>
            <w:tcW w:w="580" w:type="dxa"/>
            <w:vAlign w:val="bottom"/>
            <w:vMerge w:val="continue"/>
            <w:shd w:val="clear" w:color="auto" w:fill="CF1D4C"/>
          </w:tcPr>
          <w:p>
            <w:pPr>
              <w:spacing w:after="0"/>
              <w:rPr>
                <w:sz w:val="4"/>
                <w:szCs w:val="4"/>
                <w:color w:val="auto"/>
              </w:rPr>
            </w:pPr>
          </w:p>
        </w:tc>
        <w:tc>
          <w:tcPr>
            <w:tcW w:w="76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Option</w:t>
            </w:r>
          </w:p>
        </w:tc>
        <w:tc>
          <w:tcPr>
            <w:tcW w:w="80" w:type="dxa"/>
            <w:vAlign w:val="bottom"/>
            <w:shd w:val="clear" w:color="auto" w:fill="CF1D4C"/>
          </w:tcPr>
          <w:p>
            <w:pPr>
              <w:spacing w:after="0"/>
              <w:rPr>
                <w:sz w:val="4"/>
                <w:szCs w:val="4"/>
                <w:color w:val="auto"/>
              </w:rPr>
            </w:pPr>
          </w:p>
        </w:tc>
        <w:tc>
          <w:tcPr>
            <w:tcW w:w="540" w:type="dxa"/>
            <w:vAlign w:val="bottom"/>
            <w:vMerge w:val="continue"/>
            <w:shd w:val="clear" w:color="auto" w:fill="CF1D4C"/>
          </w:tcPr>
          <w:p>
            <w:pPr>
              <w:spacing w:after="0"/>
              <w:rPr>
                <w:sz w:val="4"/>
                <w:szCs w:val="4"/>
                <w:color w:val="auto"/>
              </w:rPr>
            </w:pPr>
          </w:p>
        </w:tc>
        <w:tc>
          <w:tcPr>
            <w:tcW w:w="740" w:type="dxa"/>
            <w:vAlign w:val="bottom"/>
            <w:vMerge w:val="continue"/>
            <w:shd w:val="clear" w:color="auto" w:fill="CF1D4C"/>
          </w:tcPr>
          <w:p>
            <w:pPr>
              <w:spacing w:after="0"/>
              <w:rPr>
                <w:sz w:val="4"/>
                <w:szCs w:val="4"/>
                <w:color w:val="auto"/>
              </w:rPr>
            </w:pPr>
          </w:p>
        </w:tc>
        <w:tc>
          <w:tcPr>
            <w:tcW w:w="82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Unearned</w:t>
            </w:r>
          </w:p>
        </w:tc>
        <w:tc>
          <w:tcPr>
            <w:tcW w:w="1060" w:type="dxa"/>
            <w:vAlign w:val="bottom"/>
            <w:gridSpan w:val="2"/>
            <w:vMerge w:val="restart"/>
            <w:shd w:val="clear" w:color="auto" w:fill="CF1D4C"/>
          </w:tcPr>
          <w:p>
            <w:pPr>
              <w:ind w:left="80"/>
              <w:spacing w:after="0"/>
              <w:rPr>
                <w:sz w:val="20"/>
                <w:szCs w:val="20"/>
                <w:color w:val="auto"/>
              </w:rPr>
            </w:pPr>
            <w:r>
              <w:rPr>
                <w:rFonts w:ascii="Arial" w:cs="Arial" w:eastAsia="Arial" w:hAnsi="Arial"/>
                <w:sz w:val="11"/>
                <w:szCs w:val="11"/>
                <w:b w:val="1"/>
                <w:bCs w:val="1"/>
                <w:color w:val="FFFFFF"/>
              </w:rPr>
              <w:t>Payout Value</w:t>
            </w:r>
          </w:p>
        </w:tc>
        <w:tc>
          <w:tcPr>
            <w:tcW w:w="0" w:type="dxa"/>
            <w:vAlign w:val="bottom"/>
          </w:tcPr>
          <w:p>
            <w:pPr>
              <w:spacing w:after="0"/>
              <w:rPr>
                <w:sz w:val="1"/>
                <w:szCs w:val="1"/>
                <w:color w:val="auto"/>
              </w:rPr>
            </w:pPr>
          </w:p>
        </w:tc>
      </w:tr>
      <w:tr>
        <w:trPr>
          <w:trHeight w:val="108"/>
        </w:trPr>
        <w:tc>
          <w:tcPr>
            <w:tcW w:w="120" w:type="dxa"/>
            <w:vAlign w:val="bottom"/>
            <w:shd w:val="clear" w:color="auto" w:fill="CF1D4C"/>
          </w:tcPr>
          <w:p>
            <w:pPr>
              <w:spacing w:after="0"/>
              <w:rPr>
                <w:sz w:val="9"/>
                <w:szCs w:val="9"/>
                <w:color w:val="auto"/>
              </w:rPr>
            </w:pPr>
          </w:p>
        </w:tc>
        <w:tc>
          <w:tcPr>
            <w:tcW w:w="68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Name</w:t>
            </w:r>
          </w:p>
        </w:tc>
        <w:tc>
          <w:tcPr>
            <w:tcW w:w="40" w:type="dxa"/>
            <w:vAlign w:val="bottom"/>
            <w:shd w:val="clear" w:color="auto" w:fill="CF1D4C"/>
          </w:tcPr>
          <w:p>
            <w:pPr>
              <w:spacing w:after="0"/>
              <w:rPr>
                <w:sz w:val="9"/>
                <w:szCs w:val="9"/>
                <w:color w:val="auto"/>
              </w:rPr>
            </w:pPr>
          </w:p>
        </w:tc>
        <w:tc>
          <w:tcPr>
            <w:tcW w:w="700" w:type="dxa"/>
            <w:vAlign w:val="bottom"/>
            <w:vMerge w:val="restart"/>
            <w:shd w:val="clear" w:color="auto" w:fill="CF1D4C"/>
          </w:tcPr>
          <w:p>
            <w:pPr>
              <w:spacing w:after="0"/>
              <w:rPr>
                <w:sz w:val="20"/>
                <w:szCs w:val="20"/>
                <w:color w:val="auto"/>
              </w:rPr>
            </w:pPr>
            <w:r>
              <w:rPr>
                <w:rFonts w:ascii="Arial" w:cs="Arial" w:eastAsia="Arial" w:hAnsi="Arial"/>
                <w:sz w:val="11"/>
                <w:szCs w:val="11"/>
                <w:b w:val="1"/>
                <w:bCs w:val="1"/>
                <w:color w:val="FFFFFF"/>
              </w:rPr>
              <w:t>Grant Date</w:t>
            </w:r>
          </w:p>
        </w:tc>
        <w:tc>
          <w:tcPr>
            <w:tcW w:w="40" w:type="dxa"/>
            <w:vAlign w:val="bottom"/>
            <w:shd w:val="clear" w:color="auto" w:fill="CF1D4C"/>
          </w:tcPr>
          <w:p>
            <w:pPr>
              <w:spacing w:after="0"/>
              <w:rPr>
                <w:sz w:val="9"/>
                <w:szCs w:val="9"/>
                <w:color w:val="auto"/>
              </w:rPr>
            </w:pPr>
          </w:p>
        </w:tc>
        <w:tc>
          <w:tcPr>
            <w:tcW w:w="800" w:type="dxa"/>
            <w:vAlign w:val="bottom"/>
            <w:shd w:val="clear" w:color="auto" w:fill="CF1D4C"/>
          </w:tcPr>
          <w:p>
            <w:pPr>
              <w:ind w:left="40"/>
              <w:spacing w:after="0" w:line="108" w:lineRule="exact"/>
              <w:rPr>
                <w:sz w:val="20"/>
                <w:szCs w:val="20"/>
                <w:color w:val="auto"/>
              </w:rPr>
            </w:pPr>
            <w:r>
              <w:rPr>
                <w:rFonts w:ascii="Arial" w:cs="Arial" w:eastAsia="Arial" w:hAnsi="Arial"/>
                <w:sz w:val="11"/>
                <w:szCs w:val="11"/>
                <w:b w:val="1"/>
                <w:bCs w:val="1"/>
                <w:color w:val="FFFFFF"/>
              </w:rPr>
              <w:t>Underlying</w:t>
            </w:r>
          </w:p>
        </w:tc>
        <w:tc>
          <w:tcPr>
            <w:tcW w:w="960" w:type="dxa"/>
            <w:vAlign w:val="bottom"/>
            <w:shd w:val="clear" w:color="auto" w:fill="CF1D4C"/>
          </w:tcPr>
          <w:p>
            <w:pPr>
              <w:ind w:left="60"/>
              <w:spacing w:after="0" w:line="108" w:lineRule="exact"/>
              <w:rPr>
                <w:sz w:val="20"/>
                <w:szCs w:val="20"/>
                <w:color w:val="auto"/>
              </w:rPr>
            </w:pPr>
            <w:r>
              <w:rPr>
                <w:rFonts w:ascii="Arial" w:cs="Arial" w:eastAsia="Arial" w:hAnsi="Arial"/>
                <w:sz w:val="11"/>
                <w:szCs w:val="11"/>
                <w:b w:val="1"/>
                <w:bCs w:val="1"/>
                <w:color w:val="FFFFFF"/>
              </w:rPr>
              <w:t>Underlying</w:t>
            </w:r>
          </w:p>
        </w:tc>
        <w:tc>
          <w:tcPr>
            <w:tcW w:w="660" w:type="dxa"/>
            <w:vAlign w:val="bottom"/>
            <w:vMerge w:val="continue"/>
            <w:shd w:val="clear" w:color="auto" w:fill="CF1D4C"/>
          </w:tcPr>
          <w:p>
            <w:pPr>
              <w:spacing w:after="0"/>
              <w:rPr>
                <w:sz w:val="9"/>
                <w:szCs w:val="9"/>
                <w:color w:val="auto"/>
              </w:rPr>
            </w:pPr>
          </w:p>
        </w:tc>
        <w:tc>
          <w:tcPr>
            <w:tcW w:w="180" w:type="dxa"/>
            <w:vAlign w:val="bottom"/>
            <w:shd w:val="clear" w:color="auto" w:fill="CF1D4C"/>
          </w:tcPr>
          <w:p>
            <w:pPr>
              <w:spacing w:after="0"/>
              <w:rPr>
                <w:sz w:val="9"/>
                <w:szCs w:val="9"/>
                <w:color w:val="auto"/>
              </w:rPr>
            </w:pPr>
          </w:p>
        </w:tc>
        <w:tc>
          <w:tcPr>
            <w:tcW w:w="580" w:type="dxa"/>
            <w:vAlign w:val="bottom"/>
            <w:shd w:val="clear" w:color="auto" w:fill="CF1D4C"/>
          </w:tcPr>
          <w:p>
            <w:pPr>
              <w:ind w:left="80"/>
              <w:spacing w:after="0" w:line="108" w:lineRule="exact"/>
              <w:rPr>
                <w:sz w:val="20"/>
                <w:szCs w:val="20"/>
                <w:color w:val="auto"/>
              </w:rPr>
            </w:pPr>
            <w:r>
              <w:rPr>
                <w:rFonts w:ascii="Arial" w:cs="Arial" w:eastAsia="Arial" w:hAnsi="Arial"/>
                <w:sz w:val="11"/>
                <w:szCs w:val="11"/>
                <w:b w:val="1"/>
                <w:bCs w:val="1"/>
                <w:color w:val="FFFFFF"/>
              </w:rPr>
              <w:t>Exercise</w:t>
            </w:r>
          </w:p>
        </w:tc>
        <w:tc>
          <w:tcPr>
            <w:tcW w:w="760" w:type="dxa"/>
            <w:vAlign w:val="bottom"/>
            <w:vMerge w:val="continue"/>
            <w:shd w:val="clear" w:color="auto" w:fill="CF1D4C"/>
          </w:tcPr>
          <w:p>
            <w:pPr>
              <w:spacing w:after="0"/>
              <w:rPr>
                <w:sz w:val="9"/>
                <w:szCs w:val="9"/>
                <w:color w:val="auto"/>
              </w:rPr>
            </w:pPr>
          </w:p>
        </w:tc>
        <w:tc>
          <w:tcPr>
            <w:tcW w:w="80" w:type="dxa"/>
            <w:vAlign w:val="bottom"/>
            <w:shd w:val="clear" w:color="auto" w:fill="CF1D4C"/>
          </w:tcPr>
          <w:p>
            <w:pPr>
              <w:spacing w:after="0"/>
              <w:rPr>
                <w:sz w:val="9"/>
                <w:szCs w:val="9"/>
                <w:color w:val="auto"/>
              </w:rPr>
            </w:pPr>
          </w:p>
        </w:tc>
        <w:tc>
          <w:tcPr>
            <w:tcW w:w="540" w:type="dxa"/>
            <w:vAlign w:val="bottom"/>
            <w:shd w:val="clear" w:color="auto" w:fill="CF1D4C"/>
          </w:tcPr>
          <w:p>
            <w:pPr>
              <w:spacing w:after="0" w:line="108" w:lineRule="exact"/>
              <w:rPr>
                <w:sz w:val="20"/>
                <w:szCs w:val="20"/>
                <w:color w:val="auto"/>
              </w:rPr>
            </w:pPr>
            <w:r>
              <w:rPr>
                <w:rFonts w:ascii="Arial" w:cs="Arial" w:eastAsia="Arial" w:hAnsi="Arial"/>
                <w:sz w:val="11"/>
                <w:szCs w:val="11"/>
                <w:b w:val="1"/>
                <w:bCs w:val="1"/>
                <w:color w:val="FFFFFF"/>
              </w:rPr>
              <w:t>of Stock</w:t>
            </w:r>
          </w:p>
        </w:tc>
        <w:tc>
          <w:tcPr>
            <w:tcW w:w="740" w:type="dxa"/>
            <w:vAlign w:val="bottom"/>
            <w:shd w:val="clear" w:color="auto" w:fill="CF1D4C"/>
          </w:tcPr>
          <w:p>
            <w:pPr>
              <w:ind w:left="60"/>
              <w:spacing w:after="0" w:line="108" w:lineRule="exact"/>
              <w:rPr>
                <w:sz w:val="20"/>
                <w:szCs w:val="20"/>
                <w:color w:val="auto"/>
              </w:rPr>
            </w:pPr>
            <w:r>
              <w:rPr>
                <w:rFonts w:ascii="Arial" w:cs="Arial" w:eastAsia="Arial" w:hAnsi="Arial"/>
                <w:sz w:val="11"/>
                <w:szCs w:val="11"/>
                <w:b w:val="1"/>
                <w:bCs w:val="1"/>
                <w:color w:val="FFFFFF"/>
              </w:rPr>
              <w:t>Units of</w:t>
            </w:r>
          </w:p>
        </w:tc>
        <w:tc>
          <w:tcPr>
            <w:tcW w:w="820" w:type="dxa"/>
            <w:vAlign w:val="bottom"/>
            <w:vMerge w:val="continue"/>
            <w:shd w:val="clear" w:color="auto" w:fill="CF1D4C"/>
          </w:tcPr>
          <w:p>
            <w:pPr>
              <w:spacing w:after="0"/>
              <w:rPr>
                <w:sz w:val="9"/>
                <w:szCs w:val="9"/>
                <w:color w:val="auto"/>
              </w:rPr>
            </w:pPr>
          </w:p>
        </w:tc>
        <w:tc>
          <w:tcPr>
            <w:tcW w:w="1060" w:type="dxa"/>
            <w:vAlign w:val="bottom"/>
            <w:gridSpan w:val="2"/>
            <w:vMerge w:val="continue"/>
            <w:shd w:val="clear" w:color="auto" w:fill="CF1D4C"/>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CF1D4C"/>
          </w:tcPr>
          <w:p>
            <w:pPr>
              <w:spacing w:after="0"/>
              <w:rPr>
                <w:sz w:val="7"/>
                <w:szCs w:val="7"/>
                <w:color w:val="auto"/>
              </w:rPr>
            </w:pPr>
          </w:p>
        </w:tc>
        <w:tc>
          <w:tcPr>
            <w:tcW w:w="680" w:type="dxa"/>
            <w:vAlign w:val="bottom"/>
            <w:vMerge w:val="continue"/>
            <w:shd w:val="clear" w:color="auto" w:fill="CF1D4C"/>
          </w:tcPr>
          <w:p>
            <w:pPr>
              <w:spacing w:after="0"/>
              <w:rPr>
                <w:sz w:val="7"/>
                <w:szCs w:val="7"/>
                <w:color w:val="auto"/>
              </w:rPr>
            </w:pPr>
          </w:p>
        </w:tc>
        <w:tc>
          <w:tcPr>
            <w:tcW w:w="40" w:type="dxa"/>
            <w:vAlign w:val="bottom"/>
            <w:shd w:val="clear" w:color="auto" w:fill="CF1D4C"/>
          </w:tcPr>
          <w:p>
            <w:pPr>
              <w:spacing w:after="0"/>
              <w:rPr>
                <w:sz w:val="7"/>
                <w:szCs w:val="7"/>
                <w:color w:val="auto"/>
              </w:rPr>
            </w:pPr>
          </w:p>
        </w:tc>
        <w:tc>
          <w:tcPr>
            <w:tcW w:w="700" w:type="dxa"/>
            <w:vAlign w:val="bottom"/>
            <w:vMerge w:val="continue"/>
            <w:shd w:val="clear" w:color="auto" w:fill="CF1D4C"/>
          </w:tcPr>
          <w:p>
            <w:pPr>
              <w:spacing w:after="0"/>
              <w:rPr>
                <w:sz w:val="7"/>
                <w:szCs w:val="7"/>
                <w:color w:val="auto"/>
              </w:rPr>
            </w:pPr>
          </w:p>
        </w:tc>
        <w:tc>
          <w:tcPr>
            <w:tcW w:w="40" w:type="dxa"/>
            <w:vAlign w:val="bottom"/>
            <w:shd w:val="clear" w:color="auto" w:fill="CF1D4C"/>
          </w:tcPr>
          <w:p>
            <w:pPr>
              <w:spacing w:after="0"/>
              <w:rPr>
                <w:sz w:val="7"/>
                <w:szCs w:val="7"/>
                <w:color w:val="auto"/>
              </w:rPr>
            </w:pPr>
          </w:p>
        </w:tc>
        <w:tc>
          <w:tcPr>
            <w:tcW w:w="800" w:type="dxa"/>
            <w:vAlign w:val="bottom"/>
            <w:vMerge w:val="restart"/>
            <w:shd w:val="clear" w:color="auto" w:fill="CF1D4C"/>
          </w:tcPr>
          <w:p>
            <w:pPr>
              <w:ind w:left="40"/>
              <w:spacing w:after="0"/>
              <w:rPr>
                <w:sz w:val="20"/>
                <w:szCs w:val="20"/>
                <w:color w:val="auto"/>
              </w:rPr>
            </w:pPr>
            <w:r>
              <w:rPr>
                <w:rFonts w:ascii="Arial" w:cs="Arial" w:eastAsia="Arial" w:hAnsi="Arial"/>
                <w:sz w:val="11"/>
                <w:szCs w:val="11"/>
                <w:b w:val="1"/>
                <w:bCs w:val="1"/>
                <w:color w:val="FFFFFF"/>
              </w:rPr>
              <w:t>Unexercised</w:t>
            </w:r>
          </w:p>
        </w:tc>
        <w:tc>
          <w:tcPr>
            <w:tcW w:w="96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Unexercised</w:t>
            </w:r>
          </w:p>
        </w:tc>
        <w:tc>
          <w:tcPr>
            <w:tcW w:w="660" w:type="dxa"/>
            <w:vAlign w:val="bottom"/>
            <w:shd w:val="clear" w:color="auto" w:fill="CF1D4C"/>
          </w:tcPr>
          <w:p>
            <w:pPr>
              <w:ind w:left="80"/>
              <w:spacing w:after="0" w:line="82" w:lineRule="exact"/>
              <w:rPr>
                <w:sz w:val="20"/>
                <w:szCs w:val="20"/>
                <w:color w:val="auto"/>
              </w:rPr>
            </w:pPr>
            <w:r>
              <w:rPr>
                <w:rFonts w:ascii="Arial" w:cs="Arial" w:eastAsia="Arial" w:hAnsi="Arial"/>
                <w:sz w:val="9"/>
                <w:szCs w:val="9"/>
                <w:b w:val="1"/>
                <w:bCs w:val="1"/>
                <w:color w:val="FFFFFF"/>
              </w:rPr>
              <w:t>Securities</w:t>
            </w:r>
          </w:p>
        </w:tc>
        <w:tc>
          <w:tcPr>
            <w:tcW w:w="180" w:type="dxa"/>
            <w:vAlign w:val="bottom"/>
            <w:shd w:val="clear" w:color="auto" w:fill="CF1D4C"/>
          </w:tcPr>
          <w:p>
            <w:pPr>
              <w:spacing w:after="0"/>
              <w:rPr>
                <w:sz w:val="7"/>
                <w:szCs w:val="7"/>
                <w:color w:val="auto"/>
              </w:rPr>
            </w:pPr>
          </w:p>
        </w:tc>
        <w:tc>
          <w:tcPr>
            <w:tcW w:w="580" w:type="dxa"/>
            <w:vAlign w:val="bottom"/>
            <w:vMerge w:val="restart"/>
            <w:shd w:val="clear" w:color="auto" w:fill="CF1D4C"/>
          </w:tcPr>
          <w:p>
            <w:pPr>
              <w:ind w:left="80"/>
              <w:spacing w:after="0"/>
              <w:rPr>
                <w:sz w:val="20"/>
                <w:szCs w:val="20"/>
                <w:color w:val="auto"/>
              </w:rPr>
            </w:pPr>
            <w:r>
              <w:rPr>
                <w:rFonts w:ascii="Arial" w:cs="Arial" w:eastAsia="Arial" w:hAnsi="Arial"/>
                <w:sz w:val="11"/>
                <w:szCs w:val="11"/>
                <w:b w:val="1"/>
                <w:bCs w:val="1"/>
                <w:color w:val="FFFFFF"/>
              </w:rPr>
              <w:t>Price</w:t>
            </w:r>
          </w:p>
        </w:tc>
        <w:tc>
          <w:tcPr>
            <w:tcW w:w="760" w:type="dxa"/>
            <w:vAlign w:val="bottom"/>
            <w:shd w:val="clear" w:color="auto" w:fill="CF1D4C"/>
          </w:tcPr>
          <w:p>
            <w:pPr>
              <w:ind w:left="60"/>
              <w:spacing w:after="0" w:line="82" w:lineRule="exact"/>
              <w:rPr>
                <w:sz w:val="20"/>
                <w:szCs w:val="20"/>
                <w:color w:val="auto"/>
              </w:rPr>
            </w:pPr>
            <w:r>
              <w:rPr>
                <w:rFonts w:ascii="Arial" w:cs="Arial" w:eastAsia="Arial" w:hAnsi="Arial"/>
                <w:sz w:val="9"/>
                <w:szCs w:val="9"/>
                <w:b w:val="1"/>
                <w:bCs w:val="1"/>
                <w:color w:val="FFFFFF"/>
              </w:rPr>
              <w:t>Expiration</w:t>
            </w:r>
          </w:p>
        </w:tc>
        <w:tc>
          <w:tcPr>
            <w:tcW w:w="80" w:type="dxa"/>
            <w:vAlign w:val="bottom"/>
            <w:shd w:val="clear" w:color="auto" w:fill="CF1D4C"/>
          </w:tcPr>
          <w:p>
            <w:pPr>
              <w:spacing w:after="0"/>
              <w:rPr>
                <w:sz w:val="7"/>
                <w:szCs w:val="7"/>
                <w:color w:val="auto"/>
              </w:rPr>
            </w:pPr>
          </w:p>
        </w:tc>
        <w:tc>
          <w:tcPr>
            <w:tcW w:w="540" w:type="dxa"/>
            <w:vAlign w:val="bottom"/>
            <w:vMerge w:val="restart"/>
            <w:shd w:val="clear" w:color="auto" w:fill="CF1D4C"/>
          </w:tcPr>
          <w:p>
            <w:pPr>
              <w:spacing w:after="0"/>
              <w:rPr>
                <w:sz w:val="20"/>
                <w:szCs w:val="20"/>
                <w:color w:val="auto"/>
              </w:rPr>
            </w:pPr>
            <w:r>
              <w:rPr>
                <w:rFonts w:ascii="Arial" w:cs="Arial" w:eastAsia="Arial" w:hAnsi="Arial"/>
                <w:sz w:val="11"/>
                <w:szCs w:val="11"/>
                <w:b w:val="1"/>
                <w:bCs w:val="1"/>
                <w:color w:val="FFFFFF"/>
              </w:rPr>
              <w:t>that</w:t>
            </w:r>
          </w:p>
        </w:tc>
        <w:tc>
          <w:tcPr>
            <w:tcW w:w="74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Stock that</w:t>
            </w:r>
          </w:p>
        </w:tc>
        <w:tc>
          <w:tcPr>
            <w:tcW w:w="820" w:type="dxa"/>
            <w:vAlign w:val="bottom"/>
            <w:shd w:val="clear" w:color="auto" w:fill="CF1D4C"/>
          </w:tcPr>
          <w:p>
            <w:pPr>
              <w:ind w:left="60"/>
              <w:spacing w:after="0" w:line="82" w:lineRule="exact"/>
              <w:rPr>
                <w:sz w:val="20"/>
                <w:szCs w:val="20"/>
                <w:color w:val="auto"/>
              </w:rPr>
            </w:pPr>
            <w:r>
              <w:rPr>
                <w:rFonts w:ascii="Arial" w:cs="Arial" w:eastAsia="Arial" w:hAnsi="Arial"/>
                <w:sz w:val="9"/>
                <w:szCs w:val="9"/>
                <w:b w:val="1"/>
                <w:bCs w:val="1"/>
                <w:color w:val="FFFFFF"/>
              </w:rPr>
              <w:t>Shares, Units</w:t>
            </w:r>
          </w:p>
        </w:tc>
        <w:tc>
          <w:tcPr>
            <w:tcW w:w="1060" w:type="dxa"/>
            <w:vAlign w:val="bottom"/>
            <w:gridSpan w:val="2"/>
            <w:shd w:val="clear" w:color="auto" w:fill="CF1D4C"/>
          </w:tcPr>
          <w:p>
            <w:pPr>
              <w:ind w:left="80"/>
              <w:spacing w:after="0" w:line="82" w:lineRule="exact"/>
              <w:rPr>
                <w:sz w:val="20"/>
                <w:szCs w:val="20"/>
                <w:color w:val="auto"/>
              </w:rPr>
            </w:pPr>
            <w:r>
              <w:rPr>
                <w:rFonts w:ascii="Arial" w:cs="Arial" w:eastAsia="Arial" w:hAnsi="Arial"/>
                <w:sz w:val="9"/>
                <w:szCs w:val="9"/>
                <w:b w:val="1"/>
                <w:bCs w:val="1"/>
                <w:color w:val="FFFFFF"/>
              </w:rPr>
              <w:t>of Unearned</w:t>
            </w:r>
          </w:p>
        </w:tc>
        <w:tc>
          <w:tcPr>
            <w:tcW w:w="0" w:type="dxa"/>
            <w:vAlign w:val="bottom"/>
          </w:tcPr>
          <w:p>
            <w:pPr>
              <w:spacing w:after="0"/>
              <w:rPr>
                <w:sz w:val="1"/>
                <w:szCs w:val="1"/>
                <w:color w:val="auto"/>
              </w:rPr>
            </w:pPr>
          </w:p>
        </w:tc>
      </w:tr>
      <w:tr>
        <w:trPr>
          <w:trHeight w:val="54"/>
        </w:trPr>
        <w:tc>
          <w:tcPr>
            <w:tcW w:w="120" w:type="dxa"/>
            <w:vAlign w:val="bottom"/>
            <w:shd w:val="clear" w:color="auto" w:fill="CF1D4C"/>
          </w:tcPr>
          <w:p>
            <w:pPr>
              <w:spacing w:after="0"/>
              <w:rPr>
                <w:sz w:val="4"/>
                <w:szCs w:val="4"/>
                <w:color w:val="auto"/>
              </w:rPr>
            </w:pPr>
          </w:p>
        </w:tc>
        <w:tc>
          <w:tcPr>
            <w:tcW w:w="68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70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800" w:type="dxa"/>
            <w:vAlign w:val="bottom"/>
            <w:vMerge w:val="continue"/>
            <w:shd w:val="clear" w:color="auto" w:fill="CF1D4C"/>
          </w:tcPr>
          <w:p>
            <w:pPr>
              <w:spacing w:after="0"/>
              <w:rPr>
                <w:sz w:val="4"/>
                <w:szCs w:val="4"/>
                <w:color w:val="auto"/>
              </w:rPr>
            </w:pPr>
          </w:p>
        </w:tc>
        <w:tc>
          <w:tcPr>
            <w:tcW w:w="960" w:type="dxa"/>
            <w:vAlign w:val="bottom"/>
            <w:vMerge w:val="continue"/>
            <w:shd w:val="clear" w:color="auto" w:fill="CF1D4C"/>
          </w:tcPr>
          <w:p>
            <w:pPr>
              <w:spacing w:after="0"/>
              <w:rPr>
                <w:sz w:val="4"/>
                <w:szCs w:val="4"/>
                <w:color w:val="auto"/>
              </w:rPr>
            </w:pPr>
          </w:p>
        </w:tc>
        <w:tc>
          <w:tcPr>
            <w:tcW w:w="660" w:type="dxa"/>
            <w:vAlign w:val="bottom"/>
            <w:vMerge w:val="restart"/>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w w:val="97"/>
              </w:rPr>
              <w:t>Underlying</w:t>
            </w:r>
          </w:p>
        </w:tc>
        <w:tc>
          <w:tcPr>
            <w:tcW w:w="180" w:type="dxa"/>
            <w:vAlign w:val="bottom"/>
            <w:shd w:val="clear" w:color="auto" w:fill="CF1D4C"/>
          </w:tcPr>
          <w:p>
            <w:pPr>
              <w:spacing w:after="0"/>
              <w:rPr>
                <w:sz w:val="4"/>
                <w:szCs w:val="4"/>
                <w:color w:val="auto"/>
              </w:rPr>
            </w:pPr>
          </w:p>
        </w:tc>
        <w:tc>
          <w:tcPr>
            <w:tcW w:w="580" w:type="dxa"/>
            <w:vAlign w:val="bottom"/>
            <w:vMerge w:val="continue"/>
            <w:shd w:val="clear" w:color="auto" w:fill="CF1D4C"/>
          </w:tcPr>
          <w:p>
            <w:pPr>
              <w:spacing w:after="0"/>
              <w:rPr>
                <w:sz w:val="4"/>
                <w:szCs w:val="4"/>
                <w:color w:val="auto"/>
              </w:rPr>
            </w:pPr>
          </w:p>
        </w:tc>
        <w:tc>
          <w:tcPr>
            <w:tcW w:w="760" w:type="dxa"/>
            <w:vAlign w:val="bottom"/>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Date</w:t>
            </w:r>
          </w:p>
        </w:tc>
        <w:tc>
          <w:tcPr>
            <w:tcW w:w="80" w:type="dxa"/>
            <w:vAlign w:val="bottom"/>
            <w:shd w:val="clear" w:color="auto" w:fill="CF1D4C"/>
          </w:tcPr>
          <w:p>
            <w:pPr>
              <w:spacing w:after="0"/>
              <w:rPr>
                <w:sz w:val="4"/>
                <w:szCs w:val="4"/>
                <w:color w:val="auto"/>
              </w:rPr>
            </w:pPr>
          </w:p>
        </w:tc>
        <w:tc>
          <w:tcPr>
            <w:tcW w:w="540" w:type="dxa"/>
            <w:vAlign w:val="bottom"/>
            <w:vMerge w:val="continue"/>
            <w:shd w:val="clear" w:color="auto" w:fill="CF1D4C"/>
          </w:tcPr>
          <w:p>
            <w:pPr>
              <w:spacing w:after="0"/>
              <w:rPr>
                <w:sz w:val="4"/>
                <w:szCs w:val="4"/>
                <w:color w:val="auto"/>
              </w:rPr>
            </w:pPr>
          </w:p>
        </w:tc>
        <w:tc>
          <w:tcPr>
            <w:tcW w:w="740" w:type="dxa"/>
            <w:vAlign w:val="bottom"/>
            <w:vMerge w:val="continue"/>
            <w:shd w:val="clear" w:color="auto" w:fill="CF1D4C"/>
          </w:tcPr>
          <w:p>
            <w:pPr>
              <w:spacing w:after="0"/>
              <w:rPr>
                <w:sz w:val="4"/>
                <w:szCs w:val="4"/>
                <w:color w:val="auto"/>
              </w:rPr>
            </w:pPr>
          </w:p>
        </w:tc>
        <w:tc>
          <w:tcPr>
            <w:tcW w:w="820" w:type="dxa"/>
            <w:vAlign w:val="bottom"/>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or Other</w:t>
            </w:r>
          </w:p>
        </w:tc>
        <w:tc>
          <w:tcPr>
            <w:tcW w:w="1060" w:type="dxa"/>
            <w:vAlign w:val="bottom"/>
            <w:gridSpan w:val="2"/>
            <w:vMerge w:val="restart"/>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Shares, Units</w:t>
            </w:r>
          </w:p>
        </w:tc>
        <w:tc>
          <w:tcPr>
            <w:tcW w:w="0" w:type="dxa"/>
            <w:vAlign w:val="bottom"/>
          </w:tcPr>
          <w:p>
            <w:pPr>
              <w:spacing w:after="0"/>
              <w:rPr>
                <w:sz w:val="1"/>
                <w:szCs w:val="1"/>
                <w:color w:val="auto"/>
              </w:rPr>
            </w:pPr>
          </w:p>
        </w:tc>
      </w:tr>
      <w:tr>
        <w:trPr>
          <w:trHeight w:val="68"/>
        </w:trPr>
        <w:tc>
          <w:tcPr>
            <w:tcW w:w="120" w:type="dxa"/>
            <w:vAlign w:val="bottom"/>
            <w:shd w:val="clear" w:color="auto" w:fill="CF1D4C"/>
          </w:tcPr>
          <w:p>
            <w:pPr>
              <w:spacing w:after="0"/>
              <w:rPr>
                <w:sz w:val="5"/>
                <w:szCs w:val="5"/>
                <w:color w:val="auto"/>
              </w:rPr>
            </w:pPr>
          </w:p>
        </w:tc>
        <w:tc>
          <w:tcPr>
            <w:tcW w:w="68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70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800" w:type="dxa"/>
            <w:vAlign w:val="bottom"/>
            <w:vMerge w:val="restart"/>
            <w:shd w:val="clear" w:color="auto" w:fill="CF1D4C"/>
          </w:tcPr>
          <w:p>
            <w:pPr>
              <w:ind w:left="40"/>
              <w:spacing w:after="0" w:line="108" w:lineRule="exact"/>
              <w:rPr>
                <w:sz w:val="20"/>
                <w:szCs w:val="20"/>
                <w:color w:val="auto"/>
              </w:rPr>
            </w:pPr>
            <w:r>
              <w:rPr>
                <w:rFonts w:ascii="Arial" w:cs="Arial" w:eastAsia="Arial" w:hAnsi="Arial"/>
                <w:sz w:val="11"/>
                <w:szCs w:val="11"/>
                <w:b w:val="1"/>
                <w:bCs w:val="1"/>
                <w:color w:val="FFFFFF"/>
              </w:rPr>
              <w:t>Options (#)</w:t>
            </w:r>
          </w:p>
        </w:tc>
        <w:tc>
          <w:tcPr>
            <w:tcW w:w="960" w:type="dxa"/>
            <w:vAlign w:val="bottom"/>
            <w:vMerge w:val="restart"/>
            <w:shd w:val="clear" w:color="auto" w:fill="CF1D4C"/>
          </w:tcPr>
          <w:p>
            <w:pPr>
              <w:ind w:left="60"/>
              <w:spacing w:after="0" w:line="108" w:lineRule="exact"/>
              <w:rPr>
                <w:sz w:val="20"/>
                <w:szCs w:val="20"/>
                <w:color w:val="auto"/>
              </w:rPr>
            </w:pPr>
            <w:r>
              <w:rPr>
                <w:rFonts w:ascii="Arial" w:cs="Arial" w:eastAsia="Arial" w:hAnsi="Arial"/>
                <w:sz w:val="11"/>
                <w:szCs w:val="11"/>
                <w:b w:val="1"/>
                <w:bCs w:val="1"/>
                <w:color w:val="FFFFFF"/>
              </w:rPr>
              <w:t>Options (#)</w:t>
            </w:r>
          </w:p>
        </w:tc>
        <w:tc>
          <w:tcPr>
            <w:tcW w:w="660" w:type="dxa"/>
            <w:vAlign w:val="bottom"/>
            <w:vMerge w:val="continue"/>
            <w:shd w:val="clear" w:color="auto" w:fill="CF1D4C"/>
          </w:tcPr>
          <w:p>
            <w:pPr>
              <w:spacing w:after="0"/>
              <w:rPr>
                <w:sz w:val="5"/>
                <w:szCs w:val="5"/>
                <w:color w:val="auto"/>
              </w:rPr>
            </w:pPr>
          </w:p>
        </w:tc>
        <w:tc>
          <w:tcPr>
            <w:tcW w:w="180" w:type="dxa"/>
            <w:vAlign w:val="bottom"/>
            <w:shd w:val="clear" w:color="auto" w:fill="CF1D4C"/>
          </w:tcPr>
          <w:p>
            <w:pPr>
              <w:spacing w:after="0"/>
              <w:rPr>
                <w:sz w:val="5"/>
                <w:szCs w:val="5"/>
                <w:color w:val="auto"/>
              </w:rPr>
            </w:pPr>
          </w:p>
        </w:tc>
        <w:tc>
          <w:tcPr>
            <w:tcW w:w="580" w:type="dxa"/>
            <w:vAlign w:val="bottom"/>
            <w:vMerge w:val="restart"/>
            <w:shd w:val="clear" w:color="auto" w:fill="CF1D4C"/>
          </w:tcPr>
          <w:p>
            <w:pPr>
              <w:ind w:left="80"/>
              <w:spacing w:after="0" w:line="108" w:lineRule="exact"/>
              <w:rPr>
                <w:sz w:val="20"/>
                <w:szCs w:val="20"/>
                <w:color w:val="auto"/>
              </w:rPr>
            </w:pPr>
            <w:r>
              <w:rPr>
                <w:rFonts w:ascii="Arial" w:cs="Arial" w:eastAsia="Arial" w:hAnsi="Arial"/>
                <w:sz w:val="11"/>
                <w:szCs w:val="11"/>
                <w:b w:val="1"/>
                <w:bCs w:val="1"/>
                <w:color w:val="FFFFFF"/>
              </w:rPr>
              <w:t>($)</w:t>
            </w:r>
          </w:p>
        </w:tc>
        <w:tc>
          <w:tcPr>
            <w:tcW w:w="760" w:type="dxa"/>
            <w:vAlign w:val="bottom"/>
            <w:vMerge w:val="continue"/>
            <w:shd w:val="clear" w:color="auto" w:fill="CF1D4C"/>
          </w:tcPr>
          <w:p>
            <w:pPr>
              <w:spacing w:after="0"/>
              <w:rPr>
                <w:sz w:val="5"/>
                <w:szCs w:val="5"/>
                <w:color w:val="auto"/>
              </w:rPr>
            </w:pPr>
          </w:p>
        </w:tc>
        <w:tc>
          <w:tcPr>
            <w:tcW w:w="80" w:type="dxa"/>
            <w:vAlign w:val="bottom"/>
            <w:shd w:val="clear" w:color="auto" w:fill="CF1D4C"/>
          </w:tcPr>
          <w:p>
            <w:pPr>
              <w:spacing w:after="0"/>
              <w:rPr>
                <w:sz w:val="5"/>
                <w:szCs w:val="5"/>
                <w:color w:val="auto"/>
              </w:rPr>
            </w:pPr>
          </w:p>
        </w:tc>
        <w:tc>
          <w:tcPr>
            <w:tcW w:w="540" w:type="dxa"/>
            <w:vAlign w:val="bottom"/>
            <w:vMerge w:val="restart"/>
            <w:shd w:val="clear" w:color="auto" w:fill="CF1D4C"/>
          </w:tcPr>
          <w:p>
            <w:pPr>
              <w:spacing w:after="0" w:line="108" w:lineRule="exact"/>
              <w:rPr>
                <w:sz w:val="20"/>
                <w:szCs w:val="20"/>
                <w:color w:val="auto"/>
              </w:rPr>
            </w:pPr>
            <w:r>
              <w:rPr>
                <w:rFonts w:ascii="Arial" w:cs="Arial" w:eastAsia="Arial" w:hAnsi="Arial"/>
                <w:sz w:val="11"/>
                <w:szCs w:val="11"/>
                <w:b w:val="1"/>
                <w:bCs w:val="1"/>
                <w:color w:val="FFFFFF"/>
              </w:rPr>
              <w:t>Have Not</w:t>
            </w:r>
          </w:p>
        </w:tc>
        <w:tc>
          <w:tcPr>
            <w:tcW w:w="740" w:type="dxa"/>
            <w:vAlign w:val="bottom"/>
            <w:vMerge w:val="restart"/>
            <w:shd w:val="clear" w:color="auto" w:fill="CF1D4C"/>
          </w:tcPr>
          <w:p>
            <w:pPr>
              <w:ind w:left="60"/>
              <w:spacing w:after="0" w:line="108" w:lineRule="exact"/>
              <w:rPr>
                <w:sz w:val="20"/>
                <w:szCs w:val="20"/>
                <w:color w:val="auto"/>
              </w:rPr>
            </w:pPr>
            <w:r>
              <w:rPr>
                <w:rFonts w:ascii="Arial" w:cs="Arial" w:eastAsia="Arial" w:hAnsi="Arial"/>
                <w:sz w:val="11"/>
                <w:szCs w:val="11"/>
                <w:b w:val="1"/>
                <w:bCs w:val="1"/>
                <w:color w:val="FFFFFF"/>
              </w:rPr>
              <w:t>Have Not</w:t>
            </w:r>
          </w:p>
        </w:tc>
        <w:tc>
          <w:tcPr>
            <w:tcW w:w="820" w:type="dxa"/>
            <w:vAlign w:val="bottom"/>
            <w:vMerge w:val="continue"/>
            <w:shd w:val="clear" w:color="auto" w:fill="CF1D4C"/>
          </w:tcPr>
          <w:p>
            <w:pPr>
              <w:spacing w:after="0"/>
              <w:rPr>
                <w:sz w:val="5"/>
                <w:szCs w:val="5"/>
                <w:color w:val="auto"/>
              </w:rPr>
            </w:pPr>
          </w:p>
        </w:tc>
        <w:tc>
          <w:tcPr>
            <w:tcW w:w="1060" w:type="dxa"/>
            <w:vAlign w:val="bottom"/>
            <w:gridSpan w:val="2"/>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120" w:type="dxa"/>
            <w:vAlign w:val="bottom"/>
            <w:shd w:val="clear" w:color="auto" w:fill="CF1D4C"/>
          </w:tcPr>
          <w:p>
            <w:pPr>
              <w:spacing w:after="0"/>
              <w:rPr>
                <w:sz w:val="3"/>
                <w:szCs w:val="3"/>
                <w:color w:val="auto"/>
              </w:rPr>
            </w:pPr>
          </w:p>
        </w:tc>
        <w:tc>
          <w:tcPr>
            <w:tcW w:w="680" w:type="dxa"/>
            <w:vAlign w:val="bottom"/>
            <w:shd w:val="clear" w:color="auto" w:fill="CF1D4C"/>
          </w:tcPr>
          <w:p>
            <w:pPr>
              <w:spacing w:after="0"/>
              <w:rPr>
                <w:sz w:val="3"/>
                <w:szCs w:val="3"/>
                <w:color w:val="auto"/>
              </w:rPr>
            </w:pPr>
          </w:p>
        </w:tc>
        <w:tc>
          <w:tcPr>
            <w:tcW w:w="40" w:type="dxa"/>
            <w:vAlign w:val="bottom"/>
            <w:shd w:val="clear" w:color="auto" w:fill="CF1D4C"/>
          </w:tcPr>
          <w:p>
            <w:pPr>
              <w:spacing w:after="0"/>
              <w:rPr>
                <w:sz w:val="3"/>
                <w:szCs w:val="3"/>
                <w:color w:val="auto"/>
              </w:rPr>
            </w:pPr>
          </w:p>
        </w:tc>
        <w:tc>
          <w:tcPr>
            <w:tcW w:w="700" w:type="dxa"/>
            <w:vAlign w:val="bottom"/>
            <w:shd w:val="clear" w:color="auto" w:fill="CF1D4C"/>
          </w:tcPr>
          <w:p>
            <w:pPr>
              <w:spacing w:after="0"/>
              <w:rPr>
                <w:sz w:val="3"/>
                <w:szCs w:val="3"/>
                <w:color w:val="auto"/>
              </w:rPr>
            </w:pPr>
          </w:p>
        </w:tc>
        <w:tc>
          <w:tcPr>
            <w:tcW w:w="40" w:type="dxa"/>
            <w:vAlign w:val="bottom"/>
            <w:shd w:val="clear" w:color="auto" w:fill="CF1D4C"/>
          </w:tcPr>
          <w:p>
            <w:pPr>
              <w:spacing w:after="0"/>
              <w:rPr>
                <w:sz w:val="3"/>
                <w:szCs w:val="3"/>
                <w:color w:val="auto"/>
              </w:rPr>
            </w:pPr>
          </w:p>
        </w:tc>
        <w:tc>
          <w:tcPr>
            <w:tcW w:w="800" w:type="dxa"/>
            <w:vAlign w:val="bottom"/>
            <w:vMerge w:val="continue"/>
            <w:shd w:val="clear" w:color="auto" w:fill="CF1D4C"/>
          </w:tcPr>
          <w:p>
            <w:pPr>
              <w:spacing w:after="0"/>
              <w:rPr>
                <w:sz w:val="3"/>
                <w:szCs w:val="3"/>
                <w:color w:val="auto"/>
              </w:rPr>
            </w:pPr>
          </w:p>
        </w:tc>
        <w:tc>
          <w:tcPr>
            <w:tcW w:w="960" w:type="dxa"/>
            <w:vAlign w:val="bottom"/>
            <w:vMerge w:val="continue"/>
            <w:shd w:val="clear" w:color="auto" w:fill="CF1D4C"/>
          </w:tcPr>
          <w:p>
            <w:pPr>
              <w:spacing w:after="0"/>
              <w:rPr>
                <w:sz w:val="3"/>
                <w:szCs w:val="3"/>
                <w:color w:val="auto"/>
              </w:rPr>
            </w:pPr>
          </w:p>
        </w:tc>
        <w:tc>
          <w:tcPr>
            <w:tcW w:w="840" w:type="dxa"/>
            <w:vAlign w:val="bottom"/>
            <w:gridSpan w:val="2"/>
            <w:vMerge w:val="restart"/>
            <w:shd w:val="clear" w:color="auto" w:fill="CF1D4C"/>
          </w:tcPr>
          <w:p>
            <w:pPr>
              <w:ind w:left="80"/>
              <w:spacing w:after="0"/>
              <w:rPr>
                <w:sz w:val="20"/>
                <w:szCs w:val="20"/>
                <w:color w:val="auto"/>
              </w:rPr>
            </w:pPr>
            <w:r>
              <w:rPr>
                <w:rFonts w:ascii="Arial" w:cs="Arial" w:eastAsia="Arial" w:hAnsi="Arial"/>
                <w:sz w:val="11"/>
                <w:szCs w:val="11"/>
                <w:b w:val="1"/>
                <w:bCs w:val="1"/>
                <w:color w:val="FFFFFF"/>
              </w:rPr>
              <w:t>Unexercised</w:t>
            </w:r>
          </w:p>
        </w:tc>
        <w:tc>
          <w:tcPr>
            <w:tcW w:w="580" w:type="dxa"/>
            <w:vAlign w:val="bottom"/>
            <w:vMerge w:val="continue"/>
            <w:shd w:val="clear" w:color="auto" w:fill="CF1D4C"/>
          </w:tcPr>
          <w:p>
            <w:pPr>
              <w:spacing w:after="0"/>
              <w:rPr>
                <w:sz w:val="3"/>
                <w:szCs w:val="3"/>
                <w:color w:val="auto"/>
              </w:rPr>
            </w:pPr>
          </w:p>
        </w:tc>
        <w:tc>
          <w:tcPr>
            <w:tcW w:w="760" w:type="dxa"/>
            <w:vAlign w:val="bottom"/>
            <w:shd w:val="clear" w:color="auto" w:fill="CF1D4C"/>
          </w:tcPr>
          <w:p>
            <w:pPr>
              <w:spacing w:after="0"/>
              <w:rPr>
                <w:sz w:val="3"/>
                <w:szCs w:val="3"/>
                <w:color w:val="auto"/>
              </w:rPr>
            </w:pPr>
          </w:p>
        </w:tc>
        <w:tc>
          <w:tcPr>
            <w:tcW w:w="80" w:type="dxa"/>
            <w:vAlign w:val="bottom"/>
            <w:shd w:val="clear" w:color="auto" w:fill="CF1D4C"/>
          </w:tcPr>
          <w:p>
            <w:pPr>
              <w:spacing w:after="0"/>
              <w:rPr>
                <w:sz w:val="3"/>
                <w:szCs w:val="3"/>
                <w:color w:val="auto"/>
              </w:rPr>
            </w:pPr>
          </w:p>
        </w:tc>
        <w:tc>
          <w:tcPr>
            <w:tcW w:w="540" w:type="dxa"/>
            <w:vAlign w:val="bottom"/>
            <w:vMerge w:val="continue"/>
            <w:shd w:val="clear" w:color="auto" w:fill="CF1D4C"/>
          </w:tcPr>
          <w:p>
            <w:pPr>
              <w:spacing w:after="0"/>
              <w:rPr>
                <w:sz w:val="3"/>
                <w:szCs w:val="3"/>
                <w:color w:val="auto"/>
              </w:rPr>
            </w:pPr>
          </w:p>
        </w:tc>
        <w:tc>
          <w:tcPr>
            <w:tcW w:w="740" w:type="dxa"/>
            <w:vAlign w:val="bottom"/>
            <w:vMerge w:val="continue"/>
            <w:shd w:val="clear" w:color="auto" w:fill="CF1D4C"/>
          </w:tcPr>
          <w:p>
            <w:pPr>
              <w:spacing w:after="0"/>
              <w:rPr>
                <w:sz w:val="3"/>
                <w:szCs w:val="3"/>
                <w:color w:val="auto"/>
              </w:rPr>
            </w:pPr>
          </w:p>
        </w:tc>
        <w:tc>
          <w:tcPr>
            <w:tcW w:w="82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Rights that</w:t>
            </w:r>
          </w:p>
        </w:tc>
        <w:tc>
          <w:tcPr>
            <w:tcW w:w="1060" w:type="dxa"/>
            <w:vAlign w:val="bottom"/>
            <w:gridSpan w:val="2"/>
            <w:vMerge w:val="restart"/>
            <w:shd w:val="clear" w:color="auto" w:fill="CF1D4C"/>
          </w:tcPr>
          <w:p>
            <w:pPr>
              <w:ind w:left="80"/>
              <w:spacing w:after="0"/>
              <w:rPr>
                <w:sz w:val="20"/>
                <w:szCs w:val="20"/>
                <w:color w:val="auto"/>
              </w:rPr>
            </w:pPr>
            <w:r>
              <w:rPr>
                <w:rFonts w:ascii="Arial" w:cs="Arial" w:eastAsia="Arial" w:hAnsi="Arial"/>
                <w:sz w:val="11"/>
                <w:szCs w:val="11"/>
                <w:b w:val="1"/>
                <w:bCs w:val="1"/>
                <w:color w:val="FFFFFF"/>
              </w:rPr>
              <w:t>or Other Rights</w:t>
            </w:r>
          </w:p>
        </w:tc>
        <w:tc>
          <w:tcPr>
            <w:tcW w:w="0" w:type="dxa"/>
            <w:vAlign w:val="bottom"/>
          </w:tcPr>
          <w:p>
            <w:pPr>
              <w:spacing w:after="0"/>
              <w:rPr>
                <w:sz w:val="1"/>
                <w:szCs w:val="1"/>
                <w:color w:val="auto"/>
              </w:rPr>
            </w:pPr>
          </w:p>
        </w:tc>
      </w:tr>
      <w:tr>
        <w:trPr>
          <w:trHeight w:val="122"/>
        </w:trPr>
        <w:tc>
          <w:tcPr>
            <w:tcW w:w="120" w:type="dxa"/>
            <w:vAlign w:val="bottom"/>
            <w:shd w:val="clear" w:color="auto" w:fill="CF1D4C"/>
          </w:tcPr>
          <w:p>
            <w:pPr>
              <w:spacing w:after="0"/>
              <w:rPr>
                <w:sz w:val="10"/>
                <w:szCs w:val="10"/>
                <w:color w:val="auto"/>
              </w:rPr>
            </w:pPr>
          </w:p>
        </w:tc>
        <w:tc>
          <w:tcPr>
            <w:tcW w:w="680" w:type="dxa"/>
            <w:vAlign w:val="bottom"/>
            <w:shd w:val="clear" w:color="auto" w:fill="CF1D4C"/>
          </w:tcPr>
          <w:p>
            <w:pPr>
              <w:spacing w:after="0"/>
              <w:rPr>
                <w:sz w:val="10"/>
                <w:szCs w:val="10"/>
                <w:color w:val="auto"/>
              </w:rPr>
            </w:pPr>
          </w:p>
        </w:tc>
        <w:tc>
          <w:tcPr>
            <w:tcW w:w="40" w:type="dxa"/>
            <w:vAlign w:val="bottom"/>
            <w:shd w:val="clear" w:color="auto" w:fill="CF1D4C"/>
          </w:tcPr>
          <w:p>
            <w:pPr>
              <w:spacing w:after="0"/>
              <w:rPr>
                <w:sz w:val="10"/>
                <w:szCs w:val="10"/>
                <w:color w:val="auto"/>
              </w:rPr>
            </w:pPr>
          </w:p>
        </w:tc>
        <w:tc>
          <w:tcPr>
            <w:tcW w:w="700" w:type="dxa"/>
            <w:vAlign w:val="bottom"/>
            <w:shd w:val="clear" w:color="auto" w:fill="CF1D4C"/>
          </w:tcPr>
          <w:p>
            <w:pPr>
              <w:spacing w:after="0"/>
              <w:rPr>
                <w:sz w:val="10"/>
                <w:szCs w:val="10"/>
                <w:color w:val="auto"/>
              </w:rPr>
            </w:pPr>
          </w:p>
        </w:tc>
        <w:tc>
          <w:tcPr>
            <w:tcW w:w="40" w:type="dxa"/>
            <w:vAlign w:val="bottom"/>
            <w:shd w:val="clear" w:color="auto" w:fill="CF1D4C"/>
          </w:tcPr>
          <w:p>
            <w:pPr>
              <w:spacing w:after="0"/>
              <w:rPr>
                <w:sz w:val="10"/>
                <w:szCs w:val="10"/>
                <w:color w:val="auto"/>
              </w:rPr>
            </w:pPr>
          </w:p>
        </w:tc>
        <w:tc>
          <w:tcPr>
            <w:tcW w:w="800" w:type="dxa"/>
            <w:vAlign w:val="bottom"/>
            <w:shd w:val="clear" w:color="auto" w:fill="CF1D4C"/>
          </w:tcPr>
          <w:p>
            <w:pPr>
              <w:ind w:left="40"/>
              <w:spacing w:after="0" w:line="122" w:lineRule="exact"/>
              <w:rPr>
                <w:sz w:val="20"/>
                <w:szCs w:val="20"/>
                <w:color w:val="auto"/>
              </w:rPr>
            </w:pPr>
            <w:r>
              <w:rPr>
                <w:rFonts w:ascii="Arial" w:cs="Arial" w:eastAsia="Arial" w:hAnsi="Arial"/>
                <w:sz w:val="10"/>
                <w:szCs w:val="10"/>
                <w:b w:val="1"/>
                <w:bCs w:val="1"/>
                <w:color w:val="FFFFFF"/>
              </w:rPr>
              <w:t>Exercisable</w:t>
            </w:r>
            <w:r>
              <w:rPr>
                <w:rFonts w:ascii="Arial" w:cs="Arial" w:eastAsia="Arial" w:hAnsi="Arial"/>
                <w:sz w:val="14"/>
                <w:szCs w:val="14"/>
                <w:b w:val="1"/>
                <w:bCs w:val="1"/>
                <w:color w:val="FFFFFF"/>
                <w:vertAlign w:val="superscript"/>
              </w:rPr>
              <w:t>(1)</w:t>
            </w:r>
          </w:p>
        </w:tc>
        <w:tc>
          <w:tcPr>
            <w:tcW w:w="960" w:type="dxa"/>
            <w:vAlign w:val="bottom"/>
            <w:shd w:val="clear" w:color="auto" w:fill="CF1D4C"/>
          </w:tcPr>
          <w:p>
            <w:pPr>
              <w:ind w:left="60"/>
              <w:spacing w:after="0" w:line="122" w:lineRule="exact"/>
              <w:rPr>
                <w:sz w:val="20"/>
                <w:szCs w:val="20"/>
                <w:color w:val="auto"/>
              </w:rPr>
            </w:pPr>
            <w:r>
              <w:rPr>
                <w:rFonts w:ascii="Arial" w:cs="Arial" w:eastAsia="Arial" w:hAnsi="Arial"/>
                <w:sz w:val="10"/>
                <w:szCs w:val="10"/>
                <w:b w:val="1"/>
                <w:bCs w:val="1"/>
                <w:color w:val="FFFFFF"/>
              </w:rPr>
              <w:t>Unexercisable</w:t>
            </w:r>
            <w:r>
              <w:rPr>
                <w:rFonts w:ascii="Arial" w:cs="Arial" w:eastAsia="Arial" w:hAnsi="Arial"/>
                <w:sz w:val="14"/>
                <w:szCs w:val="14"/>
                <w:b w:val="1"/>
                <w:bCs w:val="1"/>
                <w:color w:val="FFFFFF"/>
                <w:vertAlign w:val="superscript"/>
              </w:rPr>
              <w:t>(1)</w:t>
            </w:r>
          </w:p>
        </w:tc>
        <w:tc>
          <w:tcPr>
            <w:tcW w:w="840" w:type="dxa"/>
            <w:vAlign w:val="bottom"/>
            <w:gridSpan w:val="2"/>
            <w:vMerge w:val="continue"/>
            <w:shd w:val="clear" w:color="auto" w:fill="CF1D4C"/>
          </w:tcPr>
          <w:p>
            <w:pPr>
              <w:spacing w:after="0"/>
              <w:rPr>
                <w:sz w:val="10"/>
                <w:szCs w:val="10"/>
                <w:color w:val="auto"/>
              </w:rPr>
            </w:pPr>
          </w:p>
        </w:tc>
        <w:tc>
          <w:tcPr>
            <w:tcW w:w="580" w:type="dxa"/>
            <w:vAlign w:val="bottom"/>
            <w:shd w:val="clear" w:color="auto" w:fill="CF1D4C"/>
          </w:tcPr>
          <w:p>
            <w:pPr>
              <w:spacing w:after="0"/>
              <w:rPr>
                <w:sz w:val="10"/>
                <w:szCs w:val="10"/>
                <w:color w:val="auto"/>
              </w:rPr>
            </w:pPr>
          </w:p>
        </w:tc>
        <w:tc>
          <w:tcPr>
            <w:tcW w:w="760" w:type="dxa"/>
            <w:vAlign w:val="bottom"/>
            <w:shd w:val="clear" w:color="auto" w:fill="CF1D4C"/>
          </w:tcPr>
          <w:p>
            <w:pPr>
              <w:spacing w:after="0"/>
              <w:rPr>
                <w:sz w:val="10"/>
                <w:szCs w:val="10"/>
                <w:color w:val="auto"/>
              </w:rPr>
            </w:pPr>
          </w:p>
        </w:tc>
        <w:tc>
          <w:tcPr>
            <w:tcW w:w="80" w:type="dxa"/>
            <w:vAlign w:val="bottom"/>
            <w:shd w:val="clear" w:color="auto" w:fill="CF1D4C"/>
          </w:tcPr>
          <w:p>
            <w:pPr>
              <w:spacing w:after="0"/>
              <w:rPr>
                <w:sz w:val="10"/>
                <w:szCs w:val="10"/>
                <w:color w:val="auto"/>
              </w:rPr>
            </w:pPr>
          </w:p>
        </w:tc>
        <w:tc>
          <w:tcPr>
            <w:tcW w:w="540" w:type="dxa"/>
            <w:vAlign w:val="bottom"/>
            <w:shd w:val="clear" w:color="auto" w:fill="CF1D4C"/>
          </w:tcPr>
          <w:p>
            <w:pPr>
              <w:spacing w:after="0" w:line="122" w:lineRule="exact"/>
              <w:rPr>
                <w:sz w:val="20"/>
                <w:szCs w:val="20"/>
                <w:color w:val="auto"/>
              </w:rPr>
            </w:pPr>
            <w:r>
              <w:rPr>
                <w:rFonts w:ascii="Arial" w:cs="Arial" w:eastAsia="Arial" w:hAnsi="Arial"/>
                <w:sz w:val="11"/>
                <w:szCs w:val="11"/>
                <w:b w:val="1"/>
                <w:bCs w:val="1"/>
                <w:color w:val="FFFFFF"/>
              </w:rPr>
              <w:t>Vested</w:t>
            </w:r>
          </w:p>
        </w:tc>
        <w:tc>
          <w:tcPr>
            <w:tcW w:w="740" w:type="dxa"/>
            <w:vAlign w:val="bottom"/>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Vested</w:t>
            </w:r>
          </w:p>
        </w:tc>
        <w:tc>
          <w:tcPr>
            <w:tcW w:w="820" w:type="dxa"/>
            <w:vAlign w:val="bottom"/>
            <w:vMerge w:val="continue"/>
            <w:shd w:val="clear" w:color="auto" w:fill="CF1D4C"/>
          </w:tcPr>
          <w:p>
            <w:pPr>
              <w:spacing w:after="0"/>
              <w:rPr>
                <w:sz w:val="10"/>
                <w:szCs w:val="10"/>
                <w:color w:val="auto"/>
              </w:rPr>
            </w:pPr>
          </w:p>
        </w:tc>
        <w:tc>
          <w:tcPr>
            <w:tcW w:w="1060" w:type="dxa"/>
            <w:vAlign w:val="bottom"/>
            <w:gridSpan w:val="2"/>
            <w:vMerge w:val="continue"/>
            <w:shd w:val="clear" w:color="auto" w:fill="CF1D4C"/>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20" w:type="dxa"/>
            <w:vAlign w:val="bottom"/>
            <w:shd w:val="clear" w:color="auto" w:fill="CF1D4C"/>
          </w:tcPr>
          <w:p>
            <w:pPr>
              <w:spacing w:after="0"/>
              <w:rPr>
                <w:sz w:val="7"/>
                <w:szCs w:val="7"/>
                <w:color w:val="auto"/>
              </w:rPr>
            </w:pPr>
          </w:p>
        </w:tc>
        <w:tc>
          <w:tcPr>
            <w:tcW w:w="680" w:type="dxa"/>
            <w:vAlign w:val="bottom"/>
            <w:shd w:val="clear" w:color="auto" w:fill="CF1D4C"/>
          </w:tcPr>
          <w:p>
            <w:pPr>
              <w:spacing w:after="0"/>
              <w:rPr>
                <w:sz w:val="7"/>
                <w:szCs w:val="7"/>
                <w:color w:val="auto"/>
              </w:rPr>
            </w:pPr>
          </w:p>
        </w:tc>
        <w:tc>
          <w:tcPr>
            <w:tcW w:w="40" w:type="dxa"/>
            <w:vAlign w:val="bottom"/>
            <w:shd w:val="clear" w:color="auto" w:fill="CF1D4C"/>
          </w:tcPr>
          <w:p>
            <w:pPr>
              <w:spacing w:after="0"/>
              <w:rPr>
                <w:sz w:val="7"/>
                <w:szCs w:val="7"/>
                <w:color w:val="auto"/>
              </w:rPr>
            </w:pPr>
          </w:p>
        </w:tc>
        <w:tc>
          <w:tcPr>
            <w:tcW w:w="700" w:type="dxa"/>
            <w:vAlign w:val="bottom"/>
            <w:shd w:val="clear" w:color="auto" w:fill="CF1D4C"/>
          </w:tcPr>
          <w:p>
            <w:pPr>
              <w:spacing w:after="0"/>
              <w:rPr>
                <w:sz w:val="7"/>
                <w:szCs w:val="7"/>
                <w:color w:val="auto"/>
              </w:rPr>
            </w:pPr>
          </w:p>
        </w:tc>
        <w:tc>
          <w:tcPr>
            <w:tcW w:w="40" w:type="dxa"/>
            <w:vAlign w:val="bottom"/>
            <w:shd w:val="clear" w:color="auto" w:fill="CF1D4C"/>
          </w:tcPr>
          <w:p>
            <w:pPr>
              <w:spacing w:after="0"/>
              <w:rPr>
                <w:sz w:val="7"/>
                <w:szCs w:val="7"/>
                <w:color w:val="auto"/>
              </w:rPr>
            </w:pPr>
          </w:p>
        </w:tc>
        <w:tc>
          <w:tcPr>
            <w:tcW w:w="800" w:type="dxa"/>
            <w:vAlign w:val="bottom"/>
            <w:shd w:val="clear" w:color="auto" w:fill="CF1D4C"/>
          </w:tcPr>
          <w:p>
            <w:pPr>
              <w:spacing w:after="0"/>
              <w:rPr>
                <w:sz w:val="7"/>
                <w:szCs w:val="7"/>
                <w:color w:val="auto"/>
              </w:rPr>
            </w:pPr>
          </w:p>
        </w:tc>
        <w:tc>
          <w:tcPr>
            <w:tcW w:w="960" w:type="dxa"/>
            <w:vAlign w:val="bottom"/>
            <w:shd w:val="clear" w:color="auto" w:fill="CF1D4C"/>
          </w:tcPr>
          <w:p>
            <w:pPr>
              <w:spacing w:after="0"/>
              <w:rPr>
                <w:sz w:val="7"/>
                <w:szCs w:val="7"/>
                <w:color w:val="auto"/>
              </w:rPr>
            </w:pPr>
          </w:p>
        </w:tc>
        <w:tc>
          <w:tcPr>
            <w:tcW w:w="660" w:type="dxa"/>
            <w:vAlign w:val="bottom"/>
            <w:shd w:val="clear" w:color="auto" w:fill="CF1D4C"/>
          </w:tcPr>
          <w:p>
            <w:pPr>
              <w:ind w:left="80"/>
              <w:spacing w:after="0" w:line="92" w:lineRule="exact"/>
              <w:rPr>
                <w:sz w:val="20"/>
                <w:szCs w:val="20"/>
                <w:color w:val="auto"/>
              </w:rPr>
            </w:pPr>
            <w:r>
              <w:rPr>
                <w:rFonts w:ascii="Arial" w:cs="Arial" w:eastAsia="Arial" w:hAnsi="Arial"/>
                <w:sz w:val="10"/>
                <w:szCs w:val="10"/>
                <w:b w:val="1"/>
                <w:bCs w:val="1"/>
                <w:color w:val="FFFFFF"/>
              </w:rPr>
              <w:t>Unearned</w:t>
            </w:r>
          </w:p>
        </w:tc>
        <w:tc>
          <w:tcPr>
            <w:tcW w:w="180" w:type="dxa"/>
            <w:vAlign w:val="bottom"/>
            <w:shd w:val="clear" w:color="auto" w:fill="CF1D4C"/>
          </w:tcPr>
          <w:p>
            <w:pPr>
              <w:jc w:val="right"/>
              <w:ind w:right="40"/>
              <w:spacing w:after="0"/>
              <w:rPr>
                <w:sz w:val="20"/>
                <w:szCs w:val="20"/>
                <w:color w:val="auto"/>
              </w:rPr>
            </w:pPr>
            <w:r>
              <w:rPr>
                <w:rFonts w:ascii="Arial" w:cs="Arial" w:eastAsia="Arial" w:hAnsi="Arial"/>
                <w:sz w:val="8"/>
                <w:szCs w:val="8"/>
                <w:b w:val="1"/>
                <w:bCs w:val="1"/>
                <w:color w:val="FFFFFF"/>
                <w:w w:val="81"/>
              </w:rPr>
              <w:t>(2)</w:t>
            </w:r>
          </w:p>
        </w:tc>
        <w:tc>
          <w:tcPr>
            <w:tcW w:w="580" w:type="dxa"/>
            <w:vAlign w:val="bottom"/>
            <w:shd w:val="clear" w:color="auto" w:fill="CF1D4C"/>
          </w:tcPr>
          <w:p>
            <w:pPr>
              <w:spacing w:after="0"/>
              <w:rPr>
                <w:sz w:val="7"/>
                <w:szCs w:val="7"/>
                <w:color w:val="auto"/>
              </w:rPr>
            </w:pPr>
          </w:p>
        </w:tc>
        <w:tc>
          <w:tcPr>
            <w:tcW w:w="760" w:type="dxa"/>
            <w:vAlign w:val="bottom"/>
            <w:shd w:val="clear" w:color="auto" w:fill="CF1D4C"/>
          </w:tcPr>
          <w:p>
            <w:pPr>
              <w:spacing w:after="0"/>
              <w:rPr>
                <w:sz w:val="7"/>
                <w:szCs w:val="7"/>
                <w:color w:val="auto"/>
              </w:rPr>
            </w:pPr>
          </w:p>
        </w:tc>
        <w:tc>
          <w:tcPr>
            <w:tcW w:w="620" w:type="dxa"/>
            <w:vAlign w:val="bottom"/>
            <w:gridSpan w:val="2"/>
            <w:shd w:val="clear" w:color="auto" w:fill="CF1D4C"/>
          </w:tcPr>
          <w:p>
            <w:pPr>
              <w:ind w:left="80"/>
              <w:spacing w:after="0" w:line="92" w:lineRule="exact"/>
              <w:rPr>
                <w:sz w:val="20"/>
                <w:szCs w:val="20"/>
                <w:color w:val="auto"/>
              </w:rPr>
            </w:pPr>
            <w:r>
              <w:rPr>
                <w:rFonts w:ascii="Arial" w:cs="Arial" w:eastAsia="Arial" w:hAnsi="Arial"/>
                <w:sz w:val="10"/>
                <w:szCs w:val="10"/>
                <w:b w:val="1"/>
                <w:bCs w:val="1"/>
                <w:color w:val="FFFFFF"/>
              </w:rPr>
              <w:t>(#)</w:t>
            </w:r>
          </w:p>
        </w:tc>
        <w:tc>
          <w:tcPr>
            <w:tcW w:w="740" w:type="dxa"/>
            <w:vAlign w:val="bottom"/>
            <w:shd w:val="clear" w:color="auto" w:fill="CF1D4C"/>
          </w:tcPr>
          <w:p>
            <w:pPr>
              <w:ind w:left="60"/>
              <w:spacing w:after="0" w:line="92" w:lineRule="exact"/>
              <w:rPr>
                <w:sz w:val="20"/>
                <w:szCs w:val="20"/>
                <w:color w:val="auto"/>
              </w:rPr>
            </w:pPr>
            <w:r>
              <w:rPr>
                <w:rFonts w:ascii="Arial" w:cs="Arial" w:eastAsia="Arial" w:hAnsi="Arial"/>
                <w:sz w:val="7"/>
                <w:szCs w:val="7"/>
                <w:b w:val="1"/>
                <w:bCs w:val="1"/>
                <w:color w:val="FFFFFF"/>
              </w:rPr>
              <w:t>($)</w:t>
            </w:r>
            <w:r>
              <w:rPr>
                <w:rFonts w:ascii="Arial" w:cs="Arial" w:eastAsia="Arial" w:hAnsi="Arial"/>
                <w:sz w:val="10"/>
                <w:szCs w:val="10"/>
                <w:b w:val="1"/>
                <w:bCs w:val="1"/>
                <w:color w:val="FFFFFF"/>
                <w:vertAlign w:val="superscript"/>
              </w:rPr>
              <w:t>(3)</w:t>
            </w:r>
          </w:p>
        </w:tc>
        <w:tc>
          <w:tcPr>
            <w:tcW w:w="820" w:type="dxa"/>
            <w:vAlign w:val="bottom"/>
            <w:shd w:val="clear" w:color="auto" w:fill="CF1D4C"/>
          </w:tcPr>
          <w:p>
            <w:pPr>
              <w:ind w:left="60"/>
              <w:spacing w:after="0" w:line="92" w:lineRule="exact"/>
              <w:rPr>
                <w:sz w:val="20"/>
                <w:szCs w:val="20"/>
                <w:color w:val="auto"/>
              </w:rPr>
            </w:pPr>
            <w:r>
              <w:rPr>
                <w:rFonts w:ascii="Arial" w:cs="Arial" w:eastAsia="Arial" w:hAnsi="Arial"/>
                <w:sz w:val="10"/>
                <w:szCs w:val="10"/>
                <w:b w:val="1"/>
                <w:bCs w:val="1"/>
                <w:color w:val="FFFFFF"/>
              </w:rPr>
              <w:t>Have Not</w:t>
            </w:r>
          </w:p>
        </w:tc>
        <w:tc>
          <w:tcPr>
            <w:tcW w:w="1060" w:type="dxa"/>
            <w:vAlign w:val="bottom"/>
            <w:gridSpan w:val="2"/>
            <w:shd w:val="clear" w:color="auto" w:fill="CF1D4C"/>
          </w:tcPr>
          <w:p>
            <w:pPr>
              <w:ind w:left="80"/>
              <w:spacing w:after="0" w:line="92" w:lineRule="exact"/>
              <w:rPr>
                <w:sz w:val="20"/>
                <w:szCs w:val="20"/>
                <w:color w:val="auto"/>
              </w:rPr>
            </w:pPr>
            <w:r>
              <w:rPr>
                <w:rFonts w:ascii="Arial" w:cs="Arial" w:eastAsia="Arial" w:hAnsi="Arial"/>
                <w:sz w:val="10"/>
                <w:szCs w:val="10"/>
                <w:b w:val="1"/>
                <w:bCs w:val="1"/>
                <w:color w:val="FFFFFF"/>
              </w:rPr>
              <w:t>that Have Not</w:t>
            </w:r>
          </w:p>
        </w:tc>
        <w:tc>
          <w:tcPr>
            <w:tcW w:w="0" w:type="dxa"/>
            <w:vAlign w:val="bottom"/>
          </w:tcPr>
          <w:p>
            <w:pPr>
              <w:spacing w:after="0"/>
              <w:rPr>
                <w:sz w:val="1"/>
                <w:szCs w:val="1"/>
                <w:color w:val="auto"/>
              </w:rPr>
            </w:pPr>
          </w:p>
        </w:tc>
      </w:tr>
      <w:tr>
        <w:trPr>
          <w:trHeight w:val="98"/>
        </w:trPr>
        <w:tc>
          <w:tcPr>
            <w:tcW w:w="120" w:type="dxa"/>
            <w:vAlign w:val="bottom"/>
            <w:shd w:val="clear" w:color="auto" w:fill="CF1D4C"/>
          </w:tcPr>
          <w:p>
            <w:pPr>
              <w:spacing w:after="0"/>
              <w:rPr>
                <w:sz w:val="8"/>
                <w:szCs w:val="8"/>
                <w:color w:val="auto"/>
              </w:rPr>
            </w:pPr>
          </w:p>
        </w:tc>
        <w:tc>
          <w:tcPr>
            <w:tcW w:w="680" w:type="dxa"/>
            <w:vAlign w:val="bottom"/>
            <w:shd w:val="clear" w:color="auto" w:fill="CF1D4C"/>
          </w:tcPr>
          <w:p>
            <w:pPr>
              <w:spacing w:after="0"/>
              <w:rPr>
                <w:sz w:val="8"/>
                <w:szCs w:val="8"/>
                <w:color w:val="auto"/>
              </w:rPr>
            </w:pPr>
          </w:p>
        </w:tc>
        <w:tc>
          <w:tcPr>
            <w:tcW w:w="40" w:type="dxa"/>
            <w:vAlign w:val="bottom"/>
            <w:shd w:val="clear" w:color="auto" w:fill="CF1D4C"/>
          </w:tcPr>
          <w:p>
            <w:pPr>
              <w:spacing w:after="0"/>
              <w:rPr>
                <w:sz w:val="8"/>
                <w:szCs w:val="8"/>
                <w:color w:val="auto"/>
              </w:rPr>
            </w:pPr>
          </w:p>
        </w:tc>
        <w:tc>
          <w:tcPr>
            <w:tcW w:w="700" w:type="dxa"/>
            <w:vAlign w:val="bottom"/>
            <w:shd w:val="clear" w:color="auto" w:fill="CF1D4C"/>
          </w:tcPr>
          <w:p>
            <w:pPr>
              <w:spacing w:after="0"/>
              <w:rPr>
                <w:sz w:val="8"/>
                <w:szCs w:val="8"/>
                <w:color w:val="auto"/>
              </w:rPr>
            </w:pPr>
          </w:p>
        </w:tc>
        <w:tc>
          <w:tcPr>
            <w:tcW w:w="40" w:type="dxa"/>
            <w:vAlign w:val="bottom"/>
            <w:shd w:val="clear" w:color="auto" w:fill="CF1D4C"/>
          </w:tcPr>
          <w:p>
            <w:pPr>
              <w:spacing w:after="0"/>
              <w:rPr>
                <w:sz w:val="8"/>
                <w:szCs w:val="8"/>
                <w:color w:val="auto"/>
              </w:rPr>
            </w:pPr>
          </w:p>
        </w:tc>
        <w:tc>
          <w:tcPr>
            <w:tcW w:w="800" w:type="dxa"/>
            <w:vAlign w:val="bottom"/>
            <w:shd w:val="clear" w:color="auto" w:fill="CF1D4C"/>
          </w:tcPr>
          <w:p>
            <w:pPr>
              <w:spacing w:after="0"/>
              <w:rPr>
                <w:sz w:val="8"/>
                <w:szCs w:val="8"/>
                <w:color w:val="auto"/>
              </w:rPr>
            </w:pPr>
          </w:p>
        </w:tc>
        <w:tc>
          <w:tcPr>
            <w:tcW w:w="960" w:type="dxa"/>
            <w:vAlign w:val="bottom"/>
            <w:shd w:val="clear" w:color="auto" w:fill="CF1D4C"/>
          </w:tcPr>
          <w:p>
            <w:pPr>
              <w:spacing w:after="0"/>
              <w:rPr>
                <w:sz w:val="8"/>
                <w:szCs w:val="8"/>
                <w:color w:val="auto"/>
              </w:rPr>
            </w:pPr>
          </w:p>
        </w:tc>
        <w:tc>
          <w:tcPr>
            <w:tcW w:w="660" w:type="dxa"/>
            <w:vAlign w:val="bottom"/>
            <w:shd w:val="clear" w:color="auto" w:fill="CF1D4C"/>
          </w:tcPr>
          <w:p>
            <w:pPr>
              <w:ind w:left="80"/>
              <w:spacing w:after="0" w:line="98" w:lineRule="exact"/>
              <w:rPr>
                <w:sz w:val="20"/>
                <w:szCs w:val="20"/>
                <w:color w:val="auto"/>
              </w:rPr>
            </w:pPr>
            <w:r>
              <w:rPr>
                <w:rFonts w:ascii="Arial" w:cs="Arial" w:eastAsia="Arial" w:hAnsi="Arial"/>
                <w:sz w:val="11"/>
                <w:szCs w:val="11"/>
                <w:b w:val="1"/>
                <w:bCs w:val="1"/>
                <w:color w:val="FFFFFF"/>
                <w:w w:val="96"/>
              </w:rPr>
              <w:t>Options (#)</w:t>
            </w:r>
          </w:p>
        </w:tc>
        <w:tc>
          <w:tcPr>
            <w:tcW w:w="180" w:type="dxa"/>
            <w:vAlign w:val="bottom"/>
            <w:shd w:val="clear" w:color="auto" w:fill="CF1D4C"/>
          </w:tcPr>
          <w:p>
            <w:pPr>
              <w:spacing w:after="0"/>
              <w:rPr>
                <w:sz w:val="8"/>
                <w:szCs w:val="8"/>
                <w:color w:val="auto"/>
              </w:rPr>
            </w:pPr>
          </w:p>
        </w:tc>
        <w:tc>
          <w:tcPr>
            <w:tcW w:w="580" w:type="dxa"/>
            <w:vAlign w:val="bottom"/>
            <w:shd w:val="clear" w:color="auto" w:fill="CF1D4C"/>
          </w:tcPr>
          <w:p>
            <w:pPr>
              <w:spacing w:after="0"/>
              <w:rPr>
                <w:sz w:val="8"/>
                <w:szCs w:val="8"/>
                <w:color w:val="auto"/>
              </w:rPr>
            </w:pPr>
          </w:p>
        </w:tc>
        <w:tc>
          <w:tcPr>
            <w:tcW w:w="760" w:type="dxa"/>
            <w:vAlign w:val="bottom"/>
            <w:shd w:val="clear" w:color="auto" w:fill="CF1D4C"/>
          </w:tcPr>
          <w:p>
            <w:pPr>
              <w:spacing w:after="0"/>
              <w:rPr>
                <w:sz w:val="8"/>
                <w:szCs w:val="8"/>
                <w:color w:val="auto"/>
              </w:rPr>
            </w:pPr>
          </w:p>
        </w:tc>
        <w:tc>
          <w:tcPr>
            <w:tcW w:w="80" w:type="dxa"/>
            <w:vAlign w:val="bottom"/>
            <w:shd w:val="clear" w:color="auto" w:fill="CF1D4C"/>
          </w:tcPr>
          <w:p>
            <w:pPr>
              <w:spacing w:after="0"/>
              <w:rPr>
                <w:sz w:val="8"/>
                <w:szCs w:val="8"/>
                <w:color w:val="auto"/>
              </w:rPr>
            </w:pPr>
          </w:p>
        </w:tc>
        <w:tc>
          <w:tcPr>
            <w:tcW w:w="540" w:type="dxa"/>
            <w:vAlign w:val="bottom"/>
            <w:shd w:val="clear" w:color="auto" w:fill="CF1D4C"/>
          </w:tcPr>
          <w:p>
            <w:pPr>
              <w:spacing w:after="0"/>
              <w:rPr>
                <w:sz w:val="8"/>
                <w:szCs w:val="8"/>
                <w:color w:val="auto"/>
              </w:rPr>
            </w:pPr>
          </w:p>
        </w:tc>
        <w:tc>
          <w:tcPr>
            <w:tcW w:w="740" w:type="dxa"/>
            <w:vAlign w:val="bottom"/>
            <w:shd w:val="clear" w:color="auto" w:fill="CF1D4C"/>
          </w:tcPr>
          <w:p>
            <w:pPr>
              <w:spacing w:after="0"/>
              <w:rPr>
                <w:sz w:val="8"/>
                <w:szCs w:val="8"/>
                <w:color w:val="auto"/>
              </w:rPr>
            </w:pPr>
          </w:p>
        </w:tc>
        <w:tc>
          <w:tcPr>
            <w:tcW w:w="820" w:type="dxa"/>
            <w:vAlign w:val="bottom"/>
            <w:shd w:val="clear" w:color="auto" w:fill="CF1D4C"/>
          </w:tcPr>
          <w:p>
            <w:pPr>
              <w:ind w:left="60"/>
              <w:spacing w:after="0" w:line="98" w:lineRule="exact"/>
              <w:rPr>
                <w:sz w:val="20"/>
                <w:szCs w:val="20"/>
                <w:color w:val="auto"/>
              </w:rPr>
            </w:pPr>
            <w:r>
              <w:rPr>
                <w:rFonts w:ascii="Arial" w:cs="Arial" w:eastAsia="Arial" w:hAnsi="Arial"/>
                <w:sz w:val="11"/>
                <w:szCs w:val="11"/>
                <w:b w:val="1"/>
                <w:bCs w:val="1"/>
                <w:color w:val="FFFFFF"/>
              </w:rPr>
              <w:t>Vested</w:t>
            </w:r>
          </w:p>
        </w:tc>
        <w:tc>
          <w:tcPr>
            <w:tcW w:w="1060" w:type="dxa"/>
            <w:vAlign w:val="bottom"/>
            <w:gridSpan w:val="2"/>
            <w:shd w:val="clear" w:color="auto" w:fill="CF1D4C"/>
          </w:tcPr>
          <w:p>
            <w:pPr>
              <w:ind w:left="80"/>
              <w:spacing w:after="0" w:line="98" w:lineRule="exact"/>
              <w:rPr>
                <w:sz w:val="20"/>
                <w:szCs w:val="20"/>
                <w:color w:val="auto"/>
              </w:rPr>
            </w:pPr>
            <w:r>
              <w:rPr>
                <w:rFonts w:ascii="Arial" w:cs="Arial" w:eastAsia="Arial" w:hAnsi="Arial"/>
                <w:sz w:val="11"/>
                <w:szCs w:val="11"/>
                <w:b w:val="1"/>
                <w:bCs w:val="1"/>
                <w:color w:val="FFFFFF"/>
              </w:rPr>
              <w:t>Vested</w:t>
            </w:r>
          </w:p>
        </w:tc>
        <w:tc>
          <w:tcPr>
            <w:tcW w:w="0" w:type="dxa"/>
            <w:vAlign w:val="bottom"/>
          </w:tcPr>
          <w:p>
            <w:pPr>
              <w:spacing w:after="0"/>
              <w:rPr>
                <w:sz w:val="1"/>
                <w:szCs w:val="1"/>
                <w:color w:val="auto"/>
              </w:rPr>
            </w:pPr>
          </w:p>
        </w:tc>
      </w:tr>
      <w:tr>
        <w:trPr>
          <w:trHeight w:val="229"/>
        </w:trPr>
        <w:tc>
          <w:tcPr>
            <w:tcW w:w="120" w:type="dxa"/>
            <w:vAlign w:val="bottom"/>
            <w:shd w:val="clear" w:color="auto" w:fill="CF1D4C"/>
          </w:tcPr>
          <w:p>
            <w:pPr>
              <w:spacing w:after="0"/>
              <w:rPr>
                <w:sz w:val="19"/>
                <w:szCs w:val="19"/>
                <w:color w:val="auto"/>
              </w:rPr>
            </w:pPr>
          </w:p>
        </w:tc>
        <w:tc>
          <w:tcPr>
            <w:tcW w:w="680" w:type="dxa"/>
            <w:vAlign w:val="bottom"/>
            <w:shd w:val="clear" w:color="auto" w:fill="CF1D4C"/>
          </w:tcPr>
          <w:p>
            <w:pPr>
              <w:spacing w:after="0"/>
              <w:rPr>
                <w:sz w:val="19"/>
                <w:szCs w:val="19"/>
                <w:color w:val="auto"/>
              </w:rPr>
            </w:pPr>
          </w:p>
        </w:tc>
        <w:tc>
          <w:tcPr>
            <w:tcW w:w="40" w:type="dxa"/>
            <w:vAlign w:val="bottom"/>
            <w:shd w:val="clear" w:color="auto" w:fill="CF1D4C"/>
          </w:tcPr>
          <w:p>
            <w:pPr>
              <w:spacing w:after="0"/>
              <w:rPr>
                <w:sz w:val="19"/>
                <w:szCs w:val="19"/>
                <w:color w:val="auto"/>
              </w:rPr>
            </w:pPr>
          </w:p>
        </w:tc>
        <w:tc>
          <w:tcPr>
            <w:tcW w:w="700" w:type="dxa"/>
            <w:vAlign w:val="bottom"/>
            <w:shd w:val="clear" w:color="auto" w:fill="CF1D4C"/>
          </w:tcPr>
          <w:p>
            <w:pPr>
              <w:spacing w:after="0"/>
              <w:rPr>
                <w:sz w:val="19"/>
                <w:szCs w:val="19"/>
                <w:color w:val="auto"/>
              </w:rPr>
            </w:pPr>
          </w:p>
        </w:tc>
        <w:tc>
          <w:tcPr>
            <w:tcW w:w="40" w:type="dxa"/>
            <w:vAlign w:val="bottom"/>
            <w:shd w:val="clear" w:color="auto" w:fill="CF1D4C"/>
          </w:tcPr>
          <w:p>
            <w:pPr>
              <w:spacing w:after="0"/>
              <w:rPr>
                <w:sz w:val="19"/>
                <w:szCs w:val="19"/>
                <w:color w:val="auto"/>
              </w:rPr>
            </w:pPr>
          </w:p>
        </w:tc>
        <w:tc>
          <w:tcPr>
            <w:tcW w:w="800" w:type="dxa"/>
            <w:vAlign w:val="bottom"/>
            <w:shd w:val="clear" w:color="auto" w:fill="CF1D4C"/>
          </w:tcPr>
          <w:p>
            <w:pPr>
              <w:spacing w:after="0"/>
              <w:rPr>
                <w:sz w:val="19"/>
                <w:szCs w:val="19"/>
                <w:color w:val="auto"/>
              </w:rPr>
            </w:pPr>
          </w:p>
        </w:tc>
        <w:tc>
          <w:tcPr>
            <w:tcW w:w="960" w:type="dxa"/>
            <w:vAlign w:val="bottom"/>
            <w:shd w:val="clear" w:color="auto" w:fill="CF1D4C"/>
          </w:tcPr>
          <w:p>
            <w:pPr>
              <w:spacing w:after="0"/>
              <w:rPr>
                <w:sz w:val="19"/>
                <w:szCs w:val="19"/>
                <w:color w:val="auto"/>
              </w:rPr>
            </w:pPr>
          </w:p>
        </w:tc>
        <w:tc>
          <w:tcPr>
            <w:tcW w:w="660" w:type="dxa"/>
            <w:vAlign w:val="bottom"/>
            <w:shd w:val="clear" w:color="auto" w:fill="CF1D4C"/>
          </w:tcPr>
          <w:p>
            <w:pPr>
              <w:spacing w:after="0"/>
              <w:rPr>
                <w:sz w:val="19"/>
                <w:szCs w:val="19"/>
                <w:color w:val="auto"/>
              </w:rPr>
            </w:pPr>
          </w:p>
        </w:tc>
        <w:tc>
          <w:tcPr>
            <w:tcW w:w="180" w:type="dxa"/>
            <w:vAlign w:val="bottom"/>
            <w:shd w:val="clear" w:color="auto" w:fill="CF1D4C"/>
          </w:tcPr>
          <w:p>
            <w:pPr>
              <w:spacing w:after="0"/>
              <w:rPr>
                <w:sz w:val="19"/>
                <w:szCs w:val="19"/>
                <w:color w:val="auto"/>
              </w:rPr>
            </w:pPr>
          </w:p>
        </w:tc>
        <w:tc>
          <w:tcPr>
            <w:tcW w:w="580" w:type="dxa"/>
            <w:vAlign w:val="bottom"/>
            <w:shd w:val="clear" w:color="auto" w:fill="CF1D4C"/>
          </w:tcPr>
          <w:p>
            <w:pPr>
              <w:spacing w:after="0"/>
              <w:rPr>
                <w:sz w:val="19"/>
                <w:szCs w:val="19"/>
                <w:color w:val="auto"/>
              </w:rPr>
            </w:pPr>
          </w:p>
        </w:tc>
        <w:tc>
          <w:tcPr>
            <w:tcW w:w="760" w:type="dxa"/>
            <w:vAlign w:val="bottom"/>
            <w:shd w:val="clear" w:color="auto" w:fill="CF1D4C"/>
          </w:tcPr>
          <w:p>
            <w:pPr>
              <w:spacing w:after="0"/>
              <w:rPr>
                <w:sz w:val="19"/>
                <w:szCs w:val="19"/>
                <w:color w:val="auto"/>
              </w:rPr>
            </w:pPr>
          </w:p>
        </w:tc>
        <w:tc>
          <w:tcPr>
            <w:tcW w:w="80" w:type="dxa"/>
            <w:vAlign w:val="bottom"/>
            <w:shd w:val="clear" w:color="auto" w:fill="CF1D4C"/>
          </w:tcPr>
          <w:p>
            <w:pPr>
              <w:spacing w:after="0"/>
              <w:rPr>
                <w:sz w:val="19"/>
                <w:szCs w:val="19"/>
                <w:color w:val="auto"/>
              </w:rPr>
            </w:pPr>
          </w:p>
        </w:tc>
        <w:tc>
          <w:tcPr>
            <w:tcW w:w="540" w:type="dxa"/>
            <w:vAlign w:val="bottom"/>
            <w:shd w:val="clear" w:color="auto" w:fill="CF1D4C"/>
          </w:tcPr>
          <w:p>
            <w:pPr>
              <w:spacing w:after="0"/>
              <w:rPr>
                <w:sz w:val="19"/>
                <w:szCs w:val="19"/>
                <w:color w:val="auto"/>
              </w:rPr>
            </w:pPr>
          </w:p>
        </w:tc>
        <w:tc>
          <w:tcPr>
            <w:tcW w:w="740" w:type="dxa"/>
            <w:vAlign w:val="bottom"/>
            <w:shd w:val="clear" w:color="auto" w:fill="CF1D4C"/>
          </w:tcPr>
          <w:p>
            <w:pPr>
              <w:spacing w:after="0"/>
              <w:rPr>
                <w:sz w:val="19"/>
                <w:szCs w:val="19"/>
                <w:color w:val="auto"/>
              </w:rPr>
            </w:pPr>
          </w:p>
        </w:tc>
        <w:tc>
          <w:tcPr>
            <w:tcW w:w="820" w:type="dxa"/>
            <w:vAlign w:val="bottom"/>
            <w:shd w:val="clear" w:color="auto" w:fill="CF1D4C"/>
          </w:tcPr>
          <w:p>
            <w:pPr>
              <w:ind w:left="60"/>
              <w:spacing w:after="0"/>
              <w:rPr>
                <w:sz w:val="20"/>
                <w:szCs w:val="20"/>
                <w:color w:val="auto"/>
              </w:rPr>
            </w:pPr>
            <w:r>
              <w:rPr>
                <w:rFonts w:ascii="Arial" w:cs="Arial" w:eastAsia="Arial" w:hAnsi="Arial"/>
                <w:sz w:val="11"/>
                <w:szCs w:val="11"/>
                <w:b w:val="1"/>
                <w:bCs w:val="1"/>
                <w:color w:val="FFFFFF"/>
              </w:rPr>
              <w:t>(#)</w:t>
            </w:r>
          </w:p>
        </w:tc>
        <w:tc>
          <w:tcPr>
            <w:tcW w:w="960" w:type="dxa"/>
            <w:vAlign w:val="bottom"/>
            <w:shd w:val="clear" w:color="auto" w:fill="CF1D4C"/>
          </w:tcPr>
          <w:p>
            <w:pPr>
              <w:ind w:left="80"/>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6"/>
                <w:szCs w:val="16"/>
                <w:b w:val="1"/>
                <w:bCs w:val="1"/>
                <w:color w:val="FFFFFF"/>
                <w:vertAlign w:val="superscript"/>
              </w:rPr>
              <w:t>(3)</w:t>
            </w:r>
          </w:p>
        </w:tc>
        <w:tc>
          <w:tcPr>
            <w:tcW w:w="100" w:type="dxa"/>
            <w:vAlign w:val="bottom"/>
            <w:shd w:val="clear" w:color="auto" w:fill="CF1D4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b w:val="1"/>
                <w:bCs w:val="1"/>
                <w:color w:val="333333"/>
              </w:rPr>
              <w:t>Ronald F.</w:t>
            </w:r>
          </w:p>
        </w:tc>
        <w:tc>
          <w:tcPr>
            <w:tcW w:w="740" w:type="dxa"/>
            <w:vAlign w:val="bottom"/>
            <w:gridSpan w:val="2"/>
          </w:tcPr>
          <w:p>
            <w:pPr>
              <w:ind w:left="40"/>
              <w:spacing w:after="0"/>
              <w:rPr>
                <w:sz w:val="20"/>
                <w:szCs w:val="20"/>
                <w:color w:val="auto"/>
              </w:rPr>
            </w:pPr>
            <w:r>
              <w:rPr>
                <w:rFonts w:ascii="Arial" w:cs="Arial" w:eastAsia="Arial" w:hAnsi="Arial"/>
                <w:sz w:val="13"/>
                <w:szCs w:val="13"/>
                <w:color w:val="333333"/>
              </w:rPr>
              <w:t>12/4/2014</w:t>
            </w:r>
          </w:p>
        </w:tc>
        <w:tc>
          <w:tcPr>
            <w:tcW w:w="840" w:type="dxa"/>
            <w:vAlign w:val="bottom"/>
            <w:gridSpan w:val="2"/>
          </w:tcPr>
          <w:p>
            <w:pPr>
              <w:ind w:left="80"/>
              <w:spacing w:after="0"/>
              <w:rPr>
                <w:sz w:val="20"/>
                <w:szCs w:val="20"/>
                <w:color w:val="auto"/>
              </w:rPr>
            </w:pPr>
            <w:r>
              <w:rPr>
                <w:rFonts w:ascii="Arial" w:cs="Arial" w:eastAsia="Arial" w:hAnsi="Arial"/>
                <w:sz w:val="13"/>
                <w:szCs w:val="13"/>
                <w:color w:val="333333"/>
              </w:rPr>
              <w:t>850,000</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660" w:type="dxa"/>
            <w:vAlign w:val="bottom"/>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17"/>
                <w:szCs w:val="17"/>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333333"/>
              </w:rPr>
              <w:t>$149.68</w:t>
            </w:r>
          </w:p>
        </w:tc>
        <w:tc>
          <w:tcPr>
            <w:tcW w:w="760" w:type="dxa"/>
            <w:vAlign w:val="bottom"/>
          </w:tcPr>
          <w:p>
            <w:pPr>
              <w:ind w:left="60"/>
              <w:spacing w:after="0"/>
              <w:rPr>
                <w:sz w:val="20"/>
                <w:szCs w:val="20"/>
                <w:color w:val="auto"/>
              </w:rPr>
            </w:pPr>
            <w:r>
              <w:rPr>
                <w:rFonts w:ascii="Arial" w:cs="Arial" w:eastAsia="Arial" w:hAnsi="Arial"/>
                <w:sz w:val="13"/>
                <w:szCs w:val="13"/>
                <w:color w:val="333333"/>
              </w:rPr>
              <w:t>12/4/2024</w:t>
            </w:r>
          </w:p>
        </w:tc>
        <w:tc>
          <w:tcPr>
            <w:tcW w:w="8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820" w:type="dxa"/>
            <w:vAlign w:val="bottom"/>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b w:val="1"/>
                <w:bCs w:val="1"/>
                <w:color w:val="333333"/>
              </w:rPr>
              <w:t>Clarke</w:t>
            </w: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color w:val="333333"/>
              </w:rPr>
              <w:t>1/20/2016</w:t>
            </w:r>
          </w:p>
        </w:tc>
        <w:tc>
          <w:tcPr>
            <w:tcW w:w="840" w:type="dxa"/>
            <w:vAlign w:val="bottom"/>
            <w:gridSpan w:val="2"/>
            <w:vMerge w:val="restart"/>
          </w:tcPr>
          <w:p>
            <w:pPr>
              <w:ind w:left="80"/>
              <w:spacing w:after="0"/>
              <w:rPr>
                <w:sz w:val="20"/>
                <w:szCs w:val="20"/>
                <w:color w:val="auto"/>
              </w:rPr>
            </w:pPr>
            <w:r>
              <w:rPr>
                <w:rFonts w:ascii="Arial" w:cs="Arial" w:eastAsia="Arial" w:hAnsi="Arial"/>
                <w:sz w:val="13"/>
                <w:szCs w:val="13"/>
                <w:color w:val="333333"/>
              </w:rPr>
              <w:t>425,000</w:t>
            </w:r>
          </w:p>
        </w:tc>
        <w:tc>
          <w:tcPr>
            <w:tcW w:w="960" w:type="dxa"/>
            <w:vAlign w:val="bottom"/>
            <w:vMerge w:val="restart"/>
          </w:tcPr>
          <w:p>
            <w:pPr>
              <w:ind w:left="60"/>
              <w:spacing w:after="0"/>
              <w:rPr>
                <w:sz w:val="20"/>
                <w:szCs w:val="20"/>
                <w:color w:val="auto"/>
              </w:rPr>
            </w:pPr>
            <w:r>
              <w:rPr>
                <w:rFonts w:ascii="Arial" w:cs="Arial" w:eastAsia="Arial" w:hAnsi="Arial"/>
                <w:sz w:val="13"/>
                <w:szCs w:val="13"/>
                <w:color w:val="333333"/>
              </w:rPr>
              <w:t>—</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14"/>
                <w:szCs w:val="14"/>
                <w:color w:val="auto"/>
              </w:rPr>
            </w:pPr>
          </w:p>
        </w:tc>
        <w:tc>
          <w:tcPr>
            <w:tcW w:w="580" w:type="dxa"/>
            <w:vAlign w:val="bottom"/>
            <w:vMerge w:val="restart"/>
          </w:tcPr>
          <w:p>
            <w:pPr>
              <w:ind w:left="80"/>
              <w:spacing w:after="0"/>
              <w:rPr>
                <w:sz w:val="20"/>
                <w:szCs w:val="20"/>
                <w:color w:val="auto"/>
              </w:rPr>
            </w:pPr>
            <w:r>
              <w:rPr>
                <w:rFonts w:ascii="Arial" w:cs="Arial" w:eastAsia="Arial" w:hAnsi="Arial"/>
                <w:sz w:val="13"/>
                <w:szCs w:val="13"/>
                <w:color w:val="333333"/>
              </w:rPr>
              <w:t>$114.90</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333333"/>
              </w:rPr>
              <w:t>1/20/2026</w:t>
            </w:r>
          </w:p>
        </w:tc>
        <w:tc>
          <w:tcPr>
            <w:tcW w:w="8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Arial" w:cs="Arial" w:eastAsia="Arial" w:hAnsi="Arial"/>
                <w:sz w:val="13"/>
                <w:szCs w:val="13"/>
                <w:color w:val="333333"/>
              </w:rPr>
              <w:t>—</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333333"/>
              </w:rPr>
              <w:t>—</w:t>
            </w:r>
          </w:p>
        </w:tc>
        <w:tc>
          <w:tcPr>
            <w:tcW w:w="820" w:type="dxa"/>
            <w:vAlign w:val="bottom"/>
            <w:vMerge w:val="restart"/>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vMerge w:val="restart"/>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333333"/>
              </w:rPr>
              <w:t>1/25/2017</w:t>
            </w:r>
          </w:p>
        </w:tc>
        <w:tc>
          <w:tcPr>
            <w:tcW w:w="840" w:type="dxa"/>
            <w:vAlign w:val="bottom"/>
            <w:gridSpan w:val="2"/>
          </w:tcPr>
          <w:p>
            <w:pPr>
              <w:ind w:left="80"/>
              <w:spacing w:after="0"/>
              <w:rPr>
                <w:sz w:val="20"/>
                <w:szCs w:val="20"/>
                <w:color w:val="auto"/>
              </w:rPr>
            </w:pPr>
            <w:r>
              <w:rPr>
                <w:rFonts w:ascii="Arial" w:cs="Arial" w:eastAsia="Arial" w:hAnsi="Arial"/>
                <w:sz w:val="13"/>
                <w:szCs w:val="13"/>
                <w:color w:val="333333"/>
              </w:rPr>
              <w:t>850,000</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660" w:type="dxa"/>
            <w:vAlign w:val="bottom"/>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333333"/>
              </w:rPr>
              <w:t>$150.74</w:t>
            </w:r>
          </w:p>
        </w:tc>
        <w:tc>
          <w:tcPr>
            <w:tcW w:w="760" w:type="dxa"/>
            <w:vAlign w:val="bottom"/>
          </w:tcPr>
          <w:p>
            <w:pPr>
              <w:ind w:left="60"/>
              <w:spacing w:after="0"/>
              <w:rPr>
                <w:sz w:val="20"/>
                <w:szCs w:val="20"/>
                <w:color w:val="auto"/>
              </w:rPr>
            </w:pPr>
            <w:r>
              <w:rPr>
                <w:rFonts w:ascii="Arial" w:cs="Arial" w:eastAsia="Arial" w:hAnsi="Arial"/>
                <w:sz w:val="13"/>
                <w:szCs w:val="13"/>
                <w:color w:val="333333"/>
              </w:rPr>
              <w:t>1/25/2027</w:t>
            </w:r>
          </w:p>
        </w:tc>
        <w:tc>
          <w:tcPr>
            <w:tcW w:w="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820" w:type="dxa"/>
            <w:vAlign w:val="bottom"/>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333333"/>
              </w:rPr>
              <w:t>9/30/2021</w:t>
            </w:r>
          </w:p>
        </w:tc>
        <w:tc>
          <w:tcPr>
            <w:tcW w:w="4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660" w:type="dxa"/>
            <w:vAlign w:val="bottom"/>
          </w:tcPr>
          <w:p>
            <w:pPr>
              <w:ind w:left="80"/>
              <w:spacing w:after="0"/>
              <w:rPr>
                <w:sz w:val="20"/>
                <w:szCs w:val="20"/>
                <w:color w:val="auto"/>
              </w:rPr>
            </w:pPr>
            <w:r>
              <w:rPr>
                <w:rFonts w:ascii="Arial" w:cs="Arial" w:eastAsia="Arial" w:hAnsi="Arial"/>
                <w:sz w:val="13"/>
                <w:szCs w:val="13"/>
                <w:color w:val="333333"/>
              </w:rPr>
              <w:t>850,000</w:t>
            </w:r>
          </w:p>
        </w:tc>
        <w:tc>
          <w:tcPr>
            <w:tcW w:w="18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333333"/>
              </w:rPr>
              <w:t>$261.27</w:t>
            </w:r>
          </w:p>
        </w:tc>
        <w:tc>
          <w:tcPr>
            <w:tcW w:w="760" w:type="dxa"/>
            <w:vAlign w:val="bottom"/>
          </w:tcPr>
          <w:p>
            <w:pPr>
              <w:ind w:left="60"/>
              <w:spacing w:after="0"/>
              <w:rPr>
                <w:sz w:val="20"/>
                <w:szCs w:val="20"/>
                <w:color w:val="auto"/>
              </w:rPr>
            </w:pPr>
            <w:r>
              <w:rPr>
                <w:rFonts w:ascii="Arial" w:cs="Arial" w:eastAsia="Arial" w:hAnsi="Arial"/>
                <w:sz w:val="13"/>
                <w:szCs w:val="13"/>
                <w:color w:val="333333"/>
              </w:rPr>
              <w:t>12/31/2024</w:t>
            </w:r>
          </w:p>
        </w:tc>
        <w:tc>
          <w:tcPr>
            <w:tcW w:w="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820" w:type="dxa"/>
            <w:vAlign w:val="bottom"/>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333333"/>
              </w:rPr>
              <w:t>3/1/2023</w:t>
            </w:r>
          </w:p>
        </w:tc>
        <w:tc>
          <w:tcPr>
            <w:tcW w:w="4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660" w:type="dxa"/>
            <w:vAlign w:val="bottom"/>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333333"/>
              </w:rPr>
              <w:t>—</w:t>
            </w:r>
          </w:p>
        </w:tc>
        <w:tc>
          <w:tcPr>
            <w:tcW w:w="760" w:type="dxa"/>
            <w:vAlign w:val="bottom"/>
          </w:tcPr>
          <w:p>
            <w:pPr>
              <w:ind w:left="60"/>
              <w:spacing w:after="0"/>
              <w:rPr>
                <w:sz w:val="20"/>
                <w:szCs w:val="20"/>
                <w:color w:val="auto"/>
              </w:rPr>
            </w:pPr>
            <w:r>
              <w:rPr>
                <w:rFonts w:ascii="Arial" w:cs="Arial" w:eastAsia="Arial" w:hAnsi="Arial"/>
                <w:sz w:val="13"/>
                <w:szCs w:val="13"/>
                <w:color w:val="333333"/>
              </w:rPr>
              <w:t>—</w:t>
            </w:r>
          </w:p>
        </w:tc>
        <w:tc>
          <w:tcPr>
            <w:tcW w:w="620" w:type="dxa"/>
            <w:vAlign w:val="bottom"/>
            <w:gridSpan w:val="2"/>
          </w:tcPr>
          <w:p>
            <w:pPr>
              <w:ind w:left="80"/>
              <w:spacing w:after="0"/>
              <w:rPr>
                <w:sz w:val="20"/>
                <w:szCs w:val="20"/>
                <w:color w:val="auto"/>
              </w:rPr>
            </w:pPr>
            <w:r>
              <w:rPr>
                <w:rFonts w:ascii="Arial" w:cs="Arial" w:eastAsia="Arial" w:hAnsi="Arial"/>
                <w:sz w:val="13"/>
                <w:szCs w:val="13"/>
                <w:color w:val="333333"/>
              </w:rPr>
              <w:t>6,745</w:t>
            </w:r>
            <w:r>
              <w:rPr>
                <w:rFonts w:ascii="Arial" w:cs="Arial" w:eastAsia="Arial" w:hAnsi="Arial"/>
                <w:sz w:val="20"/>
                <w:szCs w:val="20"/>
                <w:color w:val="333333"/>
                <w:vertAlign w:val="superscript"/>
              </w:rPr>
              <w:t>(4)</w:t>
            </w:r>
          </w:p>
        </w:tc>
        <w:tc>
          <w:tcPr>
            <w:tcW w:w="740" w:type="dxa"/>
            <w:vAlign w:val="bottom"/>
          </w:tcPr>
          <w:p>
            <w:pPr>
              <w:ind w:left="60"/>
              <w:spacing w:after="0"/>
              <w:rPr>
                <w:sz w:val="20"/>
                <w:szCs w:val="20"/>
                <w:color w:val="auto"/>
              </w:rPr>
            </w:pPr>
            <w:r>
              <w:rPr>
                <w:rFonts w:ascii="Arial" w:cs="Arial" w:eastAsia="Arial" w:hAnsi="Arial"/>
                <w:sz w:val="13"/>
                <w:szCs w:val="13"/>
                <w:color w:val="333333"/>
              </w:rPr>
              <w:t>$1,906,204</w:t>
            </w:r>
          </w:p>
        </w:tc>
        <w:tc>
          <w:tcPr>
            <w:tcW w:w="820" w:type="dxa"/>
            <w:vAlign w:val="bottom"/>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198"/>
        </w:trPr>
        <w:tc>
          <w:tcPr>
            <w:tcW w:w="120" w:type="dxa"/>
            <w:vAlign w:val="bottom"/>
            <w:shd w:val="clear" w:color="auto" w:fill="D9D9D9"/>
          </w:tcPr>
          <w:p>
            <w:pPr>
              <w:spacing w:after="0"/>
              <w:rPr>
                <w:sz w:val="17"/>
                <w:szCs w:val="17"/>
                <w:color w:val="auto"/>
              </w:rPr>
            </w:pPr>
          </w:p>
        </w:tc>
        <w:tc>
          <w:tcPr>
            <w:tcW w:w="68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Tom</w:t>
            </w:r>
          </w:p>
        </w:tc>
        <w:tc>
          <w:tcPr>
            <w:tcW w:w="4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20"/>
                <w:szCs w:val="20"/>
                <w:color w:val="auto"/>
              </w:rPr>
            </w:pPr>
            <w:r>
              <w:rPr>
                <w:rFonts w:ascii="Arial" w:cs="Arial" w:eastAsia="Arial" w:hAnsi="Arial"/>
                <w:sz w:val="13"/>
                <w:szCs w:val="13"/>
                <w:color w:val="333333"/>
              </w:rPr>
              <w:t>5/2/2023</w:t>
            </w:r>
          </w:p>
        </w:tc>
        <w:tc>
          <w:tcPr>
            <w:tcW w:w="40" w:type="dxa"/>
            <w:vAlign w:val="bottom"/>
            <w:shd w:val="clear" w:color="auto" w:fill="D9D9D9"/>
          </w:tcPr>
          <w:p>
            <w:pPr>
              <w:spacing w:after="0"/>
              <w:rPr>
                <w:sz w:val="17"/>
                <w:szCs w:val="17"/>
                <w:color w:val="auto"/>
              </w:rPr>
            </w:pPr>
          </w:p>
        </w:tc>
        <w:tc>
          <w:tcPr>
            <w:tcW w:w="80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17,002</w:t>
            </w:r>
          </w:p>
        </w:tc>
        <w:tc>
          <w:tcPr>
            <w:tcW w:w="66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17"/>
                <w:szCs w:val="17"/>
                <w:color w:val="auto"/>
              </w:rPr>
            </w:pPr>
          </w:p>
        </w:tc>
        <w:tc>
          <w:tcPr>
            <w:tcW w:w="58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$207.09</w:t>
            </w:r>
          </w:p>
        </w:tc>
        <w:tc>
          <w:tcPr>
            <w:tcW w:w="7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5/2/2033</w:t>
            </w:r>
          </w:p>
        </w:tc>
        <w:tc>
          <w:tcPr>
            <w:tcW w:w="80" w:type="dxa"/>
            <w:vAlign w:val="bottom"/>
            <w:shd w:val="clear" w:color="auto" w:fill="D9D9D9"/>
          </w:tcPr>
          <w:p>
            <w:pPr>
              <w:spacing w:after="0"/>
              <w:rPr>
                <w:sz w:val="17"/>
                <w:szCs w:val="17"/>
                <w:color w:val="auto"/>
              </w:rPr>
            </w:pPr>
          </w:p>
        </w:tc>
        <w:tc>
          <w:tcPr>
            <w:tcW w:w="54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82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172"/>
        </w:trPr>
        <w:tc>
          <w:tcPr>
            <w:tcW w:w="120" w:type="dxa"/>
            <w:vAlign w:val="bottom"/>
            <w:shd w:val="clear" w:color="auto" w:fill="D9D9D9"/>
          </w:tcPr>
          <w:p>
            <w:pPr>
              <w:spacing w:after="0"/>
              <w:rPr>
                <w:sz w:val="14"/>
                <w:szCs w:val="14"/>
                <w:color w:val="auto"/>
              </w:rPr>
            </w:pPr>
          </w:p>
        </w:tc>
        <w:tc>
          <w:tcPr>
            <w:tcW w:w="68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Panther</w:t>
            </w:r>
          </w:p>
        </w:tc>
        <w:tc>
          <w:tcPr>
            <w:tcW w:w="40" w:type="dxa"/>
            <w:vAlign w:val="bottom"/>
            <w:shd w:val="clear" w:color="auto" w:fill="D9D9D9"/>
          </w:tcPr>
          <w:p>
            <w:pPr>
              <w:spacing w:after="0"/>
              <w:rPr>
                <w:sz w:val="14"/>
                <w:szCs w:val="14"/>
                <w:color w:val="auto"/>
              </w:rPr>
            </w:pPr>
          </w:p>
        </w:tc>
        <w:tc>
          <w:tcPr>
            <w:tcW w:w="700" w:type="dxa"/>
            <w:vAlign w:val="bottom"/>
            <w:vMerge w:val="restart"/>
            <w:shd w:val="clear" w:color="auto" w:fill="D9D9D9"/>
          </w:tcPr>
          <w:p>
            <w:pPr>
              <w:spacing w:after="0"/>
              <w:rPr>
                <w:sz w:val="20"/>
                <w:szCs w:val="20"/>
                <w:color w:val="auto"/>
              </w:rPr>
            </w:pPr>
            <w:r>
              <w:rPr>
                <w:rFonts w:ascii="Arial" w:cs="Arial" w:eastAsia="Arial" w:hAnsi="Arial"/>
                <w:sz w:val="13"/>
                <w:szCs w:val="13"/>
                <w:color w:val="333333"/>
              </w:rPr>
              <w:t>5/2/2023</w:t>
            </w:r>
          </w:p>
        </w:tc>
        <w:tc>
          <w:tcPr>
            <w:tcW w:w="40" w:type="dxa"/>
            <w:vAlign w:val="bottom"/>
            <w:shd w:val="clear" w:color="auto" w:fill="D9D9D9"/>
          </w:tcPr>
          <w:p>
            <w:pPr>
              <w:spacing w:after="0"/>
              <w:rPr>
                <w:sz w:val="14"/>
                <w:szCs w:val="14"/>
                <w:color w:val="auto"/>
              </w:rPr>
            </w:pPr>
          </w:p>
        </w:tc>
        <w:tc>
          <w:tcPr>
            <w:tcW w:w="800" w:type="dxa"/>
            <w:vAlign w:val="bottom"/>
            <w:vMerge w:val="restart"/>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960" w:type="dxa"/>
            <w:vAlign w:val="bottom"/>
            <w:vMerge w:val="restart"/>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60" w:type="dxa"/>
            <w:vAlign w:val="bottom"/>
            <w:vMerge w:val="restart"/>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14"/>
                <w:szCs w:val="14"/>
                <w:color w:val="auto"/>
              </w:rPr>
            </w:pPr>
          </w:p>
        </w:tc>
        <w:tc>
          <w:tcPr>
            <w:tcW w:w="580" w:type="dxa"/>
            <w:vAlign w:val="bottom"/>
            <w:vMerge w:val="restart"/>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60" w:type="dxa"/>
            <w:vAlign w:val="bottom"/>
            <w:vMerge w:val="restart"/>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80" w:type="dxa"/>
            <w:vAlign w:val="bottom"/>
            <w:shd w:val="clear" w:color="auto" w:fill="D9D9D9"/>
          </w:tcPr>
          <w:p>
            <w:pPr>
              <w:spacing w:after="0"/>
              <w:rPr>
                <w:sz w:val="14"/>
                <w:szCs w:val="14"/>
                <w:color w:val="auto"/>
              </w:rPr>
            </w:pPr>
          </w:p>
        </w:tc>
        <w:tc>
          <w:tcPr>
            <w:tcW w:w="540" w:type="dxa"/>
            <w:vAlign w:val="bottom"/>
            <w:vMerge w:val="restart"/>
            <w:shd w:val="clear" w:color="auto" w:fill="D9D9D9"/>
          </w:tcPr>
          <w:p>
            <w:pPr>
              <w:spacing w:after="0"/>
              <w:rPr>
                <w:sz w:val="20"/>
                <w:szCs w:val="20"/>
                <w:color w:val="auto"/>
              </w:rPr>
            </w:pPr>
            <w:r>
              <w:rPr>
                <w:rFonts w:ascii="Arial" w:cs="Arial" w:eastAsia="Arial" w:hAnsi="Arial"/>
                <w:sz w:val="13"/>
                <w:szCs w:val="13"/>
                <w:color w:val="333333"/>
              </w:rPr>
              <w:t>—</w:t>
            </w:r>
          </w:p>
        </w:tc>
        <w:tc>
          <w:tcPr>
            <w:tcW w:w="740" w:type="dxa"/>
            <w:vAlign w:val="bottom"/>
            <w:vMerge w:val="restart"/>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820" w:type="dxa"/>
            <w:vAlign w:val="bottom"/>
            <w:vMerge w:val="restart"/>
            <w:shd w:val="clear" w:color="auto" w:fill="D9D9D9"/>
          </w:tcPr>
          <w:p>
            <w:pPr>
              <w:ind w:left="60"/>
              <w:spacing w:after="0"/>
              <w:rPr>
                <w:sz w:val="20"/>
                <w:szCs w:val="20"/>
                <w:color w:val="auto"/>
              </w:rPr>
            </w:pPr>
            <w:r>
              <w:rPr>
                <w:rFonts w:ascii="Arial" w:cs="Arial" w:eastAsia="Arial" w:hAnsi="Arial"/>
                <w:sz w:val="13"/>
                <w:szCs w:val="13"/>
                <w:color w:val="333333"/>
              </w:rPr>
              <w:t>1,449</w:t>
            </w:r>
            <w:r>
              <w:rPr>
                <w:rFonts w:ascii="Arial" w:cs="Arial" w:eastAsia="Arial" w:hAnsi="Arial"/>
                <w:sz w:val="20"/>
                <w:szCs w:val="20"/>
                <w:color w:val="333333"/>
                <w:vertAlign w:val="superscript"/>
              </w:rPr>
              <w:t>(5)</w:t>
            </w:r>
          </w:p>
        </w:tc>
        <w:tc>
          <w:tcPr>
            <w:tcW w:w="960" w:type="dxa"/>
            <w:vAlign w:val="bottom"/>
            <w:vMerge w:val="restart"/>
            <w:shd w:val="clear" w:color="auto" w:fill="D9D9D9"/>
          </w:tcPr>
          <w:p>
            <w:pPr>
              <w:ind w:left="80"/>
              <w:spacing w:after="0"/>
              <w:rPr>
                <w:sz w:val="20"/>
                <w:szCs w:val="20"/>
                <w:color w:val="auto"/>
              </w:rPr>
            </w:pPr>
            <w:r>
              <w:rPr>
                <w:rFonts w:ascii="Arial" w:cs="Arial" w:eastAsia="Arial" w:hAnsi="Arial"/>
                <w:sz w:val="13"/>
                <w:szCs w:val="13"/>
                <w:color w:val="333333"/>
              </w:rPr>
              <w:t>$409,502</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120" w:type="dxa"/>
            <w:vAlign w:val="bottom"/>
            <w:shd w:val="clear" w:color="auto" w:fill="D9D9D9"/>
          </w:tcPr>
          <w:p>
            <w:pPr>
              <w:spacing w:after="0"/>
              <w:rPr>
                <w:sz w:val="23"/>
                <w:szCs w:val="23"/>
                <w:color w:val="auto"/>
              </w:rPr>
            </w:pPr>
          </w:p>
        </w:tc>
        <w:tc>
          <w:tcPr>
            <w:tcW w:w="680" w:type="dxa"/>
            <w:vAlign w:val="bottom"/>
            <w:shd w:val="clear" w:color="auto" w:fill="D9D9D9"/>
          </w:tcPr>
          <w:p>
            <w:pPr>
              <w:spacing w:after="0"/>
              <w:rPr>
                <w:sz w:val="23"/>
                <w:szCs w:val="23"/>
                <w:color w:val="auto"/>
              </w:rPr>
            </w:pPr>
          </w:p>
        </w:tc>
        <w:tc>
          <w:tcPr>
            <w:tcW w:w="40" w:type="dxa"/>
            <w:vAlign w:val="bottom"/>
            <w:shd w:val="clear" w:color="auto" w:fill="D9D9D9"/>
          </w:tcPr>
          <w:p>
            <w:pPr>
              <w:spacing w:after="0"/>
              <w:rPr>
                <w:sz w:val="23"/>
                <w:szCs w:val="23"/>
                <w:color w:val="auto"/>
              </w:rPr>
            </w:pPr>
          </w:p>
        </w:tc>
        <w:tc>
          <w:tcPr>
            <w:tcW w:w="700" w:type="dxa"/>
            <w:vAlign w:val="bottom"/>
            <w:vMerge w:val="continue"/>
            <w:shd w:val="clear" w:color="auto" w:fill="D9D9D9"/>
          </w:tcPr>
          <w:p>
            <w:pPr>
              <w:spacing w:after="0"/>
              <w:rPr>
                <w:sz w:val="23"/>
                <w:szCs w:val="23"/>
                <w:color w:val="auto"/>
              </w:rPr>
            </w:pPr>
          </w:p>
        </w:tc>
        <w:tc>
          <w:tcPr>
            <w:tcW w:w="40" w:type="dxa"/>
            <w:vAlign w:val="bottom"/>
            <w:shd w:val="clear" w:color="auto" w:fill="D9D9D9"/>
          </w:tcPr>
          <w:p>
            <w:pPr>
              <w:spacing w:after="0"/>
              <w:rPr>
                <w:sz w:val="23"/>
                <w:szCs w:val="23"/>
                <w:color w:val="auto"/>
              </w:rPr>
            </w:pPr>
          </w:p>
        </w:tc>
        <w:tc>
          <w:tcPr>
            <w:tcW w:w="800" w:type="dxa"/>
            <w:vAlign w:val="bottom"/>
            <w:vMerge w:val="continue"/>
            <w:shd w:val="clear" w:color="auto" w:fill="D9D9D9"/>
          </w:tcPr>
          <w:p>
            <w:pPr>
              <w:spacing w:after="0"/>
              <w:rPr>
                <w:sz w:val="23"/>
                <w:szCs w:val="23"/>
                <w:color w:val="auto"/>
              </w:rPr>
            </w:pPr>
          </w:p>
        </w:tc>
        <w:tc>
          <w:tcPr>
            <w:tcW w:w="960" w:type="dxa"/>
            <w:vAlign w:val="bottom"/>
            <w:vMerge w:val="continue"/>
            <w:shd w:val="clear" w:color="auto" w:fill="D9D9D9"/>
          </w:tcPr>
          <w:p>
            <w:pPr>
              <w:spacing w:after="0"/>
              <w:rPr>
                <w:sz w:val="23"/>
                <w:szCs w:val="23"/>
                <w:color w:val="auto"/>
              </w:rPr>
            </w:pPr>
          </w:p>
        </w:tc>
        <w:tc>
          <w:tcPr>
            <w:tcW w:w="660" w:type="dxa"/>
            <w:vAlign w:val="bottom"/>
            <w:vMerge w:val="continue"/>
            <w:shd w:val="clear" w:color="auto" w:fill="D9D9D9"/>
          </w:tcPr>
          <w:p>
            <w:pPr>
              <w:spacing w:after="0"/>
              <w:rPr>
                <w:sz w:val="23"/>
                <w:szCs w:val="23"/>
                <w:color w:val="auto"/>
              </w:rPr>
            </w:pPr>
          </w:p>
        </w:tc>
        <w:tc>
          <w:tcPr>
            <w:tcW w:w="180" w:type="dxa"/>
            <w:vAlign w:val="bottom"/>
            <w:shd w:val="clear" w:color="auto" w:fill="D9D9D9"/>
          </w:tcPr>
          <w:p>
            <w:pPr>
              <w:spacing w:after="0"/>
              <w:rPr>
                <w:sz w:val="23"/>
                <w:szCs w:val="23"/>
                <w:color w:val="auto"/>
              </w:rPr>
            </w:pPr>
          </w:p>
        </w:tc>
        <w:tc>
          <w:tcPr>
            <w:tcW w:w="580" w:type="dxa"/>
            <w:vAlign w:val="bottom"/>
            <w:vMerge w:val="continue"/>
            <w:shd w:val="clear" w:color="auto" w:fill="D9D9D9"/>
          </w:tcPr>
          <w:p>
            <w:pPr>
              <w:spacing w:after="0"/>
              <w:rPr>
                <w:sz w:val="23"/>
                <w:szCs w:val="23"/>
                <w:color w:val="auto"/>
              </w:rPr>
            </w:pPr>
          </w:p>
        </w:tc>
        <w:tc>
          <w:tcPr>
            <w:tcW w:w="760" w:type="dxa"/>
            <w:vAlign w:val="bottom"/>
            <w:vMerge w:val="continue"/>
            <w:shd w:val="clear" w:color="auto" w:fill="D9D9D9"/>
          </w:tcPr>
          <w:p>
            <w:pPr>
              <w:spacing w:after="0"/>
              <w:rPr>
                <w:sz w:val="23"/>
                <w:szCs w:val="23"/>
                <w:color w:val="auto"/>
              </w:rPr>
            </w:pPr>
          </w:p>
        </w:tc>
        <w:tc>
          <w:tcPr>
            <w:tcW w:w="80" w:type="dxa"/>
            <w:vAlign w:val="bottom"/>
            <w:shd w:val="clear" w:color="auto" w:fill="D9D9D9"/>
          </w:tcPr>
          <w:p>
            <w:pPr>
              <w:spacing w:after="0"/>
              <w:rPr>
                <w:sz w:val="23"/>
                <w:szCs w:val="23"/>
                <w:color w:val="auto"/>
              </w:rPr>
            </w:pPr>
          </w:p>
        </w:tc>
        <w:tc>
          <w:tcPr>
            <w:tcW w:w="540" w:type="dxa"/>
            <w:vAlign w:val="bottom"/>
            <w:vMerge w:val="continue"/>
            <w:shd w:val="clear" w:color="auto" w:fill="D9D9D9"/>
          </w:tcPr>
          <w:p>
            <w:pPr>
              <w:spacing w:after="0"/>
              <w:rPr>
                <w:sz w:val="23"/>
                <w:szCs w:val="23"/>
                <w:color w:val="auto"/>
              </w:rPr>
            </w:pPr>
          </w:p>
        </w:tc>
        <w:tc>
          <w:tcPr>
            <w:tcW w:w="740" w:type="dxa"/>
            <w:vAlign w:val="bottom"/>
            <w:vMerge w:val="continue"/>
            <w:shd w:val="clear" w:color="auto" w:fill="D9D9D9"/>
          </w:tcPr>
          <w:p>
            <w:pPr>
              <w:spacing w:after="0"/>
              <w:rPr>
                <w:sz w:val="23"/>
                <w:szCs w:val="23"/>
                <w:color w:val="auto"/>
              </w:rPr>
            </w:pPr>
          </w:p>
        </w:tc>
        <w:tc>
          <w:tcPr>
            <w:tcW w:w="820" w:type="dxa"/>
            <w:vAlign w:val="bottom"/>
            <w:vMerge w:val="continue"/>
            <w:shd w:val="clear" w:color="auto" w:fill="D9D9D9"/>
          </w:tcPr>
          <w:p>
            <w:pPr>
              <w:spacing w:after="0"/>
              <w:rPr>
                <w:sz w:val="23"/>
                <w:szCs w:val="23"/>
                <w:color w:val="auto"/>
              </w:rPr>
            </w:pPr>
          </w:p>
        </w:tc>
        <w:tc>
          <w:tcPr>
            <w:tcW w:w="960" w:type="dxa"/>
            <w:vAlign w:val="bottom"/>
            <w:vMerge w:val="continue"/>
            <w:shd w:val="clear" w:color="auto" w:fill="D9D9D9"/>
          </w:tcPr>
          <w:p>
            <w:pPr>
              <w:spacing w:after="0"/>
              <w:rPr>
                <w:sz w:val="23"/>
                <w:szCs w:val="23"/>
                <w:color w:val="auto"/>
              </w:rPr>
            </w:pPr>
          </w:p>
        </w:tc>
        <w:tc>
          <w:tcPr>
            <w:tcW w:w="10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12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0"/>
                <w:szCs w:val="20"/>
                <w:color w:val="auto"/>
              </w:rPr>
            </w:pPr>
            <w:r>
              <w:rPr>
                <w:rFonts w:ascii="Arial" w:cs="Arial" w:eastAsia="Arial" w:hAnsi="Arial"/>
                <w:sz w:val="13"/>
                <w:szCs w:val="13"/>
                <w:color w:val="333333"/>
              </w:rPr>
              <w:t>5/2/2023</w:t>
            </w:r>
          </w:p>
        </w:tc>
        <w:tc>
          <w:tcPr>
            <w:tcW w:w="40" w:type="dxa"/>
            <w:vAlign w:val="bottom"/>
            <w:shd w:val="clear" w:color="auto" w:fill="D9D9D9"/>
          </w:tcPr>
          <w:p>
            <w:pPr>
              <w:spacing w:after="0"/>
              <w:rPr>
                <w:sz w:val="24"/>
                <w:szCs w:val="24"/>
                <w:color w:val="auto"/>
              </w:rPr>
            </w:pPr>
          </w:p>
        </w:tc>
        <w:tc>
          <w:tcPr>
            <w:tcW w:w="80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6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24"/>
                <w:szCs w:val="24"/>
                <w:color w:val="auto"/>
              </w:rPr>
            </w:pPr>
          </w:p>
        </w:tc>
        <w:tc>
          <w:tcPr>
            <w:tcW w:w="58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80" w:type="dxa"/>
            <w:vAlign w:val="bottom"/>
            <w:shd w:val="clear" w:color="auto" w:fill="D9D9D9"/>
          </w:tcPr>
          <w:p>
            <w:pPr>
              <w:spacing w:after="0"/>
              <w:rPr>
                <w:sz w:val="24"/>
                <w:szCs w:val="24"/>
                <w:color w:val="auto"/>
              </w:rPr>
            </w:pPr>
          </w:p>
        </w:tc>
        <w:tc>
          <w:tcPr>
            <w:tcW w:w="54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74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82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4,346</w:t>
            </w:r>
            <w:r>
              <w:rPr>
                <w:rFonts w:ascii="Arial" w:cs="Arial" w:eastAsia="Arial" w:hAnsi="Arial"/>
                <w:sz w:val="20"/>
                <w:szCs w:val="20"/>
                <w:color w:val="333333"/>
                <w:vertAlign w:val="superscript"/>
              </w:rPr>
              <w:t>(6)</w:t>
            </w:r>
          </w:p>
        </w:tc>
        <w:tc>
          <w:tcPr>
            <w:tcW w:w="96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$1,228,223</w:t>
            </w:r>
          </w:p>
        </w:tc>
        <w:tc>
          <w:tcPr>
            <w:tcW w:w="1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2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0"/>
                <w:szCs w:val="20"/>
                <w:color w:val="auto"/>
              </w:rPr>
            </w:pPr>
            <w:r>
              <w:rPr>
                <w:rFonts w:ascii="Arial" w:cs="Arial" w:eastAsia="Arial" w:hAnsi="Arial"/>
                <w:sz w:val="13"/>
                <w:szCs w:val="13"/>
                <w:color w:val="333333"/>
              </w:rPr>
              <w:t>5/2/2023</w:t>
            </w:r>
          </w:p>
        </w:tc>
        <w:tc>
          <w:tcPr>
            <w:tcW w:w="40" w:type="dxa"/>
            <w:vAlign w:val="bottom"/>
            <w:shd w:val="clear" w:color="auto" w:fill="D9D9D9"/>
          </w:tcPr>
          <w:p>
            <w:pPr>
              <w:spacing w:after="0"/>
              <w:rPr>
                <w:sz w:val="24"/>
                <w:szCs w:val="24"/>
                <w:color w:val="auto"/>
              </w:rPr>
            </w:pPr>
          </w:p>
        </w:tc>
        <w:tc>
          <w:tcPr>
            <w:tcW w:w="80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6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24"/>
                <w:szCs w:val="24"/>
                <w:color w:val="auto"/>
              </w:rPr>
            </w:pPr>
          </w:p>
        </w:tc>
        <w:tc>
          <w:tcPr>
            <w:tcW w:w="58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7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620" w:type="dxa"/>
            <w:vAlign w:val="bottom"/>
            <w:gridSpan w:val="2"/>
            <w:shd w:val="clear" w:color="auto" w:fill="D9D9D9"/>
          </w:tcPr>
          <w:p>
            <w:pPr>
              <w:ind w:left="80"/>
              <w:spacing w:after="0"/>
              <w:rPr>
                <w:sz w:val="20"/>
                <w:szCs w:val="20"/>
                <w:color w:val="auto"/>
              </w:rPr>
            </w:pPr>
            <w:r>
              <w:rPr>
                <w:rFonts w:ascii="Arial" w:cs="Arial" w:eastAsia="Arial" w:hAnsi="Arial"/>
                <w:sz w:val="25"/>
                <w:szCs w:val="25"/>
                <w:color w:val="333333"/>
                <w:vertAlign w:val="subscript"/>
              </w:rPr>
              <w:t>870</w:t>
            </w:r>
            <w:r>
              <w:rPr>
                <w:rFonts w:ascii="Arial" w:cs="Arial" w:eastAsia="Arial" w:hAnsi="Arial"/>
                <w:sz w:val="10"/>
                <w:szCs w:val="10"/>
                <w:color w:val="333333"/>
              </w:rPr>
              <w:t>(4)</w:t>
            </w:r>
          </w:p>
        </w:tc>
        <w:tc>
          <w:tcPr>
            <w:tcW w:w="74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$245,871</w:t>
            </w:r>
          </w:p>
        </w:tc>
        <w:tc>
          <w:tcPr>
            <w:tcW w:w="82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b w:val="1"/>
                <w:bCs w:val="1"/>
                <w:color w:val="333333"/>
              </w:rPr>
              <w:t>Alissa B.</w:t>
            </w:r>
          </w:p>
        </w:tc>
        <w:tc>
          <w:tcPr>
            <w:tcW w:w="740" w:type="dxa"/>
            <w:vAlign w:val="bottom"/>
            <w:gridSpan w:val="2"/>
          </w:tcPr>
          <w:p>
            <w:pPr>
              <w:ind w:left="40"/>
              <w:spacing w:after="0"/>
              <w:rPr>
                <w:sz w:val="20"/>
                <w:szCs w:val="20"/>
                <w:color w:val="auto"/>
              </w:rPr>
            </w:pPr>
            <w:r>
              <w:rPr>
                <w:rFonts w:ascii="Arial" w:cs="Arial" w:eastAsia="Arial" w:hAnsi="Arial"/>
                <w:sz w:val="13"/>
                <w:szCs w:val="13"/>
                <w:color w:val="333333"/>
              </w:rPr>
              <w:t>10/19/2016</w:t>
            </w:r>
          </w:p>
        </w:tc>
        <w:tc>
          <w:tcPr>
            <w:tcW w:w="840" w:type="dxa"/>
            <w:vAlign w:val="bottom"/>
            <w:gridSpan w:val="2"/>
          </w:tcPr>
          <w:p>
            <w:pPr>
              <w:ind w:left="80"/>
              <w:spacing w:after="0"/>
              <w:rPr>
                <w:sz w:val="20"/>
                <w:szCs w:val="20"/>
                <w:color w:val="auto"/>
              </w:rPr>
            </w:pPr>
            <w:r>
              <w:rPr>
                <w:rFonts w:ascii="Arial" w:cs="Arial" w:eastAsia="Arial" w:hAnsi="Arial"/>
                <w:sz w:val="13"/>
                <w:szCs w:val="13"/>
                <w:color w:val="333333"/>
              </w:rPr>
              <w:t>10,000</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660" w:type="dxa"/>
            <w:vAlign w:val="bottom"/>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17"/>
                <w:szCs w:val="17"/>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333333"/>
              </w:rPr>
              <w:t>$174.35</w:t>
            </w:r>
          </w:p>
        </w:tc>
        <w:tc>
          <w:tcPr>
            <w:tcW w:w="760" w:type="dxa"/>
            <w:vAlign w:val="bottom"/>
          </w:tcPr>
          <w:p>
            <w:pPr>
              <w:ind w:left="60"/>
              <w:spacing w:after="0"/>
              <w:rPr>
                <w:sz w:val="20"/>
                <w:szCs w:val="20"/>
                <w:color w:val="auto"/>
              </w:rPr>
            </w:pPr>
            <w:r>
              <w:rPr>
                <w:rFonts w:ascii="Arial" w:cs="Arial" w:eastAsia="Arial" w:hAnsi="Arial"/>
                <w:sz w:val="13"/>
                <w:szCs w:val="13"/>
                <w:color w:val="333333"/>
              </w:rPr>
              <w:t>10/19/2026</w:t>
            </w:r>
          </w:p>
        </w:tc>
        <w:tc>
          <w:tcPr>
            <w:tcW w:w="8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820" w:type="dxa"/>
            <w:vAlign w:val="bottom"/>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b w:val="1"/>
                <w:bCs w:val="1"/>
                <w:color w:val="333333"/>
              </w:rPr>
              <w:t>Vickery</w:t>
            </w: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color w:val="333333"/>
              </w:rPr>
              <w:t>1/25/2017</w:t>
            </w:r>
          </w:p>
        </w:tc>
        <w:tc>
          <w:tcPr>
            <w:tcW w:w="840" w:type="dxa"/>
            <w:vAlign w:val="bottom"/>
            <w:gridSpan w:val="2"/>
            <w:vMerge w:val="restart"/>
          </w:tcPr>
          <w:p>
            <w:pPr>
              <w:ind w:left="80"/>
              <w:spacing w:after="0"/>
              <w:rPr>
                <w:sz w:val="20"/>
                <w:szCs w:val="20"/>
                <w:color w:val="auto"/>
              </w:rPr>
            </w:pPr>
            <w:r>
              <w:rPr>
                <w:rFonts w:ascii="Arial" w:cs="Arial" w:eastAsia="Arial" w:hAnsi="Arial"/>
                <w:sz w:val="13"/>
                <w:szCs w:val="13"/>
                <w:color w:val="333333"/>
              </w:rPr>
              <w:t>2,000</w:t>
            </w:r>
          </w:p>
        </w:tc>
        <w:tc>
          <w:tcPr>
            <w:tcW w:w="960" w:type="dxa"/>
            <w:vAlign w:val="bottom"/>
            <w:vMerge w:val="restart"/>
          </w:tcPr>
          <w:p>
            <w:pPr>
              <w:ind w:left="60"/>
              <w:spacing w:after="0"/>
              <w:rPr>
                <w:sz w:val="20"/>
                <w:szCs w:val="20"/>
                <w:color w:val="auto"/>
              </w:rPr>
            </w:pPr>
            <w:r>
              <w:rPr>
                <w:rFonts w:ascii="Arial" w:cs="Arial" w:eastAsia="Arial" w:hAnsi="Arial"/>
                <w:sz w:val="13"/>
                <w:szCs w:val="13"/>
                <w:color w:val="333333"/>
              </w:rPr>
              <w:t>—</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14"/>
                <w:szCs w:val="14"/>
                <w:color w:val="auto"/>
              </w:rPr>
            </w:pPr>
          </w:p>
        </w:tc>
        <w:tc>
          <w:tcPr>
            <w:tcW w:w="580" w:type="dxa"/>
            <w:vAlign w:val="bottom"/>
            <w:vMerge w:val="restart"/>
          </w:tcPr>
          <w:p>
            <w:pPr>
              <w:ind w:left="80"/>
              <w:spacing w:after="0"/>
              <w:rPr>
                <w:sz w:val="20"/>
                <w:szCs w:val="20"/>
                <w:color w:val="auto"/>
              </w:rPr>
            </w:pPr>
            <w:r>
              <w:rPr>
                <w:rFonts w:ascii="Arial" w:cs="Arial" w:eastAsia="Arial" w:hAnsi="Arial"/>
                <w:sz w:val="13"/>
                <w:szCs w:val="13"/>
                <w:color w:val="333333"/>
              </w:rPr>
              <w:t>$150.74</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333333"/>
              </w:rPr>
              <w:t>1/25/2027</w:t>
            </w:r>
          </w:p>
        </w:tc>
        <w:tc>
          <w:tcPr>
            <w:tcW w:w="8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Arial" w:cs="Arial" w:eastAsia="Arial" w:hAnsi="Arial"/>
                <w:sz w:val="13"/>
                <w:szCs w:val="13"/>
                <w:color w:val="333333"/>
              </w:rPr>
              <w:t>—</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333333"/>
              </w:rPr>
              <w:t>—</w:t>
            </w:r>
          </w:p>
        </w:tc>
        <w:tc>
          <w:tcPr>
            <w:tcW w:w="820" w:type="dxa"/>
            <w:vAlign w:val="bottom"/>
            <w:vMerge w:val="restart"/>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vMerge w:val="restart"/>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333333"/>
              </w:rPr>
              <w:t>5/5/2017</w:t>
            </w:r>
          </w:p>
        </w:tc>
        <w:tc>
          <w:tcPr>
            <w:tcW w:w="840" w:type="dxa"/>
            <w:vAlign w:val="bottom"/>
            <w:gridSpan w:val="2"/>
          </w:tcPr>
          <w:p>
            <w:pPr>
              <w:ind w:left="80"/>
              <w:spacing w:after="0"/>
              <w:rPr>
                <w:sz w:val="20"/>
                <w:szCs w:val="20"/>
                <w:color w:val="auto"/>
              </w:rPr>
            </w:pPr>
            <w:r>
              <w:rPr>
                <w:rFonts w:ascii="Arial" w:cs="Arial" w:eastAsia="Arial" w:hAnsi="Arial"/>
                <w:sz w:val="13"/>
                <w:szCs w:val="13"/>
                <w:color w:val="333333"/>
              </w:rPr>
              <w:t>3,276</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660" w:type="dxa"/>
            <w:vAlign w:val="bottom"/>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333333"/>
              </w:rPr>
              <w:t>$133.40</w:t>
            </w:r>
          </w:p>
        </w:tc>
        <w:tc>
          <w:tcPr>
            <w:tcW w:w="760" w:type="dxa"/>
            <w:vAlign w:val="bottom"/>
          </w:tcPr>
          <w:p>
            <w:pPr>
              <w:ind w:left="60"/>
              <w:spacing w:after="0"/>
              <w:rPr>
                <w:sz w:val="20"/>
                <w:szCs w:val="20"/>
                <w:color w:val="auto"/>
              </w:rPr>
            </w:pPr>
            <w:r>
              <w:rPr>
                <w:rFonts w:ascii="Arial" w:cs="Arial" w:eastAsia="Arial" w:hAnsi="Arial"/>
                <w:sz w:val="13"/>
                <w:szCs w:val="13"/>
                <w:color w:val="333333"/>
              </w:rPr>
              <w:t>5/5/2027</w:t>
            </w:r>
          </w:p>
        </w:tc>
        <w:tc>
          <w:tcPr>
            <w:tcW w:w="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820" w:type="dxa"/>
            <w:vAlign w:val="bottom"/>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333333"/>
              </w:rPr>
              <w:t>4/22/2019</w:t>
            </w:r>
          </w:p>
        </w:tc>
        <w:tc>
          <w:tcPr>
            <w:tcW w:w="840" w:type="dxa"/>
            <w:vAlign w:val="bottom"/>
            <w:gridSpan w:val="2"/>
          </w:tcPr>
          <w:p>
            <w:pPr>
              <w:ind w:left="80"/>
              <w:spacing w:after="0"/>
              <w:rPr>
                <w:sz w:val="20"/>
                <w:szCs w:val="20"/>
                <w:color w:val="auto"/>
              </w:rPr>
            </w:pPr>
            <w:r>
              <w:rPr>
                <w:rFonts w:ascii="Arial" w:cs="Arial" w:eastAsia="Arial" w:hAnsi="Arial"/>
                <w:sz w:val="13"/>
                <w:szCs w:val="13"/>
                <w:color w:val="333333"/>
              </w:rPr>
              <w:t>8,000</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660" w:type="dxa"/>
            <w:vAlign w:val="bottom"/>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333333"/>
              </w:rPr>
              <w:t>$252.50</w:t>
            </w:r>
          </w:p>
        </w:tc>
        <w:tc>
          <w:tcPr>
            <w:tcW w:w="760" w:type="dxa"/>
            <w:vAlign w:val="bottom"/>
          </w:tcPr>
          <w:p>
            <w:pPr>
              <w:ind w:left="60"/>
              <w:spacing w:after="0"/>
              <w:rPr>
                <w:sz w:val="20"/>
                <w:szCs w:val="20"/>
                <w:color w:val="auto"/>
              </w:rPr>
            </w:pPr>
            <w:r>
              <w:rPr>
                <w:rFonts w:ascii="Arial" w:cs="Arial" w:eastAsia="Arial" w:hAnsi="Arial"/>
                <w:sz w:val="13"/>
                <w:szCs w:val="13"/>
                <w:color w:val="333333"/>
              </w:rPr>
              <w:t>4/22/2029</w:t>
            </w:r>
          </w:p>
        </w:tc>
        <w:tc>
          <w:tcPr>
            <w:tcW w:w="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820" w:type="dxa"/>
            <w:vAlign w:val="bottom"/>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333333"/>
              </w:rPr>
              <w:t>4/10/2020</w:t>
            </w:r>
          </w:p>
        </w:tc>
        <w:tc>
          <w:tcPr>
            <w:tcW w:w="840" w:type="dxa"/>
            <w:vAlign w:val="bottom"/>
            <w:gridSpan w:val="2"/>
          </w:tcPr>
          <w:p>
            <w:pPr>
              <w:ind w:left="80"/>
              <w:spacing w:after="0"/>
              <w:rPr>
                <w:sz w:val="20"/>
                <w:szCs w:val="20"/>
                <w:color w:val="auto"/>
              </w:rPr>
            </w:pPr>
            <w:r>
              <w:rPr>
                <w:rFonts w:ascii="Arial" w:cs="Arial" w:eastAsia="Arial" w:hAnsi="Arial"/>
                <w:sz w:val="13"/>
                <w:szCs w:val="13"/>
                <w:color w:val="333333"/>
              </w:rPr>
              <w:t>3,318</w:t>
            </w:r>
          </w:p>
        </w:tc>
        <w:tc>
          <w:tcPr>
            <w:tcW w:w="960" w:type="dxa"/>
            <w:vAlign w:val="bottom"/>
          </w:tcPr>
          <w:p>
            <w:pPr>
              <w:ind w:left="60"/>
              <w:spacing w:after="0"/>
              <w:rPr>
                <w:sz w:val="20"/>
                <w:szCs w:val="20"/>
                <w:color w:val="auto"/>
              </w:rPr>
            </w:pPr>
            <w:r>
              <w:rPr>
                <w:rFonts w:ascii="Arial" w:cs="Arial" w:eastAsia="Arial" w:hAnsi="Arial"/>
                <w:sz w:val="13"/>
                <w:szCs w:val="13"/>
                <w:color w:val="333333"/>
              </w:rPr>
              <w:t>1,106</w:t>
            </w:r>
          </w:p>
        </w:tc>
        <w:tc>
          <w:tcPr>
            <w:tcW w:w="660" w:type="dxa"/>
            <w:vAlign w:val="bottom"/>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333333"/>
              </w:rPr>
              <w:t>$224.99</w:t>
            </w:r>
          </w:p>
        </w:tc>
        <w:tc>
          <w:tcPr>
            <w:tcW w:w="760" w:type="dxa"/>
            <w:vAlign w:val="bottom"/>
          </w:tcPr>
          <w:p>
            <w:pPr>
              <w:ind w:left="60"/>
              <w:spacing w:after="0"/>
              <w:rPr>
                <w:sz w:val="20"/>
                <w:szCs w:val="20"/>
                <w:color w:val="auto"/>
              </w:rPr>
            </w:pPr>
            <w:r>
              <w:rPr>
                <w:rFonts w:ascii="Arial" w:cs="Arial" w:eastAsia="Arial" w:hAnsi="Arial"/>
                <w:sz w:val="13"/>
                <w:szCs w:val="13"/>
                <w:color w:val="333333"/>
              </w:rPr>
              <w:t>4/10/2030</w:t>
            </w:r>
          </w:p>
        </w:tc>
        <w:tc>
          <w:tcPr>
            <w:tcW w:w="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820" w:type="dxa"/>
            <w:vAlign w:val="bottom"/>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333333"/>
              </w:rPr>
              <w:t>10/21/2020</w:t>
            </w:r>
          </w:p>
        </w:tc>
        <w:tc>
          <w:tcPr>
            <w:tcW w:w="4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660" w:type="dxa"/>
            <w:vAlign w:val="bottom"/>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333333"/>
              </w:rPr>
              <w:t>—</w:t>
            </w:r>
          </w:p>
        </w:tc>
        <w:tc>
          <w:tcPr>
            <w:tcW w:w="760" w:type="dxa"/>
            <w:vAlign w:val="bottom"/>
          </w:tcPr>
          <w:p>
            <w:pPr>
              <w:ind w:left="60"/>
              <w:spacing w:after="0"/>
              <w:rPr>
                <w:sz w:val="20"/>
                <w:szCs w:val="20"/>
                <w:color w:val="auto"/>
              </w:rPr>
            </w:pPr>
            <w:r>
              <w:rPr>
                <w:rFonts w:ascii="Arial" w:cs="Arial" w:eastAsia="Arial" w:hAnsi="Arial"/>
                <w:sz w:val="13"/>
                <w:szCs w:val="13"/>
                <w:color w:val="333333"/>
              </w:rPr>
              <w:t>—</w:t>
            </w:r>
          </w:p>
        </w:tc>
        <w:tc>
          <w:tcPr>
            <w:tcW w:w="620" w:type="dxa"/>
            <w:vAlign w:val="bottom"/>
            <w:gridSpan w:val="2"/>
          </w:tcPr>
          <w:p>
            <w:pPr>
              <w:ind w:left="80"/>
              <w:spacing w:after="0"/>
              <w:rPr>
                <w:sz w:val="20"/>
                <w:szCs w:val="20"/>
                <w:color w:val="auto"/>
              </w:rPr>
            </w:pPr>
            <w:r>
              <w:rPr>
                <w:rFonts w:ascii="Arial" w:cs="Arial" w:eastAsia="Arial" w:hAnsi="Arial"/>
                <w:sz w:val="25"/>
                <w:szCs w:val="25"/>
                <w:color w:val="333333"/>
                <w:vertAlign w:val="subscript"/>
              </w:rPr>
              <w:t>56</w:t>
            </w:r>
            <w:r>
              <w:rPr>
                <w:rFonts w:ascii="Arial" w:cs="Arial" w:eastAsia="Arial" w:hAnsi="Arial"/>
                <w:sz w:val="10"/>
                <w:szCs w:val="10"/>
                <w:color w:val="333333"/>
              </w:rPr>
              <w:t>(7)</w:t>
            </w:r>
          </w:p>
        </w:tc>
        <w:tc>
          <w:tcPr>
            <w:tcW w:w="740" w:type="dxa"/>
            <w:vAlign w:val="bottom"/>
          </w:tcPr>
          <w:p>
            <w:pPr>
              <w:ind w:left="60"/>
              <w:spacing w:after="0"/>
              <w:rPr>
                <w:sz w:val="20"/>
                <w:szCs w:val="20"/>
                <w:color w:val="auto"/>
              </w:rPr>
            </w:pPr>
            <w:r>
              <w:rPr>
                <w:rFonts w:ascii="Arial" w:cs="Arial" w:eastAsia="Arial" w:hAnsi="Arial"/>
                <w:sz w:val="13"/>
                <w:szCs w:val="13"/>
                <w:color w:val="333333"/>
              </w:rPr>
              <w:t>$15,826</w:t>
            </w:r>
          </w:p>
        </w:tc>
        <w:tc>
          <w:tcPr>
            <w:tcW w:w="820" w:type="dxa"/>
            <w:vAlign w:val="bottom"/>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333333"/>
              </w:rPr>
              <w:t>3/12/2021</w:t>
            </w:r>
          </w:p>
        </w:tc>
        <w:tc>
          <w:tcPr>
            <w:tcW w:w="4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660" w:type="dxa"/>
            <w:vAlign w:val="bottom"/>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333333"/>
              </w:rPr>
              <w:t>—</w:t>
            </w:r>
          </w:p>
        </w:tc>
        <w:tc>
          <w:tcPr>
            <w:tcW w:w="760" w:type="dxa"/>
            <w:vAlign w:val="bottom"/>
          </w:tcPr>
          <w:p>
            <w:pPr>
              <w:ind w:left="60"/>
              <w:spacing w:after="0"/>
              <w:rPr>
                <w:sz w:val="20"/>
                <w:szCs w:val="20"/>
                <w:color w:val="auto"/>
              </w:rPr>
            </w:pPr>
            <w:r>
              <w:rPr>
                <w:rFonts w:ascii="Arial" w:cs="Arial" w:eastAsia="Arial" w:hAnsi="Arial"/>
                <w:sz w:val="13"/>
                <w:szCs w:val="13"/>
                <w:color w:val="333333"/>
              </w:rPr>
              <w:t>—</w:t>
            </w:r>
          </w:p>
        </w:tc>
        <w:tc>
          <w:tcPr>
            <w:tcW w:w="620" w:type="dxa"/>
            <w:vAlign w:val="bottom"/>
            <w:gridSpan w:val="2"/>
          </w:tcPr>
          <w:p>
            <w:pPr>
              <w:ind w:left="80"/>
              <w:spacing w:after="0"/>
              <w:rPr>
                <w:sz w:val="20"/>
                <w:szCs w:val="20"/>
                <w:color w:val="auto"/>
              </w:rPr>
            </w:pPr>
            <w:r>
              <w:rPr>
                <w:rFonts w:ascii="Arial" w:cs="Arial" w:eastAsia="Arial" w:hAnsi="Arial"/>
                <w:sz w:val="13"/>
                <w:szCs w:val="13"/>
                <w:color w:val="333333"/>
              </w:rPr>
              <w:t>177</w:t>
            </w:r>
            <w:r>
              <w:rPr>
                <w:rFonts w:ascii="Arial" w:cs="Arial" w:eastAsia="Arial" w:hAnsi="Arial"/>
                <w:sz w:val="20"/>
                <w:szCs w:val="20"/>
                <w:color w:val="333333"/>
                <w:vertAlign w:val="superscript"/>
              </w:rPr>
              <w:t>(7)</w:t>
            </w:r>
          </w:p>
        </w:tc>
        <w:tc>
          <w:tcPr>
            <w:tcW w:w="740" w:type="dxa"/>
            <w:vAlign w:val="bottom"/>
          </w:tcPr>
          <w:p>
            <w:pPr>
              <w:ind w:left="60"/>
              <w:spacing w:after="0"/>
              <w:rPr>
                <w:sz w:val="20"/>
                <w:szCs w:val="20"/>
                <w:color w:val="auto"/>
              </w:rPr>
            </w:pPr>
            <w:r>
              <w:rPr>
                <w:rFonts w:ascii="Arial" w:cs="Arial" w:eastAsia="Arial" w:hAnsi="Arial"/>
                <w:sz w:val="13"/>
                <w:szCs w:val="13"/>
                <w:color w:val="333333"/>
              </w:rPr>
              <w:t>$50,022</w:t>
            </w:r>
          </w:p>
        </w:tc>
        <w:tc>
          <w:tcPr>
            <w:tcW w:w="820" w:type="dxa"/>
            <w:vAlign w:val="bottom"/>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333333"/>
              </w:rPr>
              <w:t>1/24/2022</w:t>
            </w:r>
          </w:p>
        </w:tc>
        <w:tc>
          <w:tcPr>
            <w:tcW w:w="840" w:type="dxa"/>
            <w:vAlign w:val="bottom"/>
            <w:gridSpan w:val="2"/>
          </w:tcPr>
          <w:p>
            <w:pPr>
              <w:ind w:left="80"/>
              <w:spacing w:after="0"/>
              <w:rPr>
                <w:sz w:val="20"/>
                <w:szCs w:val="20"/>
                <w:color w:val="auto"/>
              </w:rPr>
            </w:pPr>
            <w:r>
              <w:rPr>
                <w:rFonts w:ascii="Arial" w:cs="Arial" w:eastAsia="Arial" w:hAnsi="Arial"/>
                <w:sz w:val="13"/>
                <w:szCs w:val="13"/>
                <w:color w:val="333333"/>
              </w:rPr>
              <w:t>1,147</w:t>
            </w:r>
          </w:p>
        </w:tc>
        <w:tc>
          <w:tcPr>
            <w:tcW w:w="960" w:type="dxa"/>
            <w:vAlign w:val="bottom"/>
          </w:tcPr>
          <w:p>
            <w:pPr>
              <w:ind w:left="60"/>
              <w:spacing w:after="0"/>
              <w:rPr>
                <w:sz w:val="20"/>
                <w:szCs w:val="20"/>
                <w:color w:val="auto"/>
              </w:rPr>
            </w:pPr>
            <w:r>
              <w:rPr>
                <w:rFonts w:ascii="Arial" w:cs="Arial" w:eastAsia="Arial" w:hAnsi="Arial"/>
                <w:sz w:val="13"/>
                <w:szCs w:val="13"/>
                <w:color w:val="333333"/>
              </w:rPr>
              <w:t>3,441</w:t>
            </w:r>
          </w:p>
        </w:tc>
        <w:tc>
          <w:tcPr>
            <w:tcW w:w="660" w:type="dxa"/>
            <w:vAlign w:val="bottom"/>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333333"/>
              </w:rPr>
              <w:t>$225.45</w:t>
            </w:r>
          </w:p>
        </w:tc>
        <w:tc>
          <w:tcPr>
            <w:tcW w:w="760" w:type="dxa"/>
            <w:vAlign w:val="bottom"/>
          </w:tcPr>
          <w:p>
            <w:pPr>
              <w:ind w:left="60"/>
              <w:spacing w:after="0"/>
              <w:rPr>
                <w:sz w:val="20"/>
                <w:szCs w:val="20"/>
                <w:color w:val="auto"/>
              </w:rPr>
            </w:pPr>
            <w:r>
              <w:rPr>
                <w:rFonts w:ascii="Arial" w:cs="Arial" w:eastAsia="Arial" w:hAnsi="Arial"/>
                <w:sz w:val="13"/>
                <w:szCs w:val="13"/>
                <w:color w:val="333333"/>
              </w:rPr>
              <w:t>1/24/2032</w:t>
            </w:r>
          </w:p>
        </w:tc>
        <w:tc>
          <w:tcPr>
            <w:tcW w:w="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820" w:type="dxa"/>
            <w:vAlign w:val="bottom"/>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333333"/>
              </w:rPr>
              <w:t>1/24/2022</w:t>
            </w:r>
          </w:p>
        </w:tc>
        <w:tc>
          <w:tcPr>
            <w:tcW w:w="4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660" w:type="dxa"/>
            <w:vAlign w:val="bottom"/>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333333"/>
              </w:rPr>
              <w:t>—</w:t>
            </w:r>
          </w:p>
        </w:tc>
        <w:tc>
          <w:tcPr>
            <w:tcW w:w="760" w:type="dxa"/>
            <w:vAlign w:val="bottom"/>
          </w:tcPr>
          <w:p>
            <w:pPr>
              <w:ind w:left="60"/>
              <w:spacing w:after="0"/>
              <w:rPr>
                <w:sz w:val="20"/>
                <w:szCs w:val="20"/>
                <w:color w:val="auto"/>
              </w:rPr>
            </w:pPr>
            <w:r>
              <w:rPr>
                <w:rFonts w:ascii="Arial" w:cs="Arial" w:eastAsia="Arial" w:hAnsi="Arial"/>
                <w:sz w:val="13"/>
                <w:szCs w:val="13"/>
                <w:color w:val="333333"/>
              </w:rPr>
              <w:t>—</w:t>
            </w:r>
          </w:p>
        </w:tc>
        <w:tc>
          <w:tcPr>
            <w:tcW w:w="620" w:type="dxa"/>
            <w:vAlign w:val="bottom"/>
            <w:gridSpan w:val="2"/>
          </w:tcPr>
          <w:p>
            <w:pPr>
              <w:ind w:left="80"/>
              <w:spacing w:after="0"/>
              <w:rPr>
                <w:sz w:val="20"/>
                <w:szCs w:val="20"/>
                <w:color w:val="auto"/>
              </w:rPr>
            </w:pPr>
            <w:r>
              <w:rPr>
                <w:rFonts w:ascii="Arial" w:cs="Arial" w:eastAsia="Arial" w:hAnsi="Arial"/>
                <w:sz w:val="13"/>
                <w:szCs w:val="13"/>
                <w:color w:val="333333"/>
              </w:rPr>
              <w:t>416</w:t>
            </w:r>
            <w:r>
              <w:rPr>
                <w:rFonts w:ascii="Arial" w:cs="Arial" w:eastAsia="Arial" w:hAnsi="Arial"/>
                <w:sz w:val="20"/>
                <w:szCs w:val="20"/>
                <w:color w:val="333333"/>
                <w:vertAlign w:val="superscript"/>
              </w:rPr>
              <w:t>(8)</w:t>
            </w:r>
          </w:p>
        </w:tc>
        <w:tc>
          <w:tcPr>
            <w:tcW w:w="740" w:type="dxa"/>
            <w:vAlign w:val="bottom"/>
          </w:tcPr>
          <w:p>
            <w:pPr>
              <w:ind w:left="60"/>
              <w:spacing w:after="0"/>
              <w:rPr>
                <w:sz w:val="20"/>
                <w:szCs w:val="20"/>
                <w:color w:val="auto"/>
              </w:rPr>
            </w:pPr>
            <w:r>
              <w:rPr>
                <w:rFonts w:ascii="Arial" w:cs="Arial" w:eastAsia="Arial" w:hAnsi="Arial"/>
                <w:sz w:val="13"/>
                <w:szCs w:val="13"/>
                <w:color w:val="333333"/>
              </w:rPr>
              <w:t>$117,566</w:t>
            </w:r>
          </w:p>
        </w:tc>
        <w:tc>
          <w:tcPr>
            <w:tcW w:w="820" w:type="dxa"/>
            <w:vAlign w:val="bottom"/>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333333"/>
              </w:rPr>
              <w:t>3/01/2023</w:t>
            </w:r>
          </w:p>
        </w:tc>
        <w:tc>
          <w:tcPr>
            <w:tcW w:w="4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660" w:type="dxa"/>
            <w:vAlign w:val="bottom"/>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333333"/>
              </w:rPr>
              <w:t>—</w:t>
            </w:r>
          </w:p>
        </w:tc>
        <w:tc>
          <w:tcPr>
            <w:tcW w:w="760" w:type="dxa"/>
            <w:vAlign w:val="bottom"/>
          </w:tcPr>
          <w:p>
            <w:pPr>
              <w:ind w:left="60"/>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3"/>
                <w:szCs w:val="13"/>
                <w:color w:val="333333"/>
              </w:rPr>
              <w:t>—</w:t>
            </w:r>
          </w:p>
        </w:tc>
        <w:tc>
          <w:tcPr>
            <w:tcW w:w="740" w:type="dxa"/>
            <w:vAlign w:val="bottom"/>
          </w:tcPr>
          <w:p>
            <w:pPr>
              <w:ind w:left="60"/>
              <w:spacing w:after="0"/>
              <w:rPr>
                <w:sz w:val="20"/>
                <w:szCs w:val="20"/>
                <w:color w:val="auto"/>
              </w:rPr>
            </w:pPr>
            <w:r>
              <w:rPr>
                <w:rFonts w:ascii="Arial" w:cs="Arial" w:eastAsia="Arial" w:hAnsi="Arial"/>
                <w:sz w:val="13"/>
                <w:szCs w:val="13"/>
                <w:color w:val="333333"/>
              </w:rPr>
              <w:t>—</w:t>
            </w:r>
          </w:p>
        </w:tc>
        <w:tc>
          <w:tcPr>
            <w:tcW w:w="820" w:type="dxa"/>
            <w:vAlign w:val="bottom"/>
          </w:tcPr>
          <w:p>
            <w:pPr>
              <w:ind w:left="60"/>
              <w:spacing w:after="0"/>
              <w:rPr>
                <w:sz w:val="20"/>
                <w:szCs w:val="20"/>
                <w:color w:val="auto"/>
              </w:rPr>
            </w:pPr>
            <w:r>
              <w:rPr>
                <w:rFonts w:ascii="Arial" w:cs="Arial" w:eastAsia="Arial" w:hAnsi="Arial"/>
                <w:sz w:val="13"/>
                <w:szCs w:val="13"/>
                <w:color w:val="333333"/>
              </w:rPr>
              <w:t>1,171</w:t>
            </w:r>
            <w:r>
              <w:rPr>
                <w:rFonts w:ascii="Arial" w:cs="Arial" w:eastAsia="Arial" w:hAnsi="Arial"/>
                <w:sz w:val="20"/>
                <w:szCs w:val="20"/>
                <w:color w:val="333333"/>
                <w:vertAlign w:val="superscript"/>
              </w:rPr>
              <w:t>(5)</w:t>
            </w:r>
          </w:p>
        </w:tc>
        <w:tc>
          <w:tcPr>
            <w:tcW w:w="960" w:type="dxa"/>
            <w:vAlign w:val="bottom"/>
          </w:tcPr>
          <w:p>
            <w:pPr>
              <w:ind w:left="80"/>
              <w:spacing w:after="0"/>
              <w:rPr>
                <w:sz w:val="20"/>
                <w:szCs w:val="20"/>
                <w:color w:val="auto"/>
              </w:rPr>
            </w:pPr>
            <w:r>
              <w:rPr>
                <w:rFonts w:ascii="Arial" w:cs="Arial" w:eastAsia="Arial" w:hAnsi="Arial"/>
                <w:sz w:val="13"/>
                <w:szCs w:val="13"/>
                <w:color w:val="333333"/>
              </w:rPr>
              <w:t>$330,936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333333"/>
              </w:rPr>
              <w:t>3/01/2023</w:t>
            </w:r>
          </w:p>
        </w:tc>
        <w:tc>
          <w:tcPr>
            <w:tcW w:w="4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660" w:type="dxa"/>
            <w:vAlign w:val="bottom"/>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333333"/>
              </w:rPr>
              <w:t>—</w:t>
            </w:r>
          </w:p>
        </w:tc>
        <w:tc>
          <w:tcPr>
            <w:tcW w:w="760" w:type="dxa"/>
            <w:vAlign w:val="bottom"/>
          </w:tcPr>
          <w:p>
            <w:pPr>
              <w:ind w:left="60"/>
              <w:spacing w:after="0"/>
              <w:rPr>
                <w:sz w:val="20"/>
                <w:szCs w:val="20"/>
                <w:color w:val="auto"/>
              </w:rPr>
            </w:pPr>
            <w:r>
              <w:rPr>
                <w:rFonts w:ascii="Arial" w:cs="Arial" w:eastAsia="Arial" w:hAnsi="Arial"/>
                <w:sz w:val="13"/>
                <w:szCs w:val="13"/>
                <w:color w:val="333333"/>
              </w:rPr>
              <w:t>—</w:t>
            </w:r>
          </w:p>
        </w:tc>
        <w:tc>
          <w:tcPr>
            <w:tcW w:w="620" w:type="dxa"/>
            <w:vAlign w:val="bottom"/>
            <w:gridSpan w:val="2"/>
          </w:tcPr>
          <w:p>
            <w:pPr>
              <w:ind w:left="80"/>
              <w:spacing w:after="0"/>
              <w:rPr>
                <w:sz w:val="20"/>
                <w:szCs w:val="20"/>
                <w:color w:val="auto"/>
              </w:rPr>
            </w:pPr>
            <w:r>
              <w:rPr>
                <w:rFonts w:ascii="Arial" w:cs="Arial" w:eastAsia="Arial" w:hAnsi="Arial"/>
                <w:sz w:val="25"/>
                <w:szCs w:val="25"/>
                <w:color w:val="333333"/>
                <w:vertAlign w:val="subscript"/>
              </w:rPr>
              <w:t>282</w:t>
            </w:r>
            <w:r>
              <w:rPr>
                <w:rFonts w:ascii="Arial" w:cs="Arial" w:eastAsia="Arial" w:hAnsi="Arial"/>
                <w:sz w:val="10"/>
                <w:szCs w:val="10"/>
                <w:color w:val="333333"/>
              </w:rPr>
              <w:t>(4)</w:t>
            </w:r>
          </w:p>
        </w:tc>
        <w:tc>
          <w:tcPr>
            <w:tcW w:w="740" w:type="dxa"/>
            <w:vAlign w:val="bottom"/>
          </w:tcPr>
          <w:p>
            <w:pPr>
              <w:ind w:left="60"/>
              <w:spacing w:after="0"/>
              <w:rPr>
                <w:sz w:val="20"/>
                <w:szCs w:val="20"/>
                <w:color w:val="auto"/>
              </w:rPr>
            </w:pPr>
            <w:r>
              <w:rPr>
                <w:rFonts w:ascii="Arial" w:cs="Arial" w:eastAsia="Arial" w:hAnsi="Arial"/>
                <w:sz w:val="13"/>
                <w:szCs w:val="13"/>
                <w:color w:val="333333"/>
              </w:rPr>
              <w:t>$79,696</w:t>
            </w:r>
          </w:p>
        </w:tc>
        <w:tc>
          <w:tcPr>
            <w:tcW w:w="820" w:type="dxa"/>
            <w:vAlign w:val="bottom"/>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337"/>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333333"/>
              </w:rPr>
              <w:t>3/01/2023</w:t>
            </w:r>
          </w:p>
        </w:tc>
        <w:tc>
          <w:tcPr>
            <w:tcW w:w="4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660" w:type="dxa"/>
            <w:vAlign w:val="bottom"/>
          </w:tcPr>
          <w:p>
            <w:pPr>
              <w:ind w:left="80"/>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333333"/>
              </w:rPr>
              <w:t>—</w:t>
            </w:r>
          </w:p>
        </w:tc>
        <w:tc>
          <w:tcPr>
            <w:tcW w:w="760" w:type="dxa"/>
            <w:vAlign w:val="bottom"/>
          </w:tcPr>
          <w:p>
            <w:pPr>
              <w:ind w:left="60"/>
              <w:spacing w:after="0"/>
              <w:rPr>
                <w:sz w:val="20"/>
                <w:szCs w:val="20"/>
                <w:color w:val="auto"/>
              </w:rPr>
            </w:pPr>
            <w:r>
              <w:rPr>
                <w:rFonts w:ascii="Arial" w:cs="Arial" w:eastAsia="Arial" w:hAnsi="Arial"/>
                <w:sz w:val="13"/>
                <w:szCs w:val="13"/>
                <w:color w:val="333333"/>
              </w:rPr>
              <w:t>—</w:t>
            </w:r>
          </w:p>
        </w:tc>
        <w:tc>
          <w:tcPr>
            <w:tcW w:w="620" w:type="dxa"/>
            <w:vAlign w:val="bottom"/>
            <w:gridSpan w:val="2"/>
          </w:tcPr>
          <w:p>
            <w:pPr>
              <w:ind w:left="80"/>
              <w:spacing w:after="0"/>
              <w:rPr>
                <w:sz w:val="20"/>
                <w:szCs w:val="20"/>
                <w:color w:val="auto"/>
              </w:rPr>
            </w:pPr>
            <w:r>
              <w:rPr>
                <w:rFonts w:ascii="Arial" w:cs="Arial" w:eastAsia="Arial" w:hAnsi="Arial"/>
                <w:sz w:val="25"/>
                <w:szCs w:val="25"/>
                <w:color w:val="333333"/>
                <w:vertAlign w:val="subscript"/>
              </w:rPr>
              <w:t>291</w:t>
            </w:r>
            <w:r>
              <w:rPr>
                <w:rFonts w:ascii="Arial" w:cs="Arial" w:eastAsia="Arial" w:hAnsi="Arial"/>
                <w:sz w:val="10"/>
                <w:szCs w:val="10"/>
                <w:color w:val="333333"/>
              </w:rPr>
              <w:t>(9)</w:t>
            </w:r>
          </w:p>
        </w:tc>
        <w:tc>
          <w:tcPr>
            <w:tcW w:w="740" w:type="dxa"/>
            <w:vAlign w:val="bottom"/>
          </w:tcPr>
          <w:p>
            <w:pPr>
              <w:ind w:left="60"/>
              <w:spacing w:after="0"/>
              <w:rPr>
                <w:sz w:val="20"/>
                <w:szCs w:val="20"/>
                <w:color w:val="auto"/>
              </w:rPr>
            </w:pPr>
            <w:r>
              <w:rPr>
                <w:rFonts w:ascii="Arial" w:cs="Arial" w:eastAsia="Arial" w:hAnsi="Arial"/>
                <w:sz w:val="13"/>
                <w:szCs w:val="13"/>
                <w:color w:val="333333"/>
              </w:rPr>
              <w:t>$82,240</w:t>
            </w:r>
          </w:p>
        </w:tc>
        <w:tc>
          <w:tcPr>
            <w:tcW w:w="820" w:type="dxa"/>
            <w:vAlign w:val="bottom"/>
          </w:tcPr>
          <w:p>
            <w:pPr>
              <w:ind w:left="60"/>
              <w:spacing w:after="0"/>
              <w:rPr>
                <w:sz w:val="20"/>
                <w:szCs w:val="20"/>
                <w:color w:val="auto"/>
              </w:rPr>
            </w:pPr>
            <w:r>
              <w:rPr>
                <w:rFonts w:ascii="Arial" w:cs="Arial" w:eastAsia="Arial" w:hAnsi="Arial"/>
                <w:sz w:val="13"/>
                <w:szCs w:val="13"/>
                <w:color w:val="333333"/>
              </w:rPr>
              <w:t>—</w:t>
            </w:r>
          </w:p>
        </w:tc>
        <w:tc>
          <w:tcPr>
            <w:tcW w:w="1060" w:type="dxa"/>
            <w:vAlign w:val="bottom"/>
            <w:gridSpan w:val="2"/>
          </w:tcPr>
          <w:p>
            <w:pPr>
              <w:ind w:left="8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-5193030</wp:posOffset>
            </wp:positionV>
            <wp:extent cx="450024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CF1D4C"/>
        </w:rPr>
        <w:t>2023 NAMED EXECUTIVE OFFICER COMPENSATION</w:t>
      </w:r>
    </w:p>
    <w:p>
      <w:pPr>
        <w:spacing w:after="0" w:line="365" w:lineRule="exact"/>
        <w:rPr>
          <w:sz w:val="20"/>
          <w:szCs w:val="20"/>
          <w:color w:val="auto"/>
        </w:rPr>
      </w:pPr>
    </w:p>
    <w:tbl>
      <w:tblPr>
        <w:tblLayout w:type="fixed"/>
        <w:tblInd w:w="640" w:type="dxa"/>
        <w:tblCellMar>
          <w:top w:w="0" w:type="dxa"/>
          <w:left w:w="0" w:type="dxa"/>
          <w:bottom w:w="0" w:type="dxa"/>
          <w:right w:w="0" w:type="dxa"/>
        </w:tblCellMar>
      </w:tblPr>
      <w:tr>
        <w:trPr>
          <w:trHeight w:val="310"/>
        </w:trPr>
        <w:tc>
          <w:tcPr>
            <w:tcW w:w="100" w:type="dxa"/>
            <w:vAlign w:val="bottom"/>
            <w:shd w:val="clear" w:color="auto" w:fill="CF1D4C"/>
          </w:tcPr>
          <w:p>
            <w:pPr>
              <w:spacing w:after="0"/>
              <w:rPr>
                <w:sz w:val="24"/>
                <w:szCs w:val="24"/>
                <w:color w:val="auto"/>
              </w:rPr>
            </w:pPr>
          </w:p>
        </w:tc>
        <w:tc>
          <w:tcPr>
            <w:tcW w:w="700" w:type="dxa"/>
            <w:vAlign w:val="bottom"/>
            <w:shd w:val="clear" w:color="auto" w:fill="CF1D4C"/>
          </w:tcPr>
          <w:p>
            <w:pPr>
              <w:spacing w:after="0"/>
              <w:rPr>
                <w:sz w:val="24"/>
                <w:szCs w:val="24"/>
                <w:color w:val="auto"/>
              </w:rPr>
            </w:pPr>
          </w:p>
        </w:tc>
        <w:tc>
          <w:tcPr>
            <w:tcW w:w="40" w:type="dxa"/>
            <w:vAlign w:val="bottom"/>
            <w:shd w:val="clear" w:color="auto" w:fill="CF1D4C"/>
          </w:tcPr>
          <w:p>
            <w:pPr>
              <w:spacing w:after="0"/>
              <w:rPr>
                <w:sz w:val="24"/>
                <w:szCs w:val="24"/>
                <w:color w:val="auto"/>
              </w:rPr>
            </w:pPr>
          </w:p>
        </w:tc>
        <w:tc>
          <w:tcPr>
            <w:tcW w:w="680" w:type="dxa"/>
            <w:vAlign w:val="bottom"/>
            <w:shd w:val="clear" w:color="auto" w:fill="CF1D4C"/>
          </w:tcPr>
          <w:p>
            <w:pPr>
              <w:spacing w:after="0"/>
              <w:rPr>
                <w:sz w:val="24"/>
                <w:szCs w:val="24"/>
                <w:color w:val="auto"/>
              </w:rPr>
            </w:pPr>
          </w:p>
        </w:tc>
        <w:tc>
          <w:tcPr>
            <w:tcW w:w="80" w:type="dxa"/>
            <w:vAlign w:val="bottom"/>
            <w:shd w:val="clear" w:color="auto" w:fill="CF1D4C"/>
          </w:tcPr>
          <w:p>
            <w:pPr>
              <w:spacing w:after="0"/>
              <w:rPr>
                <w:sz w:val="24"/>
                <w:szCs w:val="24"/>
                <w:color w:val="auto"/>
              </w:rPr>
            </w:pPr>
          </w:p>
        </w:tc>
        <w:tc>
          <w:tcPr>
            <w:tcW w:w="740" w:type="dxa"/>
            <w:vAlign w:val="bottom"/>
            <w:shd w:val="clear" w:color="auto" w:fill="CF1D4C"/>
          </w:tcPr>
          <w:p>
            <w:pPr>
              <w:spacing w:after="0"/>
              <w:rPr>
                <w:sz w:val="24"/>
                <w:szCs w:val="24"/>
                <w:color w:val="auto"/>
              </w:rPr>
            </w:pPr>
          </w:p>
        </w:tc>
        <w:tc>
          <w:tcPr>
            <w:tcW w:w="80" w:type="dxa"/>
            <w:vAlign w:val="bottom"/>
            <w:shd w:val="clear" w:color="auto" w:fill="CF1D4C"/>
          </w:tcPr>
          <w:p>
            <w:pPr>
              <w:spacing w:after="0"/>
              <w:rPr>
                <w:sz w:val="24"/>
                <w:szCs w:val="24"/>
                <w:color w:val="auto"/>
              </w:rPr>
            </w:pPr>
          </w:p>
        </w:tc>
        <w:tc>
          <w:tcPr>
            <w:tcW w:w="1700" w:type="dxa"/>
            <w:vAlign w:val="bottom"/>
            <w:gridSpan w:val="4"/>
            <w:shd w:val="clear" w:color="auto" w:fill="CF1D4C"/>
          </w:tcPr>
          <w:p>
            <w:pPr>
              <w:ind w:left="640"/>
              <w:spacing w:after="0"/>
              <w:rPr>
                <w:sz w:val="20"/>
                <w:szCs w:val="20"/>
                <w:color w:val="auto"/>
              </w:rPr>
            </w:pPr>
            <w:r>
              <w:rPr>
                <w:rFonts w:ascii="Arial" w:cs="Arial" w:eastAsia="Arial" w:hAnsi="Arial"/>
                <w:sz w:val="11"/>
                <w:szCs w:val="11"/>
                <w:b w:val="1"/>
                <w:bCs w:val="1"/>
                <w:color w:val="FFFFFF"/>
              </w:rPr>
              <w:t>OPTION AWARDS</w:t>
            </w:r>
          </w:p>
        </w:tc>
        <w:tc>
          <w:tcPr>
            <w:tcW w:w="80" w:type="dxa"/>
            <w:vAlign w:val="bottom"/>
            <w:shd w:val="clear" w:color="auto" w:fill="CF1D4C"/>
          </w:tcPr>
          <w:p>
            <w:pPr>
              <w:spacing w:after="0"/>
              <w:rPr>
                <w:sz w:val="24"/>
                <w:szCs w:val="24"/>
                <w:color w:val="auto"/>
              </w:rPr>
            </w:pPr>
          </w:p>
        </w:tc>
        <w:tc>
          <w:tcPr>
            <w:tcW w:w="460" w:type="dxa"/>
            <w:vAlign w:val="bottom"/>
            <w:shd w:val="clear" w:color="auto" w:fill="CF1D4C"/>
          </w:tcPr>
          <w:p>
            <w:pPr>
              <w:spacing w:after="0"/>
              <w:rPr>
                <w:sz w:val="24"/>
                <w:szCs w:val="24"/>
                <w:color w:val="auto"/>
              </w:rPr>
            </w:pPr>
          </w:p>
        </w:tc>
        <w:tc>
          <w:tcPr>
            <w:tcW w:w="40" w:type="dxa"/>
            <w:vAlign w:val="bottom"/>
            <w:shd w:val="clear" w:color="auto" w:fill="CF1D4C"/>
          </w:tcPr>
          <w:p>
            <w:pPr>
              <w:spacing w:after="0"/>
              <w:rPr>
                <w:sz w:val="24"/>
                <w:szCs w:val="24"/>
                <w:color w:val="auto"/>
              </w:rPr>
            </w:pPr>
          </w:p>
        </w:tc>
        <w:tc>
          <w:tcPr>
            <w:tcW w:w="720" w:type="dxa"/>
            <w:vAlign w:val="bottom"/>
            <w:shd w:val="clear" w:color="auto" w:fill="CF1D4C"/>
          </w:tcPr>
          <w:p>
            <w:pPr>
              <w:spacing w:after="0"/>
              <w:rPr>
                <w:sz w:val="24"/>
                <w:szCs w:val="24"/>
                <w:color w:val="auto"/>
              </w:rPr>
            </w:pPr>
          </w:p>
        </w:tc>
        <w:tc>
          <w:tcPr>
            <w:tcW w:w="640" w:type="dxa"/>
            <w:vAlign w:val="bottom"/>
            <w:shd w:val="clear" w:color="auto" w:fill="CF1D4C"/>
          </w:tcPr>
          <w:p>
            <w:pPr>
              <w:spacing w:after="0"/>
              <w:rPr>
                <w:sz w:val="24"/>
                <w:szCs w:val="24"/>
                <w:color w:val="auto"/>
              </w:rPr>
            </w:pPr>
          </w:p>
        </w:tc>
        <w:tc>
          <w:tcPr>
            <w:tcW w:w="1500" w:type="dxa"/>
            <w:vAlign w:val="bottom"/>
            <w:gridSpan w:val="2"/>
            <w:shd w:val="clear" w:color="auto" w:fill="CF1D4C"/>
          </w:tcPr>
          <w:p>
            <w:pPr>
              <w:ind w:left="500"/>
              <w:spacing w:after="0"/>
              <w:rPr>
                <w:sz w:val="20"/>
                <w:szCs w:val="20"/>
                <w:color w:val="auto"/>
              </w:rPr>
            </w:pPr>
            <w:r>
              <w:rPr>
                <w:rFonts w:ascii="Arial" w:cs="Arial" w:eastAsia="Arial" w:hAnsi="Arial"/>
                <w:sz w:val="11"/>
                <w:szCs w:val="11"/>
                <w:b w:val="1"/>
                <w:bCs w:val="1"/>
                <w:color w:val="FFFFFF"/>
              </w:rPr>
              <w:t>STOCK AWARDS</w:t>
            </w:r>
          </w:p>
        </w:tc>
        <w:tc>
          <w:tcPr>
            <w:tcW w:w="960" w:type="dxa"/>
            <w:vAlign w:val="bottom"/>
            <w:shd w:val="clear" w:color="auto" w:fill="CF1D4C"/>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00" w:type="dxa"/>
            <w:vAlign w:val="bottom"/>
            <w:shd w:val="clear" w:color="auto" w:fill="CF1D4C"/>
          </w:tcPr>
          <w:p>
            <w:pPr>
              <w:spacing w:after="0"/>
              <w:rPr>
                <w:sz w:val="24"/>
                <w:szCs w:val="24"/>
                <w:color w:val="auto"/>
              </w:rPr>
            </w:pPr>
          </w:p>
        </w:tc>
        <w:tc>
          <w:tcPr>
            <w:tcW w:w="700" w:type="dxa"/>
            <w:vAlign w:val="bottom"/>
            <w:shd w:val="clear" w:color="auto" w:fill="CF1D4C"/>
          </w:tcPr>
          <w:p>
            <w:pPr>
              <w:spacing w:after="0"/>
              <w:rPr>
                <w:sz w:val="24"/>
                <w:szCs w:val="24"/>
                <w:color w:val="auto"/>
              </w:rPr>
            </w:pPr>
          </w:p>
        </w:tc>
        <w:tc>
          <w:tcPr>
            <w:tcW w:w="40" w:type="dxa"/>
            <w:vAlign w:val="bottom"/>
            <w:shd w:val="clear" w:color="auto" w:fill="CF1D4C"/>
          </w:tcPr>
          <w:p>
            <w:pPr>
              <w:spacing w:after="0"/>
              <w:rPr>
                <w:sz w:val="24"/>
                <w:szCs w:val="24"/>
                <w:color w:val="auto"/>
              </w:rPr>
            </w:pPr>
          </w:p>
        </w:tc>
        <w:tc>
          <w:tcPr>
            <w:tcW w:w="680" w:type="dxa"/>
            <w:vAlign w:val="bottom"/>
            <w:shd w:val="clear" w:color="auto" w:fill="CF1D4C"/>
          </w:tcPr>
          <w:p>
            <w:pPr>
              <w:spacing w:after="0"/>
              <w:rPr>
                <w:sz w:val="24"/>
                <w:szCs w:val="24"/>
                <w:color w:val="auto"/>
              </w:rPr>
            </w:pPr>
          </w:p>
        </w:tc>
        <w:tc>
          <w:tcPr>
            <w:tcW w:w="80" w:type="dxa"/>
            <w:vAlign w:val="bottom"/>
            <w:shd w:val="clear" w:color="auto" w:fill="CF1D4C"/>
          </w:tcPr>
          <w:p>
            <w:pPr>
              <w:spacing w:after="0"/>
              <w:rPr>
                <w:sz w:val="24"/>
                <w:szCs w:val="24"/>
                <w:color w:val="auto"/>
              </w:rPr>
            </w:pPr>
          </w:p>
        </w:tc>
        <w:tc>
          <w:tcPr>
            <w:tcW w:w="740" w:type="dxa"/>
            <w:vAlign w:val="bottom"/>
            <w:shd w:val="clear" w:color="auto" w:fill="CF1D4C"/>
          </w:tcPr>
          <w:p>
            <w:pPr>
              <w:spacing w:after="0"/>
              <w:rPr>
                <w:sz w:val="24"/>
                <w:szCs w:val="24"/>
                <w:color w:val="auto"/>
              </w:rPr>
            </w:pPr>
          </w:p>
        </w:tc>
        <w:tc>
          <w:tcPr>
            <w:tcW w:w="80" w:type="dxa"/>
            <w:vAlign w:val="bottom"/>
            <w:shd w:val="clear" w:color="auto" w:fill="CF1D4C"/>
          </w:tcPr>
          <w:p>
            <w:pPr>
              <w:spacing w:after="0"/>
              <w:rPr>
                <w:sz w:val="24"/>
                <w:szCs w:val="24"/>
                <w:color w:val="auto"/>
              </w:rPr>
            </w:pPr>
          </w:p>
        </w:tc>
        <w:tc>
          <w:tcPr>
            <w:tcW w:w="880" w:type="dxa"/>
            <w:vAlign w:val="bottom"/>
            <w:shd w:val="clear" w:color="auto" w:fill="CF1D4C"/>
          </w:tcPr>
          <w:p>
            <w:pPr>
              <w:spacing w:after="0"/>
              <w:rPr>
                <w:sz w:val="24"/>
                <w:szCs w:val="24"/>
                <w:color w:val="auto"/>
              </w:rPr>
            </w:pPr>
          </w:p>
        </w:tc>
        <w:tc>
          <w:tcPr>
            <w:tcW w:w="40" w:type="dxa"/>
            <w:vAlign w:val="bottom"/>
            <w:shd w:val="clear" w:color="auto" w:fill="CF1D4C"/>
          </w:tcPr>
          <w:p>
            <w:pPr>
              <w:spacing w:after="0"/>
              <w:rPr>
                <w:sz w:val="24"/>
                <w:szCs w:val="24"/>
                <w:color w:val="auto"/>
              </w:rPr>
            </w:pPr>
          </w:p>
        </w:tc>
        <w:tc>
          <w:tcPr>
            <w:tcW w:w="600" w:type="dxa"/>
            <w:vAlign w:val="bottom"/>
            <w:shd w:val="clear" w:color="auto" w:fill="CF1D4C"/>
          </w:tcPr>
          <w:p>
            <w:pPr>
              <w:spacing w:after="0"/>
              <w:rPr>
                <w:sz w:val="24"/>
                <w:szCs w:val="24"/>
                <w:color w:val="auto"/>
              </w:rPr>
            </w:pPr>
          </w:p>
        </w:tc>
        <w:tc>
          <w:tcPr>
            <w:tcW w:w="180" w:type="dxa"/>
            <w:vAlign w:val="bottom"/>
            <w:shd w:val="clear" w:color="auto" w:fill="CF1D4C"/>
          </w:tcPr>
          <w:p>
            <w:pPr>
              <w:spacing w:after="0"/>
              <w:rPr>
                <w:sz w:val="24"/>
                <w:szCs w:val="24"/>
                <w:color w:val="auto"/>
              </w:rPr>
            </w:pPr>
          </w:p>
        </w:tc>
        <w:tc>
          <w:tcPr>
            <w:tcW w:w="80" w:type="dxa"/>
            <w:vAlign w:val="bottom"/>
            <w:shd w:val="clear" w:color="auto" w:fill="CF1D4C"/>
          </w:tcPr>
          <w:p>
            <w:pPr>
              <w:spacing w:after="0"/>
              <w:rPr>
                <w:sz w:val="24"/>
                <w:szCs w:val="24"/>
                <w:color w:val="auto"/>
              </w:rPr>
            </w:pPr>
          </w:p>
        </w:tc>
        <w:tc>
          <w:tcPr>
            <w:tcW w:w="460" w:type="dxa"/>
            <w:vAlign w:val="bottom"/>
            <w:shd w:val="clear" w:color="auto" w:fill="CF1D4C"/>
          </w:tcPr>
          <w:p>
            <w:pPr>
              <w:spacing w:after="0"/>
              <w:rPr>
                <w:sz w:val="24"/>
                <w:szCs w:val="24"/>
                <w:color w:val="auto"/>
              </w:rPr>
            </w:pPr>
          </w:p>
        </w:tc>
        <w:tc>
          <w:tcPr>
            <w:tcW w:w="40" w:type="dxa"/>
            <w:vAlign w:val="bottom"/>
            <w:shd w:val="clear" w:color="auto" w:fill="CF1D4C"/>
          </w:tcPr>
          <w:p>
            <w:pPr>
              <w:spacing w:after="0"/>
              <w:rPr>
                <w:sz w:val="24"/>
                <w:szCs w:val="24"/>
                <w:color w:val="auto"/>
              </w:rPr>
            </w:pPr>
          </w:p>
        </w:tc>
        <w:tc>
          <w:tcPr>
            <w:tcW w:w="720" w:type="dxa"/>
            <w:vAlign w:val="bottom"/>
            <w:shd w:val="clear" w:color="auto" w:fill="CF1D4C"/>
          </w:tcPr>
          <w:p>
            <w:pPr>
              <w:spacing w:after="0"/>
              <w:rPr>
                <w:sz w:val="24"/>
                <w:szCs w:val="24"/>
                <w:color w:val="auto"/>
              </w:rPr>
            </w:pPr>
          </w:p>
        </w:tc>
        <w:tc>
          <w:tcPr>
            <w:tcW w:w="640" w:type="dxa"/>
            <w:vAlign w:val="bottom"/>
            <w:shd w:val="clear" w:color="auto" w:fill="CF1D4C"/>
          </w:tcPr>
          <w:p>
            <w:pPr>
              <w:spacing w:after="0"/>
              <w:rPr>
                <w:sz w:val="24"/>
                <w:szCs w:val="24"/>
                <w:color w:val="auto"/>
              </w:rPr>
            </w:pPr>
          </w:p>
        </w:tc>
        <w:tc>
          <w:tcPr>
            <w:tcW w:w="660" w:type="dxa"/>
            <w:vAlign w:val="bottom"/>
            <w:shd w:val="clear" w:color="auto" w:fill="CF1D4C"/>
          </w:tcPr>
          <w:p>
            <w:pPr>
              <w:spacing w:after="0"/>
              <w:rPr>
                <w:sz w:val="24"/>
                <w:szCs w:val="24"/>
                <w:color w:val="auto"/>
              </w:rPr>
            </w:pPr>
          </w:p>
        </w:tc>
        <w:tc>
          <w:tcPr>
            <w:tcW w:w="840" w:type="dxa"/>
            <w:vAlign w:val="bottom"/>
            <w:shd w:val="clear" w:color="auto" w:fill="CF1D4C"/>
          </w:tcPr>
          <w:p>
            <w:pPr>
              <w:ind w:left="100"/>
              <w:spacing w:after="0"/>
              <w:rPr>
                <w:sz w:val="20"/>
                <w:szCs w:val="20"/>
                <w:color w:val="auto"/>
              </w:rPr>
            </w:pPr>
            <w:r>
              <w:rPr>
                <w:rFonts w:ascii="Arial" w:cs="Arial" w:eastAsia="Arial" w:hAnsi="Arial"/>
                <w:sz w:val="11"/>
                <w:szCs w:val="11"/>
                <w:b w:val="1"/>
                <w:bCs w:val="1"/>
                <w:color w:val="FFFFFF"/>
              </w:rPr>
              <w:t>Equity</w:t>
            </w:r>
          </w:p>
        </w:tc>
        <w:tc>
          <w:tcPr>
            <w:tcW w:w="960" w:type="dxa"/>
            <w:vAlign w:val="bottom"/>
            <w:shd w:val="clear" w:color="auto" w:fill="CF1D4C"/>
          </w:tcPr>
          <w:p>
            <w:pPr>
              <w:ind w:left="60"/>
              <w:spacing w:after="0"/>
              <w:rPr>
                <w:sz w:val="20"/>
                <w:szCs w:val="20"/>
                <w:color w:val="auto"/>
              </w:rPr>
            </w:pPr>
            <w:r>
              <w:rPr>
                <w:rFonts w:ascii="Arial" w:cs="Arial" w:eastAsia="Arial" w:hAnsi="Arial"/>
                <w:sz w:val="11"/>
                <w:szCs w:val="11"/>
                <w:b w:val="1"/>
                <w:bCs w:val="1"/>
                <w:color w:val="FFFFFF"/>
              </w:rPr>
              <w:t>Equity</w:t>
            </w:r>
          </w:p>
        </w:tc>
        <w:tc>
          <w:tcPr>
            <w:tcW w:w="0" w:type="dxa"/>
            <w:vAlign w:val="bottom"/>
          </w:tcPr>
          <w:p>
            <w:pPr>
              <w:spacing w:after="0"/>
              <w:rPr>
                <w:sz w:val="1"/>
                <w:szCs w:val="1"/>
                <w:color w:val="auto"/>
              </w:rPr>
            </w:pPr>
          </w:p>
        </w:tc>
      </w:tr>
      <w:tr>
        <w:trPr>
          <w:trHeight w:val="121"/>
        </w:trPr>
        <w:tc>
          <w:tcPr>
            <w:tcW w:w="100" w:type="dxa"/>
            <w:vAlign w:val="bottom"/>
            <w:shd w:val="clear" w:color="auto" w:fill="CF1D4C"/>
          </w:tcPr>
          <w:p>
            <w:pPr>
              <w:spacing w:after="0"/>
              <w:rPr>
                <w:sz w:val="10"/>
                <w:szCs w:val="10"/>
                <w:color w:val="auto"/>
              </w:rPr>
            </w:pPr>
          </w:p>
        </w:tc>
        <w:tc>
          <w:tcPr>
            <w:tcW w:w="700" w:type="dxa"/>
            <w:vAlign w:val="bottom"/>
            <w:shd w:val="clear" w:color="auto" w:fill="CF1D4C"/>
          </w:tcPr>
          <w:p>
            <w:pPr>
              <w:spacing w:after="0"/>
              <w:rPr>
                <w:sz w:val="10"/>
                <w:szCs w:val="10"/>
                <w:color w:val="auto"/>
              </w:rPr>
            </w:pPr>
          </w:p>
        </w:tc>
        <w:tc>
          <w:tcPr>
            <w:tcW w:w="40" w:type="dxa"/>
            <w:vAlign w:val="bottom"/>
            <w:shd w:val="clear" w:color="auto" w:fill="CF1D4C"/>
          </w:tcPr>
          <w:p>
            <w:pPr>
              <w:spacing w:after="0"/>
              <w:rPr>
                <w:sz w:val="10"/>
                <w:szCs w:val="10"/>
                <w:color w:val="auto"/>
              </w:rPr>
            </w:pPr>
          </w:p>
        </w:tc>
        <w:tc>
          <w:tcPr>
            <w:tcW w:w="680" w:type="dxa"/>
            <w:vAlign w:val="bottom"/>
            <w:shd w:val="clear" w:color="auto" w:fill="CF1D4C"/>
          </w:tcPr>
          <w:p>
            <w:pPr>
              <w:spacing w:after="0"/>
              <w:rPr>
                <w:sz w:val="10"/>
                <w:szCs w:val="10"/>
                <w:color w:val="auto"/>
              </w:rPr>
            </w:pPr>
          </w:p>
        </w:tc>
        <w:tc>
          <w:tcPr>
            <w:tcW w:w="80" w:type="dxa"/>
            <w:vAlign w:val="bottom"/>
            <w:shd w:val="clear" w:color="auto" w:fill="CF1D4C"/>
          </w:tcPr>
          <w:p>
            <w:pPr>
              <w:spacing w:after="0"/>
              <w:rPr>
                <w:sz w:val="10"/>
                <w:szCs w:val="10"/>
                <w:color w:val="auto"/>
              </w:rPr>
            </w:pPr>
          </w:p>
        </w:tc>
        <w:tc>
          <w:tcPr>
            <w:tcW w:w="740" w:type="dxa"/>
            <w:vAlign w:val="bottom"/>
            <w:shd w:val="clear" w:color="auto" w:fill="CF1D4C"/>
          </w:tcPr>
          <w:p>
            <w:pPr>
              <w:spacing w:after="0"/>
              <w:rPr>
                <w:sz w:val="10"/>
                <w:szCs w:val="10"/>
                <w:color w:val="auto"/>
              </w:rPr>
            </w:pPr>
          </w:p>
        </w:tc>
        <w:tc>
          <w:tcPr>
            <w:tcW w:w="80" w:type="dxa"/>
            <w:vAlign w:val="bottom"/>
            <w:shd w:val="clear" w:color="auto" w:fill="CF1D4C"/>
          </w:tcPr>
          <w:p>
            <w:pPr>
              <w:spacing w:after="0"/>
              <w:rPr>
                <w:sz w:val="10"/>
                <w:szCs w:val="10"/>
                <w:color w:val="auto"/>
              </w:rPr>
            </w:pPr>
          </w:p>
        </w:tc>
        <w:tc>
          <w:tcPr>
            <w:tcW w:w="880" w:type="dxa"/>
            <w:vAlign w:val="bottom"/>
            <w:shd w:val="clear" w:color="auto" w:fill="CF1D4C"/>
          </w:tcPr>
          <w:p>
            <w:pPr>
              <w:spacing w:after="0"/>
              <w:rPr>
                <w:sz w:val="10"/>
                <w:szCs w:val="10"/>
                <w:color w:val="auto"/>
              </w:rPr>
            </w:pPr>
          </w:p>
        </w:tc>
        <w:tc>
          <w:tcPr>
            <w:tcW w:w="40" w:type="dxa"/>
            <w:vAlign w:val="bottom"/>
            <w:shd w:val="clear" w:color="auto" w:fill="CF1D4C"/>
          </w:tcPr>
          <w:p>
            <w:pPr>
              <w:spacing w:after="0"/>
              <w:rPr>
                <w:sz w:val="10"/>
                <w:szCs w:val="10"/>
                <w:color w:val="auto"/>
              </w:rPr>
            </w:pPr>
          </w:p>
        </w:tc>
        <w:tc>
          <w:tcPr>
            <w:tcW w:w="600" w:type="dxa"/>
            <w:vAlign w:val="bottom"/>
            <w:shd w:val="clear" w:color="auto" w:fill="CF1D4C"/>
          </w:tcPr>
          <w:p>
            <w:pPr>
              <w:ind w:left="40"/>
              <w:spacing w:after="0" w:line="122" w:lineRule="exact"/>
              <w:rPr>
                <w:sz w:val="20"/>
                <w:szCs w:val="20"/>
                <w:color w:val="auto"/>
              </w:rPr>
            </w:pPr>
            <w:r>
              <w:rPr>
                <w:rFonts w:ascii="Arial" w:cs="Arial" w:eastAsia="Arial" w:hAnsi="Arial"/>
                <w:sz w:val="11"/>
                <w:szCs w:val="11"/>
                <w:b w:val="1"/>
                <w:bCs w:val="1"/>
                <w:color w:val="FFFFFF"/>
              </w:rPr>
              <w:t>Equity</w:t>
            </w:r>
          </w:p>
        </w:tc>
        <w:tc>
          <w:tcPr>
            <w:tcW w:w="180" w:type="dxa"/>
            <w:vAlign w:val="bottom"/>
            <w:shd w:val="clear" w:color="auto" w:fill="CF1D4C"/>
          </w:tcPr>
          <w:p>
            <w:pPr>
              <w:spacing w:after="0"/>
              <w:rPr>
                <w:sz w:val="10"/>
                <w:szCs w:val="10"/>
                <w:color w:val="auto"/>
              </w:rPr>
            </w:pPr>
          </w:p>
        </w:tc>
        <w:tc>
          <w:tcPr>
            <w:tcW w:w="80" w:type="dxa"/>
            <w:vAlign w:val="bottom"/>
            <w:shd w:val="clear" w:color="auto" w:fill="CF1D4C"/>
          </w:tcPr>
          <w:p>
            <w:pPr>
              <w:spacing w:after="0"/>
              <w:rPr>
                <w:sz w:val="10"/>
                <w:szCs w:val="10"/>
                <w:color w:val="auto"/>
              </w:rPr>
            </w:pPr>
          </w:p>
        </w:tc>
        <w:tc>
          <w:tcPr>
            <w:tcW w:w="460" w:type="dxa"/>
            <w:vAlign w:val="bottom"/>
            <w:shd w:val="clear" w:color="auto" w:fill="CF1D4C"/>
          </w:tcPr>
          <w:p>
            <w:pPr>
              <w:spacing w:after="0"/>
              <w:rPr>
                <w:sz w:val="10"/>
                <w:szCs w:val="10"/>
                <w:color w:val="auto"/>
              </w:rPr>
            </w:pPr>
          </w:p>
        </w:tc>
        <w:tc>
          <w:tcPr>
            <w:tcW w:w="40" w:type="dxa"/>
            <w:vAlign w:val="bottom"/>
            <w:shd w:val="clear" w:color="auto" w:fill="CF1D4C"/>
          </w:tcPr>
          <w:p>
            <w:pPr>
              <w:spacing w:after="0"/>
              <w:rPr>
                <w:sz w:val="10"/>
                <w:szCs w:val="10"/>
                <w:color w:val="auto"/>
              </w:rPr>
            </w:pPr>
          </w:p>
        </w:tc>
        <w:tc>
          <w:tcPr>
            <w:tcW w:w="720" w:type="dxa"/>
            <w:vAlign w:val="bottom"/>
            <w:shd w:val="clear" w:color="auto" w:fill="CF1D4C"/>
          </w:tcPr>
          <w:p>
            <w:pPr>
              <w:spacing w:after="0"/>
              <w:rPr>
                <w:sz w:val="10"/>
                <w:szCs w:val="10"/>
                <w:color w:val="auto"/>
              </w:rPr>
            </w:pPr>
          </w:p>
        </w:tc>
        <w:tc>
          <w:tcPr>
            <w:tcW w:w="640" w:type="dxa"/>
            <w:vAlign w:val="bottom"/>
            <w:vMerge w:val="restart"/>
            <w:shd w:val="clear" w:color="auto" w:fill="CF1D4C"/>
          </w:tcPr>
          <w:p>
            <w:pPr>
              <w:ind w:left="80"/>
              <w:spacing w:after="0"/>
              <w:rPr>
                <w:sz w:val="20"/>
                <w:szCs w:val="20"/>
                <w:color w:val="auto"/>
              </w:rPr>
            </w:pPr>
            <w:r>
              <w:rPr>
                <w:rFonts w:ascii="Arial" w:cs="Arial" w:eastAsia="Arial" w:hAnsi="Arial"/>
                <w:sz w:val="11"/>
                <w:szCs w:val="11"/>
                <w:b w:val="1"/>
                <w:bCs w:val="1"/>
                <w:color w:val="FFFFFF"/>
              </w:rPr>
              <w:t>Number</w:t>
            </w:r>
          </w:p>
        </w:tc>
        <w:tc>
          <w:tcPr>
            <w:tcW w:w="660" w:type="dxa"/>
            <w:vAlign w:val="bottom"/>
            <w:vMerge w:val="restart"/>
            <w:shd w:val="clear" w:color="auto" w:fill="CF1D4C"/>
          </w:tcPr>
          <w:p>
            <w:pPr>
              <w:ind w:left="40"/>
              <w:spacing w:after="0"/>
              <w:rPr>
                <w:sz w:val="20"/>
                <w:szCs w:val="20"/>
                <w:color w:val="auto"/>
              </w:rPr>
            </w:pPr>
            <w:r>
              <w:rPr>
                <w:rFonts w:ascii="Arial" w:cs="Arial" w:eastAsia="Arial" w:hAnsi="Arial"/>
                <w:sz w:val="11"/>
                <w:szCs w:val="11"/>
                <w:b w:val="1"/>
                <w:bCs w:val="1"/>
                <w:color w:val="FFFFFF"/>
              </w:rPr>
              <w:t>Market</w:t>
            </w:r>
          </w:p>
        </w:tc>
        <w:tc>
          <w:tcPr>
            <w:tcW w:w="840" w:type="dxa"/>
            <w:vAlign w:val="bottom"/>
            <w:shd w:val="clear" w:color="auto" w:fill="CF1D4C"/>
          </w:tcPr>
          <w:p>
            <w:pPr>
              <w:ind w:left="100"/>
              <w:spacing w:after="0" w:line="122" w:lineRule="exact"/>
              <w:rPr>
                <w:sz w:val="20"/>
                <w:szCs w:val="20"/>
                <w:color w:val="auto"/>
              </w:rPr>
            </w:pPr>
            <w:r>
              <w:rPr>
                <w:rFonts w:ascii="Arial" w:cs="Arial" w:eastAsia="Arial" w:hAnsi="Arial"/>
                <w:sz w:val="11"/>
                <w:szCs w:val="11"/>
                <w:b w:val="1"/>
                <w:bCs w:val="1"/>
                <w:color w:val="FFFFFF"/>
              </w:rPr>
              <w:t>Incentive</w:t>
            </w:r>
          </w:p>
        </w:tc>
        <w:tc>
          <w:tcPr>
            <w:tcW w:w="960" w:type="dxa"/>
            <w:vAlign w:val="bottom"/>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Incentive</w:t>
            </w:r>
          </w:p>
        </w:tc>
        <w:tc>
          <w:tcPr>
            <w:tcW w:w="0" w:type="dxa"/>
            <w:vAlign w:val="bottom"/>
          </w:tcPr>
          <w:p>
            <w:pPr>
              <w:spacing w:after="0"/>
              <w:rPr>
                <w:sz w:val="1"/>
                <w:szCs w:val="1"/>
                <w:color w:val="auto"/>
              </w:rPr>
            </w:pPr>
          </w:p>
        </w:tc>
      </w:tr>
      <w:tr>
        <w:trPr>
          <w:trHeight w:val="54"/>
        </w:trPr>
        <w:tc>
          <w:tcPr>
            <w:tcW w:w="100" w:type="dxa"/>
            <w:vAlign w:val="bottom"/>
            <w:shd w:val="clear" w:color="auto" w:fill="CF1D4C"/>
          </w:tcPr>
          <w:p>
            <w:pPr>
              <w:spacing w:after="0"/>
              <w:rPr>
                <w:sz w:val="4"/>
                <w:szCs w:val="4"/>
                <w:color w:val="auto"/>
              </w:rPr>
            </w:pPr>
          </w:p>
        </w:tc>
        <w:tc>
          <w:tcPr>
            <w:tcW w:w="70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680" w:type="dxa"/>
            <w:vAlign w:val="bottom"/>
            <w:shd w:val="clear" w:color="auto" w:fill="CF1D4C"/>
          </w:tcPr>
          <w:p>
            <w:pPr>
              <w:spacing w:after="0"/>
              <w:rPr>
                <w:sz w:val="4"/>
                <w:szCs w:val="4"/>
                <w:color w:val="auto"/>
              </w:rPr>
            </w:pPr>
          </w:p>
        </w:tc>
        <w:tc>
          <w:tcPr>
            <w:tcW w:w="80" w:type="dxa"/>
            <w:vAlign w:val="bottom"/>
            <w:shd w:val="clear" w:color="auto" w:fill="CF1D4C"/>
          </w:tcPr>
          <w:p>
            <w:pPr>
              <w:spacing w:after="0"/>
              <w:rPr>
                <w:sz w:val="4"/>
                <w:szCs w:val="4"/>
                <w:color w:val="auto"/>
              </w:rPr>
            </w:pPr>
          </w:p>
        </w:tc>
        <w:tc>
          <w:tcPr>
            <w:tcW w:w="740" w:type="dxa"/>
            <w:vAlign w:val="bottom"/>
            <w:shd w:val="clear" w:color="auto" w:fill="CF1D4C"/>
          </w:tcPr>
          <w:p>
            <w:pPr>
              <w:spacing w:after="0"/>
              <w:rPr>
                <w:sz w:val="4"/>
                <w:szCs w:val="4"/>
                <w:color w:val="auto"/>
              </w:rPr>
            </w:pPr>
          </w:p>
        </w:tc>
        <w:tc>
          <w:tcPr>
            <w:tcW w:w="80" w:type="dxa"/>
            <w:vAlign w:val="bottom"/>
            <w:shd w:val="clear" w:color="auto" w:fill="CF1D4C"/>
          </w:tcPr>
          <w:p>
            <w:pPr>
              <w:spacing w:after="0"/>
              <w:rPr>
                <w:sz w:val="4"/>
                <w:szCs w:val="4"/>
                <w:color w:val="auto"/>
              </w:rPr>
            </w:pPr>
          </w:p>
        </w:tc>
        <w:tc>
          <w:tcPr>
            <w:tcW w:w="88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600" w:type="dxa"/>
            <w:vAlign w:val="bottom"/>
            <w:vMerge w:val="restart"/>
            <w:shd w:val="clear" w:color="auto" w:fill="CF1D4C"/>
          </w:tcPr>
          <w:p>
            <w:pPr>
              <w:ind w:left="40"/>
              <w:spacing w:after="0" w:line="122" w:lineRule="exact"/>
              <w:rPr>
                <w:sz w:val="20"/>
                <w:szCs w:val="20"/>
                <w:color w:val="auto"/>
              </w:rPr>
            </w:pPr>
            <w:r>
              <w:rPr>
                <w:rFonts w:ascii="Arial" w:cs="Arial" w:eastAsia="Arial" w:hAnsi="Arial"/>
                <w:sz w:val="11"/>
                <w:szCs w:val="11"/>
                <w:b w:val="1"/>
                <w:bCs w:val="1"/>
                <w:color w:val="FFFFFF"/>
              </w:rPr>
              <w:t>Incentive</w:t>
            </w:r>
          </w:p>
        </w:tc>
        <w:tc>
          <w:tcPr>
            <w:tcW w:w="180" w:type="dxa"/>
            <w:vAlign w:val="bottom"/>
            <w:shd w:val="clear" w:color="auto" w:fill="CF1D4C"/>
          </w:tcPr>
          <w:p>
            <w:pPr>
              <w:spacing w:after="0"/>
              <w:rPr>
                <w:sz w:val="4"/>
                <w:szCs w:val="4"/>
                <w:color w:val="auto"/>
              </w:rPr>
            </w:pPr>
          </w:p>
        </w:tc>
        <w:tc>
          <w:tcPr>
            <w:tcW w:w="80" w:type="dxa"/>
            <w:vAlign w:val="bottom"/>
            <w:shd w:val="clear" w:color="auto" w:fill="CF1D4C"/>
          </w:tcPr>
          <w:p>
            <w:pPr>
              <w:spacing w:after="0"/>
              <w:rPr>
                <w:sz w:val="4"/>
                <w:szCs w:val="4"/>
                <w:color w:val="auto"/>
              </w:rPr>
            </w:pPr>
          </w:p>
        </w:tc>
        <w:tc>
          <w:tcPr>
            <w:tcW w:w="46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720" w:type="dxa"/>
            <w:vAlign w:val="bottom"/>
            <w:shd w:val="clear" w:color="auto" w:fill="CF1D4C"/>
          </w:tcPr>
          <w:p>
            <w:pPr>
              <w:spacing w:after="0"/>
              <w:rPr>
                <w:sz w:val="4"/>
                <w:szCs w:val="4"/>
                <w:color w:val="auto"/>
              </w:rPr>
            </w:pPr>
          </w:p>
        </w:tc>
        <w:tc>
          <w:tcPr>
            <w:tcW w:w="640" w:type="dxa"/>
            <w:vAlign w:val="bottom"/>
            <w:vMerge w:val="continue"/>
            <w:shd w:val="clear" w:color="auto" w:fill="CF1D4C"/>
          </w:tcPr>
          <w:p>
            <w:pPr>
              <w:spacing w:after="0"/>
              <w:rPr>
                <w:sz w:val="4"/>
                <w:szCs w:val="4"/>
                <w:color w:val="auto"/>
              </w:rPr>
            </w:pPr>
          </w:p>
        </w:tc>
        <w:tc>
          <w:tcPr>
            <w:tcW w:w="660" w:type="dxa"/>
            <w:vAlign w:val="bottom"/>
            <w:vMerge w:val="continue"/>
            <w:shd w:val="clear" w:color="auto" w:fill="CF1D4C"/>
          </w:tcPr>
          <w:p>
            <w:pPr>
              <w:spacing w:after="0"/>
              <w:rPr>
                <w:sz w:val="4"/>
                <w:szCs w:val="4"/>
                <w:color w:val="auto"/>
              </w:rPr>
            </w:pPr>
          </w:p>
        </w:tc>
        <w:tc>
          <w:tcPr>
            <w:tcW w:w="840" w:type="dxa"/>
            <w:vAlign w:val="bottom"/>
            <w:vMerge w:val="restart"/>
            <w:shd w:val="clear" w:color="auto" w:fill="CF1D4C"/>
          </w:tcPr>
          <w:p>
            <w:pPr>
              <w:ind w:left="100"/>
              <w:spacing w:after="0" w:line="122" w:lineRule="exact"/>
              <w:rPr>
                <w:sz w:val="20"/>
                <w:szCs w:val="20"/>
                <w:color w:val="auto"/>
              </w:rPr>
            </w:pPr>
            <w:r>
              <w:rPr>
                <w:rFonts w:ascii="Arial" w:cs="Arial" w:eastAsia="Arial" w:hAnsi="Arial"/>
                <w:sz w:val="11"/>
                <w:szCs w:val="11"/>
                <w:b w:val="1"/>
                <w:bCs w:val="1"/>
                <w:color w:val="FFFFFF"/>
              </w:rPr>
              <w:t>Plan Awards:</w:t>
            </w:r>
          </w:p>
        </w:tc>
        <w:tc>
          <w:tcPr>
            <w:tcW w:w="960" w:type="dxa"/>
            <w:vAlign w:val="bottom"/>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Plan Awards:</w:t>
            </w:r>
          </w:p>
        </w:tc>
        <w:tc>
          <w:tcPr>
            <w:tcW w:w="0" w:type="dxa"/>
            <w:vAlign w:val="bottom"/>
          </w:tcPr>
          <w:p>
            <w:pPr>
              <w:spacing w:after="0"/>
              <w:rPr>
                <w:sz w:val="1"/>
                <w:szCs w:val="1"/>
                <w:color w:val="auto"/>
              </w:rPr>
            </w:pPr>
          </w:p>
        </w:tc>
      </w:tr>
      <w:tr>
        <w:trPr>
          <w:trHeight w:val="68"/>
        </w:trPr>
        <w:tc>
          <w:tcPr>
            <w:tcW w:w="100" w:type="dxa"/>
            <w:vAlign w:val="bottom"/>
            <w:shd w:val="clear" w:color="auto" w:fill="CF1D4C"/>
          </w:tcPr>
          <w:p>
            <w:pPr>
              <w:spacing w:after="0"/>
              <w:rPr>
                <w:sz w:val="5"/>
                <w:szCs w:val="5"/>
                <w:color w:val="auto"/>
              </w:rPr>
            </w:pPr>
          </w:p>
        </w:tc>
        <w:tc>
          <w:tcPr>
            <w:tcW w:w="70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680" w:type="dxa"/>
            <w:vAlign w:val="bottom"/>
            <w:shd w:val="clear" w:color="auto" w:fill="CF1D4C"/>
          </w:tcPr>
          <w:p>
            <w:pPr>
              <w:spacing w:after="0"/>
              <w:rPr>
                <w:sz w:val="5"/>
                <w:szCs w:val="5"/>
                <w:color w:val="auto"/>
              </w:rPr>
            </w:pPr>
          </w:p>
        </w:tc>
        <w:tc>
          <w:tcPr>
            <w:tcW w:w="80" w:type="dxa"/>
            <w:vAlign w:val="bottom"/>
            <w:shd w:val="clear" w:color="auto" w:fill="CF1D4C"/>
          </w:tcPr>
          <w:p>
            <w:pPr>
              <w:spacing w:after="0"/>
              <w:rPr>
                <w:sz w:val="5"/>
                <w:szCs w:val="5"/>
                <w:color w:val="auto"/>
              </w:rPr>
            </w:pPr>
          </w:p>
        </w:tc>
        <w:tc>
          <w:tcPr>
            <w:tcW w:w="740" w:type="dxa"/>
            <w:vAlign w:val="bottom"/>
            <w:vMerge w:val="restart"/>
            <w:shd w:val="clear" w:color="auto" w:fill="CF1D4C"/>
          </w:tcPr>
          <w:p>
            <w:pPr>
              <w:spacing w:after="0" w:line="122" w:lineRule="exact"/>
              <w:rPr>
                <w:sz w:val="20"/>
                <w:szCs w:val="20"/>
                <w:color w:val="auto"/>
              </w:rPr>
            </w:pPr>
            <w:r>
              <w:rPr>
                <w:rFonts w:ascii="Arial" w:cs="Arial" w:eastAsia="Arial" w:hAnsi="Arial"/>
                <w:sz w:val="11"/>
                <w:szCs w:val="11"/>
                <w:b w:val="1"/>
                <w:bCs w:val="1"/>
                <w:color w:val="FFFFFF"/>
              </w:rPr>
              <w:t>Number of</w:t>
            </w:r>
          </w:p>
        </w:tc>
        <w:tc>
          <w:tcPr>
            <w:tcW w:w="80" w:type="dxa"/>
            <w:vAlign w:val="bottom"/>
            <w:shd w:val="clear" w:color="auto" w:fill="CF1D4C"/>
          </w:tcPr>
          <w:p>
            <w:pPr>
              <w:spacing w:after="0"/>
              <w:rPr>
                <w:sz w:val="5"/>
                <w:szCs w:val="5"/>
                <w:color w:val="auto"/>
              </w:rPr>
            </w:pPr>
          </w:p>
        </w:tc>
        <w:tc>
          <w:tcPr>
            <w:tcW w:w="880" w:type="dxa"/>
            <w:vAlign w:val="bottom"/>
            <w:vMerge w:val="restart"/>
            <w:shd w:val="clear" w:color="auto" w:fill="CF1D4C"/>
          </w:tcPr>
          <w:p>
            <w:pPr>
              <w:spacing w:after="0" w:line="122" w:lineRule="exact"/>
              <w:rPr>
                <w:sz w:val="20"/>
                <w:szCs w:val="20"/>
                <w:color w:val="auto"/>
              </w:rPr>
            </w:pPr>
            <w:r>
              <w:rPr>
                <w:rFonts w:ascii="Arial" w:cs="Arial" w:eastAsia="Arial" w:hAnsi="Arial"/>
                <w:sz w:val="11"/>
                <w:szCs w:val="11"/>
                <w:b w:val="1"/>
                <w:bCs w:val="1"/>
                <w:color w:val="FFFFFF"/>
              </w:rPr>
              <w:t>Number of</w:t>
            </w:r>
          </w:p>
        </w:tc>
        <w:tc>
          <w:tcPr>
            <w:tcW w:w="40" w:type="dxa"/>
            <w:vAlign w:val="bottom"/>
            <w:shd w:val="clear" w:color="auto" w:fill="CF1D4C"/>
          </w:tcPr>
          <w:p>
            <w:pPr>
              <w:spacing w:after="0"/>
              <w:rPr>
                <w:sz w:val="5"/>
                <w:szCs w:val="5"/>
                <w:color w:val="auto"/>
              </w:rPr>
            </w:pPr>
          </w:p>
        </w:tc>
        <w:tc>
          <w:tcPr>
            <w:tcW w:w="600" w:type="dxa"/>
            <w:vAlign w:val="bottom"/>
            <w:vMerge w:val="continue"/>
            <w:shd w:val="clear" w:color="auto" w:fill="CF1D4C"/>
          </w:tcPr>
          <w:p>
            <w:pPr>
              <w:spacing w:after="0"/>
              <w:rPr>
                <w:sz w:val="5"/>
                <w:szCs w:val="5"/>
                <w:color w:val="auto"/>
              </w:rPr>
            </w:pPr>
          </w:p>
        </w:tc>
        <w:tc>
          <w:tcPr>
            <w:tcW w:w="180" w:type="dxa"/>
            <w:vAlign w:val="bottom"/>
            <w:shd w:val="clear" w:color="auto" w:fill="CF1D4C"/>
          </w:tcPr>
          <w:p>
            <w:pPr>
              <w:spacing w:after="0"/>
              <w:rPr>
                <w:sz w:val="5"/>
                <w:szCs w:val="5"/>
                <w:color w:val="auto"/>
              </w:rPr>
            </w:pPr>
          </w:p>
        </w:tc>
        <w:tc>
          <w:tcPr>
            <w:tcW w:w="80" w:type="dxa"/>
            <w:vAlign w:val="bottom"/>
            <w:shd w:val="clear" w:color="auto" w:fill="CF1D4C"/>
          </w:tcPr>
          <w:p>
            <w:pPr>
              <w:spacing w:after="0"/>
              <w:rPr>
                <w:sz w:val="5"/>
                <w:szCs w:val="5"/>
                <w:color w:val="auto"/>
              </w:rPr>
            </w:pPr>
          </w:p>
        </w:tc>
        <w:tc>
          <w:tcPr>
            <w:tcW w:w="46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720" w:type="dxa"/>
            <w:vAlign w:val="bottom"/>
            <w:shd w:val="clear" w:color="auto" w:fill="CF1D4C"/>
          </w:tcPr>
          <w:p>
            <w:pPr>
              <w:spacing w:after="0"/>
              <w:rPr>
                <w:sz w:val="5"/>
                <w:szCs w:val="5"/>
                <w:color w:val="auto"/>
              </w:rPr>
            </w:pPr>
          </w:p>
        </w:tc>
        <w:tc>
          <w:tcPr>
            <w:tcW w:w="640" w:type="dxa"/>
            <w:vAlign w:val="bottom"/>
            <w:vMerge w:val="restart"/>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of Shares</w:t>
            </w:r>
          </w:p>
        </w:tc>
        <w:tc>
          <w:tcPr>
            <w:tcW w:w="660" w:type="dxa"/>
            <w:vAlign w:val="bottom"/>
            <w:vMerge w:val="restart"/>
            <w:shd w:val="clear" w:color="auto" w:fill="CF1D4C"/>
          </w:tcPr>
          <w:p>
            <w:pPr>
              <w:ind w:left="40"/>
              <w:spacing w:after="0" w:line="122" w:lineRule="exact"/>
              <w:rPr>
                <w:sz w:val="20"/>
                <w:szCs w:val="20"/>
                <w:color w:val="auto"/>
              </w:rPr>
            </w:pPr>
            <w:r>
              <w:rPr>
                <w:rFonts w:ascii="Arial" w:cs="Arial" w:eastAsia="Arial" w:hAnsi="Arial"/>
                <w:sz w:val="11"/>
                <w:szCs w:val="11"/>
                <w:b w:val="1"/>
                <w:bCs w:val="1"/>
                <w:color w:val="FFFFFF"/>
              </w:rPr>
              <w:t>Value of</w:t>
            </w:r>
          </w:p>
        </w:tc>
        <w:tc>
          <w:tcPr>
            <w:tcW w:w="840" w:type="dxa"/>
            <w:vAlign w:val="bottom"/>
            <w:vMerge w:val="continue"/>
            <w:shd w:val="clear" w:color="auto" w:fill="CF1D4C"/>
          </w:tcPr>
          <w:p>
            <w:pPr>
              <w:spacing w:after="0"/>
              <w:rPr>
                <w:sz w:val="5"/>
                <w:szCs w:val="5"/>
                <w:color w:val="auto"/>
              </w:rPr>
            </w:pPr>
          </w:p>
        </w:tc>
        <w:tc>
          <w:tcPr>
            <w:tcW w:w="96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00" w:type="dxa"/>
            <w:vAlign w:val="bottom"/>
            <w:shd w:val="clear" w:color="auto" w:fill="CF1D4C"/>
          </w:tcPr>
          <w:p>
            <w:pPr>
              <w:spacing w:after="0"/>
              <w:rPr>
                <w:sz w:val="4"/>
                <w:szCs w:val="4"/>
                <w:color w:val="auto"/>
              </w:rPr>
            </w:pPr>
          </w:p>
        </w:tc>
        <w:tc>
          <w:tcPr>
            <w:tcW w:w="70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680" w:type="dxa"/>
            <w:vAlign w:val="bottom"/>
            <w:shd w:val="clear" w:color="auto" w:fill="CF1D4C"/>
          </w:tcPr>
          <w:p>
            <w:pPr>
              <w:spacing w:after="0"/>
              <w:rPr>
                <w:sz w:val="4"/>
                <w:szCs w:val="4"/>
                <w:color w:val="auto"/>
              </w:rPr>
            </w:pPr>
          </w:p>
        </w:tc>
        <w:tc>
          <w:tcPr>
            <w:tcW w:w="80" w:type="dxa"/>
            <w:vAlign w:val="bottom"/>
            <w:shd w:val="clear" w:color="auto" w:fill="CF1D4C"/>
          </w:tcPr>
          <w:p>
            <w:pPr>
              <w:spacing w:after="0"/>
              <w:rPr>
                <w:sz w:val="4"/>
                <w:szCs w:val="4"/>
                <w:color w:val="auto"/>
              </w:rPr>
            </w:pPr>
          </w:p>
        </w:tc>
        <w:tc>
          <w:tcPr>
            <w:tcW w:w="740" w:type="dxa"/>
            <w:vAlign w:val="bottom"/>
            <w:vMerge w:val="continue"/>
            <w:shd w:val="clear" w:color="auto" w:fill="CF1D4C"/>
          </w:tcPr>
          <w:p>
            <w:pPr>
              <w:spacing w:after="0"/>
              <w:rPr>
                <w:sz w:val="4"/>
                <w:szCs w:val="4"/>
                <w:color w:val="auto"/>
              </w:rPr>
            </w:pPr>
          </w:p>
        </w:tc>
        <w:tc>
          <w:tcPr>
            <w:tcW w:w="80" w:type="dxa"/>
            <w:vAlign w:val="bottom"/>
            <w:shd w:val="clear" w:color="auto" w:fill="CF1D4C"/>
          </w:tcPr>
          <w:p>
            <w:pPr>
              <w:spacing w:after="0"/>
              <w:rPr>
                <w:sz w:val="4"/>
                <w:szCs w:val="4"/>
                <w:color w:val="auto"/>
              </w:rPr>
            </w:pPr>
          </w:p>
        </w:tc>
        <w:tc>
          <w:tcPr>
            <w:tcW w:w="880" w:type="dxa"/>
            <w:vAlign w:val="bottom"/>
            <w:vMerge w:val="continue"/>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780" w:type="dxa"/>
            <w:vAlign w:val="bottom"/>
            <w:gridSpan w:val="2"/>
            <w:vMerge w:val="restart"/>
            <w:shd w:val="clear" w:color="auto" w:fill="CF1D4C"/>
          </w:tcPr>
          <w:p>
            <w:pPr>
              <w:ind w:left="40"/>
              <w:spacing w:after="0" w:line="122" w:lineRule="exact"/>
              <w:rPr>
                <w:sz w:val="20"/>
                <w:szCs w:val="20"/>
                <w:color w:val="auto"/>
              </w:rPr>
            </w:pPr>
            <w:r>
              <w:rPr>
                <w:rFonts w:ascii="Arial" w:cs="Arial" w:eastAsia="Arial" w:hAnsi="Arial"/>
                <w:sz w:val="11"/>
                <w:szCs w:val="11"/>
                <w:b w:val="1"/>
                <w:bCs w:val="1"/>
                <w:color w:val="FFFFFF"/>
              </w:rPr>
              <w:t>Plan Awards:</w:t>
            </w:r>
          </w:p>
        </w:tc>
        <w:tc>
          <w:tcPr>
            <w:tcW w:w="80" w:type="dxa"/>
            <w:vAlign w:val="bottom"/>
            <w:shd w:val="clear" w:color="auto" w:fill="CF1D4C"/>
          </w:tcPr>
          <w:p>
            <w:pPr>
              <w:spacing w:after="0"/>
              <w:rPr>
                <w:sz w:val="4"/>
                <w:szCs w:val="4"/>
                <w:color w:val="auto"/>
              </w:rPr>
            </w:pPr>
          </w:p>
        </w:tc>
        <w:tc>
          <w:tcPr>
            <w:tcW w:w="46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720" w:type="dxa"/>
            <w:vAlign w:val="bottom"/>
            <w:shd w:val="clear" w:color="auto" w:fill="CF1D4C"/>
          </w:tcPr>
          <w:p>
            <w:pPr>
              <w:spacing w:after="0"/>
              <w:rPr>
                <w:sz w:val="4"/>
                <w:szCs w:val="4"/>
                <w:color w:val="auto"/>
              </w:rPr>
            </w:pPr>
          </w:p>
        </w:tc>
        <w:tc>
          <w:tcPr>
            <w:tcW w:w="640" w:type="dxa"/>
            <w:vAlign w:val="bottom"/>
            <w:vMerge w:val="continue"/>
            <w:shd w:val="clear" w:color="auto" w:fill="CF1D4C"/>
          </w:tcPr>
          <w:p>
            <w:pPr>
              <w:spacing w:after="0"/>
              <w:rPr>
                <w:sz w:val="4"/>
                <w:szCs w:val="4"/>
                <w:color w:val="auto"/>
              </w:rPr>
            </w:pPr>
          </w:p>
        </w:tc>
        <w:tc>
          <w:tcPr>
            <w:tcW w:w="660" w:type="dxa"/>
            <w:vAlign w:val="bottom"/>
            <w:vMerge w:val="continue"/>
            <w:shd w:val="clear" w:color="auto" w:fill="CF1D4C"/>
          </w:tcPr>
          <w:p>
            <w:pPr>
              <w:spacing w:after="0"/>
              <w:rPr>
                <w:sz w:val="4"/>
                <w:szCs w:val="4"/>
                <w:color w:val="auto"/>
              </w:rPr>
            </w:pPr>
          </w:p>
        </w:tc>
        <w:tc>
          <w:tcPr>
            <w:tcW w:w="840" w:type="dxa"/>
            <w:vAlign w:val="bottom"/>
            <w:vMerge w:val="restart"/>
            <w:shd w:val="clear" w:color="auto" w:fill="CF1D4C"/>
          </w:tcPr>
          <w:p>
            <w:pPr>
              <w:ind w:left="100"/>
              <w:spacing w:after="0" w:line="122" w:lineRule="exact"/>
              <w:rPr>
                <w:sz w:val="20"/>
                <w:szCs w:val="20"/>
                <w:color w:val="auto"/>
              </w:rPr>
            </w:pPr>
            <w:r>
              <w:rPr>
                <w:rFonts w:ascii="Arial" w:cs="Arial" w:eastAsia="Arial" w:hAnsi="Arial"/>
                <w:sz w:val="11"/>
                <w:szCs w:val="11"/>
                <w:b w:val="1"/>
                <w:bCs w:val="1"/>
                <w:color w:val="FFFFFF"/>
              </w:rPr>
              <w:t>Number of</w:t>
            </w:r>
          </w:p>
        </w:tc>
        <w:tc>
          <w:tcPr>
            <w:tcW w:w="960" w:type="dxa"/>
            <w:vAlign w:val="bottom"/>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Market or</w:t>
            </w:r>
          </w:p>
        </w:tc>
        <w:tc>
          <w:tcPr>
            <w:tcW w:w="0" w:type="dxa"/>
            <w:vAlign w:val="bottom"/>
          </w:tcPr>
          <w:p>
            <w:pPr>
              <w:spacing w:after="0"/>
              <w:rPr>
                <w:sz w:val="1"/>
                <w:szCs w:val="1"/>
                <w:color w:val="auto"/>
              </w:rPr>
            </w:pPr>
          </w:p>
        </w:tc>
      </w:tr>
      <w:tr>
        <w:trPr>
          <w:trHeight w:val="68"/>
        </w:trPr>
        <w:tc>
          <w:tcPr>
            <w:tcW w:w="100" w:type="dxa"/>
            <w:vAlign w:val="bottom"/>
            <w:shd w:val="clear" w:color="auto" w:fill="CF1D4C"/>
          </w:tcPr>
          <w:p>
            <w:pPr>
              <w:spacing w:after="0"/>
              <w:rPr>
                <w:sz w:val="5"/>
                <w:szCs w:val="5"/>
                <w:color w:val="auto"/>
              </w:rPr>
            </w:pPr>
          </w:p>
        </w:tc>
        <w:tc>
          <w:tcPr>
            <w:tcW w:w="70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680" w:type="dxa"/>
            <w:vAlign w:val="bottom"/>
            <w:shd w:val="clear" w:color="auto" w:fill="CF1D4C"/>
          </w:tcPr>
          <w:p>
            <w:pPr>
              <w:spacing w:after="0"/>
              <w:rPr>
                <w:sz w:val="5"/>
                <w:szCs w:val="5"/>
                <w:color w:val="auto"/>
              </w:rPr>
            </w:pPr>
          </w:p>
        </w:tc>
        <w:tc>
          <w:tcPr>
            <w:tcW w:w="80" w:type="dxa"/>
            <w:vAlign w:val="bottom"/>
            <w:shd w:val="clear" w:color="auto" w:fill="CF1D4C"/>
          </w:tcPr>
          <w:p>
            <w:pPr>
              <w:spacing w:after="0"/>
              <w:rPr>
                <w:sz w:val="5"/>
                <w:szCs w:val="5"/>
                <w:color w:val="auto"/>
              </w:rPr>
            </w:pPr>
          </w:p>
        </w:tc>
        <w:tc>
          <w:tcPr>
            <w:tcW w:w="740" w:type="dxa"/>
            <w:vAlign w:val="bottom"/>
            <w:vMerge w:val="restart"/>
            <w:shd w:val="clear" w:color="auto" w:fill="CF1D4C"/>
          </w:tcPr>
          <w:p>
            <w:pPr>
              <w:spacing w:after="0" w:line="122" w:lineRule="exact"/>
              <w:rPr>
                <w:sz w:val="20"/>
                <w:szCs w:val="20"/>
                <w:color w:val="auto"/>
              </w:rPr>
            </w:pPr>
            <w:r>
              <w:rPr>
                <w:rFonts w:ascii="Arial" w:cs="Arial" w:eastAsia="Arial" w:hAnsi="Arial"/>
                <w:sz w:val="11"/>
                <w:szCs w:val="11"/>
                <w:b w:val="1"/>
                <w:bCs w:val="1"/>
                <w:color w:val="FFFFFF"/>
              </w:rPr>
              <w:t>Securities</w:t>
            </w:r>
          </w:p>
        </w:tc>
        <w:tc>
          <w:tcPr>
            <w:tcW w:w="80" w:type="dxa"/>
            <w:vAlign w:val="bottom"/>
            <w:shd w:val="clear" w:color="auto" w:fill="CF1D4C"/>
          </w:tcPr>
          <w:p>
            <w:pPr>
              <w:spacing w:after="0"/>
              <w:rPr>
                <w:sz w:val="5"/>
                <w:szCs w:val="5"/>
                <w:color w:val="auto"/>
              </w:rPr>
            </w:pPr>
          </w:p>
        </w:tc>
        <w:tc>
          <w:tcPr>
            <w:tcW w:w="880" w:type="dxa"/>
            <w:vAlign w:val="bottom"/>
            <w:vMerge w:val="restart"/>
            <w:shd w:val="clear" w:color="auto" w:fill="CF1D4C"/>
          </w:tcPr>
          <w:p>
            <w:pPr>
              <w:spacing w:after="0" w:line="122" w:lineRule="exact"/>
              <w:rPr>
                <w:sz w:val="20"/>
                <w:szCs w:val="20"/>
                <w:color w:val="auto"/>
              </w:rPr>
            </w:pPr>
            <w:r>
              <w:rPr>
                <w:rFonts w:ascii="Arial" w:cs="Arial" w:eastAsia="Arial" w:hAnsi="Arial"/>
                <w:sz w:val="11"/>
                <w:szCs w:val="11"/>
                <w:b w:val="1"/>
                <w:bCs w:val="1"/>
                <w:color w:val="FFFFFF"/>
              </w:rPr>
              <w:t>Securities</w:t>
            </w:r>
          </w:p>
        </w:tc>
        <w:tc>
          <w:tcPr>
            <w:tcW w:w="40" w:type="dxa"/>
            <w:vAlign w:val="bottom"/>
            <w:shd w:val="clear" w:color="auto" w:fill="CF1D4C"/>
          </w:tcPr>
          <w:p>
            <w:pPr>
              <w:spacing w:after="0"/>
              <w:rPr>
                <w:sz w:val="5"/>
                <w:szCs w:val="5"/>
                <w:color w:val="auto"/>
              </w:rPr>
            </w:pPr>
          </w:p>
        </w:tc>
        <w:tc>
          <w:tcPr>
            <w:tcW w:w="780" w:type="dxa"/>
            <w:vAlign w:val="bottom"/>
            <w:gridSpan w:val="2"/>
            <w:vMerge w:val="continue"/>
            <w:shd w:val="clear" w:color="auto" w:fill="CF1D4C"/>
          </w:tcPr>
          <w:p>
            <w:pPr>
              <w:spacing w:after="0"/>
              <w:rPr>
                <w:sz w:val="5"/>
                <w:szCs w:val="5"/>
                <w:color w:val="auto"/>
              </w:rPr>
            </w:pPr>
          </w:p>
        </w:tc>
        <w:tc>
          <w:tcPr>
            <w:tcW w:w="80" w:type="dxa"/>
            <w:vAlign w:val="bottom"/>
            <w:shd w:val="clear" w:color="auto" w:fill="CF1D4C"/>
          </w:tcPr>
          <w:p>
            <w:pPr>
              <w:spacing w:after="0"/>
              <w:rPr>
                <w:sz w:val="5"/>
                <w:szCs w:val="5"/>
                <w:color w:val="auto"/>
              </w:rPr>
            </w:pPr>
          </w:p>
        </w:tc>
        <w:tc>
          <w:tcPr>
            <w:tcW w:w="460" w:type="dxa"/>
            <w:vAlign w:val="bottom"/>
            <w:vMerge w:val="restart"/>
            <w:shd w:val="clear" w:color="auto" w:fill="CF1D4C"/>
          </w:tcPr>
          <w:p>
            <w:pPr>
              <w:spacing w:after="0" w:line="122" w:lineRule="exact"/>
              <w:rPr>
                <w:sz w:val="20"/>
                <w:szCs w:val="20"/>
                <w:color w:val="auto"/>
              </w:rPr>
            </w:pPr>
            <w:r>
              <w:rPr>
                <w:rFonts w:ascii="Arial" w:cs="Arial" w:eastAsia="Arial" w:hAnsi="Arial"/>
                <w:sz w:val="11"/>
                <w:szCs w:val="11"/>
                <w:b w:val="1"/>
                <w:bCs w:val="1"/>
                <w:color w:val="FFFFFF"/>
              </w:rPr>
              <w:t>Option</w:t>
            </w:r>
          </w:p>
        </w:tc>
        <w:tc>
          <w:tcPr>
            <w:tcW w:w="40" w:type="dxa"/>
            <w:vAlign w:val="bottom"/>
            <w:shd w:val="clear" w:color="auto" w:fill="CF1D4C"/>
          </w:tcPr>
          <w:p>
            <w:pPr>
              <w:spacing w:after="0"/>
              <w:rPr>
                <w:sz w:val="5"/>
                <w:szCs w:val="5"/>
                <w:color w:val="auto"/>
              </w:rPr>
            </w:pPr>
          </w:p>
        </w:tc>
        <w:tc>
          <w:tcPr>
            <w:tcW w:w="720" w:type="dxa"/>
            <w:vAlign w:val="bottom"/>
            <w:shd w:val="clear" w:color="auto" w:fill="CF1D4C"/>
          </w:tcPr>
          <w:p>
            <w:pPr>
              <w:spacing w:after="0"/>
              <w:rPr>
                <w:sz w:val="5"/>
                <w:szCs w:val="5"/>
                <w:color w:val="auto"/>
              </w:rPr>
            </w:pPr>
          </w:p>
        </w:tc>
        <w:tc>
          <w:tcPr>
            <w:tcW w:w="640" w:type="dxa"/>
            <w:vAlign w:val="bottom"/>
            <w:vMerge w:val="restart"/>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or Units</w:t>
            </w:r>
          </w:p>
        </w:tc>
        <w:tc>
          <w:tcPr>
            <w:tcW w:w="660" w:type="dxa"/>
            <w:vAlign w:val="bottom"/>
            <w:vMerge w:val="restart"/>
            <w:shd w:val="clear" w:color="auto" w:fill="CF1D4C"/>
          </w:tcPr>
          <w:p>
            <w:pPr>
              <w:ind w:left="40"/>
              <w:spacing w:after="0" w:line="122" w:lineRule="exact"/>
              <w:rPr>
                <w:sz w:val="20"/>
                <w:szCs w:val="20"/>
                <w:color w:val="auto"/>
              </w:rPr>
            </w:pPr>
            <w:r>
              <w:rPr>
                <w:rFonts w:ascii="Arial" w:cs="Arial" w:eastAsia="Arial" w:hAnsi="Arial"/>
                <w:sz w:val="11"/>
                <w:szCs w:val="11"/>
                <w:b w:val="1"/>
                <w:bCs w:val="1"/>
                <w:color w:val="FFFFFF"/>
              </w:rPr>
              <w:t>Shares or</w:t>
            </w:r>
          </w:p>
        </w:tc>
        <w:tc>
          <w:tcPr>
            <w:tcW w:w="840" w:type="dxa"/>
            <w:vAlign w:val="bottom"/>
            <w:vMerge w:val="continue"/>
            <w:shd w:val="clear" w:color="auto" w:fill="CF1D4C"/>
          </w:tcPr>
          <w:p>
            <w:pPr>
              <w:spacing w:after="0"/>
              <w:rPr>
                <w:sz w:val="5"/>
                <w:szCs w:val="5"/>
                <w:color w:val="auto"/>
              </w:rPr>
            </w:pPr>
          </w:p>
        </w:tc>
        <w:tc>
          <w:tcPr>
            <w:tcW w:w="96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00" w:type="dxa"/>
            <w:vAlign w:val="bottom"/>
            <w:shd w:val="clear" w:color="auto" w:fill="CF1D4C"/>
          </w:tcPr>
          <w:p>
            <w:pPr>
              <w:spacing w:after="0"/>
              <w:rPr>
                <w:sz w:val="4"/>
                <w:szCs w:val="4"/>
                <w:color w:val="auto"/>
              </w:rPr>
            </w:pPr>
          </w:p>
        </w:tc>
        <w:tc>
          <w:tcPr>
            <w:tcW w:w="700" w:type="dxa"/>
            <w:vAlign w:val="bottom"/>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680" w:type="dxa"/>
            <w:vAlign w:val="bottom"/>
            <w:shd w:val="clear" w:color="auto" w:fill="CF1D4C"/>
          </w:tcPr>
          <w:p>
            <w:pPr>
              <w:spacing w:after="0"/>
              <w:rPr>
                <w:sz w:val="4"/>
                <w:szCs w:val="4"/>
                <w:color w:val="auto"/>
              </w:rPr>
            </w:pPr>
          </w:p>
        </w:tc>
        <w:tc>
          <w:tcPr>
            <w:tcW w:w="80" w:type="dxa"/>
            <w:vAlign w:val="bottom"/>
            <w:shd w:val="clear" w:color="auto" w:fill="CF1D4C"/>
          </w:tcPr>
          <w:p>
            <w:pPr>
              <w:spacing w:after="0"/>
              <w:rPr>
                <w:sz w:val="4"/>
                <w:szCs w:val="4"/>
                <w:color w:val="auto"/>
              </w:rPr>
            </w:pPr>
          </w:p>
        </w:tc>
        <w:tc>
          <w:tcPr>
            <w:tcW w:w="740" w:type="dxa"/>
            <w:vAlign w:val="bottom"/>
            <w:vMerge w:val="continue"/>
            <w:shd w:val="clear" w:color="auto" w:fill="CF1D4C"/>
          </w:tcPr>
          <w:p>
            <w:pPr>
              <w:spacing w:after="0"/>
              <w:rPr>
                <w:sz w:val="4"/>
                <w:szCs w:val="4"/>
                <w:color w:val="auto"/>
              </w:rPr>
            </w:pPr>
          </w:p>
        </w:tc>
        <w:tc>
          <w:tcPr>
            <w:tcW w:w="80" w:type="dxa"/>
            <w:vAlign w:val="bottom"/>
            <w:shd w:val="clear" w:color="auto" w:fill="CF1D4C"/>
          </w:tcPr>
          <w:p>
            <w:pPr>
              <w:spacing w:after="0"/>
              <w:rPr>
                <w:sz w:val="4"/>
                <w:szCs w:val="4"/>
                <w:color w:val="auto"/>
              </w:rPr>
            </w:pPr>
          </w:p>
        </w:tc>
        <w:tc>
          <w:tcPr>
            <w:tcW w:w="880" w:type="dxa"/>
            <w:vAlign w:val="bottom"/>
            <w:vMerge w:val="continue"/>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600" w:type="dxa"/>
            <w:vAlign w:val="bottom"/>
            <w:vMerge w:val="restart"/>
            <w:shd w:val="clear" w:color="auto" w:fill="CF1D4C"/>
          </w:tcPr>
          <w:p>
            <w:pPr>
              <w:ind w:left="40"/>
              <w:spacing w:after="0" w:line="122" w:lineRule="exact"/>
              <w:rPr>
                <w:sz w:val="20"/>
                <w:szCs w:val="20"/>
                <w:color w:val="auto"/>
              </w:rPr>
            </w:pPr>
            <w:r>
              <w:rPr>
                <w:rFonts w:ascii="Arial" w:cs="Arial" w:eastAsia="Arial" w:hAnsi="Arial"/>
                <w:sz w:val="11"/>
                <w:szCs w:val="11"/>
                <w:b w:val="1"/>
                <w:bCs w:val="1"/>
                <w:color w:val="FFFFFF"/>
                <w:w w:val="98"/>
              </w:rPr>
              <w:t>Number of</w:t>
            </w:r>
          </w:p>
        </w:tc>
        <w:tc>
          <w:tcPr>
            <w:tcW w:w="180" w:type="dxa"/>
            <w:vAlign w:val="bottom"/>
            <w:shd w:val="clear" w:color="auto" w:fill="CF1D4C"/>
          </w:tcPr>
          <w:p>
            <w:pPr>
              <w:spacing w:after="0"/>
              <w:rPr>
                <w:sz w:val="4"/>
                <w:szCs w:val="4"/>
                <w:color w:val="auto"/>
              </w:rPr>
            </w:pPr>
          </w:p>
        </w:tc>
        <w:tc>
          <w:tcPr>
            <w:tcW w:w="80" w:type="dxa"/>
            <w:vAlign w:val="bottom"/>
            <w:shd w:val="clear" w:color="auto" w:fill="CF1D4C"/>
          </w:tcPr>
          <w:p>
            <w:pPr>
              <w:spacing w:after="0"/>
              <w:rPr>
                <w:sz w:val="4"/>
                <w:szCs w:val="4"/>
                <w:color w:val="auto"/>
              </w:rPr>
            </w:pPr>
          </w:p>
        </w:tc>
        <w:tc>
          <w:tcPr>
            <w:tcW w:w="460" w:type="dxa"/>
            <w:vAlign w:val="bottom"/>
            <w:vMerge w:val="continue"/>
            <w:shd w:val="clear" w:color="auto" w:fill="CF1D4C"/>
          </w:tcPr>
          <w:p>
            <w:pPr>
              <w:spacing w:after="0"/>
              <w:rPr>
                <w:sz w:val="4"/>
                <w:szCs w:val="4"/>
                <w:color w:val="auto"/>
              </w:rPr>
            </w:pPr>
          </w:p>
        </w:tc>
        <w:tc>
          <w:tcPr>
            <w:tcW w:w="40" w:type="dxa"/>
            <w:vAlign w:val="bottom"/>
            <w:shd w:val="clear" w:color="auto" w:fill="CF1D4C"/>
          </w:tcPr>
          <w:p>
            <w:pPr>
              <w:spacing w:after="0"/>
              <w:rPr>
                <w:sz w:val="4"/>
                <w:szCs w:val="4"/>
                <w:color w:val="auto"/>
              </w:rPr>
            </w:pPr>
          </w:p>
        </w:tc>
        <w:tc>
          <w:tcPr>
            <w:tcW w:w="720" w:type="dxa"/>
            <w:vAlign w:val="bottom"/>
            <w:vMerge w:val="restart"/>
            <w:shd w:val="clear" w:color="auto" w:fill="CF1D4C"/>
          </w:tcPr>
          <w:p>
            <w:pPr>
              <w:ind w:left="40"/>
              <w:spacing w:after="0" w:line="122" w:lineRule="exact"/>
              <w:rPr>
                <w:sz w:val="20"/>
                <w:szCs w:val="20"/>
                <w:color w:val="auto"/>
              </w:rPr>
            </w:pPr>
            <w:r>
              <w:rPr>
                <w:rFonts w:ascii="Arial" w:cs="Arial" w:eastAsia="Arial" w:hAnsi="Arial"/>
                <w:sz w:val="11"/>
                <w:szCs w:val="11"/>
                <w:b w:val="1"/>
                <w:bCs w:val="1"/>
                <w:color w:val="FFFFFF"/>
              </w:rPr>
              <w:t>Option</w:t>
            </w:r>
          </w:p>
        </w:tc>
        <w:tc>
          <w:tcPr>
            <w:tcW w:w="640" w:type="dxa"/>
            <w:vAlign w:val="bottom"/>
            <w:vMerge w:val="continue"/>
            <w:shd w:val="clear" w:color="auto" w:fill="CF1D4C"/>
          </w:tcPr>
          <w:p>
            <w:pPr>
              <w:spacing w:after="0"/>
              <w:rPr>
                <w:sz w:val="4"/>
                <w:szCs w:val="4"/>
                <w:color w:val="auto"/>
              </w:rPr>
            </w:pPr>
          </w:p>
        </w:tc>
        <w:tc>
          <w:tcPr>
            <w:tcW w:w="660" w:type="dxa"/>
            <w:vAlign w:val="bottom"/>
            <w:vMerge w:val="continue"/>
            <w:shd w:val="clear" w:color="auto" w:fill="CF1D4C"/>
          </w:tcPr>
          <w:p>
            <w:pPr>
              <w:spacing w:after="0"/>
              <w:rPr>
                <w:sz w:val="4"/>
                <w:szCs w:val="4"/>
                <w:color w:val="auto"/>
              </w:rPr>
            </w:pPr>
          </w:p>
        </w:tc>
        <w:tc>
          <w:tcPr>
            <w:tcW w:w="840" w:type="dxa"/>
            <w:vAlign w:val="bottom"/>
            <w:vMerge w:val="restart"/>
            <w:shd w:val="clear" w:color="auto" w:fill="CF1D4C"/>
          </w:tcPr>
          <w:p>
            <w:pPr>
              <w:ind w:left="100"/>
              <w:spacing w:after="0" w:line="122" w:lineRule="exact"/>
              <w:rPr>
                <w:sz w:val="20"/>
                <w:szCs w:val="20"/>
                <w:color w:val="auto"/>
              </w:rPr>
            </w:pPr>
            <w:r>
              <w:rPr>
                <w:rFonts w:ascii="Arial" w:cs="Arial" w:eastAsia="Arial" w:hAnsi="Arial"/>
                <w:sz w:val="11"/>
                <w:szCs w:val="11"/>
                <w:b w:val="1"/>
                <w:bCs w:val="1"/>
                <w:color w:val="FFFFFF"/>
              </w:rPr>
              <w:t>Unearned</w:t>
            </w:r>
          </w:p>
        </w:tc>
        <w:tc>
          <w:tcPr>
            <w:tcW w:w="960" w:type="dxa"/>
            <w:vAlign w:val="bottom"/>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Payout Value</w:t>
            </w:r>
          </w:p>
        </w:tc>
        <w:tc>
          <w:tcPr>
            <w:tcW w:w="0" w:type="dxa"/>
            <w:vAlign w:val="bottom"/>
          </w:tcPr>
          <w:p>
            <w:pPr>
              <w:spacing w:after="0"/>
              <w:rPr>
                <w:sz w:val="1"/>
                <w:szCs w:val="1"/>
                <w:color w:val="auto"/>
              </w:rPr>
            </w:pPr>
          </w:p>
        </w:tc>
      </w:tr>
      <w:tr>
        <w:trPr>
          <w:trHeight w:val="68"/>
        </w:trPr>
        <w:tc>
          <w:tcPr>
            <w:tcW w:w="100" w:type="dxa"/>
            <w:vAlign w:val="bottom"/>
            <w:shd w:val="clear" w:color="auto" w:fill="CF1D4C"/>
          </w:tcPr>
          <w:p>
            <w:pPr>
              <w:spacing w:after="0"/>
              <w:rPr>
                <w:sz w:val="5"/>
                <w:szCs w:val="5"/>
                <w:color w:val="auto"/>
              </w:rPr>
            </w:pPr>
          </w:p>
        </w:tc>
        <w:tc>
          <w:tcPr>
            <w:tcW w:w="70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Name</w:t>
            </w:r>
          </w:p>
        </w:tc>
        <w:tc>
          <w:tcPr>
            <w:tcW w:w="720" w:type="dxa"/>
            <w:vAlign w:val="bottom"/>
            <w:gridSpan w:val="2"/>
            <w:vMerge w:val="restart"/>
            <w:shd w:val="clear" w:color="auto" w:fill="CF1D4C"/>
          </w:tcPr>
          <w:p>
            <w:pPr>
              <w:ind w:left="40"/>
              <w:spacing w:after="0"/>
              <w:rPr>
                <w:sz w:val="20"/>
                <w:szCs w:val="20"/>
                <w:color w:val="auto"/>
              </w:rPr>
            </w:pPr>
            <w:r>
              <w:rPr>
                <w:rFonts w:ascii="Arial" w:cs="Arial" w:eastAsia="Arial" w:hAnsi="Arial"/>
                <w:sz w:val="11"/>
                <w:szCs w:val="11"/>
                <w:b w:val="1"/>
                <w:bCs w:val="1"/>
                <w:color w:val="FFFFFF"/>
              </w:rPr>
              <w:t>Grant Date</w:t>
            </w:r>
          </w:p>
        </w:tc>
        <w:tc>
          <w:tcPr>
            <w:tcW w:w="80" w:type="dxa"/>
            <w:vAlign w:val="bottom"/>
            <w:shd w:val="clear" w:color="auto" w:fill="CF1D4C"/>
          </w:tcPr>
          <w:p>
            <w:pPr>
              <w:spacing w:after="0"/>
              <w:rPr>
                <w:sz w:val="5"/>
                <w:szCs w:val="5"/>
                <w:color w:val="auto"/>
              </w:rPr>
            </w:pPr>
          </w:p>
        </w:tc>
        <w:tc>
          <w:tcPr>
            <w:tcW w:w="740" w:type="dxa"/>
            <w:vAlign w:val="bottom"/>
            <w:vMerge w:val="restart"/>
            <w:shd w:val="clear" w:color="auto" w:fill="CF1D4C"/>
          </w:tcPr>
          <w:p>
            <w:pPr>
              <w:spacing w:after="0"/>
              <w:rPr>
                <w:sz w:val="20"/>
                <w:szCs w:val="20"/>
                <w:color w:val="auto"/>
              </w:rPr>
            </w:pPr>
            <w:r>
              <w:rPr>
                <w:rFonts w:ascii="Arial" w:cs="Arial" w:eastAsia="Arial" w:hAnsi="Arial"/>
                <w:sz w:val="11"/>
                <w:szCs w:val="11"/>
                <w:b w:val="1"/>
                <w:bCs w:val="1"/>
                <w:color w:val="FFFFFF"/>
              </w:rPr>
              <w:t>Underlying</w:t>
            </w:r>
          </w:p>
        </w:tc>
        <w:tc>
          <w:tcPr>
            <w:tcW w:w="80" w:type="dxa"/>
            <w:vAlign w:val="bottom"/>
            <w:shd w:val="clear" w:color="auto" w:fill="CF1D4C"/>
          </w:tcPr>
          <w:p>
            <w:pPr>
              <w:spacing w:after="0"/>
              <w:rPr>
                <w:sz w:val="5"/>
                <w:szCs w:val="5"/>
                <w:color w:val="auto"/>
              </w:rPr>
            </w:pPr>
          </w:p>
        </w:tc>
        <w:tc>
          <w:tcPr>
            <w:tcW w:w="880" w:type="dxa"/>
            <w:vAlign w:val="bottom"/>
            <w:vMerge w:val="restart"/>
            <w:shd w:val="clear" w:color="auto" w:fill="CF1D4C"/>
          </w:tcPr>
          <w:p>
            <w:pPr>
              <w:spacing w:after="0"/>
              <w:rPr>
                <w:sz w:val="20"/>
                <w:szCs w:val="20"/>
                <w:color w:val="auto"/>
              </w:rPr>
            </w:pPr>
            <w:r>
              <w:rPr>
                <w:rFonts w:ascii="Arial" w:cs="Arial" w:eastAsia="Arial" w:hAnsi="Arial"/>
                <w:sz w:val="11"/>
                <w:szCs w:val="11"/>
                <w:b w:val="1"/>
                <w:bCs w:val="1"/>
                <w:color w:val="FFFFFF"/>
              </w:rPr>
              <w:t>Underlying</w:t>
            </w:r>
          </w:p>
        </w:tc>
        <w:tc>
          <w:tcPr>
            <w:tcW w:w="40" w:type="dxa"/>
            <w:vAlign w:val="bottom"/>
            <w:shd w:val="clear" w:color="auto" w:fill="CF1D4C"/>
          </w:tcPr>
          <w:p>
            <w:pPr>
              <w:spacing w:after="0"/>
              <w:rPr>
                <w:sz w:val="5"/>
                <w:szCs w:val="5"/>
                <w:color w:val="auto"/>
              </w:rPr>
            </w:pPr>
          </w:p>
        </w:tc>
        <w:tc>
          <w:tcPr>
            <w:tcW w:w="600" w:type="dxa"/>
            <w:vAlign w:val="bottom"/>
            <w:vMerge w:val="continue"/>
            <w:shd w:val="clear" w:color="auto" w:fill="CF1D4C"/>
          </w:tcPr>
          <w:p>
            <w:pPr>
              <w:spacing w:after="0"/>
              <w:rPr>
                <w:sz w:val="5"/>
                <w:szCs w:val="5"/>
                <w:color w:val="auto"/>
              </w:rPr>
            </w:pPr>
          </w:p>
        </w:tc>
        <w:tc>
          <w:tcPr>
            <w:tcW w:w="180" w:type="dxa"/>
            <w:vAlign w:val="bottom"/>
            <w:shd w:val="clear" w:color="auto" w:fill="CF1D4C"/>
          </w:tcPr>
          <w:p>
            <w:pPr>
              <w:spacing w:after="0"/>
              <w:rPr>
                <w:sz w:val="5"/>
                <w:szCs w:val="5"/>
                <w:color w:val="auto"/>
              </w:rPr>
            </w:pPr>
          </w:p>
        </w:tc>
        <w:tc>
          <w:tcPr>
            <w:tcW w:w="80" w:type="dxa"/>
            <w:vAlign w:val="bottom"/>
            <w:shd w:val="clear" w:color="auto" w:fill="CF1D4C"/>
          </w:tcPr>
          <w:p>
            <w:pPr>
              <w:spacing w:after="0"/>
              <w:rPr>
                <w:sz w:val="5"/>
                <w:szCs w:val="5"/>
                <w:color w:val="auto"/>
              </w:rPr>
            </w:pPr>
          </w:p>
        </w:tc>
        <w:tc>
          <w:tcPr>
            <w:tcW w:w="460" w:type="dxa"/>
            <w:vAlign w:val="bottom"/>
            <w:vMerge w:val="restart"/>
            <w:shd w:val="clear" w:color="auto" w:fill="CF1D4C"/>
          </w:tcPr>
          <w:p>
            <w:pPr>
              <w:spacing w:after="0"/>
              <w:rPr>
                <w:sz w:val="20"/>
                <w:szCs w:val="20"/>
                <w:color w:val="auto"/>
              </w:rPr>
            </w:pPr>
            <w:r>
              <w:rPr>
                <w:rFonts w:ascii="Arial" w:cs="Arial" w:eastAsia="Arial" w:hAnsi="Arial"/>
                <w:sz w:val="11"/>
                <w:szCs w:val="11"/>
                <w:b w:val="1"/>
                <w:bCs w:val="1"/>
                <w:color w:val="FFFFFF"/>
                <w:w w:val="97"/>
              </w:rPr>
              <w:t>Exercise</w:t>
            </w:r>
          </w:p>
        </w:tc>
        <w:tc>
          <w:tcPr>
            <w:tcW w:w="40" w:type="dxa"/>
            <w:vAlign w:val="bottom"/>
            <w:shd w:val="clear" w:color="auto" w:fill="CF1D4C"/>
          </w:tcPr>
          <w:p>
            <w:pPr>
              <w:spacing w:after="0"/>
              <w:rPr>
                <w:sz w:val="5"/>
                <w:szCs w:val="5"/>
                <w:color w:val="auto"/>
              </w:rPr>
            </w:pPr>
          </w:p>
        </w:tc>
        <w:tc>
          <w:tcPr>
            <w:tcW w:w="720" w:type="dxa"/>
            <w:vAlign w:val="bottom"/>
            <w:vMerge w:val="continue"/>
            <w:shd w:val="clear" w:color="auto" w:fill="CF1D4C"/>
          </w:tcPr>
          <w:p>
            <w:pPr>
              <w:spacing w:after="0"/>
              <w:rPr>
                <w:sz w:val="5"/>
                <w:szCs w:val="5"/>
                <w:color w:val="auto"/>
              </w:rPr>
            </w:pPr>
          </w:p>
        </w:tc>
        <w:tc>
          <w:tcPr>
            <w:tcW w:w="640" w:type="dxa"/>
            <w:vAlign w:val="bottom"/>
            <w:vMerge w:val="restart"/>
            <w:shd w:val="clear" w:color="auto" w:fill="CF1D4C"/>
          </w:tcPr>
          <w:p>
            <w:pPr>
              <w:ind w:left="80"/>
              <w:spacing w:after="0"/>
              <w:rPr>
                <w:sz w:val="20"/>
                <w:szCs w:val="20"/>
                <w:color w:val="auto"/>
              </w:rPr>
            </w:pPr>
            <w:r>
              <w:rPr>
                <w:rFonts w:ascii="Arial" w:cs="Arial" w:eastAsia="Arial" w:hAnsi="Arial"/>
                <w:sz w:val="11"/>
                <w:szCs w:val="11"/>
                <w:b w:val="1"/>
                <w:bCs w:val="1"/>
                <w:color w:val="FFFFFF"/>
              </w:rPr>
              <w:t>of Stock</w:t>
            </w:r>
          </w:p>
        </w:tc>
        <w:tc>
          <w:tcPr>
            <w:tcW w:w="660" w:type="dxa"/>
            <w:vAlign w:val="bottom"/>
            <w:vMerge w:val="restart"/>
            <w:shd w:val="clear" w:color="auto" w:fill="CF1D4C"/>
          </w:tcPr>
          <w:p>
            <w:pPr>
              <w:ind w:left="40"/>
              <w:spacing w:after="0"/>
              <w:rPr>
                <w:sz w:val="20"/>
                <w:szCs w:val="20"/>
                <w:color w:val="auto"/>
              </w:rPr>
            </w:pPr>
            <w:r>
              <w:rPr>
                <w:rFonts w:ascii="Arial" w:cs="Arial" w:eastAsia="Arial" w:hAnsi="Arial"/>
                <w:sz w:val="11"/>
                <w:szCs w:val="11"/>
                <w:b w:val="1"/>
                <w:bCs w:val="1"/>
                <w:color w:val="FFFFFF"/>
              </w:rPr>
              <w:t>Units of</w:t>
            </w:r>
          </w:p>
        </w:tc>
        <w:tc>
          <w:tcPr>
            <w:tcW w:w="840" w:type="dxa"/>
            <w:vAlign w:val="bottom"/>
            <w:vMerge w:val="continue"/>
            <w:shd w:val="clear" w:color="auto" w:fill="CF1D4C"/>
          </w:tcPr>
          <w:p>
            <w:pPr>
              <w:spacing w:after="0"/>
              <w:rPr>
                <w:sz w:val="5"/>
                <w:szCs w:val="5"/>
                <w:color w:val="auto"/>
              </w:rPr>
            </w:pPr>
          </w:p>
        </w:tc>
        <w:tc>
          <w:tcPr>
            <w:tcW w:w="96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00" w:type="dxa"/>
            <w:vAlign w:val="bottom"/>
            <w:shd w:val="clear" w:color="auto" w:fill="CF1D4C"/>
          </w:tcPr>
          <w:p>
            <w:pPr>
              <w:spacing w:after="0"/>
              <w:rPr>
                <w:sz w:val="9"/>
                <w:szCs w:val="9"/>
                <w:color w:val="auto"/>
              </w:rPr>
            </w:pPr>
          </w:p>
        </w:tc>
        <w:tc>
          <w:tcPr>
            <w:tcW w:w="700" w:type="dxa"/>
            <w:vAlign w:val="bottom"/>
            <w:vMerge w:val="continue"/>
            <w:shd w:val="clear" w:color="auto" w:fill="CF1D4C"/>
          </w:tcPr>
          <w:p>
            <w:pPr>
              <w:spacing w:after="0"/>
              <w:rPr>
                <w:sz w:val="9"/>
                <w:szCs w:val="9"/>
                <w:color w:val="auto"/>
              </w:rPr>
            </w:pPr>
          </w:p>
        </w:tc>
        <w:tc>
          <w:tcPr>
            <w:tcW w:w="720" w:type="dxa"/>
            <w:vAlign w:val="bottom"/>
            <w:gridSpan w:val="2"/>
            <w:vMerge w:val="continue"/>
            <w:shd w:val="clear" w:color="auto" w:fill="CF1D4C"/>
          </w:tcPr>
          <w:p>
            <w:pPr>
              <w:spacing w:after="0"/>
              <w:rPr>
                <w:sz w:val="9"/>
                <w:szCs w:val="9"/>
                <w:color w:val="auto"/>
              </w:rPr>
            </w:pPr>
          </w:p>
        </w:tc>
        <w:tc>
          <w:tcPr>
            <w:tcW w:w="80" w:type="dxa"/>
            <w:vAlign w:val="bottom"/>
            <w:shd w:val="clear" w:color="auto" w:fill="CF1D4C"/>
          </w:tcPr>
          <w:p>
            <w:pPr>
              <w:spacing w:after="0"/>
              <w:rPr>
                <w:sz w:val="9"/>
                <w:szCs w:val="9"/>
                <w:color w:val="auto"/>
              </w:rPr>
            </w:pPr>
          </w:p>
        </w:tc>
        <w:tc>
          <w:tcPr>
            <w:tcW w:w="740" w:type="dxa"/>
            <w:vAlign w:val="bottom"/>
            <w:vMerge w:val="continue"/>
            <w:shd w:val="clear" w:color="auto" w:fill="CF1D4C"/>
          </w:tcPr>
          <w:p>
            <w:pPr>
              <w:spacing w:after="0"/>
              <w:rPr>
                <w:sz w:val="9"/>
                <w:szCs w:val="9"/>
                <w:color w:val="auto"/>
              </w:rPr>
            </w:pPr>
          </w:p>
        </w:tc>
        <w:tc>
          <w:tcPr>
            <w:tcW w:w="80" w:type="dxa"/>
            <w:vAlign w:val="bottom"/>
            <w:shd w:val="clear" w:color="auto" w:fill="CF1D4C"/>
          </w:tcPr>
          <w:p>
            <w:pPr>
              <w:spacing w:after="0"/>
              <w:rPr>
                <w:sz w:val="9"/>
                <w:szCs w:val="9"/>
                <w:color w:val="auto"/>
              </w:rPr>
            </w:pPr>
          </w:p>
        </w:tc>
        <w:tc>
          <w:tcPr>
            <w:tcW w:w="880" w:type="dxa"/>
            <w:vAlign w:val="bottom"/>
            <w:vMerge w:val="continue"/>
            <w:shd w:val="clear" w:color="auto" w:fill="CF1D4C"/>
          </w:tcPr>
          <w:p>
            <w:pPr>
              <w:spacing w:after="0"/>
              <w:rPr>
                <w:sz w:val="9"/>
                <w:szCs w:val="9"/>
                <w:color w:val="auto"/>
              </w:rPr>
            </w:pPr>
          </w:p>
        </w:tc>
        <w:tc>
          <w:tcPr>
            <w:tcW w:w="40" w:type="dxa"/>
            <w:vAlign w:val="bottom"/>
            <w:shd w:val="clear" w:color="auto" w:fill="CF1D4C"/>
          </w:tcPr>
          <w:p>
            <w:pPr>
              <w:spacing w:after="0"/>
              <w:rPr>
                <w:sz w:val="9"/>
                <w:szCs w:val="9"/>
                <w:color w:val="auto"/>
              </w:rPr>
            </w:pPr>
          </w:p>
        </w:tc>
        <w:tc>
          <w:tcPr>
            <w:tcW w:w="600" w:type="dxa"/>
            <w:vAlign w:val="bottom"/>
            <w:shd w:val="clear" w:color="auto" w:fill="CF1D4C"/>
          </w:tcPr>
          <w:p>
            <w:pPr>
              <w:ind w:left="40"/>
              <w:spacing w:after="0" w:line="108" w:lineRule="exact"/>
              <w:rPr>
                <w:sz w:val="20"/>
                <w:szCs w:val="20"/>
                <w:color w:val="auto"/>
              </w:rPr>
            </w:pPr>
            <w:r>
              <w:rPr>
                <w:rFonts w:ascii="Arial" w:cs="Arial" w:eastAsia="Arial" w:hAnsi="Arial"/>
                <w:sz w:val="11"/>
                <w:szCs w:val="11"/>
                <w:b w:val="1"/>
                <w:bCs w:val="1"/>
                <w:color w:val="FFFFFF"/>
              </w:rPr>
              <w:t>Securities</w:t>
            </w:r>
          </w:p>
        </w:tc>
        <w:tc>
          <w:tcPr>
            <w:tcW w:w="180" w:type="dxa"/>
            <w:vAlign w:val="bottom"/>
            <w:shd w:val="clear" w:color="auto" w:fill="CF1D4C"/>
          </w:tcPr>
          <w:p>
            <w:pPr>
              <w:spacing w:after="0"/>
              <w:rPr>
                <w:sz w:val="9"/>
                <w:szCs w:val="9"/>
                <w:color w:val="auto"/>
              </w:rPr>
            </w:pPr>
          </w:p>
        </w:tc>
        <w:tc>
          <w:tcPr>
            <w:tcW w:w="80" w:type="dxa"/>
            <w:vAlign w:val="bottom"/>
            <w:shd w:val="clear" w:color="auto" w:fill="CF1D4C"/>
          </w:tcPr>
          <w:p>
            <w:pPr>
              <w:spacing w:after="0"/>
              <w:rPr>
                <w:sz w:val="9"/>
                <w:szCs w:val="9"/>
                <w:color w:val="auto"/>
              </w:rPr>
            </w:pPr>
          </w:p>
        </w:tc>
        <w:tc>
          <w:tcPr>
            <w:tcW w:w="460" w:type="dxa"/>
            <w:vAlign w:val="bottom"/>
            <w:vMerge w:val="continue"/>
            <w:shd w:val="clear" w:color="auto" w:fill="CF1D4C"/>
          </w:tcPr>
          <w:p>
            <w:pPr>
              <w:spacing w:after="0"/>
              <w:rPr>
                <w:sz w:val="9"/>
                <w:szCs w:val="9"/>
                <w:color w:val="auto"/>
              </w:rPr>
            </w:pPr>
          </w:p>
        </w:tc>
        <w:tc>
          <w:tcPr>
            <w:tcW w:w="40" w:type="dxa"/>
            <w:vAlign w:val="bottom"/>
            <w:shd w:val="clear" w:color="auto" w:fill="CF1D4C"/>
          </w:tcPr>
          <w:p>
            <w:pPr>
              <w:spacing w:after="0"/>
              <w:rPr>
                <w:sz w:val="9"/>
                <w:szCs w:val="9"/>
                <w:color w:val="auto"/>
              </w:rPr>
            </w:pPr>
          </w:p>
        </w:tc>
        <w:tc>
          <w:tcPr>
            <w:tcW w:w="720" w:type="dxa"/>
            <w:vAlign w:val="bottom"/>
            <w:shd w:val="clear" w:color="auto" w:fill="CF1D4C"/>
          </w:tcPr>
          <w:p>
            <w:pPr>
              <w:ind w:left="40"/>
              <w:spacing w:after="0" w:line="108" w:lineRule="exact"/>
              <w:rPr>
                <w:sz w:val="20"/>
                <w:szCs w:val="20"/>
                <w:color w:val="auto"/>
              </w:rPr>
            </w:pPr>
            <w:r>
              <w:rPr>
                <w:rFonts w:ascii="Arial" w:cs="Arial" w:eastAsia="Arial" w:hAnsi="Arial"/>
                <w:sz w:val="11"/>
                <w:szCs w:val="11"/>
                <w:b w:val="1"/>
                <w:bCs w:val="1"/>
                <w:color w:val="FFFFFF"/>
              </w:rPr>
              <w:t>Expiration</w:t>
            </w:r>
          </w:p>
        </w:tc>
        <w:tc>
          <w:tcPr>
            <w:tcW w:w="640" w:type="dxa"/>
            <w:vAlign w:val="bottom"/>
            <w:vMerge w:val="continue"/>
            <w:shd w:val="clear" w:color="auto" w:fill="CF1D4C"/>
          </w:tcPr>
          <w:p>
            <w:pPr>
              <w:spacing w:after="0"/>
              <w:rPr>
                <w:sz w:val="9"/>
                <w:szCs w:val="9"/>
                <w:color w:val="auto"/>
              </w:rPr>
            </w:pPr>
          </w:p>
        </w:tc>
        <w:tc>
          <w:tcPr>
            <w:tcW w:w="660" w:type="dxa"/>
            <w:vAlign w:val="bottom"/>
            <w:vMerge w:val="continue"/>
            <w:shd w:val="clear" w:color="auto" w:fill="CF1D4C"/>
          </w:tcPr>
          <w:p>
            <w:pPr>
              <w:spacing w:after="0"/>
              <w:rPr>
                <w:sz w:val="9"/>
                <w:szCs w:val="9"/>
                <w:color w:val="auto"/>
              </w:rPr>
            </w:pPr>
          </w:p>
        </w:tc>
        <w:tc>
          <w:tcPr>
            <w:tcW w:w="840" w:type="dxa"/>
            <w:vAlign w:val="bottom"/>
            <w:shd w:val="clear" w:color="auto" w:fill="CF1D4C"/>
          </w:tcPr>
          <w:p>
            <w:pPr>
              <w:ind w:left="100"/>
              <w:spacing w:after="0" w:line="108" w:lineRule="exact"/>
              <w:rPr>
                <w:sz w:val="20"/>
                <w:szCs w:val="20"/>
                <w:color w:val="auto"/>
              </w:rPr>
            </w:pPr>
            <w:r>
              <w:rPr>
                <w:rFonts w:ascii="Arial" w:cs="Arial" w:eastAsia="Arial" w:hAnsi="Arial"/>
                <w:sz w:val="11"/>
                <w:szCs w:val="11"/>
                <w:b w:val="1"/>
                <w:bCs w:val="1"/>
                <w:color w:val="FFFFFF"/>
              </w:rPr>
              <w:t>Shares, Units</w:t>
            </w:r>
          </w:p>
        </w:tc>
        <w:tc>
          <w:tcPr>
            <w:tcW w:w="960" w:type="dxa"/>
            <w:vAlign w:val="bottom"/>
            <w:shd w:val="clear" w:color="auto" w:fill="CF1D4C"/>
          </w:tcPr>
          <w:p>
            <w:pPr>
              <w:ind w:left="60"/>
              <w:spacing w:after="0" w:line="108" w:lineRule="exact"/>
              <w:rPr>
                <w:sz w:val="20"/>
                <w:szCs w:val="20"/>
                <w:color w:val="auto"/>
              </w:rPr>
            </w:pPr>
            <w:r>
              <w:rPr>
                <w:rFonts w:ascii="Arial" w:cs="Arial" w:eastAsia="Arial" w:hAnsi="Arial"/>
                <w:sz w:val="11"/>
                <w:szCs w:val="11"/>
                <w:b w:val="1"/>
                <w:bCs w:val="1"/>
                <w:color w:val="FFFFFF"/>
              </w:rPr>
              <w:t>of Unearned</w:t>
            </w:r>
          </w:p>
        </w:tc>
        <w:tc>
          <w:tcPr>
            <w:tcW w:w="0" w:type="dxa"/>
            <w:vAlign w:val="bottom"/>
          </w:tcPr>
          <w:p>
            <w:pPr>
              <w:spacing w:after="0"/>
              <w:rPr>
                <w:sz w:val="1"/>
                <w:szCs w:val="1"/>
                <w:color w:val="auto"/>
              </w:rPr>
            </w:pPr>
          </w:p>
        </w:tc>
      </w:tr>
      <w:tr>
        <w:trPr>
          <w:trHeight w:val="68"/>
        </w:trPr>
        <w:tc>
          <w:tcPr>
            <w:tcW w:w="100" w:type="dxa"/>
            <w:vAlign w:val="bottom"/>
            <w:shd w:val="clear" w:color="auto" w:fill="CF1D4C"/>
          </w:tcPr>
          <w:p>
            <w:pPr>
              <w:spacing w:after="0"/>
              <w:rPr>
                <w:sz w:val="5"/>
                <w:szCs w:val="5"/>
                <w:color w:val="auto"/>
              </w:rPr>
            </w:pPr>
          </w:p>
        </w:tc>
        <w:tc>
          <w:tcPr>
            <w:tcW w:w="70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680" w:type="dxa"/>
            <w:vAlign w:val="bottom"/>
            <w:shd w:val="clear" w:color="auto" w:fill="CF1D4C"/>
          </w:tcPr>
          <w:p>
            <w:pPr>
              <w:spacing w:after="0"/>
              <w:rPr>
                <w:sz w:val="5"/>
                <w:szCs w:val="5"/>
                <w:color w:val="auto"/>
              </w:rPr>
            </w:pPr>
          </w:p>
        </w:tc>
        <w:tc>
          <w:tcPr>
            <w:tcW w:w="80" w:type="dxa"/>
            <w:vAlign w:val="bottom"/>
            <w:shd w:val="clear" w:color="auto" w:fill="CF1D4C"/>
          </w:tcPr>
          <w:p>
            <w:pPr>
              <w:spacing w:after="0"/>
              <w:rPr>
                <w:sz w:val="5"/>
                <w:szCs w:val="5"/>
                <w:color w:val="auto"/>
              </w:rPr>
            </w:pPr>
          </w:p>
        </w:tc>
        <w:tc>
          <w:tcPr>
            <w:tcW w:w="740" w:type="dxa"/>
            <w:vAlign w:val="bottom"/>
            <w:shd w:val="clear" w:color="auto" w:fill="CF1D4C"/>
          </w:tcPr>
          <w:p>
            <w:pPr>
              <w:spacing w:after="0" w:line="68" w:lineRule="exact"/>
              <w:rPr>
                <w:sz w:val="20"/>
                <w:szCs w:val="20"/>
                <w:color w:val="auto"/>
              </w:rPr>
            </w:pPr>
            <w:r>
              <w:rPr>
                <w:rFonts w:ascii="Arial" w:cs="Arial" w:eastAsia="Arial" w:hAnsi="Arial"/>
                <w:sz w:val="6"/>
                <w:szCs w:val="6"/>
                <w:b w:val="1"/>
                <w:bCs w:val="1"/>
                <w:color w:val="FFFFFF"/>
              </w:rPr>
              <w:t>Unexercised</w:t>
            </w:r>
          </w:p>
        </w:tc>
        <w:tc>
          <w:tcPr>
            <w:tcW w:w="80" w:type="dxa"/>
            <w:vAlign w:val="bottom"/>
            <w:shd w:val="clear" w:color="auto" w:fill="CF1D4C"/>
          </w:tcPr>
          <w:p>
            <w:pPr>
              <w:spacing w:after="0"/>
              <w:rPr>
                <w:sz w:val="5"/>
                <w:szCs w:val="5"/>
                <w:color w:val="auto"/>
              </w:rPr>
            </w:pPr>
          </w:p>
        </w:tc>
        <w:tc>
          <w:tcPr>
            <w:tcW w:w="880" w:type="dxa"/>
            <w:vAlign w:val="bottom"/>
            <w:shd w:val="clear" w:color="auto" w:fill="CF1D4C"/>
          </w:tcPr>
          <w:p>
            <w:pPr>
              <w:spacing w:after="0" w:line="68" w:lineRule="exact"/>
              <w:rPr>
                <w:sz w:val="20"/>
                <w:szCs w:val="20"/>
                <w:color w:val="auto"/>
              </w:rPr>
            </w:pPr>
            <w:r>
              <w:rPr>
                <w:rFonts w:ascii="Arial" w:cs="Arial" w:eastAsia="Arial" w:hAnsi="Arial"/>
                <w:sz w:val="6"/>
                <w:szCs w:val="6"/>
                <w:b w:val="1"/>
                <w:bCs w:val="1"/>
                <w:color w:val="FFFFFF"/>
              </w:rPr>
              <w:t>Unexercised</w:t>
            </w:r>
          </w:p>
        </w:tc>
        <w:tc>
          <w:tcPr>
            <w:tcW w:w="40" w:type="dxa"/>
            <w:vAlign w:val="bottom"/>
            <w:shd w:val="clear" w:color="auto" w:fill="CF1D4C"/>
          </w:tcPr>
          <w:p>
            <w:pPr>
              <w:spacing w:after="0"/>
              <w:rPr>
                <w:sz w:val="5"/>
                <w:szCs w:val="5"/>
                <w:color w:val="auto"/>
              </w:rPr>
            </w:pPr>
          </w:p>
        </w:tc>
        <w:tc>
          <w:tcPr>
            <w:tcW w:w="600" w:type="dxa"/>
            <w:vAlign w:val="bottom"/>
            <w:vMerge w:val="restart"/>
            <w:shd w:val="clear" w:color="auto" w:fill="CF1D4C"/>
          </w:tcPr>
          <w:p>
            <w:pPr>
              <w:ind w:left="40"/>
              <w:spacing w:after="0"/>
              <w:rPr>
                <w:sz w:val="20"/>
                <w:szCs w:val="20"/>
                <w:color w:val="auto"/>
              </w:rPr>
            </w:pPr>
            <w:r>
              <w:rPr>
                <w:rFonts w:ascii="Arial" w:cs="Arial" w:eastAsia="Arial" w:hAnsi="Arial"/>
                <w:sz w:val="11"/>
                <w:szCs w:val="11"/>
                <w:b w:val="1"/>
                <w:bCs w:val="1"/>
                <w:color w:val="FFFFFF"/>
                <w:w w:val="93"/>
              </w:rPr>
              <w:t>Underlying</w:t>
            </w:r>
          </w:p>
        </w:tc>
        <w:tc>
          <w:tcPr>
            <w:tcW w:w="180" w:type="dxa"/>
            <w:vAlign w:val="bottom"/>
            <w:shd w:val="clear" w:color="auto" w:fill="CF1D4C"/>
          </w:tcPr>
          <w:p>
            <w:pPr>
              <w:spacing w:after="0"/>
              <w:rPr>
                <w:sz w:val="5"/>
                <w:szCs w:val="5"/>
                <w:color w:val="auto"/>
              </w:rPr>
            </w:pPr>
          </w:p>
        </w:tc>
        <w:tc>
          <w:tcPr>
            <w:tcW w:w="80" w:type="dxa"/>
            <w:vAlign w:val="bottom"/>
            <w:shd w:val="clear" w:color="auto" w:fill="CF1D4C"/>
          </w:tcPr>
          <w:p>
            <w:pPr>
              <w:spacing w:after="0"/>
              <w:rPr>
                <w:sz w:val="5"/>
                <w:szCs w:val="5"/>
                <w:color w:val="auto"/>
              </w:rPr>
            </w:pPr>
          </w:p>
        </w:tc>
        <w:tc>
          <w:tcPr>
            <w:tcW w:w="460" w:type="dxa"/>
            <w:vAlign w:val="bottom"/>
            <w:shd w:val="clear" w:color="auto" w:fill="CF1D4C"/>
          </w:tcPr>
          <w:p>
            <w:pPr>
              <w:spacing w:after="0" w:line="68" w:lineRule="exact"/>
              <w:rPr>
                <w:sz w:val="20"/>
                <w:szCs w:val="20"/>
                <w:color w:val="auto"/>
              </w:rPr>
            </w:pPr>
            <w:r>
              <w:rPr>
                <w:rFonts w:ascii="Arial" w:cs="Arial" w:eastAsia="Arial" w:hAnsi="Arial"/>
                <w:sz w:val="6"/>
                <w:szCs w:val="6"/>
                <w:b w:val="1"/>
                <w:bCs w:val="1"/>
                <w:color w:val="FFFFFF"/>
              </w:rPr>
              <w:t>Price</w:t>
            </w:r>
          </w:p>
        </w:tc>
        <w:tc>
          <w:tcPr>
            <w:tcW w:w="40" w:type="dxa"/>
            <w:vAlign w:val="bottom"/>
            <w:shd w:val="clear" w:color="auto" w:fill="CF1D4C"/>
          </w:tcPr>
          <w:p>
            <w:pPr>
              <w:spacing w:after="0"/>
              <w:rPr>
                <w:sz w:val="5"/>
                <w:szCs w:val="5"/>
                <w:color w:val="auto"/>
              </w:rPr>
            </w:pPr>
          </w:p>
        </w:tc>
        <w:tc>
          <w:tcPr>
            <w:tcW w:w="720" w:type="dxa"/>
            <w:vAlign w:val="bottom"/>
            <w:vMerge w:val="restart"/>
            <w:shd w:val="clear" w:color="auto" w:fill="CF1D4C"/>
          </w:tcPr>
          <w:p>
            <w:pPr>
              <w:ind w:left="40"/>
              <w:spacing w:after="0"/>
              <w:rPr>
                <w:sz w:val="20"/>
                <w:szCs w:val="20"/>
                <w:color w:val="auto"/>
              </w:rPr>
            </w:pPr>
            <w:r>
              <w:rPr>
                <w:rFonts w:ascii="Arial" w:cs="Arial" w:eastAsia="Arial" w:hAnsi="Arial"/>
                <w:sz w:val="11"/>
                <w:szCs w:val="11"/>
                <w:b w:val="1"/>
                <w:bCs w:val="1"/>
                <w:color w:val="FFFFFF"/>
              </w:rPr>
              <w:t>Date</w:t>
            </w:r>
          </w:p>
        </w:tc>
        <w:tc>
          <w:tcPr>
            <w:tcW w:w="640" w:type="dxa"/>
            <w:vAlign w:val="bottom"/>
            <w:shd w:val="clear" w:color="auto" w:fill="CF1D4C"/>
          </w:tcPr>
          <w:p>
            <w:pPr>
              <w:ind w:left="80"/>
              <w:spacing w:after="0" w:line="68" w:lineRule="exact"/>
              <w:rPr>
                <w:sz w:val="20"/>
                <w:szCs w:val="20"/>
                <w:color w:val="auto"/>
              </w:rPr>
            </w:pPr>
            <w:r>
              <w:rPr>
                <w:rFonts w:ascii="Arial" w:cs="Arial" w:eastAsia="Arial" w:hAnsi="Arial"/>
                <w:sz w:val="6"/>
                <w:szCs w:val="6"/>
                <w:b w:val="1"/>
                <w:bCs w:val="1"/>
                <w:color w:val="FFFFFF"/>
              </w:rPr>
              <w:t>that</w:t>
            </w:r>
          </w:p>
        </w:tc>
        <w:tc>
          <w:tcPr>
            <w:tcW w:w="660" w:type="dxa"/>
            <w:vAlign w:val="bottom"/>
            <w:shd w:val="clear" w:color="auto" w:fill="CF1D4C"/>
          </w:tcPr>
          <w:p>
            <w:pPr>
              <w:ind w:left="40"/>
              <w:spacing w:after="0" w:line="68" w:lineRule="exact"/>
              <w:rPr>
                <w:sz w:val="20"/>
                <w:szCs w:val="20"/>
                <w:color w:val="auto"/>
              </w:rPr>
            </w:pPr>
            <w:r>
              <w:rPr>
                <w:rFonts w:ascii="Arial" w:cs="Arial" w:eastAsia="Arial" w:hAnsi="Arial"/>
                <w:sz w:val="6"/>
                <w:szCs w:val="6"/>
                <w:b w:val="1"/>
                <w:bCs w:val="1"/>
                <w:color w:val="FFFFFF"/>
              </w:rPr>
              <w:t>Stock that</w:t>
            </w:r>
          </w:p>
        </w:tc>
        <w:tc>
          <w:tcPr>
            <w:tcW w:w="840" w:type="dxa"/>
            <w:vAlign w:val="bottom"/>
            <w:vMerge w:val="restart"/>
            <w:shd w:val="clear" w:color="auto" w:fill="CF1D4C"/>
          </w:tcPr>
          <w:p>
            <w:pPr>
              <w:ind w:left="100"/>
              <w:spacing w:after="0"/>
              <w:rPr>
                <w:sz w:val="20"/>
                <w:szCs w:val="20"/>
                <w:color w:val="auto"/>
              </w:rPr>
            </w:pPr>
            <w:r>
              <w:rPr>
                <w:rFonts w:ascii="Arial" w:cs="Arial" w:eastAsia="Arial" w:hAnsi="Arial"/>
                <w:sz w:val="11"/>
                <w:szCs w:val="11"/>
                <w:b w:val="1"/>
                <w:bCs w:val="1"/>
                <w:color w:val="FFFFFF"/>
              </w:rPr>
              <w:t>or Other</w:t>
            </w:r>
          </w:p>
        </w:tc>
        <w:tc>
          <w:tcPr>
            <w:tcW w:w="96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Shares, Units</w:t>
            </w:r>
          </w:p>
        </w:tc>
        <w:tc>
          <w:tcPr>
            <w:tcW w:w="0" w:type="dxa"/>
            <w:vAlign w:val="bottom"/>
          </w:tcPr>
          <w:p>
            <w:pPr>
              <w:spacing w:after="0"/>
              <w:rPr>
                <w:sz w:val="1"/>
                <w:szCs w:val="1"/>
                <w:color w:val="auto"/>
              </w:rPr>
            </w:pPr>
          </w:p>
        </w:tc>
      </w:tr>
      <w:tr>
        <w:trPr>
          <w:trHeight w:val="68"/>
        </w:trPr>
        <w:tc>
          <w:tcPr>
            <w:tcW w:w="100" w:type="dxa"/>
            <w:vAlign w:val="bottom"/>
            <w:shd w:val="clear" w:color="auto" w:fill="CF1D4C"/>
          </w:tcPr>
          <w:p>
            <w:pPr>
              <w:spacing w:after="0"/>
              <w:rPr>
                <w:sz w:val="5"/>
                <w:szCs w:val="5"/>
                <w:color w:val="auto"/>
              </w:rPr>
            </w:pPr>
          </w:p>
        </w:tc>
        <w:tc>
          <w:tcPr>
            <w:tcW w:w="700" w:type="dxa"/>
            <w:vAlign w:val="bottom"/>
            <w:shd w:val="clear" w:color="auto" w:fill="CF1D4C"/>
          </w:tcPr>
          <w:p>
            <w:pPr>
              <w:spacing w:after="0"/>
              <w:rPr>
                <w:sz w:val="5"/>
                <w:szCs w:val="5"/>
                <w:color w:val="auto"/>
              </w:rPr>
            </w:pPr>
          </w:p>
        </w:tc>
        <w:tc>
          <w:tcPr>
            <w:tcW w:w="40" w:type="dxa"/>
            <w:vAlign w:val="bottom"/>
            <w:shd w:val="clear" w:color="auto" w:fill="CF1D4C"/>
          </w:tcPr>
          <w:p>
            <w:pPr>
              <w:spacing w:after="0"/>
              <w:rPr>
                <w:sz w:val="5"/>
                <w:szCs w:val="5"/>
                <w:color w:val="auto"/>
              </w:rPr>
            </w:pPr>
          </w:p>
        </w:tc>
        <w:tc>
          <w:tcPr>
            <w:tcW w:w="680" w:type="dxa"/>
            <w:vAlign w:val="bottom"/>
            <w:shd w:val="clear" w:color="auto" w:fill="CF1D4C"/>
          </w:tcPr>
          <w:p>
            <w:pPr>
              <w:spacing w:after="0"/>
              <w:rPr>
                <w:sz w:val="5"/>
                <w:szCs w:val="5"/>
                <w:color w:val="auto"/>
              </w:rPr>
            </w:pPr>
          </w:p>
        </w:tc>
        <w:tc>
          <w:tcPr>
            <w:tcW w:w="80" w:type="dxa"/>
            <w:vAlign w:val="bottom"/>
            <w:shd w:val="clear" w:color="auto" w:fill="CF1D4C"/>
          </w:tcPr>
          <w:p>
            <w:pPr>
              <w:spacing w:after="0"/>
              <w:rPr>
                <w:sz w:val="5"/>
                <w:szCs w:val="5"/>
                <w:color w:val="auto"/>
              </w:rPr>
            </w:pPr>
          </w:p>
        </w:tc>
        <w:tc>
          <w:tcPr>
            <w:tcW w:w="740" w:type="dxa"/>
            <w:vAlign w:val="bottom"/>
            <w:vMerge w:val="restart"/>
            <w:shd w:val="clear" w:color="auto" w:fill="CF1D4C"/>
          </w:tcPr>
          <w:p>
            <w:pPr>
              <w:spacing w:after="0" w:line="108" w:lineRule="exact"/>
              <w:rPr>
                <w:sz w:val="20"/>
                <w:szCs w:val="20"/>
                <w:color w:val="auto"/>
              </w:rPr>
            </w:pPr>
            <w:r>
              <w:rPr>
                <w:rFonts w:ascii="Arial" w:cs="Arial" w:eastAsia="Arial" w:hAnsi="Arial"/>
                <w:sz w:val="11"/>
                <w:szCs w:val="11"/>
                <w:b w:val="1"/>
                <w:bCs w:val="1"/>
                <w:color w:val="FFFFFF"/>
              </w:rPr>
              <w:t>Options (#)</w:t>
            </w:r>
          </w:p>
        </w:tc>
        <w:tc>
          <w:tcPr>
            <w:tcW w:w="80" w:type="dxa"/>
            <w:vAlign w:val="bottom"/>
            <w:shd w:val="clear" w:color="auto" w:fill="CF1D4C"/>
          </w:tcPr>
          <w:p>
            <w:pPr>
              <w:spacing w:after="0"/>
              <w:rPr>
                <w:sz w:val="5"/>
                <w:szCs w:val="5"/>
                <w:color w:val="auto"/>
              </w:rPr>
            </w:pPr>
          </w:p>
        </w:tc>
        <w:tc>
          <w:tcPr>
            <w:tcW w:w="880" w:type="dxa"/>
            <w:vAlign w:val="bottom"/>
            <w:vMerge w:val="restart"/>
            <w:shd w:val="clear" w:color="auto" w:fill="CF1D4C"/>
          </w:tcPr>
          <w:p>
            <w:pPr>
              <w:spacing w:after="0" w:line="108" w:lineRule="exact"/>
              <w:rPr>
                <w:sz w:val="20"/>
                <w:szCs w:val="20"/>
                <w:color w:val="auto"/>
              </w:rPr>
            </w:pPr>
            <w:r>
              <w:rPr>
                <w:rFonts w:ascii="Arial" w:cs="Arial" w:eastAsia="Arial" w:hAnsi="Arial"/>
                <w:sz w:val="11"/>
                <w:szCs w:val="11"/>
                <w:b w:val="1"/>
                <w:bCs w:val="1"/>
                <w:color w:val="FFFFFF"/>
              </w:rPr>
              <w:t>Options (#)</w:t>
            </w:r>
          </w:p>
        </w:tc>
        <w:tc>
          <w:tcPr>
            <w:tcW w:w="40" w:type="dxa"/>
            <w:vAlign w:val="bottom"/>
            <w:shd w:val="clear" w:color="auto" w:fill="CF1D4C"/>
          </w:tcPr>
          <w:p>
            <w:pPr>
              <w:spacing w:after="0"/>
              <w:rPr>
                <w:sz w:val="5"/>
                <w:szCs w:val="5"/>
                <w:color w:val="auto"/>
              </w:rPr>
            </w:pPr>
          </w:p>
        </w:tc>
        <w:tc>
          <w:tcPr>
            <w:tcW w:w="600" w:type="dxa"/>
            <w:vAlign w:val="bottom"/>
            <w:vMerge w:val="continue"/>
            <w:shd w:val="clear" w:color="auto" w:fill="CF1D4C"/>
          </w:tcPr>
          <w:p>
            <w:pPr>
              <w:spacing w:after="0"/>
              <w:rPr>
                <w:sz w:val="5"/>
                <w:szCs w:val="5"/>
                <w:color w:val="auto"/>
              </w:rPr>
            </w:pPr>
          </w:p>
        </w:tc>
        <w:tc>
          <w:tcPr>
            <w:tcW w:w="180" w:type="dxa"/>
            <w:vAlign w:val="bottom"/>
            <w:shd w:val="clear" w:color="auto" w:fill="CF1D4C"/>
          </w:tcPr>
          <w:p>
            <w:pPr>
              <w:spacing w:after="0"/>
              <w:rPr>
                <w:sz w:val="5"/>
                <w:szCs w:val="5"/>
                <w:color w:val="auto"/>
              </w:rPr>
            </w:pPr>
          </w:p>
        </w:tc>
        <w:tc>
          <w:tcPr>
            <w:tcW w:w="540" w:type="dxa"/>
            <w:vAlign w:val="bottom"/>
            <w:gridSpan w:val="2"/>
            <w:vMerge w:val="restart"/>
            <w:shd w:val="clear" w:color="auto" w:fill="CF1D4C"/>
          </w:tcPr>
          <w:p>
            <w:pPr>
              <w:ind w:left="80"/>
              <w:spacing w:after="0" w:line="108" w:lineRule="exact"/>
              <w:rPr>
                <w:sz w:val="20"/>
                <w:szCs w:val="20"/>
                <w:color w:val="auto"/>
              </w:rPr>
            </w:pPr>
            <w:r>
              <w:rPr>
                <w:rFonts w:ascii="Arial" w:cs="Arial" w:eastAsia="Arial" w:hAnsi="Arial"/>
                <w:sz w:val="11"/>
                <w:szCs w:val="11"/>
                <w:b w:val="1"/>
                <w:bCs w:val="1"/>
                <w:color w:val="FFFFFF"/>
              </w:rPr>
              <w:t>($)</w:t>
            </w:r>
          </w:p>
        </w:tc>
        <w:tc>
          <w:tcPr>
            <w:tcW w:w="40" w:type="dxa"/>
            <w:vAlign w:val="bottom"/>
            <w:shd w:val="clear" w:color="auto" w:fill="CF1D4C"/>
          </w:tcPr>
          <w:p>
            <w:pPr>
              <w:spacing w:after="0"/>
              <w:rPr>
                <w:sz w:val="5"/>
                <w:szCs w:val="5"/>
                <w:color w:val="auto"/>
              </w:rPr>
            </w:pPr>
          </w:p>
        </w:tc>
        <w:tc>
          <w:tcPr>
            <w:tcW w:w="720" w:type="dxa"/>
            <w:vAlign w:val="bottom"/>
            <w:vMerge w:val="continue"/>
            <w:shd w:val="clear" w:color="auto" w:fill="CF1D4C"/>
          </w:tcPr>
          <w:p>
            <w:pPr>
              <w:spacing w:after="0"/>
              <w:rPr>
                <w:sz w:val="5"/>
                <w:szCs w:val="5"/>
                <w:color w:val="auto"/>
              </w:rPr>
            </w:pPr>
          </w:p>
        </w:tc>
        <w:tc>
          <w:tcPr>
            <w:tcW w:w="640" w:type="dxa"/>
            <w:vAlign w:val="bottom"/>
            <w:vMerge w:val="restart"/>
            <w:shd w:val="clear" w:color="auto" w:fill="CF1D4C"/>
          </w:tcPr>
          <w:p>
            <w:pPr>
              <w:ind w:left="80"/>
              <w:spacing w:after="0" w:line="108" w:lineRule="exact"/>
              <w:rPr>
                <w:sz w:val="20"/>
                <w:szCs w:val="20"/>
                <w:color w:val="auto"/>
              </w:rPr>
            </w:pPr>
            <w:r>
              <w:rPr>
                <w:rFonts w:ascii="Arial" w:cs="Arial" w:eastAsia="Arial" w:hAnsi="Arial"/>
                <w:sz w:val="11"/>
                <w:szCs w:val="11"/>
                <w:b w:val="1"/>
                <w:bCs w:val="1"/>
                <w:color w:val="FFFFFF"/>
              </w:rPr>
              <w:t>Have Not</w:t>
            </w:r>
          </w:p>
        </w:tc>
        <w:tc>
          <w:tcPr>
            <w:tcW w:w="660" w:type="dxa"/>
            <w:vAlign w:val="bottom"/>
            <w:vMerge w:val="restart"/>
            <w:shd w:val="clear" w:color="auto" w:fill="CF1D4C"/>
          </w:tcPr>
          <w:p>
            <w:pPr>
              <w:ind w:left="40"/>
              <w:spacing w:after="0" w:line="108" w:lineRule="exact"/>
              <w:rPr>
                <w:sz w:val="20"/>
                <w:szCs w:val="20"/>
                <w:color w:val="auto"/>
              </w:rPr>
            </w:pPr>
            <w:r>
              <w:rPr>
                <w:rFonts w:ascii="Arial" w:cs="Arial" w:eastAsia="Arial" w:hAnsi="Arial"/>
                <w:sz w:val="11"/>
                <w:szCs w:val="11"/>
                <w:b w:val="1"/>
                <w:bCs w:val="1"/>
                <w:color w:val="FFFFFF"/>
              </w:rPr>
              <w:t>Have Not</w:t>
            </w:r>
          </w:p>
        </w:tc>
        <w:tc>
          <w:tcPr>
            <w:tcW w:w="840" w:type="dxa"/>
            <w:vAlign w:val="bottom"/>
            <w:vMerge w:val="continue"/>
            <w:shd w:val="clear" w:color="auto" w:fill="CF1D4C"/>
          </w:tcPr>
          <w:p>
            <w:pPr>
              <w:spacing w:after="0"/>
              <w:rPr>
                <w:sz w:val="5"/>
                <w:szCs w:val="5"/>
                <w:color w:val="auto"/>
              </w:rPr>
            </w:pPr>
          </w:p>
        </w:tc>
        <w:tc>
          <w:tcPr>
            <w:tcW w:w="96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100" w:type="dxa"/>
            <w:vAlign w:val="bottom"/>
            <w:shd w:val="clear" w:color="auto" w:fill="CF1D4C"/>
          </w:tcPr>
          <w:p>
            <w:pPr>
              <w:spacing w:after="0"/>
              <w:rPr>
                <w:sz w:val="3"/>
                <w:szCs w:val="3"/>
                <w:color w:val="auto"/>
              </w:rPr>
            </w:pPr>
          </w:p>
        </w:tc>
        <w:tc>
          <w:tcPr>
            <w:tcW w:w="700" w:type="dxa"/>
            <w:vAlign w:val="bottom"/>
            <w:shd w:val="clear" w:color="auto" w:fill="CF1D4C"/>
          </w:tcPr>
          <w:p>
            <w:pPr>
              <w:spacing w:after="0"/>
              <w:rPr>
                <w:sz w:val="3"/>
                <w:szCs w:val="3"/>
                <w:color w:val="auto"/>
              </w:rPr>
            </w:pPr>
          </w:p>
        </w:tc>
        <w:tc>
          <w:tcPr>
            <w:tcW w:w="40" w:type="dxa"/>
            <w:vAlign w:val="bottom"/>
            <w:shd w:val="clear" w:color="auto" w:fill="CF1D4C"/>
          </w:tcPr>
          <w:p>
            <w:pPr>
              <w:spacing w:after="0"/>
              <w:rPr>
                <w:sz w:val="3"/>
                <w:szCs w:val="3"/>
                <w:color w:val="auto"/>
              </w:rPr>
            </w:pPr>
          </w:p>
        </w:tc>
        <w:tc>
          <w:tcPr>
            <w:tcW w:w="680" w:type="dxa"/>
            <w:vAlign w:val="bottom"/>
            <w:shd w:val="clear" w:color="auto" w:fill="CF1D4C"/>
          </w:tcPr>
          <w:p>
            <w:pPr>
              <w:spacing w:after="0"/>
              <w:rPr>
                <w:sz w:val="3"/>
                <w:szCs w:val="3"/>
                <w:color w:val="auto"/>
              </w:rPr>
            </w:pPr>
          </w:p>
        </w:tc>
        <w:tc>
          <w:tcPr>
            <w:tcW w:w="80" w:type="dxa"/>
            <w:vAlign w:val="bottom"/>
            <w:shd w:val="clear" w:color="auto" w:fill="CF1D4C"/>
          </w:tcPr>
          <w:p>
            <w:pPr>
              <w:spacing w:after="0"/>
              <w:rPr>
                <w:sz w:val="3"/>
                <w:szCs w:val="3"/>
                <w:color w:val="auto"/>
              </w:rPr>
            </w:pPr>
          </w:p>
        </w:tc>
        <w:tc>
          <w:tcPr>
            <w:tcW w:w="740" w:type="dxa"/>
            <w:vAlign w:val="bottom"/>
            <w:vMerge w:val="continue"/>
            <w:shd w:val="clear" w:color="auto" w:fill="CF1D4C"/>
          </w:tcPr>
          <w:p>
            <w:pPr>
              <w:spacing w:after="0"/>
              <w:rPr>
                <w:sz w:val="3"/>
                <w:szCs w:val="3"/>
                <w:color w:val="auto"/>
              </w:rPr>
            </w:pPr>
          </w:p>
        </w:tc>
        <w:tc>
          <w:tcPr>
            <w:tcW w:w="80" w:type="dxa"/>
            <w:vAlign w:val="bottom"/>
            <w:shd w:val="clear" w:color="auto" w:fill="CF1D4C"/>
          </w:tcPr>
          <w:p>
            <w:pPr>
              <w:spacing w:after="0"/>
              <w:rPr>
                <w:sz w:val="3"/>
                <w:szCs w:val="3"/>
                <w:color w:val="auto"/>
              </w:rPr>
            </w:pPr>
          </w:p>
        </w:tc>
        <w:tc>
          <w:tcPr>
            <w:tcW w:w="880" w:type="dxa"/>
            <w:vAlign w:val="bottom"/>
            <w:vMerge w:val="continue"/>
            <w:shd w:val="clear" w:color="auto" w:fill="CF1D4C"/>
          </w:tcPr>
          <w:p>
            <w:pPr>
              <w:spacing w:after="0"/>
              <w:rPr>
                <w:sz w:val="3"/>
                <w:szCs w:val="3"/>
                <w:color w:val="auto"/>
              </w:rPr>
            </w:pPr>
          </w:p>
        </w:tc>
        <w:tc>
          <w:tcPr>
            <w:tcW w:w="40" w:type="dxa"/>
            <w:vAlign w:val="bottom"/>
            <w:shd w:val="clear" w:color="auto" w:fill="CF1D4C"/>
          </w:tcPr>
          <w:p>
            <w:pPr>
              <w:spacing w:after="0"/>
              <w:rPr>
                <w:sz w:val="3"/>
                <w:szCs w:val="3"/>
                <w:color w:val="auto"/>
              </w:rPr>
            </w:pPr>
          </w:p>
        </w:tc>
        <w:tc>
          <w:tcPr>
            <w:tcW w:w="780" w:type="dxa"/>
            <w:vAlign w:val="bottom"/>
            <w:gridSpan w:val="2"/>
            <w:vMerge w:val="restart"/>
            <w:shd w:val="clear" w:color="auto" w:fill="CF1D4C"/>
          </w:tcPr>
          <w:p>
            <w:pPr>
              <w:ind w:left="40"/>
              <w:spacing w:after="0"/>
              <w:rPr>
                <w:sz w:val="20"/>
                <w:szCs w:val="20"/>
                <w:color w:val="auto"/>
              </w:rPr>
            </w:pPr>
            <w:r>
              <w:rPr>
                <w:rFonts w:ascii="Arial" w:cs="Arial" w:eastAsia="Arial" w:hAnsi="Arial"/>
                <w:sz w:val="11"/>
                <w:szCs w:val="11"/>
                <w:b w:val="1"/>
                <w:bCs w:val="1"/>
                <w:color w:val="FFFFFF"/>
              </w:rPr>
              <w:t>Unexercised</w:t>
            </w:r>
          </w:p>
        </w:tc>
        <w:tc>
          <w:tcPr>
            <w:tcW w:w="540" w:type="dxa"/>
            <w:vAlign w:val="bottom"/>
            <w:gridSpan w:val="2"/>
            <w:vMerge w:val="continue"/>
            <w:shd w:val="clear" w:color="auto" w:fill="CF1D4C"/>
          </w:tcPr>
          <w:p>
            <w:pPr>
              <w:spacing w:after="0"/>
              <w:rPr>
                <w:sz w:val="3"/>
                <w:szCs w:val="3"/>
                <w:color w:val="auto"/>
              </w:rPr>
            </w:pPr>
          </w:p>
        </w:tc>
        <w:tc>
          <w:tcPr>
            <w:tcW w:w="40" w:type="dxa"/>
            <w:vAlign w:val="bottom"/>
            <w:shd w:val="clear" w:color="auto" w:fill="CF1D4C"/>
          </w:tcPr>
          <w:p>
            <w:pPr>
              <w:spacing w:after="0"/>
              <w:rPr>
                <w:sz w:val="3"/>
                <w:szCs w:val="3"/>
                <w:color w:val="auto"/>
              </w:rPr>
            </w:pPr>
          </w:p>
        </w:tc>
        <w:tc>
          <w:tcPr>
            <w:tcW w:w="720" w:type="dxa"/>
            <w:vAlign w:val="bottom"/>
            <w:shd w:val="clear" w:color="auto" w:fill="CF1D4C"/>
          </w:tcPr>
          <w:p>
            <w:pPr>
              <w:spacing w:after="0"/>
              <w:rPr>
                <w:sz w:val="3"/>
                <w:szCs w:val="3"/>
                <w:color w:val="auto"/>
              </w:rPr>
            </w:pPr>
          </w:p>
        </w:tc>
        <w:tc>
          <w:tcPr>
            <w:tcW w:w="640" w:type="dxa"/>
            <w:vAlign w:val="bottom"/>
            <w:vMerge w:val="continue"/>
            <w:shd w:val="clear" w:color="auto" w:fill="CF1D4C"/>
          </w:tcPr>
          <w:p>
            <w:pPr>
              <w:spacing w:after="0"/>
              <w:rPr>
                <w:sz w:val="3"/>
                <w:szCs w:val="3"/>
                <w:color w:val="auto"/>
              </w:rPr>
            </w:pPr>
          </w:p>
        </w:tc>
        <w:tc>
          <w:tcPr>
            <w:tcW w:w="660" w:type="dxa"/>
            <w:vAlign w:val="bottom"/>
            <w:vMerge w:val="continue"/>
            <w:shd w:val="clear" w:color="auto" w:fill="CF1D4C"/>
          </w:tcPr>
          <w:p>
            <w:pPr>
              <w:spacing w:after="0"/>
              <w:rPr>
                <w:sz w:val="3"/>
                <w:szCs w:val="3"/>
                <w:color w:val="auto"/>
              </w:rPr>
            </w:pPr>
          </w:p>
        </w:tc>
        <w:tc>
          <w:tcPr>
            <w:tcW w:w="840" w:type="dxa"/>
            <w:vAlign w:val="bottom"/>
            <w:vMerge w:val="restart"/>
            <w:shd w:val="clear" w:color="auto" w:fill="CF1D4C"/>
          </w:tcPr>
          <w:p>
            <w:pPr>
              <w:ind w:left="100"/>
              <w:spacing w:after="0"/>
              <w:rPr>
                <w:sz w:val="20"/>
                <w:szCs w:val="20"/>
                <w:color w:val="auto"/>
              </w:rPr>
            </w:pPr>
            <w:r>
              <w:rPr>
                <w:rFonts w:ascii="Arial" w:cs="Arial" w:eastAsia="Arial" w:hAnsi="Arial"/>
                <w:sz w:val="11"/>
                <w:szCs w:val="11"/>
                <w:b w:val="1"/>
                <w:bCs w:val="1"/>
                <w:color w:val="FFFFFF"/>
              </w:rPr>
              <w:t>Rights that</w:t>
            </w:r>
          </w:p>
        </w:tc>
        <w:tc>
          <w:tcPr>
            <w:tcW w:w="96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or Other Rights</w:t>
            </w:r>
          </w:p>
        </w:tc>
        <w:tc>
          <w:tcPr>
            <w:tcW w:w="0" w:type="dxa"/>
            <w:vAlign w:val="bottom"/>
          </w:tcPr>
          <w:p>
            <w:pPr>
              <w:spacing w:after="0"/>
              <w:rPr>
                <w:sz w:val="1"/>
                <w:szCs w:val="1"/>
                <w:color w:val="auto"/>
              </w:rPr>
            </w:pPr>
          </w:p>
        </w:tc>
      </w:tr>
      <w:tr>
        <w:trPr>
          <w:trHeight w:val="122"/>
        </w:trPr>
        <w:tc>
          <w:tcPr>
            <w:tcW w:w="100" w:type="dxa"/>
            <w:vAlign w:val="bottom"/>
            <w:shd w:val="clear" w:color="auto" w:fill="CF1D4C"/>
          </w:tcPr>
          <w:p>
            <w:pPr>
              <w:spacing w:after="0"/>
              <w:rPr>
                <w:sz w:val="10"/>
                <w:szCs w:val="10"/>
                <w:color w:val="auto"/>
              </w:rPr>
            </w:pPr>
          </w:p>
        </w:tc>
        <w:tc>
          <w:tcPr>
            <w:tcW w:w="700" w:type="dxa"/>
            <w:vAlign w:val="bottom"/>
            <w:shd w:val="clear" w:color="auto" w:fill="CF1D4C"/>
          </w:tcPr>
          <w:p>
            <w:pPr>
              <w:spacing w:after="0"/>
              <w:rPr>
                <w:sz w:val="10"/>
                <w:szCs w:val="10"/>
                <w:color w:val="auto"/>
              </w:rPr>
            </w:pPr>
          </w:p>
        </w:tc>
        <w:tc>
          <w:tcPr>
            <w:tcW w:w="40" w:type="dxa"/>
            <w:vAlign w:val="bottom"/>
            <w:shd w:val="clear" w:color="auto" w:fill="CF1D4C"/>
          </w:tcPr>
          <w:p>
            <w:pPr>
              <w:spacing w:after="0"/>
              <w:rPr>
                <w:sz w:val="10"/>
                <w:szCs w:val="10"/>
                <w:color w:val="auto"/>
              </w:rPr>
            </w:pPr>
          </w:p>
        </w:tc>
        <w:tc>
          <w:tcPr>
            <w:tcW w:w="680" w:type="dxa"/>
            <w:vAlign w:val="bottom"/>
            <w:shd w:val="clear" w:color="auto" w:fill="CF1D4C"/>
          </w:tcPr>
          <w:p>
            <w:pPr>
              <w:spacing w:after="0"/>
              <w:rPr>
                <w:sz w:val="10"/>
                <w:szCs w:val="10"/>
                <w:color w:val="auto"/>
              </w:rPr>
            </w:pPr>
          </w:p>
        </w:tc>
        <w:tc>
          <w:tcPr>
            <w:tcW w:w="80" w:type="dxa"/>
            <w:vAlign w:val="bottom"/>
            <w:shd w:val="clear" w:color="auto" w:fill="CF1D4C"/>
          </w:tcPr>
          <w:p>
            <w:pPr>
              <w:spacing w:after="0"/>
              <w:rPr>
                <w:sz w:val="10"/>
                <w:szCs w:val="10"/>
                <w:color w:val="auto"/>
              </w:rPr>
            </w:pPr>
          </w:p>
        </w:tc>
        <w:tc>
          <w:tcPr>
            <w:tcW w:w="740" w:type="dxa"/>
            <w:vAlign w:val="bottom"/>
            <w:shd w:val="clear" w:color="auto" w:fill="CF1D4C"/>
          </w:tcPr>
          <w:p>
            <w:pPr>
              <w:spacing w:after="0" w:line="122" w:lineRule="exact"/>
              <w:rPr>
                <w:sz w:val="20"/>
                <w:szCs w:val="20"/>
                <w:color w:val="auto"/>
              </w:rPr>
            </w:pPr>
            <w:r>
              <w:rPr>
                <w:rFonts w:ascii="Arial" w:cs="Arial" w:eastAsia="Arial" w:hAnsi="Arial"/>
                <w:sz w:val="10"/>
                <w:szCs w:val="10"/>
                <w:b w:val="1"/>
                <w:bCs w:val="1"/>
                <w:color w:val="FFFFFF"/>
              </w:rPr>
              <w:t>Exercisable</w:t>
            </w:r>
            <w:r>
              <w:rPr>
                <w:rFonts w:ascii="Arial" w:cs="Arial" w:eastAsia="Arial" w:hAnsi="Arial"/>
                <w:sz w:val="14"/>
                <w:szCs w:val="14"/>
                <w:b w:val="1"/>
                <w:bCs w:val="1"/>
                <w:color w:val="FFFFFF"/>
                <w:vertAlign w:val="superscript"/>
              </w:rPr>
              <w:t>(1)</w:t>
            </w:r>
          </w:p>
        </w:tc>
        <w:tc>
          <w:tcPr>
            <w:tcW w:w="80" w:type="dxa"/>
            <w:vAlign w:val="bottom"/>
            <w:shd w:val="clear" w:color="auto" w:fill="CF1D4C"/>
          </w:tcPr>
          <w:p>
            <w:pPr>
              <w:spacing w:after="0"/>
              <w:rPr>
                <w:sz w:val="10"/>
                <w:szCs w:val="10"/>
                <w:color w:val="auto"/>
              </w:rPr>
            </w:pPr>
          </w:p>
        </w:tc>
        <w:tc>
          <w:tcPr>
            <w:tcW w:w="880" w:type="dxa"/>
            <w:vAlign w:val="bottom"/>
            <w:shd w:val="clear" w:color="auto" w:fill="CF1D4C"/>
          </w:tcPr>
          <w:p>
            <w:pPr>
              <w:spacing w:after="0" w:line="122" w:lineRule="exact"/>
              <w:rPr>
                <w:sz w:val="20"/>
                <w:szCs w:val="20"/>
                <w:color w:val="auto"/>
              </w:rPr>
            </w:pPr>
            <w:r>
              <w:rPr>
                <w:rFonts w:ascii="Arial" w:cs="Arial" w:eastAsia="Arial" w:hAnsi="Arial"/>
                <w:sz w:val="10"/>
                <w:szCs w:val="10"/>
                <w:b w:val="1"/>
                <w:bCs w:val="1"/>
                <w:color w:val="FFFFFF"/>
              </w:rPr>
              <w:t>Unexercisable</w:t>
            </w:r>
            <w:r>
              <w:rPr>
                <w:rFonts w:ascii="Arial" w:cs="Arial" w:eastAsia="Arial" w:hAnsi="Arial"/>
                <w:sz w:val="14"/>
                <w:szCs w:val="14"/>
                <w:b w:val="1"/>
                <w:bCs w:val="1"/>
                <w:color w:val="FFFFFF"/>
                <w:vertAlign w:val="superscript"/>
              </w:rPr>
              <w:t>(1)</w:t>
            </w:r>
          </w:p>
        </w:tc>
        <w:tc>
          <w:tcPr>
            <w:tcW w:w="40" w:type="dxa"/>
            <w:vAlign w:val="bottom"/>
            <w:shd w:val="clear" w:color="auto" w:fill="CF1D4C"/>
          </w:tcPr>
          <w:p>
            <w:pPr>
              <w:spacing w:after="0"/>
              <w:rPr>
                <w:sz w:val="10"/>
                <w:szCs w:val="10"/>
                <w:color w:val="auto"/>
              </w:rPr>
            </w:pPr>
          </w:p>
        </w:tc>
        <w:tc>
          <w:tcPr>
            <w:tcW w:w="780" w:type="dxa"/>
            <w:vAlign w:val="bottom"/>
            <w:gridSpan w:val="2"/>
            <w:vMerge w:val="continue"/>
            <w:shd w:val="clear" w:color="auto" w:fill="CF1D4C"/>
          </w:tcPr>
          <w:p>
            <w:pPr>
              <w:spacing w:after="0"/>
              <w:rPr>
                <w:sz w:val="10"/>
                <w:szCs w:val="10"/>
                <w:color w:val="auto"/>
              </w:rPr>
            </w:pPr>
          </w:p>
        </w:tc>
        <w:tc>
          <w:tcPr>
            <w:tcW w:w="80" w:type="dxa"/>
            <w:vAlign w:val="bottom"/>
            <w:shd w:val="clear" w:color="auto" w:fill="CF1D4C"/>
          </w:tcPr>
          <w:p>
            <w:pPr>
              <w:spacing w:after="0"/>
              <w:rPr>
                <w:sz w:val="10"/>
                <w:szCs w:val="10"/>
                <w:color w:val="auto"/>
              </w:rPr>
            </w:pPr>
          </w:p>
        </w:tc>
        <w:tc>
          <w:tcPr>
            <w:tcW w:w="460" w:type="dxa"/>
            <w:vAlign w:val="bottom"/>
            <w:shd w:val="clear" w:color="auto" w:fill="CF1D4C"/>
          </w:tcPr>
          <w:p>
            <w:pPr>
              <w:spacing w:after="0"/>
              <w:rPr>
                <w:sz w:val="10"/>
                <w:szCs w:val="10"/>
                <w:color w:val="auto"/>
              </w:rPr>
            </w:pPr>
          </w:p>
        </w:tc>
        <w:tc>
          <w:tcPr>
            <w:tcW w:w="40" w:type="dxa"/>
            <w:vAlign w:val="bottom"/>
            <w:shd w:val="clear" w:color="auto" w:fill="CF1D4C"/>
          </w:tcPr>
          <w:p>
            <w:pPr>
              <w:spacing w:after="0"/>
              <w:rPr>
                <w:sz w:val="10"/>
                <w:szCs w:val="10"/>
                <w:color w:val="auto"/>
              </w:rPr>
            </w:pPr>
          </w:p>
        </w:tc>
        <w:tc>
          <w:tcPr>
            <w:tcW w:w="720" w:type="dxa"/>
            <w:vAlign w:val="bottom"/>
            <w:shd w:val="clear" w:color="auto" w:fill="CF1D4C"/>
          </w:tcPr>
          <w:p>
            <w:pPr>
              <w:spacing w:after="0"/>
              <w:rPr>
                <w:sz w:val="10"/>
                <w:szCs w:val="10"/>
                <w:color w:val="auto"/>
              </w:rPr>
            </w:pPr>
          </w:p>
        </w:tc>
        <w:tc>
          <w:tcPr>
            <w:tcW w:w="640" w:type="dxa"/>
            <w:vAlign w:val="bottom"/>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Vested</w:t>
            </w:r>
          </w:p>
        </w:tc>
        <w:tc>
          <w:tcPr>
            <w:tcW w:w="660" w:type="dxa"/>
            <w:vAlign w:val="bottom"/>
            <w:shd w:val="clear" w:color="auto" w:fill="CF1D4C"/>
          </w:tcPr>
          <w:p>
            <w:pPr>
              <w:ind w:left="40"/>
              <w:spacing w:after="0" w:line="122" w:lineRule="exact"/>
              <w:rPr>
                <w:sz w:val="20"/>
                <w:szCs w:val="20"/>
                <w:color w:val="auto"/>
              </w:rPr>
            </w:pPr>
            <w:r>
              <w:rPr>
                <w:rFonts w:ascii="Arial" w:cs="Arial" w:eastAsia="Arial" w:hAnsi="Arial"/>
                <w:sz w:val="11"/>
                <w:szCs w:val="11"/>
                <w:b w:val="1"/>
                <w:bCs w:val="1"/>
                <w:color w:val="FFFFFF"/>
              </w:rPr>
              <w:t>Vested</w:t>
            </w:r>
          </w:p>
        </w:tc>
        <w:tc>
          <w:tcPr>
            <w:tcW w:w="840" w:type="dxa"/>
            <w:vAlign w:val="bottom"/>
            <w:vMerge w:val="continue"/>
            <w:shd w:val="clear" w:color="auto" w:fill="CF1D4C"/>
          </w:tcPr>
          <w:p>
            <w:pPr>
              <w:spacing w:after="0"/>
              <w:rPr>
                <w:sz w:val="10"/>
                <w:szCs w:val="10"/>
                <w:color w:val="auto"/>
              </w:rPr>
            </w:pPr>
          </w:p>
        </w:tc>
        <w:tc>
          <w:tcPr>
            <w:tcW w:w="960" w:type="dxa"/>
            <w:vAlign w:val="bottom"/>
            <w:vMerge w:val="continue"/>
            <w:shd w:val="clear" w:color="auto" w:fill="CF1D4C"/>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0" w:type="dxa"/>
            <w:vAlign w:val="bottom"/>
            <w:shd w:val="clear" w:color="auto" w:fill="CF1D4C"/>
          </w:tcPr>
          <w:p>
            <w:pPr>
              <w:spacing w:after="0"/>
              <w:rPr>
                <w:sz w:val="7"/>
                <w:szCs w:val="7"/>
                <w:color w:val="auto"/>
              </w:rPr>
            </w:pPr>
          </w:p>
        </w:tc>
        <w:tc>
          <w:tcPr>
            <w:tcW w:w="700" w:type="dxa"/>
            <w:vAlign w:val="bottom"/>
            <w:shd w:val="clear" w:color="auto" w:fill="CF1D4C"/>
          </w:tcPr>
          <w:p>
            <w:pPr>
              <w:spacing w:after="0"/>
              <w:rPr>
                <w:sz w:val="7"/>
                <w:szCs w:val="7"/>
                <w:color w:val="auto"/>
              </w:rPr>
            </w:pPr>
          </w:p>
        </w:tc>
        <w:tc>
          <w:tcPr>
            <w:tcW w:w="40" w:type="dxa"/>
            <w:vAlign w:val="bottom"/>
            <w:shd w:val="clear" w:color="auto" w:fill="CF1D4C"/>
          </w:tcPr>
          <w:p>
            <w:pPr>
              <w:spacing w:after="0"/>
              <w:rPr>
                <w:sz w:val="7"/>
                <w:szCs w:val="7"/>
                <w:color w:val="auto"/>
              </w:rPr>
            </w:pPr>
          </w:p>
        </w:tc>
        <w:tc>
          <w:tcPr>
            <w:tcW w:w="680" w:type="dxa"/>
            <w:vAlign w:val="bottom"/>
            <w:shd w:val="clear" w:color="auto" w:fill="CF1D4C"/>
          </w:tcPr>
          <w:p>
            <w:pPr>
              <w:spacing w:after="0"/>
              <w:rPr>
                <w:sz w:val="7"/>
                <w:szCs w:val="7"/>
                <w:color w:val="auto"/>
              </w:rPr>
            </w:pPr>
          </w:p>
        </w:tc>
        <w:tc>
          <w:tcPr>
            <w:tcW w:w="80" w:type="dxa"/>
            <w:vAlign w:val="bottom"/>
            <w:shd w:val="clear" w:color="auto" w:fill="CF1D4C"/>
          </w:tcPr>
          <w:p>
            <w:pPr>
              <w:spacing w:after="0"/>
              <w:rPr>
                <w:sz w:val="7"/>
                <w:szCs w:val="7"/>
                <w:color w:val="auto"/>
              </w:rPr>
            </w:pPr>
          </w:p>
        </w:tc>
        <w:tc>
          <w:tcPr>
            <w:tcW w:w="740" w:type="dxa"/>
            <w:vAlign w:val="bottom"/>
            <w:shd w:val="clear" w:color="auto" w:fill="CF1D4C"/>
          </w:tcPr>
          <w:p>
            <w:pPr>
              <w:spacing w:after="0"/>
              <w:rPr>
                <w:sz w:val="7"/>
                <w:szCs w:val="7"/>
                <w:color w:val="auto"/>
              </w:rPr>
            </w:pPr>
          </w:p>
        </w:tc>
        <w:tc>
          <w:tcPr>
            <w:tcW w:w="80" w:type="dxa"/>
            <w:vAlign w:val="bottom"/>
            <w:shd w:val="clear" w:color="auto" w:fill="CF1D4C"/>
          </w:tcPr>
          <w:p>
            <w:pPr>
              <w:spacing w:after="0"/>
              <w:rPr>
                <w:sz w:val="7"/>
                <w:szCs w:val="7"/>
                <w:color w:val="auto"/>
              </w:rPr>
            </w:pPr>
          </w:p>
        </w:tc>
        <w:tc>
          <w:tcPr>
            <w:tcW w:w="880" w:type="dxa"/>
            <w:vAlign w:val="bottom"/>
            <w:shd w:val="clear" w:color="auto" w:fill="CF1D4C"/>
          </w:tcPr>
          <w:p>
            <w:pPr>
              <w:spacing w:after="0"/>
              <w:rPr>
                <w:sz w:val="7"/>
                <w:szCs w:val="7"/>
                <w:color w:val="auto"/>
              </w:rPr>
            </w:pPr>
          </w:p>
        </w:tc>
        <w:tc>
          <w:tcPr>
            <w:tcW w:w="40" w:type="dxa"/>
            <w:vAlign w:val="bottom"/>
            <w:shd w:val="clear" w:color="auto" w:fill="CF1D4C"/>
          </w:tcPr>
          <w:p>
            <w:pPr>
              <w:spacing w:after="0"/>
              <w:rPr>
                <w:sz w:val="7"/>
                <w:szCs w:val="7"/>
                <w:color w:val="auto"/>
              </w:rPr>
            </w:pPr>
          </w:p>
        </w:tc>
        <w:tc>
          <w:tcPr>
            <w:tcW w:w="600" w:type="dxa"/>
            <w:vAlign w:val="bottom"/>
            <w:shd w:val="clear" w:color="auto" w:fill="CF1D4C"/>
          </w:tcPr>
          <w:p>
            <w:pPr>
              <w:ind w:left="40"/>
              <w:spacing w:after="0" w:line="92" w:lineRule="exact"/>
              <w:rPr>
                <w:sz w:val="20"/>
                <w:szCs w:val="20"/>
                <w:color w:val="auto"/>
              </w:rPr>
            </w:pPr>
            <w:r>
              <w:rPr>
                <w:rFonts w:ascii="Arial" w:cs="Arial" w:eastAsia="Arial" w:hAnsi="Arial"/>
                <w:sz w:val="10"/>
                <w:szCs w:val="10"/>
                <w:b w:val="1"/>
                <w:bCs w:val="1"/>
                <w:color w:val="FFFFFF"/>
              </w:rPr>
              <w:t>Unearned</w:t>
            </w:r>
          </w:p>
        </w:tc>
        <w:tc>
          <w:tcPr>
            <w:tcW w:w="180" w:type="dxa"/>
            <w:vAlign w:val="bottom"/>
            <w:shd w:val="clear" w:color="auto" w:fill="CF1D4C"/>
          </w:tcPr>
          <w:p>
            <w:pPr>
              <w:jc w:val="right"/>
              <w:ind w:right="40"/>
              <w:spacing w:after="0"/>
              <w:rPr>
                <w:sz w:val="20"/>
                <w:szCs w:val="20"/>
                <w:color w:val="auto"/>
              </w:rPr>
            </w:pPr>
            <w:r>
              <w:rPr>
                <w:rFonts w:ascii="Arial" w:cs="Arial" w:eastAsia="Arial" w:hAnsi="Arial"/>
                <w:sz w:val="8"/>
                <w:szCs w:val="8"/>
                <w:b w:val="1"/>
                <w:bCs w:val="1"/>
                <w:color w:val="FFFFFF"/>
                <w:w w:val="81"/>
              </w:rPr>
              <w:t>(2)</w:t>
            </w:r>
          </w:p>
        </w:tc>
        <w:tc>
          <w:tcPr>
            <w:tcW w:w="80" w:type="dxa"/>
            <w:vAlign w:val="bottom"/>
            <w:shd w:val="clear" w:color="auto" w:fill="CF1D4C"/>
          </w:tcPr>
          <w:p>
            <w:pPr>
              <w:spacing w:after="0"/>
              <w:rPr>
                <w:sz w:val="7"/>
                <w:szCs w:val="7"/>
                <w:color w:val="auto"/>
              </w:rPr>
            </w:pPr>
          </w:p>
        </w:tc>
        <w:tc>
          <w:tcPr>
            <w:tcW w:w="460" w:type="dxa"/>
            <w:vAlign w:val="bottom"/>
            <w:shd w:val="clear" w:color="auto" w:fill="CF1D4C"/>
          </w:tcPr>
          <w:p>
            <w:pPr>
              <w:spacing w:after="0"/>
              <w:rPr>
                <w:sz w:val="7"/>
                <w:szCs w:val="7"/>
                <w:color w:val="auto"/>
              </w:rPr>
            </w:pPr>
          </w:p>
        </w:tc>
        <w:tc>
          <w:tcPr>
            <w:tcW w:w="40" w:type="dxa"/>
            <w:vAlign w:val="bottom"/>
            <w:shd w:val="clear" w:color="auto" w:fill="CF1D4C"/>
          </w:tcPr>
          <w:p>
            <w:pPr>
              <w:spacing w:after="0"/>
              <w:rPr>
                <w:sz w:val="7"/>
                <w:szCs w:val="7"/>
                <w:color w:val="auto"/>
              </w:rPr>
            </w:pPr>
          </w:p>
        </w:tc>
        <w:tc>
          <w:tcPr>
            <w:tcW w:w="720" w:type="dxa"/>
            <w:vAlign w:val="bottom"/>
            <w:shd w:val="clear" w:color="auto" w:fill="CF1D4C"/>
          </w:tcPr>
          <w:p>
            <w:pPr>
              <w:spacing w:after="0"/>
              <w:rPr>
                <w:sz w:val="7"/>
                <w:szCs w:val="7"/>
                <w:color w:val="auto"/>
              </w:rPr>
            </w:pPr>
          </w:p>
        </w:tc>
        <w:tc>
          <w:tcPr>
            <w:tcW w:w="640" w:type="dxa"/>
            <w:vAlign w:val="bottom"/>
            <w:shd w:val="clear" w:color="auto" w:fill="CF1D4C"/>
          </w:tcPr>
          <w:p>
            <w:pPr>
              <w:ind w:left="80"/>
              <w:spacing w:after="0" w:line="92" w:lineRule="exact"/>
              <w:rPr>
                <w:sz w:val="20"/>
                <w:szCs w:val="20"/>
                <w:color w:val="auto"/>
              </w:rPr>
            </w:pPr>
            <w:r>
              <w:rPr>
                <w:rFonts w:ascii="Arial" w:cs="Arial" w:eastAsia="Arial" w:hAnsi="Arial"/>
                <w:sz w:val="10"/>
                <w:szCs w:val="10"/>
                <w:b w:val="1"/>
                <w:bCs w:val="1"/>
                <w:color w:val="FFFFFF"/>
              </w:rPr>
              <w:t>(#)</w:t>
            </w:r>
          </w:p>
        </w:tc>
        <w:tc>
          <w:tcPr>
            <w:tcW w:w="660" w:type="dxa"/>
            <w:vAlign w:val="bottom"/>
            <w:shd w:val="clear" w:color="auto" w:fill="CF1D4C"/>
          </w:tcPr>
          <w:p>
            <w:pPr>
              <w:ind w:left="40"/>
              <w:spacing w:after="0" w:line="92" w:lineRule="exact"/>
              <w:rPr>
                <w:sz w:val="20"/>
                <w:szCs w:val="20"/>
                <w:color w:val="auto"/>
              </w:rPr>
            </w:pPr>
            <w:r>
              <w:rPr>
                <w:rFonts w:ascii="Arial" w:cs="Arial" w:eastAsia="Arial" w:hAnsi="Arial"/>
                <w:sz w:val="10"/>
                <w:szCs w:val="10"/>
                <w:b w:val="1"/>
                <w:bCs w:val="1"/>
                <w:color w:val="FFFFFF"/>
                <w:vertAlign w:val="subscript"/>
              </w:rPr>
              <w:t>($)</w:t>
            </w:r>
            <w:r>
              <w:rPr>
                <w:rFonts w:ascii="Arial" w:cs="Arial" w:eastAsia="Arial" w:hAnsi="Arial"/>
                <w:sz w:val="5"/>
                <w:szCs w:val="5"/>
                <w:b w:val="1"/>
                <w:bCs w:val="1"/>
                <w:color w:val="FFFFFF"/>
              </w:rPr>
              <w:t>(3)</w:t>
            </w:r>
          </w:p>
        </w:tc>
        <w:tc>
          <w:tcPr>
            <w:tcW w:w="840" w:type="dxa"/>
            <w:vAlign w:val="bottom"/>
            <w:shd w:val="clear" w:color="auto" w:fill="CF1D4C"/>
          </w:tcPr>
          <w:p>
            <w:pPr>
              <w:ind w:left="100"/>
              <w:spacing w:after="0" w:line="92" w:lineRule="exact"/>
              <w:rPr>
                <w:sz w:val="20"/>
                <w:szCs w:val="20"/>
                <w:color w:val="auto"/>
              </w:rPr>
            </w:pPr>
            <w:r>
              <w:rPr>
                <w:rFonts w:ascii="Arial" w:cs="Arial" w:eastAsia="Arial" w:hAnsi="Arial"/>
                <w:sz w:val="10"/>
                <w:szCs w:val="10"/>
                <w:b w:val="1"/>
                <w:bCs w:val="1"/>
                <w:color w:val="FFFFFF"/>
              </w:rPr>
              <w:t>Have Not</w:t>
            </w:r>
          </w:p>
        </w:tc>
        <w:tc>
          <w:tcPr>
            <w:tcW w:w="960" w:type="dxa"/>
            <w:vAlign w:val="bottom"/>
            <w:shd w:val="clear" w:color="auto" w:fill="CF1D4C"/>
          </w:tcPr>
          <w:p>
            <w:pPr>
              <w:ind w:left="60"/>
              <w:spacing w:after="0" w:line="92" w:lineRule="exact"/>
              <w:rPr>
                <w:sz w:val="20"/>
                <w:szCs w:val="20"/>
                <w:color w:val="auto"/>
              </w:rPr>
            </w:pPr>
            <w:r>
              <w:rPr>
                <w:rFonts w:ascii="Arial" w:cs="Arial" w:eastAsia="Arial" w:hAnsi="Arial"/>
                <w:sz w:val="10"/>
                <w:szCs w:val="10"/>
                <w:b w:val="1"/>
                <w:bCs w:val="1"/>
                <w:color w:val="FFFFFF"/>
              </w:rPr>
              <w:t>that Have Not</w:t>
            </w:r>
          </w:p>
        </w:tc>
        <w:tc>
          <w:tcPr>
            <w:tcW w:w="0" w:type="dxa"/>
            <w:vAlign w:val="bottom"/>
          </w:tcPr>
          <w:p>
            <w:pPr>
              <w:spacing w:after="0"/>
              <w:rPr>
                <w:sz w:val="1"/>
                <w:szCs w:val="1"/>
                <w:color w:val="auto"/>
              </w:rPr>
            </w:pPr>
          </w:p>
        </w:tc>
      </w:tr>
      <w:tr>
        <w:trPr>
          <w:trHeight w:val="98"/>
        </w:trPr>
        <w:tc>
          <w:tcPr>
            <w:tcW w:w="100" w:type="dxa"/>
            <w:vAlign w:val="bottom"/>
            <w:shd w:val="clear" w:color="auto" w:fill="CF1D4C"/>
          </w:tcPr>
          <w:p>
            <w:pPr>
              <w:spacing w:after="0"/>
              <w:rPr>
                <w:sz w:val="8"/>
                <w:szCs w:val="8"/>
                <w:color w:val="auto"/>
              </w:rPr>
            </w:pPr>
          </w:p>
        </w:tc>
        <w:tc>
          <w:tcPr>
            <w:tcW w:w="700" w:type="dxa"/>
            <w:vAlign w:val="bottom"/>
            <w:shd w:val="clear" w:color="auto" w:fill="CF1D4C"/>
          </w:tcPr>
          <w:p>
            <w:pPr>
              <w:spacing w:after="0"/>
              <w:rPr>
                <w:sz w:val="8"/>
                <w:szCs w:val="8"/>
                <w:color w:val="auto"/>
              </w:rPr>
            </w:pPr>
          </w:p>
        </w:tc>
        <w:tc>
          <w:tcPr>
            <w:tcW w:w="40" w:type="dxa"/>
            <w:vAlign w:val="bottom"/>
            <w:shd w:val="clear" w:color="auto" w:fill="CF1D4C"/>
          </w:tcPr>
          <w:p>
            <w:pPr>
              <w:spacing w:after="0"/>
              <w:rPr>
                <w:sz w:val="8"/>
                <w:szCs w:val="8"/>
                <w:color w:val="auto"/>
              </w:rPr>
            </w:pPr>
          </w:p>
        </w:tc>
        <w:tc>
          <w:tcPr>
            <w:tcW w:w="680" w:type="dxa"/>
            <w:vAlign w:val="bottom"/>
            <w:shd w:val="clear" w:color="auto" w:fill="CF1D4C"/>
          </w:tcPr>
          <w:p>
            <w:pPr>
              <w:spacing w:after="0"/>
              <w:rPr>
                <w:sz w:val="8"/>
                <w:szCs w:val="8"/>
                <w:color w:val="auto"/>
              </w:rPr>
            </w:pPr>
          </w:p>
        </w:tc>
        <w:tc>
          <w:tcPr>
            <w:tcW w:w="80" w:type="dxa"/>
            <w:vAlign w:val="bottom"/>
            <w:shd w:val="clear" w:color="auto" w:fill="CF1D4C"/>
          </w:tcPr>
          <w:p>
            <w:pPr>
              <w:spacing w:after="0"/>
              <w:rPr>
                <w:sz w:val="8"/>
                <w:szCs w:val="8"/>
                <w:color w:val="auto"/>
              </w:rPr>
            </w:pPr>
          </w:p>
        </w:tc>
        <w:tc>
          <w:tcPr>
            <w:tcW w:w="740" w:type="dxa"/>
            <w:vAlign w:val="bottom"/>
            <w:shd w:val="clear" w:color="auto" w:fill="CF1D4C"/>
          </w:tcPr>
          <w:p>
            <w:pPr>
              <w:spacing w:after="0"/>
              <w:rPr>
                <w:sz w:val="8"/>
                <w:szCs w:val="8"/>
                <w:color w:val="auto"/>
              </w:rPr>
            </w:pPr>
          </w:p>
        </w:tc>
        <w:tc>
          <w:tcPr>
            <w:tcW w:w="80" w:type="dxa"/>
            <w:vAlign w:val="bottom"/>
            <w:shd w:val="clear" w:color="auto" w:fill="CF1D4C"/>
          </w:tcPr>
          <w:p>
            <w:pPr>
              <w:spacing w:after="0"/>
              <w:rPr>
                <w:sz w:val="8"/>
                <w:szCs w:val="8"/>
                <w:color w:val="auto"/>
              </w:rPr>
            </w:pPr>
          </w:p>
        </w:tc>
        <w:tc>
          <w:tcPr>
            <w:tcW w:w="880" w:type="dxa"/>
            <w:vAlign w:val="bottom"/>
            <w:shd w:val="clear" w:color="auto" w:fill="CF1D4C"/>
          </w:tcPr>
          <w:p>
            <w:pPr>
              <w:spacing w:after="0"/>
              <w:rPr>
                <w:sz w:val="8"/>
                <w:szCs w:val="8"/>
                <w:color w:val="auto"/>
              </w:rPr>
            </w:pPr>
          </w:p>
        </w:tc>
        <w:tc>
          <w:tcPr>
            <w:tcW w:w="40" w:type="dxa"/>
            <w:vAlign w:val="bottom"/>
            <w:shd w:val="clear" w:color="auto" w:fill="CF1D4C"/>
          </w:tcPr>
          <w:p>
            <w:pPr>
              <w:spacing w:after="0"/>
              <w:rPr>
                <w:sz w:val="8"/>
                <w:szCs w:val="8"/>
                <w:color w:val="auto"/>
              </w:rPr>
            </w:pPr>
          </w:p>
        </w:tc>
        <w:tc>
          <w:tcPr>
            <w:tcW w:w="600" w:type="dxa"/>
            <w:vAlign w:val="bottom"/>
            <w:shd w:val="clear" w:color="auto" w:fill="CF1D4C"/>
          </w:tcPr>
          <w:p>
            <w:pPr>
              <w:ind w:left="40"/>
              <w:spacing w:after="0" w:line="98" w:lineRule="exact"/>
              <w:rPr>
                <w:sz w:val="20"/>
                <w:szCs w:val="20"/>
                <w:color w:val="auto"/>
              </w:rPr>
            </w:pPr>
            <w:r>
              <w:rPr>
                <w:rFonts w:ascii="Arial" w:cs="Arial" w:eastAsia="Arial" w:hAnsi="Arial"/>
                <w:sz w:val="11"/>
                <w:szCs w:val="11"/>
                <w:b w:val="1"/>
                <w:bCs w:val="1"/>
                <w:color w:val="FFFFFF"/>
                <w:w w:val="92"/>
              </w:rPr>
              <w:t>Options (#)</w:t>
            </w:r>
          </w:p>
        </w:tc>
        <w:tc>
          <w:tcPr>
            <w:tcW w:w="180" w:type="dxa"/>
            <w:vAlign w:val="bottom"/>
            <w:shd w:val="clear" w:color="auto" w:fill="CF1D4C"/>
          </w:tcPr>
          <w:p>
            <w:pPr>
              <w:spacing w:after="0"/>
              <w:rPr>
                <w:sz w:val="8"/>
                <w:szCs w:val="8"/>
                <w:color w:val="auto"/>
              </w:rPr>
            </w:pPr>
          </w:p>
        </w:tc>
        <w:tc>
          <w:tcPr>
            <w:tcW w:w="80" w:type="dxa"/>
            <w:vAlign w:val="bottom"/>
            <w:shd w:val="clear" w:color="auto" w:fill="CF1D4C"/>
          </w:tcPr>
          <w:p>
            <w:pPr>
              <w:spacing w:after="0"/>
              <w:rPr>
                <w:sz w:val="8"/>
                <w:szCs w:val="8"/>
                <w:color w:val="auto"/>
              </w:rPr>
            </w:pPr>
          </w:p>
        </w:tc>
        <w:tc>
          <w:tcPr>
            <w:tcW w:w="460" w:type="dxa"/>
            <w:vAlign w:val="bottom"/>
            <w:shd w:val="clear" w:color="auto" w:fill="CF1D4C"/>
          </w:tcPr>
          <w:p>
            <w:pPr>
              <w:spacing w:after="0"/>
              <w:rPr>
                <w:sz w:val="8"/>
                <w:szCs w:val="8"/>
                <w:color w:val="auto"/>
              </w:rPr>
            </w:pPr>
          </w:p>
        </w:tc>
        <w:tc>
          <w:tcPr>
            <w:tcW w:w="40" w:type="dxa"/>
            <w:vAlign w:val="bottom"/>
            <w:shd w:val="clear" w:color="auto" w:fill="CF1D4C"/>
          </w:tcPr>
          <w:p>
            <w:pPr>
              <w:spacing w:after="0"/>
              <w:rPr>
                <w:sz w:val="8"/>
                <w:szCs w:val="8"/>
                <w:color w:val="auto"/>
              </w:rPr>
            </w:pPr>
          </w:p>
        </w:tc>
        <w:tc>
          <w:tcPr>
            <w:tcW w:w="720" w:type="dxa"/>
            <w:vAlign w:val="bottom"/>
            <w:shd w:val="clear" w:color="auto" w:fill="CF1D4C"/>
          </w:tcPr>
          <w:p>
            <w:pPr>
              <w:spacing w:after="0"/>
              <w:rPr>
                <w:sz w:val="8"/>
                <w:szCs w:val="8"/>
                <w:color w:val="auto"/>
              </w:rPr>
            </w:pPr>
          </w:p>
        </w:tc>
        <w:tc>
          <w:tcPr>
            <w:tcW w:w="640" w:type="dxa"/>
            <w:vAlign w:val="bottom"/>
            <w:shd w:val="clear" w:color="auto" w:fill="CF1D4C"/>
          </w:tcPr>
          <w:p>
            <w:pPr>
              <w:spacing w:after="0"/>
              <w:rPr>
                <w:sz w:val="8"/>
                <w:szCs w:val="8"/>
                <w:color w:val="auto"/>
              </w:rPr>
            </w:pPr>
          </w:p>
        </w:tc>
        <w:tc>
          <w:tcPr>
            <w:tcW w:w="660" w:type="dxa"/>
            <w:vAlign w:val="bottom"/>
            <w:shd w:val="clear" w:color="auto" w:fill="CF1D4C"/>
          </w:tcPr>
          <w:p>
            <w:pPr>
              <w:spacing w:after="0"/>
              <w:rPr>
                <w:sz w:val="8"/>
                <w:szCs w:val="8"/>
                <w:color w:val="auto"/>
              </w:rPr>
            </w:pPr>
          </w:p>
        </w:tc>
        <w:tc>
          <w:tcPr>
            <w:tcW w:w="840" w:type="dxa"/>
            <w:vAlign w:val="bottom"/>
            <w:shd w:val="clear" w:color="auto" w:fill="CF1D4C"/>
          </w:tcPr>
          <w:p>
            <w:pPr>
              <w:ind w:left="100"/>
              <w:spacing w:after="0" w:line="98" w:lineRule="exact"/>
              <w:rPr>
                <w:sz w:val="20"/>
                <w:szCs w:val="20"/>
                <w:color w:val="auto"/>
              </w:rPr>
            </w:pPr>
            <w:r>
              <w:rPr>
                <w:rFonts w:ascii="Arial" w:cs="Arial" w:eastAsia="Arial" w:hAnsi="Arial"/>
                <w:sz w:val="11"/>
                <w:szCs w:val="11"/>
                <w:b w:val="1"/>
                <w:bCs w:val="1"/>
                <w:color w:val="FFFFFF"/>
              </w:rPr>
              <w:t>Vested</w:t>
            </w:r>
          </w:p>
        </w:tc>
        <w:tc>
          <w:tcPr>
            <w:tcW w:w="960" w:type="dxa"/>
            <w:vAlign w:val="bottom"/>
            <w:shd w:val="clear" w:color="auto" w:fill="CF1D4C"/>
          </w:tcPr>
          <w:p>
            <w:pPr>
              <w:ind w:left="60"/>
              <w:spacing w:after="0" w:line="98" w:lineRule="exact"/>
              <w:rPr>
                <w:sz w:val="20"/>
                <w:szCs w:val="20"/>
                <w:color w:val="auto"/>
              </w:rPr>
            </w:pPr>
            <w:r>
              <w:rPr>
                <w:rFonts w:ascii="Arial" w:cs="Arial" w:eastAsia="Arial" w:hAnsi="Arial"/>
                <w:sz w:val="11"/>
                <w:szCs w:val="11"/>
                <w:b w:val="1"/>
                <w:bCs w:val="1"/>
                <w:color w:val="FFFFFF"/>
              </w:rPr>
              <w:t>Vested</w:t>
            </w:r>
          </w:p>
        </w:tc>
        <w:tc>
          <w:tcPr>
            <w:tcW w:w="0" w:type="dxa"/>
            <w:vAlign w:val="bottom"/>
          </w:tcPr>
          <w:p>
            <w:pPr>
              <w:spacing w:after="0"/>
              <w:rPr>
                <w:sz w:val="1"/>
                <w:szCs w:val="1"/>
                <w:color w:val="auto"/>
              </w:rPr>
            </w:pPr>
          </w:p>
        </w:tc>
      </w:tr>
      <w:tr>
        <w:trPr>
          <w:trHeight w:val="230"/>
        </w:trPr>
        <w:tc>
          <w:tcPr>
            <w:tcW w:w="100" w:type="dxa"/>
            <w:vAlign w:val="bottom"/>
            <w:shd w:val="clear" w:color="auto" w:fill="CF1D4C"/>
          </w:tcPr>
          <w:p>
            <w:pPr>
              <w:spacing w:after="0"/>
              <w:rPr>
                <w:sz w:val="19"/>
                <w:szCs w:val="19"/>
                <w:color w:val="auto"/>
              </w:rPr>
            </w:pPr>
          </w:p>
        </w:tc>
        <w:tc>
          <w:tcPr>
            <w:tcW w:w="700" w:type="dxa"/>
            <w:vAlign w:val="bottom"/>
            <w:shd w:val="clear" w:color="auto" w:fill="CF1D4C"/>
          </w:tcPr>
          <w:p>
            <w:pPr>
              <w:spacing w:after="0"/>
              <w:rPr>
                <w:sz w:val="19"/>
                <w:szCs w:val="19"/>
                <w:color w:val="auto"/>
              </w:rPr>
            </w:pPr>
          </w:p>
        </w:tc>
        <w:tc>
          <w:tcPr>
            <w:tcW w:w="40" w:type="dxa"/>
            <w:vAlign w:val="bottom"/>
            <w:shd w:val="clear" w:color="auto" w:fill="CF1D4C"/>
          </w:tcPr>
          <w:p>
            <w:pPr>
              <w:spacing w:after="0"/>
              <w:rPr>
                <w:sz w:val="19"/>
                <w:szCs w:val="19"/>
                <w:color w:val="auto"/>
              </w:rPr>
            </w:pPr>
          </w:p>
        </w:tc>
        <w:tc>
          <w:tcPr>
            <w:tcW w:w="680" w:type="dxa"/>
            <w:vAlign w:val="bottom"/>
            <w:shd w:val="clear" w:color="auto" w:fill="CF1D4C"/>
          </w:tcPr>
          <w:p>
            <w:pPr>
              <w:spacing w:after="0"/>
              <w:rPr>
                <w:sz w:val="19"/>
                <w:szCs w:val="19"/>
                <w:color w:val="auto"/>
              </w:rPr>
            </w:pPr>
          </w:p>
        </w:tc>
        <w:tc>
          <w:tcPr>
            <w:tcW w:w="80" w:type="dxa"/>
            <w:vAlign w:val="bottom"/>
            <w:shd w:val="clear" w:color="auto" w:fill="CF1D4C"/>
          </w:tcPr>
          <w:p>
            <w:pPr>
              <w:spacing w:after="0"/>
              <w:rPr>
                <w:sz w:val="19"/>
                <w:szCs w:val="19"/>
                <w:color w:val="auto"/>
              </w:rPr>
            </w:pPr>
          </w:p>
        </w:tc>
        <w:tc>
          <w:tcPr>
            <w:tcW w:w="740" w:type="dxa"/>
            <w:vAlign w:val="bottom"/>
            <w:shd w:val="clear" w:color="auto" w:fill="CF1D4C"/>
          </w:tcPr>
          <w:p>
            <w:pPr>
              <w:spacing w:after="0"/>
              <w:rPr>
                <w:sz w:val="19"/>
                <w:szCs w:val="19"/>
                <w:color w:val="auto"/>
              </w:rPr>
            </w:pPr>
          </w:p>
        </w:tc>
        <w:tc>
          <w:tcPr>
            <w:tcW w:w="80" w:type="dxa"/>
            <w:vAlign w:val="bottom"/>
            <w:shd w:val="clear" w:color="auto" w:fill="CF1D4C"/>
          </w:tcPr>
          <w:p>
            <w:pPr>
              <w:spacing w:after="0"/>
              <w:rPr>
                <w:sz w:val="19"/>
                <w:szCs w:val="19"/>
                <w:color w:val="auto"/>
              </w:rPr>
            </w:pPr>
          </w:p>
        </w:tc>
        <w:tc>
          <w:tcPr>
            <w:tcW w:w="880" w:type="dxa"/>
            <w:vAlign w:val="bottom"/>
            <w:shd w:val="clear" w:color="auto" w:fill="CF1D4C"/>
          </w:tcPr>
          <w:p>
            <w:pPr>
              <w:spacing w:after="0"/>
              <w:rPr>
                <w:sz w:val="19"/>
                <w:szCs w:val="19"/>
                <w:color w:val="auto"/>
              </w:rPr>
            </w:pPr>
          </w:p>
        </w:tc>
        <w:tc>
          <w:tcPr>
            <w:tcW w:w="40" w:type="dxa"/>
            <w:vAlign w:val="bottom"/>
            <w:shd w:val="clear" w:color="auto" w:fill="CF1D4C"/>
          </w:tcPr>
          <w:p>
            <w:pPr>
              <w:spacing w:after="0"/>
              <w:rPr>
                <w:sz w:val="19"/>
                <w:szCs w:val="19"/>
                <w:color w:val="auto"/>
              </w:rPr>
            </w:pPr>
          </w:p>
        </w:tc>
        <w:tc>
          <w:tcPr>
            <w:tcW w:w="600" w:type="dxa"/>
            <w:vAlign w:val="bottom"/>
            <w:shd w:val="clear" w:color="auto" w:fill="CF1D4C"/>
          </w:tcPr>
          <w:p>
            <w:pPr>
              <w:spacing w:after="0"/>
              <w:rPr>
                <w:sz w:val="19"/>
                <w:szCs w:val="19"/>
                <w:color w:val="auto"/>
              </w:rPr>
            </w:pPr>
          </w:p>
        </w:tc>
        <w:tc>
          <w:tcPr>
            <w:tcW w:w="180" w:type="dxa"/>
            <w:vAlign w:val="bottom"/>
            <w:shd w:val="clear" w:color="auto" w:fill="CF1D4C"/>
          </w:tcPr>
          <w:p>
            <w:pPr>
              <w:spacing w:after="0"/>
              <w:rPr>
                <w:sz w:val="19"/>
                <w:szCs w:val="19"/>
                <w:color w:val="auto"/>
              </w:rPr>
            </w:pPr>
          </w:p>
        </w:tc>
        <w:tc>
          <w:tcPr>
            <w:tcW w:w="80" w:type="dxa"/>
            <w:vAlign w:val="bottom"/>
            <w:shd w:val="clear" w:color="auto" w:fill="CF1D4C"/>
          </w:tcPr>
          <w:p>
            <w:pPr>
              <w:spacing w:after="0"/>
              <w:rPr>
                <w:sz w:val="19"/>
                <w:szCs w:val="19"/>
                <w:color w:val="auto"/>
              </w:rPr>
            </w:pPr>
          </w:p>
        </w:tc>
        <w:tc>
          <w:tcPr>
            <w:tcW w:w="460" w:type="dxa"/>
            <w:vAlign w:val="bottom"/>
            <w:shd w:val="clear" w:color="auto" w:fill="CF1D4C"/>
          </w:tcPr>
          <w:p>
            <w:pPr>
              <w:spacing w:after="0"/>
              <w:rPr>
                <w:sz w:val="19"/>
                <w:szCs w:val="19"/>
                <w:color w:val="auto"/>
              </w:rPr>
            </w:pPr>
          </w:p>
        </w:tc>
        <w:tc>
          <w:tcPr>
            <w:tcW w:w="40" w:type="dxa"/>
            <w:vAlign w:val="bottom"/>
            <w:shd w:val="clear" w:color="auto" w:fill="CF1D4C"/>
          </w:tcPr>
          <w:p>
            <w:pPr>
              <w:spacing w:after="0"/>
              <w:rPr>
                <w:sz w:val="19"/>
                <w:szCs w:val="19"/>
                <w:color w:val="auto"/>
              </w:rPr>
            </w:pPr>
          </w:p>
        </w:tc>
        <w:tc>
          <w:tcPr>
            <w:tcW w:w="720" w:type="dxa"/>
            <w:vAlign w:val="bottom"/>
            <w:shd w:val="clear" w:color="auto" w:fill="CF1D4C"/>
          </w:tcPr>
          <w:p>
            <w:pPr>
              <w:spacing w:after="0"/>
              <w:rPr>
                <w:sz w:val="19"/>
                <w:szCs w:val="19"/>
                <w:color w:val="auto"/>
              </w:rPr>
            </w:pPr>
          </w:p>
        </w:tc>
        <w:tc>
          <w:tcPr>
            <w:tcW w:w="640" w:type="dxa"/>
            <w:vAlign w:val="bottom"/>
            <w:shd w:val="clear" w:color="auto" w:fill="CF1D4C"/>
          </w:tcPr>
          <w:p>
            <w:pPr>
              <w:spacing w:after="0"/>
              <w:rPr>
                <w:sz w:val="19"/>
                <w:szCs w:val="19"/>
                <w:color w:val="auto"/>
              </w:rPr>
            </w:pPr>
          </w:p>
        </w:tc>
        <w:tc>
          <w:tcPr>
            <w:tcW w:w="660" w:type="dxa"/>
            <w:vAlign w:val="bottom"/>
            <w:shd w:val="clear" w:color="auto" w:fill="CF1D4C"/>
          </w:tcPr>
          <w:p>
            <w:pPr>
              <w:spacing w:after="0"/>
              <w:rPr>
                <w:sz w:val="19"/>
                <w:szCs w:val="19"/>
                <w:color w:val="auto"/>
              </w:rPr>
            </w:pPr>
          </w:p>
        </w:tc>
        <w:tc>
          <w:tcPr>
            <w:tcW w:w="840" w:type="dxa"/>
            <w:vAlign w:val="bottom"/>
            <w:shd w:val="clear" w:color="auto" w:fill="CF1D4C"/>
          </w:tcPr>
          <w:p>
            <w:pPr>
              <w:ind w:left="100"/>
              <w:spacing w:after="0"/>
              <w:rPr>
                <w:sz w:val="20"/>
                <w:szCs w:val="20"/>
                <w:color w:val="auto"/>
              </w:rPr>
            </w:pPr>
            <w:r>
              <w:rPr>
                <w:rFonts w:ascii="Arial" w:cs="Arial" w:eastAsia="Arial" w:hAnsi="Arial"/>
                <w:sz w:val="11"/>
                <w:szCs w:val="11"/>
                <w:b w:val="1"/>
                <w:bCs w:val="1"/>
                <w:color w:val="FFFFFF"/>
              </w:rPr>
              <w:t>(#)</w:t>
            </w:r>
          </w:p>
        </w:tc>
        <w:tc>
          <w:tcPr>
            <w:tcW w:w="960" w:type="dxa"/>
            <w:vAlign w:val="bottom"/>
            <w:shd w:val="clear" w:color="auto" w:fill="CF1D4C"/>
          </w:tcPr>
          <w:p>
            <w:pPr>
              <w:ind w:left="60"/>
              <w:spacing w:after="0" w:line="230"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8"/>
                <w:szCs w:val="8"/>
                <w:b w:val="1"/>
                <w:bCs w:val="1"/>
                <w:color w:val="FFFFFF"/>
              </w:rPr>
              <w:t>(3)</w:t>
            </w:r>
          </w:p>
        </w:tc>
        <w:tc>
          <w:tcPr>
            <w:tcW w:w="0" w:type="dxa"/>
            <w:vAlign w:val="bottom"/>
          </w:tcPr>
          <w:p>
            <w:pPr>
              <w:spacing w:after="0"/>
              <w:rPr>
                <w:sz w:val="1"/>
                <w:szCs w:val="1"/>
                <w:color w:val="auto"/>
              </w:rPr>
            </w:pPr>
          </w:p>
        </w:tc>
      </w:tr>
      <w:tr>
        <w:trPr>
          <w:trHeight w:val="198"/>
        </w:trPr>
        <w:tc>
          <w:tcPr>
            <w:tcW w:w="100" w:type="dxa"/>
            <w:vAlign w:val="bottom"/>
            <w:shd w:val="clear" w:color="auto" w:fill="D9D9D9"/>
          </w:tcPr>
          <w:p>
            <w:pPr>
              <w:spacing w:after="0"/>
              <w:rPr>
                <w:sz w:val="17"/>
                <w:szCs w:val="17"/>
                <w:color w:val="auto"/>
              </w:rPr>
            </w:pPr>
          </w:p>
        </w:tc>
        <w:tc>
          <w:tcPr>
            <w:tcW w:w="70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Armando</w:t>
            </w:r>
          </w:p>
        </w:tc>
        <w:tc>
          <w:tcPr>
            <w:tcW w:w="40" w:type="dxa"/>
            <w:vAlign w:val="bottom"/>
            <w:shd w:val="clear" w:color="auto" w:fill="D9D9D9"/>
          </w:tcPr>
          <w:p>
            <w:pPr>
              <w:spacing w:after="0"/>
              <w:rPr>
                <w:sz w:val="17"/>
                <w:szCs w:val="17"/>
                <w:color w:val="auto"/>
              </w:rPr>
            </w:pPr>
          </w:p>
        </w:tc>
        <w:tc>
          <w:tcPr>
            <w:tcW w:w="680" w:type="dxa"/>
            <w:vAlign w:val="bottom"/>
            <w:shd w:val="clear" w:color="auto" w:fill="D9D9D9"/>
          </w:tcPr>
          <w:p>
            <w:pPr>
              <w:spacing w:after="0"/>
              <w:rPr>
                <w:sz w:val="20"/>
                <w:szCs w:val="20"/>
                <w:color w:val="auto"/>
              </w:rPr>
            </w:pPr>
            <w:r>
              <w:rPr>
                <w:rFonts w:ascii="Arial" w:cs="Arial" w:eastAsia="Arial" w:hAnsi="Arial"/>
                <w:sz w:val="13"/>
                <w:szCs w:val="13"/>
                <w:color w:val="333333"/>
              </w:rPr>
              <w:t>1/20/2016</w:t>
            </w:r>
          </w:p>
        </w:tc>
        <w:tc>
          <w:tcPr>
            <w:tcW w:w="82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rPr>
              <w:t>18,500</w:t>
            </w:r>
          </w:p>
        </w:tc>
        <w:tc>
          <w:tcPr>
            <w:tcW w:w="8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17"/>
                <w:szCs w:val="17"/>
                <w:color w:val="auto"/>
              </w:rPr>
            </w:pPr>
          </w:p>
        </w:tc>
        <w:tc>
          <w:tcPr>
            <w:tcW w:w="600" w:type="dxa"/>
            <w:vAlign w:val="bottom"/>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17"/>
                <w:szCs w:val="17"/>
                <w:color w:val="auto"/>
              </w:rPr>
            </w:pPr>
          </w:p>
        </w:tc>
        <w:tc>
          <w:tcPr>
            <w:tcW w:w="54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w w:val="93"/>
              </w:rPr>
              <w:t>$114.90</w:t>
            </w:r>
          </w:p>
        </w:tc>
        <w:tc>
          <w:tcPr>
            <w:tcW w:w="76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rPr>
              <w:t>1/20/2026</w:t>
            </w:r>
          </w:p>
        </w:tc>
        <w:tc>
          <w:tcPr>
            <w:tcW w:w="6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66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8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172"/>
        </w:trPr>
        <w:tc>
          <w:tcPr>
            <w:tcW w:w="100" w:type="dxa"/>
            <w:vAlign w:val="bottom"/>
            <w:shd w:val="clear" w:color="auto" w:fill="D9D9D9"/>
          </w:tcPr>
          <w:p>
            <w:pPr>
              <w:spacing w:after="0"/>
              <w:rPr>
                <w:sz w:val="14"/>
                <w:szCs w:val="14"/>
                <w:color w:val="auto"/>
              </w:rPr>
            </w:pPr>
          </w:p>
        </w:tc>
        <w:tc>
          <w:tcPr>
            <w:tcW w:w="70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L. Netto</w:t>
            </w:r>
          </w:p>
        </w:tc>
        <w:tc>
          <w:tcPr>
            <w:tcW w:w="40" w:type="dxa"/>
            <w:vAlign w:val="bottom"/>
            <w:shd w:val="clear" w:color="auto" w:fill="D9D9D9"/>
          </w:tcPr>
          <w:p>
            <w:pPr>
              <w:spacing w:after="0"/>
              <w:rPr>
                <w:sz w:val="14"/>
                <w:szCs w:val="14"/>
                <w:color w:val="auto"/>
              </w:rPr>
            </w:pPr>
          </w:p>
        </w:tc>
        <w:tc>
          <w:tcPr>
            <w:tcW w:w="680" w:type="dxa"/>
            <w:vAlign w:val="bottom"/>
            <w:vMerge w:val="restart"/>
            <w:shd w:val="clear" w:color="auto" w:fill="D9D9D9"/>
          </w:tcPr>
          <w:p>
            <w:pPr>
              <w:spacing w:after="0"/>
              <w:rPr>
                <w:sz w:val="20"/>
                <w:szCs w:val="20"/>
                <w:color w:val="auto"/>
              </w:rPr>
            </w:pPr>
            <w:r>
              <w:rPr>
                <w:rFonts w:ascii="Arial" w:cs="Arial" w:eastAsia="Arial" w:hAnsi="Arial"/>
                <w:sz w:val="13"/>
                <w:szCs w:val="13"/>
                <w:color w:val="333333"/>
              </w:rPr>
              <w:t>5/5/2017</w:t>
            </w:r>
          </w:p>
        </w:tc>
        <w:tc>
          <w:tcPr>
            <w:tcW w:w="820" w:type="dxa"/>
            <w:vAlign w:val="bottom"/>
            <w:gridSpan w:val="2"/>
            <w:vMerge w:val="restart"/>
            <w:shd w:val="clear" w:color="auto" w:fill="D9D9D9"/>
          </w:tcPr>
          <w:p>
            <w:pPr>
              <w:ind w:left="80"/>
              <w:spacing w:after="0"/>
              <w:rPr>
                <w:sz w:val="20"/>
                <w:szCs w:val="20"/>
                <w:color w:val="auto"/>
              </w:rPr>
            </w:pPr>
            <w:r>
              <w:rPr>
                <w:rFonts w:ascii="Arial" w:cs="Arial" w:eastAsia="Arial" w:hAnsi="Arial"/>
                <w:sz w:val="13"/>
                <w:szCs w:val="13"/>
                <w:color w:val="333333"/>
              </w:rPr>
              <w:t>30,000</w:t>
            </w:r>
          </w:p>
        </w:tc>
        <w:tc>
          <w:tcPr>
            <w:tcW w:w="80" w:type="dxa"/>
            <w:vAlign w:val="bottom"/>
            <w:shd w:val="clear" w:color="auto" w:fill="D9D9D9"/>
          </w:tcPr>
          <w:p>
            <w:pPr>
              <w:spacing w:after="0"/>
              <w:rPr>
                <w:sz w:val="14"/>
                <w:szCs w:val="14"/>
                <w:color w:val="auto"/>
              </w:rPr>
            </w:pPr>
          </w:p>
        </w:tc>
        <w:tc>
          <w:tcPr>
            <w:tcW w:w="880" w:type="dxa"/>
            <w:vAlign w:val="bottom"/>
            <w:vMerge w:val="restart"/>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14"/>
                <w:szCs w:val="14"/>
                <w:color w:val="auto"/>
              </w:rPr>
            </w:pPr>
          </w:p>
        </w:tc>
        <w:tc>
          <w:tcPr>
            <w:tcW w:w="600" w:type="dxa"/>
            <w:vAlign w:val="bottom"/>
            <w:vMerge w:val="restart"/>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14"/>
                <w:szCs w:val="14"/>
                <w:color w:val="auto"/>
              </w:rPr>
            </w:pPr>
          </w:p>
        </w:tc>
        <w:tc>
          <w:tcPr>
            <w:tcW w:w="540" w:type="dxa"/>
            <w:vAlign w:val="bottom"/>
            <w:gridSpan w:val="2"/>
            <w:vMerge w:val="restart"/>
            <w:shd w:val="clear" w:color="auto" w:fill="D9D9D9"/>
          </w:tcPr>
          <w:p>
            <w:pPr>
              <w:ind w:left="80"/>
              <w:spacing w:after="0"/>
              <w:rPr>
                <w:sz w:val="20"/>
                <w:szCs w:val="20"/>
                <w:color w:val="auto"/>
              </w:rPr>
            </w:pPr>
            <w:r>
              <w:rPr>
                <w:rFonts w:ascii="Arial" w:cs="Arial" w:eastAsia="Arial" w:hAnsi="Arial"/>
                <w:sz w:val="13"/>
                <w:szCs w:val="13"/>
                <w:color w:val="333333"/>
                <w:w w:val="93"/>
              </w:rPr>
              <w:t>$133.40</w:t>
            </w:r>
          </w:p>
        </w:tc>
        <w:tc>
          <w:tcPr>
            <w:tcW w:w="760" w:type="dxa"/>
            <w:vAlign w:val="bottom"/>
            <w:gridSpan w:val="2"/>
            <w:vMerge w:val="restart"/>
            <w:shd w:val="clear" w:color="auto" w:fill="D9D9D9"/>
          </w:tcPr>
          <w:p>
            <w:pPr>
              <w:ind w:left="80"/>
              <w:spacing w:after="0"/>
              <w:rPr>
                <w:sz w:val="20"/>
                <w:szCs w:val="20"/>
                <w:color w:val="auto"/>
              </w:rPr>
            </w:pPr>
            <w:r>
              <w:rPr>
                <w:rFonts w:ascii="Arial" w:cs="Arial" w:eastAsia="Arial" w:hAnsi="Arial"/>
                <w:sz w:val="13"/>
                <w:szCs w:val="13"/>
                <w:color w:val="333333"/>
              </w:rPr>
              <w:t>5/5/2027</w:t>
            </w:r>
          </w:p>
        </w:tc>
        <w:tc>
          <w:tcPr>
            <w:tcW w:w="640" w:type="dxa"/>
            <w:vAlign w:val="bottom"/>
            <w:vMerge w:val="restart"/>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660" w:type="dxa"/>
            <w:vAlign w:val="bottom"/>
            <w:vMerge w:val="restart"/>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840" w:type="dxa"/>
            <w:vAlign w:val="bottom"/>
            <w:vMerge w:val="restart"/>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960" w:type="dxa"/>
            <w:vAlign w:val="bottom"/>
            <w:vMerge w:val="restart"/>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156"/>
        </w:trPr>
        <w:tc>
          <w:tcPr>
            <w:tcW w:w="100" w:type="dxa"/>
            <w:vAlign w:val="bottom"/>
            <w:shd w:val="clear" w:color="auto" w:fill="D9D9D9"/>
          </w:tcPr>
          <w:p>
            <w:pPr>
              <w:spacing w:after="0"/>
              <w:rPr>
                <w:sz w:val="13"/>
                <w:szCs w:val="13"/>
                <w:color w:val="auto"/>
              </w:rPr>
            </w:pPr>
          </w:p>
        </w:tc>
        <w:tc>
          <w:tcPr>
            <w:tcW w:w="700" w:type="dxa"/>
            <w:vAlign w:val="bottom"/>
            <w:shd w:val="clear" w:color="auto" w:fill="D9D9D9"/>
          </w:tcPr>
          <w:p>
            <w:pPr>
              <w:spacing w:after="0"/>
              <w:rPr>
                <w:sz w:val="13"/>
                <w:szCs w:val="13"/>
                <w:color w:val="auto"/>
              </w:rPr>
            </w:pPr>
          </w:p>
        </w:tc>
        <w:tc>
          <w:tcPr>
            <w:tcW w:w="40" w:type="dxa"/>
            <w:vAlign w:val="bottom"/>
            <w:shd w:val="clear" w:color="auto" w:fill="D9D9D9"/>
          </w:tcPr>
          <w:p>
            <w:pPr>
              <w:spacing w:after="0"/>
              <w:rPr>
                <w:sz w:val="13"/>
                <w:szCs w:val="13"/>
                <w:color w:val="auto"/>
              </w:rPr>
            </w:pPr>
          </w:p>
        </w:tc>
        <w:tc>
          <w:tcPr>
            <w:tcW w:w="680" w:type="dxa"/>
            <w:vAlign w:val="bottom"/>
            <w:vMerge w:val="continue"/>
            <w:shd w:val="clear" w:color="auto" w:fill="D9D9D9"/>
          </w:tcPr>
          <w:p>
            <w:pPr>
              <w:spacing w:after="0"/>
              <w:rPr>
                <w:sz w:val="13"/>
                <w:szCs w:val="13"/>
                <w:color w:val="auto"/>
              </w:rPr>
            </w:pPr>
          </w:p>
        </w:tc>
        <w:tc>
          <w:tcPr>
            <w:tcW w:w="820" w:type="dxa"/>
            <w:vAlign w:val="bottom"/>
            <w:gridSpan w:val="2"/>
            <w:vMerge w:val="continue"/>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880" w:type="dxa"/>
            <w:vAlign w:val="bottom"/>
            <w:vMerge w:val="continue"/>
            <w:shd w:val="clear" w:color="auto" w:fill="D9D9D9"/>
          </w:tcPr>
          <w:p>
            <w:pPr>
              <w:spacing w:after="0"/>
              <w:rPr>
                <w:sz w:val="13"/>
                <w:szCs w:val="13"/>
                <w:color w:val="auto"/>
              </w:rPr>
            </w:pPr>
          </w:p>
        </w:tc>
        <w:tc>
          <w:tcPr>
            <w:tcW w:w="40" w:type="dxa"/>
            <w:vAlign w:val="bottom"/>
            <w:shd w:val="clear" w:color="auto" w:fill="D9D9D9"/>
          </w:tcPr>
          <w:p>
            <w:pPr>
              <w:spacing w:after="0"/>
              <w:rPr>
                <w:sz w:val="13"/>
                <w:szCs w:val="13"/>
                <w:color w:val="auto"/>
              </w:rPr>
            </w:pPr>
          </w:p>
        </w:tc>
        <w:tc>
          <w:tcPr>
            <w:tcW w:w="600" w:type="dxa"/>
            <w:vAlign w:val="bottom"/>
            <w:vMerge w:val="continue"/>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540" w:type="dxa"/>
            <w:vAlign w:val="bottom"/>
            <w:gridSpan w:val="2"/>
            <w:vMerge w:val="continue"/>
            <w:shd w:val="clear" w:color="auto" w:fill="D9D9D9"/>
          </w:tcPr>
          <w:p>
            <w:pPr>
              <w:spacing w:after="0"/>
              <w:rPr>
                <w:sz w:val="13"/>
                <w:szCs w:val="13"/>
                <w:color w:val="auto"/>
              </w:rPr>
            </w:pPr>
          </w:p>
        </w:tc>
        <w:tc>
          <w:tcPr>
            <w:tcW w:w="760" w:type="dxa"/>
            <w:vAlign w:val="bottom"/>
            <w:gridSpan w:val="2"/>
            <w:vMerge w:val="continue"/>
            <w:shd w:val="clear" w:color="auto" w:fill="D9D9D9"/>
          </w:tcPr>
          <w:p>
            <w:pPr>
              <w:spacing w:after="0"/>
              <w:rPr>
                <w:sz w:val="13"/>
                <w:szCs w:val="13"/>
                <w:color w:val="auto"/>
              </w:rPr>
            </w:pPr>
          </w:p>
        </w:tc>
        <w:tc>
          <w:tcPr>
            <w:tcW w:w="640" w:type="dxa"/>
            <w:vAlign w:val="bottom"/>
            <w:vMerge w:val="continue"/>
            <w:shd w:val="clear" w:color="auto" w:fill="D9D9D9"/>
          </w:tcPr>
          <w:p>
            <w:pPr>
              <w:spacing w:after="0"/>
              <w:rPr>
                <w:sz w:val="13"/>
                <w:szCs w:val="13"/>
                <w:color w:val="auto"/>
              </w:rPr>
            </w:pPr>
          </w:p>
        </w:tc>
        <w:tc>
          <w:tcPr>
            <w:tcW w:w="660" w:type="dxa"/>
            <w:vAlign w:val="bottom"/>
            <w:vMerge w:val="continue"/>
            <w:shd w:val="clear" w:color="auto" w:fill="D9D9D9"/>
          </w:tcPr>
          <w:p>
            <w:pPr>
              <w:spacing w:after="0"/>
              <w:rPr>
                <w:sz w:val="13"/>
                <w:szCs w:val="13"/>
                <w:color w:val="auto"/>
              </w:rPr>
            </w:pPr>
          </w:p>
        </w:tc>
        <w:tc>
          <w:tcPr>
            <w:tcW w:w="840" w:type="dxa"/>
            <w:vAlign w:val="bottom"/>
            <w:vMerge w:val="continue"/>
            <w:shd w:val="clear" w:color="auto" w:fill="D9D9D9"/>
          </w:tcPr>
          <w:p>
            <w:pPr>
              <w:spacing w:after="0"/>
              <w:rPr>
                <w:sz w:val="13"/>
                <w:szCs w:val="13"/>
                <w:color w:val="auto"/>
              </w:rPr>
            </w:pPr>
          </w:p>
        </w:tc>
        <w:tc>
          <w:tcPr>
            <w:tcW w:w="960" w:type="dxa"/>
            <w:vAlign w:val="bottom"/>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0"/>
                <w:szCs w:val="20"/>
                <w:color w:val="auto"/>
              </w:rPr>
            </w:pPr>
            <w:r>
              <w:rPr>
                <w:rFonts w:ascii="Arial" w:cs="Arial" w:eastAsia="Arial" w:hAnsi="Arial"/>
                <w:sz w:val="13"/>
                <w:szCs w:val="13"/>
                <w:color w:val="333333"/>
              </w:rPr>
              <w:t>3/1/2018</w:t>
            </w:r>
          </w:p>
        </w:tc>
        <w:tc>
          <w:tcPr>
            <w:tcW w:w="82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rPr>
              <w:t>15,000</w:t>
            </w:r>
          </w:p>
        </w:tc>
        <w:tc>
          <w:tcPr>
            <w:tcW w:w="8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24"/>
                <w:szCs w:val="24"/>
                <w:color w:val="auto"/>
              </w:rPr>
            </w:pPr>
          </w:p>
        </w:tc>
        <w:tc>
          <w:tcPr>
            <w:tcW w:w="600" w:type="dxa"/>
            <w:vAlign w:val="bottom"/>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24"/>
                <w:szCs w:val="24"/>
                <w:color w:val="auto"/>
              </w:rPr>
            </w:pPr>
          </w:p>
        </w:tc>
        <w:tc>
          <w:tcPr>
            <w:tcW w:w="54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w w:val="93"/>
              </w:rPr>
              <w:t>$199.75</w:t>
            </w:r>
          </w:p>
        </w:tc>
        <w:tc>
          <w:tcPr>
            <w:tcW w:w="76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rPr>
              <w:t>3/1/2028</w:t>
            </w:r>
          </w:p>
        </w:tc>
        <w:tc>
          <w:tcPr>
            <w:tcW w:w="6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66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8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97"/>
        </w:trPr>
        <w:tc>
          <w:tcPr>
            <w:tcW w:w="1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0"/>
                <w:szCs w:val="20"/>
                <w:color w:val="auto"/>
              </w:rPr>
            </w:pPr>
            <w:r>
              <w:rPr>
                <w:rFonts w:ascii="Arial" w:cs="Arial" w:eastAsia="Arial" w:hAnsi="Arial"/>
                <w:sz w:val="13"/>
                <w:szCs w:val="13"/>
                <w:color w:val="333333"/>
              </w:rPr>
              <w:t>2/27/2019</w:t>
            </w:r>
          </w:p>
        </w:tc>
        <w:tc>
          <w:tcPr>
            <w:tcW w:w="8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0"/>
                <w:szCs w:val="20"/>
                <w:color w:val="auto"/>
              </w:rPr>
            </w:pPr>
            <w:r>
              <w:rPr>
                <w:rFonts w:ascii="Arial" w:cs="Arial" w:eastAsia="Arial" w:hAnsi="Arial"/>
                <w:sz w:val="13"/>
                <w:szCs w:val="13"/>
                <w:color w:val="333333"/>
              </w:rPr>
              <w:t>20,000</w:t>
            </w:r>
          </w:p>
        </w:tc>
        <w:tc>
          <w:tcPr>
            <w:tcW w:w="8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24"/>
                <w:szCs w:val="24"/>
                <w:color w:val="auto"/>
              </w:rPr>
            </w:pPr>
          </w:p>
        </w:tc>
        <w:tc>
          <w:tcPr>
            <w:tcW w:w="600" w:type="dxa"/>
            <w:vAlign w:val="bottom"/>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24"/>
                <w:szCs w:val="24"/>
                <w:color w:val="auto"/>
              </w:rPr>
            </w:pPr>
          </w:p>
        </w:tc>
        <w:tc>
          <w:tcPr>
            <w:tcW w:w="54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w w:val="93"/>
              </w:rPr>
              <w:t>$231.70</w:t>
            </w:r>
          </w:p>
        </w:tc>
        <w:tc>
          <w:tcPr>
            <w:tcW w:w="76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rPr>
              <w:t>2/27/2029</w:t>
            </w:r>
          </w:p>
        </w:tc>
        <w:tc>
          <w:tcPr>
            <w:tcW w:w="6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66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8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97"/>
        </w:trPr>
        <w:tc>
          <w:tcPr>
            <w:tcW w:w="1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0"/>
                <w:szCs w:val="20"/>
                <w:color w:val="auto"/>
              </w:rPr>
            </w:pPr>
            <w:r>
              <w:rPr>
                <w:rFonts w:ascii="Arial" w:cs="Arial" w:eastAsia="Arial" w:hAnsi="Arial"/>
                <w:sz w:val="13"/>
                <w:szCs w:val="13"/>
                <w:color w:val="333333"/>
              </w:rPr>
              <w:t>3/27/2020</w:t>
            </w:r>
          </w:p>
        </w:tc>
        <w:tc>
          <w:tcPr>
            <w:tcW w:w="8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0"/>
                <w:szCs w:val="20"/>
                <w:color w:val="auto"/>
              </w:rPr>
            </w:pPr>
            <w:r>
              <w:rPr>
                <w:rFonts w:ascii="Arial" w:cs="Arial" w:eastAsia="Arial" w:hAnsi="Arial"/>
                <w:sz w:val="13"/>
                <w:szCs w:val="13"/>
                <w:color w:val="333333"/>
              </w:rPr>
              <w:t>18,797</w:t>
            </w:r>
          </w:p>
        </w:tc>
        <w:tc>
          <w:tcPr>
            <w:tcW w:w="96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rPr>
              <w:t>6,266</w:t>
            </w:r>
          </w:p>
        </w:tc>
        <w:tc>
          <w:tcPr>
            <w:tcW w:w="40" w:type="dxa"/>
            <w:vAlign w:val="bottom"/>
            <w:shd w:val="clear" w:color="auto" w:fill="D9D9D9"/>
          </w:tcPr>
          <w:p>
            <w:pPr>
              <w:spacing w:after="0"/>
              <w:rPr>
                <w:sz w:val="24"/>
                <w:szCs w:val="24"/>
                <w:color w:val="auto"/>
              </w:rPr>
            </w:pPr>
          </w:p>
        </w:tc>
        <w:tc>
          <w:tcPr>
            <w:tcW w:w="600" w:type="dxa"/>
            <w:vAlign w:val="bottom"/>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24"/>
                <w:szCs w:val="24"/>
                <w:color w:val="auto"/>
              </w:rPr>
            </w:pPr>
          </w:p>
        </w:tc>
        <w:tc>
          <w:tcPr>
            <w:tcW w:w="54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w w:val="93"/>
              </w:rPr>
              <w:t>$196.18</w:t>
            </w:r>
          </w:p>
        </w:tc>
        <w:tc>
          <w:tcPr>
            <w:tcW w:w="76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rPr>
              <w:t>3/27/2030</w:t>
            </w:r>
          </w:p>
        </w:tc>
        <w:tc>
          <w:tcPr>
            <w:tcW w:w="6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66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8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97"/>
        </w:trPr>
        <w:tc>
          <w:tcPr>
            <w:tcW w:w="1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0"/>
                <w:szCs w:val="20"/>
                <w:color w:val="auto"/>
              </w:rPr>
            </w:pPr>
            <w:r>
              <w:rPr>
                <w:rFonts w:ascii="Arial" w:cs="Arial" w:eastAsia="Arial" w:hAnsi="Arial"/>
                <w:sz w:val="13"/>
                <w:szCs w:val="13"/>
                <w:color w:val="333333"/>
              </w:rPr>
              <w:t>1/25/2021</w:t>
            </w:r>
          </w:p>
        </w:tc>
        <w:tc>
          <w:tcPr>
            <w:tcW w:w="8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0"/>
                <w:szCs w:val="20"/>
                <w:color w:val="auto"/>
              </w:rPr>
            </w:pPr>
            <w:r>
              <w:rPr>
                <w:rFonts w:ascii="Arial" w:cs="Arial" w:eastAsia="Arial" w:hAnsi="Arial"/>
                <w:sz w:val="13"/>
                <w:szCs w:val="13"/>
                <w:color w:val="333333"/>
              </w:rPr>
              <w:t>8,232</w:t>
            </w:r>
          </w:p>
        </w:tc>
        <w:tc>
          <w:tcPr>
            <w:tcW w:w="96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rPr>
              <w:t>8,234</w:t>
            </w:r>
          </w:p>
        </w:tc>
        <w:tc>
          <w:tcPr>
            <w:tcW w:w="40" w:type="dxa"/>
            <w:vAlign w:val="bottom"/>
            <w:shd w:val="clear" w:color="auto" w:fill="D9D9D9"/>
          </w:tcPr>
          <w:p>
            <w:pPr>
              <w:spacing w:after="0"/>
              <w:rPr>
                <w:sz w:val="24"/>
                <w:szCs w:val="24"/>
                <w:color w:val="auto"/>
              </w:rPr>
            </w:pPr>
          </w:p>
        </w:tc>
        <w:tc>
          <w:tcPr>
            <w:tcW w:w="600" w:type="dxa"/>
            <w:vAlign w:val="bottom"/>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24"/>
                <w:szCs w:val="24"/>
                <w:color w:val="auto"/>
              </w:rPr>
            </w:pPr>
          </w:p>
        </w:tc>
        <w:tc>
          <w:tcPr>
            <w:tcW w:w="54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w w:val="93"/>
              </w:rPr>
              <w:t>$261.07</w:t>
            </w:r>
          </w:p>
        </w:tc>
        <w:tc>
          <w:tcPr>
            <w:tcW w:w="76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rPr>
              <w:t>1/25/2031</w:t>
            </w:r>
          </w:p>
        </w:tc>
        <w:tc>
          <w:tcPr>
            <w:tcW w:w="6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66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8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406"/>
        </w:trPr>
        <w:tc>
          <w:tcPr>
            <w:tcW w:w="1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0"/>
                <w:szCs w:val="20"/>
                <w:color w:val="auto"/>
              </w:rPr>
            </w:pPr>
            <w:r>
              <w:rPr>
                <w:rFonts w:ascii="Arial" w:cs="Arial" w:eastAsia="Arial" w:hAnsi="Arial"/>
                <w:sz w:val="13"/>
                <w:szCs w:val="13"/>
                <w:color w:val="333333"/>
              </w:rPr>
              <w:t>1/25/2021</w:t>
            </w:r>
          </w:p>
        </w:tc>
        <w:tc>
          <w:tcPr>
            <w:tcW w:w="8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8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24"/>
                <w:szCs w:val="24"/>
                <w:color w:val="auto"/>
              </w:rPr>
            </w:pPr>
          </w:p>
        </w:tc>
        <w:tc>
          <w:tcPr>
            <w:tcW w:w="600" w:type="dxa"/>
            <w:vAlign w:val="bottom"/>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46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24"/>
                <w:szCs w:val="24"/>
                <w:color w:val="auto"/>
              </w:rPr>
            </w:pPr>
          </w:p>
        </w:tc>
        <w:tc>
          <w:tcPr>
            <w:tcW w:w="72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640" w:type="dxa"/>
            <w:vAlign w:val="bottom"/>
            <w:shd w:val="clear" w:color="auto" w:fill="D9D9D9"/>
          </w:tcPr>
          <w:p>
            <w:pPr>
              <w:ind w:left="80"/>
              <w:spacing w:after="0"/>
              <w:rPr>
                <w:sz w:val="20"/>
                <w:szCs w:val="20"/>
                <w:color w:val="auto"/>
              </w:rPr>
            </w:pPr>
            <w:r>
              <w:rPr>
                <w:rFonts w:ascii="Arial" w:cs="Arial" w:eastAsia="Arial" w:hAnsi="Arial"/>
                <w:sz w:val="13"/>
                <w:szCs w:val="13"/>
                <w:color w:val="333333"/>
                <w:w w:val="95"/>
              </w:rPr>
              <w:t>1,764</w:t>
            </w:r>
            <w:r>
              <w:rPr>
                <w:rFonts w:ascii="Arial" w:cs="Arial" w:eastAsia="Arial" w:hAnsi="Arial"/>
                <w:sz w:val="20"/>
                <w:szCs w:val="20"/>
                <w:color w:val="333333"/>
                <w:w w:val="95"/>
                <w:vertAlign w:val="superscript"/>
              </w:rPr>
              <w:t>(10)</w:t>
            </w:r>
          </w:p>
        </w:tc>
        <w:tc>
          <w:tcPr>
            <w:tcW w:w="66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$498,524</w:t>
            </w:r>
          </w:p>
        </w:tc>
        <w:tc>
          <w:tcPr>
            <w:tcW w:w="8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29"/>
        </w:trPr>
        <w:tc>
          <w:tcPr>
            <w:tcW w:w="100" w:type="dxa"/>
            <w:vAlign w:val="bottom"/>
            <w:shd w:val="clear" w:color="auto" w:fill="D9D9D9"/>
          </w:tcPr>
          <w:p>
            <w:pPr>
              <w:spacing w:after="0"/>
              <w:rPr>
                <w:sz w:val="19"/>
                <w:szCs w:val="19"/>
                <w:color w:val="auto"/>
              </w:rPr>
            </w:pPr>
          </w:p>
        </w:tc>
        <w:tc>
          <w:tcPr>
            <w:tcW w:w="70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680" w:type="dxa"/>
            <w:vAlign w:val="bottom"/>
            <w:shd w:val="clear" w:color="auto" w:fill="D9D9D9"/>
          </w:tcPr>
          <w:p>
            <w:pPr>
              <w:spacing w:after="0"/>
              <w:rPr>
                <w:sz w:val="20"/>
                <w:szCs w:val="20"/>
                <w:color w:val="auto"/>
              </w:rPr>
            </w:pPr>
            <w:r>
              <w:rPr>
                <w:rFonts w:ascii="Arial" w:cs="Arial" w:eastAsia="Arial" w:hAnsi="Arial"/>
                <w:sz w:val="13"/>
                <w:szCs w:val="13"/>
                <w:color w:val="333333"/>
              </w:rPr>
              <w:t>4/21/2021</w:t>
            </w:r>
          </w:p>
        </w:tc>
        <w:tc>
          <w:tcPr>
            <w:tcW w:w="80" w:type="dxa"/>
            <w:vAlign w:val="bottom"/>
            <w:shd w:val="clear" w:color="auto" w:fill="D9D9D9"/>
          </w:tcPr>
          <w:p>
            <w:pPr>
              <w:spacing w:after="0"/>
              <w:rPr>
                <w:sz w:val="19"/>
                <w:szCs w:val="19"/>
                <w:color w:val="auto"/>
              </w:rPr>
            </w:pPr>
          </w:p>
        </w:tc>
        <w:tc>
          <w:tcPr>
            <w:tcW w:w="740" w:type="dxa"/>
            <w:vAlign w:val="bottom"/>
            <w:shd w:val="clear" w:color="auto" w:fill="D9D9D9"/>
          </w:tcPr>
          <w:p>
            <w:pPr>
              <w:spacing w:after="0"/>
              <w:rPr>
                <w:sz w:val="20"/>
                <w:szCs w:val="20"/>
                <w:color w:val="auto"/>
              </w:rPr>
            </w:pPr>
            <w:r>
              <w:rPr>
                <w:rFonts w:ascii="Arial" w:cs="Arial" w:eastAsia="Arial" w:hAnsi="Arial"/>
                <w:sz w:val="13"/>
                <w:szCs w:val="13"/>
                <w:color w:val="333333"/>
              </w:rPr>
              <w:t>30,625</w:t>
            </w:r>
          </w:p>
        </w:tc>
        <w:tc>
          <w:tcPr>
            <w:tcW w:w="80" w:type="dxa"/>
            <w:vAlign w:val="bottom"/>
            <w:shd w:val="clear" w:color="auto" w:fill="D9D9D9"/>
          </w:tcPr>
          <w:p>
            <w:pPr>
              <w:spacing w:after="0"/>
              <w:rPr>
                <w:sz w:val="19"/>
                <w:szCs w:val="19"/>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19"/>
                <w:szCs w:val="19"/>
                <w:color w:val="auto"/>
              </w:rPr>
            </w:pPr>
          </w:p>
        </w:tc>
        <w:tc>
          <w:tcPr>
            <w:tcW w:w="600" w:type="dxa"/>
            <w:vAlign w:val="bottom"/>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19"/>
                <w:szCs w:val="19"/>
                <w:color w:val="auto"/>
              </w:rPr>
            </w:pPr>
          </w:p>
        </w:tc>
        <w:tc>
          <w:tcPr>
            <w:tcW w:w="54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w w:val="93"/>
              </w:rPr>
              <w:t>$196.18</w:t>
            </w:r>
          </w:p>
        </w:tc>
        <w:tc>
          <w:tcPr>
            <w:tcW w:w="76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rPr>
              <w:t>3/27/2030</w:t>
            </w:r>
          </w:p>
        </w:tc>
        <w:tc>
          <w:tcPr>
            <w:tcW w:w="6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66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8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97"/>
        </w:trPr>
        <w:tc>
          <w:tcPr>
            <w:tcW w:w="1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0"/>
                <w:szCs w:val="20"/>
                <w:color w:val="auto"/>
              </w:rPr>
            </w:pPr>
            <w:r>
              <w:rPr>
                <w:rFonts w:ascii="Arial" w:cs="Arial" w:eastAsia="Arial" w:hAnsi="Arial"/>
                <w:sz w:val="13"/>
                <w:szCs w:val="13"/>
                <w:color w:val="333333"/>
              </w:rPr>
              <w:t>1/24/2022</w:t>
            </w:r>
          </w:p>
        </w:tc>
        <w:tc>
          <w:tcPr>
            <w:tcW w:w="8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0"/>
                <w:szCs w:val="20"/>
                <w:color w:val="auto"/>
              </w:rPr>
            </w:pPr>
            <w:r>
              <w:rPr>
                <w:rFonts w:ascii="Arial" w:cs="Arial" w:eastAsia="Arial" w:hAnsi="Arial"/>
                <w:sz w:val="13"/>
                <w:szCs w:val="13"/>
                <w:color w:val="333333"/>
              </w:rPr>
              <w:t>4,588</w:t>
            </w:r>
          </w:p>
        </w:tc>
        <w:tc>
          <w:tcPr>
            <w:tcW w:w="8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3"/>
                <w:szCs w:val="13"/>
                <w:color w:val="333333"/>
              </w:rPr>
              <w:t>13,764</w:t>
            </w:r>
          </w:p>
        </w:tc>
        <w:tc>
          <w:tcPr>
            <w:tcW w:w="40" w:type="dxa"/>
            <w:vAlign w:val="bottom"/>
            <w:shd w:val="clear" w:color="auto" w:fill="D9D9D9"/>
          </w:tcPr>
          <w:p>
            <w:pPr>
              <w:spacing w:after="0"/>
              <w:rPr>
                <w:sz w:val="24"/>
                <w:szCs w:val="24"/>
                <w:color w:val="auto"/>
              </w:rPr>
            </w:pPr>
          </w:p>
        </w:tc>
        <w:tc>
          <w:tcPr>
            <w:tcW w:w="600" w:type="dxa"/>
            <w:vAlign w:val="bottom"/>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24"/>
                <w:szCs w:val="24"/>
                <w:color w:val="auto"/>
              </w:rPr>
            </w:pPr>
          </w:p>
        </w:tc>
        <w:tc>
          <w:tcPr>
            <w:tcW w:w="54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w w:val="93"/>
              </w:rPr>
              <w:t>$225.45</w:t>
            </w:r>
          </w:p>
        </w:tc>
        <w:tc>
          <w:tcPr>
            <w:tcW w:w="76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rPr>
              <w:t>1/24/2032</w:t>
            </w:r>
          </w:p>
        </w:tc>
        <w:tc>
          <w:tcPr>
            <w:tcW w:w="6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66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8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97"/>
        </w:trPr>
        <w:tc>
          <w:tcPr>
            <w:tcW w:w="1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0"/>
                <w:szCs w:val="20"/>
                <w:color w:val="auto"/>
              </w:rPr>
            </w:pPr>
            <w:r>
              <w:rPr>
                <w:rFonts w:ascii="Arial" w:cs="Arial" w:eastAsia="Arial" w:hAnsi="Arial"/>
                <w:sz w:val="13"/>
                <w:szCs w:val="13"/>
                <w:color w:val="333333"/>
              </w:rPr>
              <w:t>1/24/2022</w:t>
            </w:r>
          </w:p>
        </w:tc>
        <w:tc>
          <w:tcPr>
            <w:tcW w:w="8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0"/>
                <w:szCs w:val="20"/>
                <w:color w:val="auto"/>
              </w:rPr>
            </w:pPr>
            <w:r>
              <w:rPr>
                <w:rFonts w:ascii="Arial" w:cs="Arial" w:eastAsia="Arial" w:hAnsi="Arial"/>
                <w:sz w:val="13"/>
                <w:szCs w:val="13"/>
                <w:color w:val="333333"/>
              </w:rPr>
              <w:t>4,588</w:t>
            </w:r>
          </w:p>
        </w:tc>
        <w:tc>
          <w:tcPr>
            <w:tcW w:w="8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3"/>
                <w:szCs w:val="13"/>
                <w:color w:val="333333"/>
              </w:rPr>
              <w:t>13,764</w:t>
            </w:r>
          </w:p>
        </w:tc>
        <w:tc>
          <w:tcPr>
            <w:tcW w:w="40" w:type="dxa"/>
            <w:vAlign w:val="bottom"/>
            <w:shd w:val="clear" w:color="auto" w:fill="D9D9D9"/>
          </w:tcPr>
          <w:p>
            <w:pPr>
              <w:spacing w:after="0"/>
              <w:rPr>
                <w:sz w:val="24"/>
                <w:szCs w:val="24"/>
                <w:color w:val="auto"/>
              </w:rPr>
            </w:pPr>
          </w:p>
        </w:tc>
        <w:tc>
          <w:tcPr>
            <w:tcW w:w="600" w:type="dxa"/>
            <w:vAlign w:val="bottom"/>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24"/>
                <w:szCs w:val="24"/>
                <w:color w:val="auto"/>
              </w:rPr>
            </w:pPr>
          </w:p>
        </w:tc>
        <w:tc>
          <w:tcPr>
            <w:tcW w:w="54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w w:val="93"/>
              </w:rPr>
              <w:t>$225.45</w:t>
            </w:r>
          </w:p>
        </w:tc>
        <w:tc>
          <w:tcPr>
            <w:tcW w:w="76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rPr>
              <w:t>1/24/2032</w:t>
            </w:r>
          </w:p>
        </w:tc>
        <w:tc>
          <w:tcPr>
            <w:tcW w:w="6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66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8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405"/>
        </w:trPr>
        <w:tc>
          <w:tcPr>
            <w:tcW w:w="1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0"/>
                <w:szCs w:val="20"/>
                <w:color w:val="auto"/>
              </w:rPr>
            </w:pPr>
            <w:r>
              <w:rPr>
                <w:rFonts w:ascii="Arial" w:cs="Arial" w:eastAsia="Arial" w:hAnsi="Arial"/>
                <w:sz w:val="13"/>
                <w:szCs w:val="13"/>
                <w:color w:val="333333"/>
              </w:rPr>
              <w:t>1/24/2022</w:t>
            </w:r>
          </w:p>
        </w:tc>
        <w:tc>
          <w:tcPr>
            <w:tcW w:w="8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8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24"/>
                <w:szCs w:val="24"/>
                <w:color w:val="auto"/>
              </w:rPr>
            </w:pPr>
          </w:p>
        </w:tc>
        <w:tc>
          <w:tcPr>
            <w:tcW w:w="600" w:type="dxa"/>
            <w:vAlign w:val="bottom"/>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46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24"/>
                <w:szCs w:val="24"/>
                <w:color w:val="auto"/>
              </w:rPr>
            </w:pPr>
          </w:p>
        </w:tc>
        <w:tc>
          <w:tcPr>
            <w:tcW w:w="72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640" w:type="dxa"/>
            <w:vAlign w:val="bottom"/>
            <w:shd w:val="clear" w:color="auto" w:fill="D9D9D9"/>
          </w:tcPr>
          <w:p>
            <w:pPr>
              <w:ind w:left="80"/>
              <w:spacing w:after="0"/>
              <w:rPr>
                <w:sz w:val="20"/>
                <w:szCs w:val="20"/>
                <w:color w:val="auto"/>
              </w:rPr>
            </w:pPr>
            <w:r>
              <w:rPr>
                <w:rFonts w:ascii="Arial" w:cs="Arial" w:eastAsia="Arial" w:hAnsi="Arial"/>
                <w:sz w:val="13"/>
                <w:szCs w:val="13"/>
                <w:color w:val="333333"/>
                <w:w w:val="95"/>
              </w:rPr>
              <w:t>2,663</w:t>
            </w:r>
            <w:r>
              <w:rPr>
                <w:rFonts w:ascii="Arial" w:cs="Arial" w:eastAsia="Arial" w:hAnsi="Arial"/>
                <w:sz w:val="20"/>
                <w:szCs w:val="20"/>
                <w:color w:val="333333"/>
                <w:w w:val="95"/>
                <w:vertAlign w:val="superscript"/>
              </w:rPr>
              <w:t>(10)</w:t>
            </w:r>
          </w:p>
        </w:tc>
        <w:tc>
          <w:tcPr>
            <w:tcW w:w="66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$752,590</w:t>
            </w:r>
          </w:p>
        </w:tc>
        <w:tc>
          <w:tcPr>
            <w:tcW w:w="8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338"/>
        </w:trPr>
        <w:tc>
          <w:tcPr>
            <w:tcW w:w="1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0"/>
                <w:szCs w:val="20"/>
                <w:color w:val="auto"/>
              </w:rPr>
            </w:pPr>
            <w:r>
              <w:rPr>
                <w:rFonts w:ascii="Arial" w:cs="Arial" w:eastAsia="Arial" w:hAnsi="Arial"/>
                <w:sz w:val="13"/>
                <w:szCs w:val="13"/>
                <w:color w:val="333333"/>
              </w:rPr>
              <w:t>1/23/2023</w:t>
            </w:r>
          </w:p>
        </w:tc>
        <w:tc>
          <w:tcPr>
            <w:tcW w:w="8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8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24"/>
                <w:szCs w:val="24"/>
                <w:color w:val="auto"/>
              </w:rPr>
            </w:pPr>
          </w:p>
        </w:tc>
        <w:tc>
          <w:tcPr>
            <w:tcW w:w="600" w:type="dxa"/>
            <w:vAlign w:val="bottom"/>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46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24"/>
                <w:szCs w:val="24"/>
                <w:color w:val="auto"/>
              </w:rPr>
            </w:pPr>
          </w:p>
        </w:tc>
        <w:tc>
          <w:tcPr>
            <w:tcW w:w="72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6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3,071</w:t>
            </w:r>
            <w:r>
              <w:rPr>
                <w:rFonts w:ascii="Arial" w:cs="Arial" w:eastAsia="Arial" w:hAnsi="Arial"/>
                <w:sz w:val="20"/>
                <w:szCs w:val="20"/>
                <w:color w:val="333333"/>
                <w:vertAlign w:val="superscript"/>
              </w:rPr>
              <w:t>(9)</w:t>
            </w:r>
          </w:p>
        </w:tc>
        <w:tc>
          <w:tcPr>
            <w:tcW w:w="66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$867,895</w:t>
            </w:r>
          </w:p>
        </w:tc>
        <w:tc>
          <w:tcPr>
            <w:tcW w:w="8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29"/>
        </w:trPr>
        <w:tc>
          <w:tcPr>
            <w:tcW w:w="100" w:type="dxa"/>
            <w:vAlign w:val="bottom"/>
            <w:shd w:val="clear" w:color="auto" w:fill="D9D9D9"/>
          </w:tcPr>
          <w:p>
            <w:pPr>
              <w:spacing w:after="0"/>
              <w:rPr>
                <w:sz w:val="19"/>
                <w:szCs w:val="19"/>
                <w:color w:val="auto"/>
              </w:rPr>
            </w:pPr>
          </w:p>
        </w:tc>
        <w:tc>
          <w:tcPr>
            <w:tcW w:w="70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680" w:type="dxa"/>
            <w:vAlign w:val="bottom"/>
            <w:shd w:val="clear" w:color="auto" w:fill="D9D9D9"/>
          </w:tcPr>
          <w:p>
            <w:pPr>
              <w:spacing w:after="0"/>
              <w:rPr>
                <w:sz w:val="20"/>
                <w:szCs w:val="20"/>
                <w:color w:val="auto"/>
              </w:rPr>
            </w:pPr>
            <w:r>
              <w:rPr>
                <w:rFonts w:ascii="Arial" w:cs="Arial" w:eastAsia="Arial" w:hAnsi="Arial"/>
                <w:sz w:val="13"/>
                <w:szCs w:val="13"/>
                <w:color w:val="333333"/>
              </w:rPr>
              <w:t>1/23/2023</w:t>
            </w:r>
          </w:p>
        </w:tc>
        <w:tc>
          <w:tcPr>
            <w:tcW w:w="80" w:type="dxa"/>
            <w:vAlign w:val="bottom"/>
            <w:shd w:val="clear" w:color="auto" w:fill="D9D9D9"/>
          </w:tcPr>
          <w:p>
            <w:pPr>
              <w:spacing w:after="0"/>
              <w:rPr>
                <w:sz w:val="19"/>
                <w:szCs w:val="19"/>
                <w:color w:val="auto"/>
              </w:rPr>
            </w:pPr>
          </w:p>
        </w:tc>
        <w:tc>
          <w:tcPr>
            <w:tcW w:w="74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80" w:type="dxa"/>
            <w:vAlign w:val="bottom"/>
            <w:shd w:val="clear" w:color="auto" w:fill="D9D9D9"/>
          </w:tcPr>
          <w:p>
            <w:pPr>
              <w:spacing w:after="0"/>
              <w:rPr>
                <w:sz w:val="19"/>
                <w:szCs w:val="19"/>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3"/>
                <w:szCs w:val="13"/>
                <w:color w:val="333333"/>
              </w:rPr>
              <w:t>17,679</w:t>
            </w:r>
          </w:p>
        </w:tc>
        <w:tc>
          <w:tcPr>
            <w:tcW w:w="40" w:type="dxa"/>
            <w:vAlign w:val="bottom"/>
            <w:shd w:val="clear" w:color="auto" w:fill="D9D9D9"/>
          </w:tcPr>
          <w:p>
            <w:pPr>
              <w:spacing w:after="0"/>
              <w:rPr>
                <w:sz w:val="19"/>
                <w:szCs w:val="19"/>
                <w:color w:val="auto"/>
              </w:rPr>
            </w:pPr>
          </w:p>
        </w:tc>
        <w:tc>
          <w:tcPr>
            <w:tcW w:w="600" w:type="dxa"/>
            <w:vAlign w:val="bottom"/>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460" w:type="dxa"/>
            <w:vAlign w:val="bottom"/>
            <w:shd w:val="clear" w:color="auto" w:fill="D9D9D9"/>
          </w:tcPr>
          <w:p>
            <w:pPr>
              <w:spacing w:after="0"/>
              <w:rPr>
                <w:sz w:val="20"/>
                <w:szCs w:val="20"/>
                <w:color w:val="auto"/>
              </w:rPr>
            </w:pPr>
            <w:r>
              <w:rPr>
                <w:rFonts w:ascii="Arial" w:cs="Arial" w:eastAsia="Arial" w:hAnsi="Arial"/>
                <w:sz w:val="13"/>
                <w:szCs w:val="13"/>
                <w:color w:val="333333"/>
                <w:w w:val="93"/>
              </w:rPr>
              <w:t>$200.41</w:t>
            </w:r>
          </w:p>
        </w:tc>
        <w:tc>
          <w:tcPr>
            <w:tcW w:w="760" w:type="dxa"/>
            <w:vAlign w:val="bottom"/>
            <w:gridSpan w:val="2"/>
            <w:shd w:val="clear" w:color="auto" w:fill="D9D9D9"/>
          </w:tcPr>
          <w:p>
            <w:pPr>
              <w:ind w:left="80"/>
              <w:spacing w:after="0"/>
              <w:rPr>
                <w:sz w:val="20"/>
                <w:szCs w:val="20"/>
                <w:color w:val="auto"/>
              </w:rPr>
            </w:pPr>
            <w:r>
              <w:rPr>
                <w:rFonts w:ascii="Arial" w:cs="Arial" w:eastAsia="Arial" w:hAnsi="Arial"/>
                <w:sz w:val="13"/>
                <w:szCs w:val="13"/>
                <w:color w:val="333333"/>
              </w:rPr>
              <w:t>1/23/2033</w:t>
            </w:r>
          </w:p>
        </w:tc>
        <w:tc>
          <w:tcPr>
            <w:tcW w:w="6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66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8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405"/>
        </w:trPr>
        <w:tc>
          <w:tcPr>
            <w:tcW w:w="1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0"/>
                <w:szCs w:val="20"/>
                <w:color w:val="auto"/>
              </w:rPr>
            </w:pPr>
            <w:r>
              <w:rPr>
                <w:rFonts w:ascii="Arial" w:cs="Arial" w:eastAsia="Arial" w:hAnsi="Arial"/>
                <w:sz w:val="13"/>
                <w:szCs w:val="13"/>
                <w:color w:val="333333"/>
              </w:rPr>
              <w:t>3/01/2023</w:t>
            </w:r>
          </w:p>
        </w:tc>
        <w:tc>
          <w:tcPr>
            <w:tcW w:w="8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8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24"/>
                <w:szCs w:val="24"/>
                <w:color w:val="auto"/>
              </w:rPr>
            </w:pPr>
          </w:p>
        </w:tc>
        <w:tc>
          <w:tcPr>
            <w:tcW w:w="600" w:type="dxa"/>
            <w:vAlign w:val="bottom"/>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46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24"/>
                <w:szCs w:val="24"/>
                <w:color w:val="auto"/>
              </w:rPr>
            </w:pPr>
          </w:p>
        </w:tc>
        <w:tc>
          <w:tcPr>
            <w:tcW w:w="72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6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66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8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1,996</w:t>
            </w:r>
            <w:r>
              <w:rPr>
                <w:rFonts w:ascii="Arial" w:cs="Arial" w:eastAsia="Arial" w:hAnsi="Arial"/>
                <w:sz w:val="20"/>
                <w:szCs w:val="20"/>
                <w:color w:val="333333"/>
                <w:vertAlign w:val="superscript"/>
              </w:rPr>
              <w:t>(5)</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$564,090</w:t>
            </w:r>
          </w:p>
        </w:tc>
        <w:tc>
          <w:tcPr>
            <w:tcW w:w="0" w:type="dxa"/>
            <w:vAlign w:val="bottom"/>
          </w:tcPr>
          <w:p>
            <w:pPr>
              <w:spacing w:after="0"/>
              <w:rPr>
                <w:sz w:val="1"/>
                <w:szCs w:val="1"/>
                <w:color w:val="auto"/>
              </w:rPr>
            </w:pPr>
          </w:p>
        </w:tc>
      </w:tr>
      <w:tr>
        <w:trPr>
          <w:trHeight w:val="338"/>
        </w:trPr>
        <w:tc>
          <w:tcPr>
            <w:tcW w:w="1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0"/>
                <w:szCs w:val="20"/>
                <w:color w:val="auto"/>
              </w:rPr>
            </w:pPr>
            <w:r>
              <w:rPr>
                <w:rFonts w:ascii="Arial" w:cs="Arial" w:eastAsia="Arial" w:hAnsi="Arial"/>
                <w:sz w:val="13"/>
                <w:szCs w:val="13"/>
                <w:color w:val="333333"/>
              </w:rPr>
              <w:t>3/01/2023</w:t>
            </w:r>
          </w:p>
        </w:tc>
        <w:tc>
          <w:tcPr>
            <w:tcW w:w="8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8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24"/>
                <w:szCs w:val="24"/>
                <w:color w:val="auto"/>
              </w:rPr>
            </w:pPr>
          </w:p>
        </w:tc>
        <w:tc>
          <w:tcPr>
            <w:tcW w:w="600" w:type="dxa"/>
            <w:vAlign w:val="bottom"/>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46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24"/>
                <w:szCs w:val="24"/>
                <w:color w:val="auto"/>
              </w:rPr>
            </w:pPr>
          </w:p>
        </w:tc>
        <w:tc>
          <w:tcPr>
            <w:tcW w:w="72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6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w:t>
            </w:r>
          </w:p>
        </w:tc>
        <w:tc>
          <w:tcPr>
            <w:tcW w:w="66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8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5,988</w:t>
            </w:r>
            <w:r>
              <w:rPr>
                <w:rFonts w:ascii="Arial" w:cs="Arial" w:eastAsia="Arial" w:hAnsi="Arial"/>
                <w:sz w:val="20"/>
                <w:szCs w:val="20"/>
                <w:color w:val="333333"/>
                <w:vertAlign w:val="superscript"/>
              </w:rPr>
              <w:t>(6)</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$1,692,269</w:t>
            </w:r>
          </w:p>
        </w:tc>
        <w:tc>
          <w:tcPr>
            <w:tcW w:w="0" w:type="dxa"/>
            <w:vAlign w:val="bottom"/>
          </w:tcPr>
          <w:p>
            <w:pPr>
              <w:spacing w:after="0"/>
              <w:rPr>
                <w:sz w:val="1"/>
                <w:szCs w:val="1"/>
                <w:color w:val="auto"/>
              </w:rPr>
            </w:pPr>
          </w:p>
        </w:tc>
      </w:tr>
      <w:tr>
        <w:trPr>
          <w:trHeight w:val="338"/>
        </w:trPr>
        <w:tc>
          <w:tcPr>
            <w:tcW w:w="1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0"/>
                <w:szCs w:val="20"/>
                <w:color w:val="auto"/>
              </w:rPr>
            </w:pPr>
            <w:r>
              <w:rPr>
                <w:rFonts w:ascii="Arial" w:cs="Arial" w:eastAsia="Arial" w:hAnsi="Arial"/>
                <w:sz w:val="13"/>
                <w:szCs w:val="13"/>
                <w:color w:val="333333"/>
              </w:rPr>
              <w:t>3/01/2023</w:t>
            </w:r>
          </w:p>
        </w:tc>
        <w:tc>
          <w:tcPr>
            <w:tcW w:w="8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8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24"/>
                <w:szCs w:val="24"/>
                <w:color w:val="auto"/>
              </w:rPr>
            </w:pPr>
          </w:p>
        </w:tc>
        <w:tc>
          <w:tcPr>
            <w:tcW w:w="600" w:type="dxa"/>
            <w:vAlign w:val="bottom"/>
            <w:shd w:val="clear" w:color="auto" w:fill="D9D9D9"/>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460" w:type="dxa"/>
            <w:vAlign w:val="bottom"/>
            <w:shd w:val="clear" w:color="auto" w:fill="D9D9D9"/>
          </w:tcPr>
          <w:p>
            <w:pPr>
              <w:spacing w:after="0"/>
              <w:rPr>
                <w:sz w:val="20"/>
                <w:szCs w:val="20"/>
                <w:color w:val="auto"/>
              </w:rPr>
            </w:pPr>
            <w:r>
              <w:rPr>
                <w:rFonts w:ascii="Arial" w:cs="Arial" w:eastAsia="Arial" w:hAnsi="Arial"/>
                <w:sz w:val="13"/>
                <w:szCs w:val="13"/>
                <w:color w:val="333333"/>
              </w:rPr>
              <w:t>—</w:t>
            </w:r>
          </w:p>
        </w:tc>
        <w:tc>
          <w:tcPr>
            <w:tcW w:w="40" w:type="dxa"/>
            <w:vAlign w:val="bottom"/>
            <w:shd w:val="clear" w:color="auto" w:fill="D9D9D9"/>
          </w:tcPr>
          <w:p>
            <w:pPr>
              <w:spacing w:after="0"/>
              <w:rPr>
                <w:sz w:val="24"/>
                <w:szCs w:val="24"/>
                <w:color w:val="auto"/>
              </w:rPr>
            </w:pPr>
          </w:p>
        </w:tc>
        <w:tc>
          <w:tcPr>
            <w:tcW w:w="72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w:t>
            </w:r>
          </w:p>
        </w:tc>
        <w:tc>
          <w:tcPr>
            <w:tcW w:w="640" w:type="dxa"/>
            <w:vAlign w:val="bottom"/>
            <w:shd w:val="clear" w:color="auto" w:fill="D9D9D9"/>
          </w:tcPr>
          <w:p>
            <w:pPr>
              <w:ind w:left="80"/>
              <w:spacing w:after="0"/>
              <w:rPr>
                <w:sz w:val="20"/>
                <w:szCs w:val="20"/>
                <w:color w:val="auto"/>
              </w:rPr>
            </w:pPr>
            <w:r>
              <w:rPr>
                <w:rFonts w:ascii="Arial" w:cs="Arial" w:eastAsia="Arial" w:hAnsi="Arial"/>
                <w:sz w:val="13"/>
                <w:szCs w:val="13"/>
                <w:color w:val="333333"/>
              </w:rPr>
              <w:t>1,362</w:t>
            </w:r>
            <w:r>
              <w:rPr>
                <w:rFonts w:ascii="Arial" w:cs="Arial" w:eastAsia="Arial" w:hAnsi="Arial"/>
                <w:sz w:val="20"/>
                <w:szCs w:val="20"/>
                <w:color w:val="333333"/>
                <w:vertAlign w:val="superscript"/>
              </w:rPr>
              <w:t>(4)</w:t>
            </w:r>
          </w:p>
        </w:tc>
        <w:tc>
          <w:tcPr>
            <w:tcW w:w="660" w:type="dxa"/>
            <w:vAlign w:val="bottom"/>
            <w:shd w:val="clear" w:color="auto" w:fill="D9D9D9"/>
          </w:tcPr>
          <w:p>
            <w:pPr>
              <w:ind w:left="40"/>
              <w:spacing w:after="0"/>
              <w:rPr>
                <w:sz w:val="20"/>
                <w:szCs w:val="20"/>
                <w:color w:val="auto"/>
              </w:rPr>
            </w:pPr>
            <w:r>
              <w:rPr>
                <w:rFonts w:ascii="Arial" w:cs="Arial" w:eastAsia="Arial" w:hAnsi="Arial"/>
                <w:sz w:val="13"/>
                <w:szCs w:val="13"/>
                <w:color w:val="333333"/>
              </w:rPr>
              <w:t>$384,915</w:t>
            </w:r>
          </w:p>
        </w:tc>
        <w:tc>
          <w:tcPr>
            <w:tcW w:w="840" w:type="dxa"/>
            <w:vAlign w:val="bottom"/>
            <w:shd w:val="clear" w:color="auto" w:fill="D9D9D9"/>
          </w:tcPr>
          <w:p>
            <w:pPr>
              <w:ind w:left="100"/>
              <w:spacing w:after="0"/>
              <w:rPr>
                <w:sz w:val="20"/>
                <w:szCs w:val="20"/>
                <w:color w:val="auto"/>
              </w:rPr>
            </w:pPr>
            <w:r>
              <w:rPr>
                <w:rFonts w:ascii="Arial" w:cs="Arial" w:eastAsia="Arial" w:hAnsi="Arial"/>
                <w:sz w:val="13"/>
                <w:szCs w:val="13"/>
                <w:color w:val="333333"/>
              </w:rPr>
              <w:t>—</w:t>
            </w:r>
          </w:p>
        </w:tc>
        <w:tc>
          <w:tcPr>
            <w:tcW w:w="960" w:type="dxa"/>
            <w:vAlign w:val="bottom"/>
            <w:shd w:val="clear" w:color="auto" w:fill="D9D9D9"/>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420" w:type="dxa"/>
            <w:vAlign w:val="bottom"/>
            <w:gridSpan w:val="3"/>
          </w:tcPr>
          <w:p>
            <w:pPr>
              <w:ind w:left="60"/>
              <w:spacing w:after="0"/>
              <w:rPr>
                <w:sz w:val="20"/>
                <w:szCs w:val="20"/>
                <w:color w:val="auto"/>
              </w:rPr>
            </w:pPr>
            <w:r>
              <w:rPr>
                <w:rFonts w:ascii="Arial" w:cs="Arial" w:eastAsia="Arial" w:hAnsi="Arial"/>
                <w:sz w:val="13"/>
                <w:szCs w:val="13"/>
                <w:b w:val="1"/>
                <w:bCs w:val="1"/>
                <w:color w:val="333333"/>
              </w:rPr>
              <w:t xml:space="preserve">Alan King </w:t>
            </w:r>
            <w:r>
              <w:rPr>
                <w:rFonts w:ascii="Arial" w:cs="Arial" w:eastAsia="Arial" w:hAnsi="Arial"/>
                <w:sz w:val="13"/>
                <w:szCs w:val="13"/>
                <w:color w:val="333333"/>
              </w:rPr>
              <w:t>8/1/2016</w:t>
            </w:r>
          </w:p>
        </w:tc>
        <w:tc>
          <w:tcPr>
            <w:tcW w:w="820" w:type="dxa"/>
            <w:vAlign w:val="bottom"/>
            <w:gridSpan w:val="2"/>
          </w:tcPr>
          <w:p>
            <w:pPr>
              <w:ind w:left="80"/>
              <w:spacing w:after="0"/>
              <w:rPr>
                <w:sz w:val="20"/>
                <w:szCs w:val="20"/>
                <w:color w:val="auto"/>
              </w:rPr>
            </w:pPr>
            <w:r>
              <w:rPr>
                <w:rFonts w:ascii="Arial" w:cs="Arial" w:eastAsia="Arial" w:hAnsi="Arial"/>
                <w:sz w:val="13"/>
                <w:szCs w:val="13"/>
                <w:color w:val="333333"/>
              </w:rPr>
              <w:t>11,272</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3"/>
                <w:szCs w:val="13"/>
                <w:color w:val="333333"/>
              </w:rPr>
              <w:t>—</w:t>
            </w:r>
          </w:p>
        </w:tc>
        <w:tc>
          <w:tcPr>
            <w:tcW w:w="40" w:type="dxa"/>
            <w:vAlign w:val="bottom"/>
          </w:tcPr>
          <w:p>
            <w:pPr>
              <w:spacing w:after="0"/>
              <w:rPr>
                <w:sz w:val="20"/>
                <w:szCs w:val="20"/>
                <w:color w:val="auto"/>
              </w:rPr>
            </w:pPr>
          </w:p>
        </w:tc>
        <w:tc>
          <w:tcPr>
            <w:tcW w:w="600" w:type="dxa"/>
            <w:vAlign w:val="bottom"/>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0"/>
                <w:szCs w:val="20"/>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color w:val="333333"/>
                <w:w w:val="93"/>
              </w:rPr>
              <w:t>$152.31</w:t>
            </w:r>
          </w:p>
        </w:tc>
        <w:tc>
          <w:tcPr>
            <w:tcW w:w="760" w:type="dxa"/>
            <w:vAlign w:val="bottom"/>
            <w:gridSpan w:val="2"/>
          </w:tcPr>
          <w:p>
            <w:pPr>
              <w:ind w:left="80"/>
              <w:spacing w:after="0"/>
              <w:rPr>
                <w:sz w:val="20"/>
                <w:szCs w:val="20"/>
                <w:color w:val="auto"/>
              </w:rPr>
            </w:pPr>
            <w:r>
              <w:rPr>
                <w:rFonts w:ascii="Arial" w:cs="Arial" w:eastAsia="Arial" w:hAnsi="Arial"/>
                <w:sz w:val="13"/>
                <w:szCs w:val="13"/>
                <w:color w:val="333333"/>
              </w:rPr>
              <w:t>8/1/2026</w:t>
            </w:r>
          </w:p>
        </w:tc>
        <w:tc>
          <w:tcPr>
            <w:tcW w:w="640" w:type="dxa"/>
            <w:vAlign w:val="bottom"/>
          </w:tcPr>
          <w:p>
            <w:pPr>
              <w:ind w:left="80"/>
              <w:spacing w:after="0"/>
              <w:rPr>
                <w:sz w:val="20"/>
                <w:szCs w:val="20"/>
                <w:color w:val="auto"/>
              </w:rPr>
            </w:pPr>
            <w:r>
              <w:rPr>
                <w:rFonts w:ascii="Arial" w:cs="Arial" w:eastAsia="Arial" w:hAnsi="Arial"/>
                <w:sz w:val="13"/>
                <w:szCs w:val="13"/>
                <w:color w:val="333333"/>
              </w:rPr>
              <w:t>—</w:t>
            </w:r>
          </w:p>
        </w:tc>
        <w:tc>
          <w:tcPr>
            <w:tcW w:w="660" w:type="dxa"/>
            <w:vAlign w:val="bottom"/>
          </w:tcPr>
          <w:p>
            <w:pPr>
              <w:ind w:left="40"/>
              <w:spacing w:after="0"/>
              <w:rPr>
                <w:sz w:val="20"/>
                <w:szCs w:val="20"/>
                <w:color w:val="auto"/>
              </w:rPr>
            </w:pPr>
            <w:r>
              <w:rPr>
                <w:rFonts w:ascii="Arial" w:cs="Arial" w:eastAsia="Arial" w:hAnsi="Arial"/>
                <w:sz w:val="13"/>
                <w:szCs w:val="13"/>
                <w:color w:val="333333"/>
              </w:rPr>
              <w:t>—</w:t>
            </w:r>
          </w:p>
        </w:tc>
        <w:tc>
          <w:tcPr>
            <w:tcW w:w="840" w:type="dxa"/>
            <w:vAlign w:val="bottom"/>
          </w:tcPr>
          <w:p>
            <w:pPr>
              <w:ind w:left="10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91"/>
        </w:trPr>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333333"/>
              </w:rPr>
              <w:t>5/5/2017</w:t>
            </w:r>
          </w:p>
        </w:tc>
        <w:tc>
          <w:tcPr>
            <w:tcW w:w="820" w:type="dxa"/>
            <w:vAlign w:val="bottom"/>
            <w:gridSpan w:val="2"/>
          </w:tcPr>
          <w:p>
            <w:pPr>
              <w:ind w:left="80"/>
              <w:spacing w:after="0"/>
              <w:rPr>
                <w:sz w:val="20"/>
                <w:szCs w:val="20"/>
                <w:color w:val="auto"/>
              </w:rPr>
            </w:pPr>
            <w:r>
              <w:rPr>
                <w:rFonts w:ascii="Arial" w:cs="Arial" w:eastAsia="Arial" w:hAnsi="Arial"/>
                <w:sz w:val="13"/>
                <w:szCs w:val="13"/>
                <w:color w:val="333333"/>
              </w:rPr>
              <w:t>15,000</w:t>
            </w:r>
          </w:p>
        </w:tc>
        <w:tc>
          <w:tcPr>
            <w:tcW w:w="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333333"/>
              </w:rPr>
              <w:t>—</w:t>
            </w:r>
          </w:p>
        </w:tc>
        <w:tc>
          <w:tcPr>
            <w:tcW w:w="40" w:type="dxa"/>
            <w:vAlign w:val="bottom"/>
          </w:tcPr>
          <w:p>
            <w:pPr>
              <w:spacing w:after="0"/>
              <w:rPr>
                <w:sz w:val="24"/>
                <w:szCs w:val="24"/>
                <w:color w:val="auto"/>
              </w:rPr>
            </w:pPr>
          </w:p>
        </w:tc>
        <w:tc>
          <w:tcPr>
            <w:tcW w:w="600" w:type="dxa"/>
            <w:vAlign w:val="bottom"/>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color w:val="333333"/>
                <w:w w:val="93"/>
              </w:rPr>
              <w:t>$133.40</w:t>
            </w:r>
          </w:p>
        </w:tc>
        <w:tc>
          <w:tcPr>
            <w:tcW w:w="760" w:type="dxa"/>
            <w:vAlign w:val="bottom"/>
            <w:gridSpan w:val="2"/>
          </w:tcPr>
          <w:p>
            <w:pPr>
              <w:ind w:left="80"/>
              <w:spacing w:after="0"/>
              <w:rPr>
                <w:sz w:val="20"/>
                <w:szCs w:val="20"/>
                <w:color w:val="auto"/>
              </w:rPr>
            </w:pPr>
            <w:r>
              <w:rPr>
                <w:rFonts w:ascii="Arial" w:cs="Arial" w:eastAsia="Arial" w:hAnsi="Arial"/>
                <w:sz w:val="13"/>
                <w:szCs w:val="13"/>
                <w:color w:val="333333"/>
              </w:rPr>
              <w:t>5/5/2027</w:t>
            </w:r>
          </w:p>
        </w:tc>
        <w:tc>
          <w:tcPr>
            <w:tcW w:w="640" w:type="dxa"/>
            <w:vAlign w:val="bottom"/>
          </w:tcPr>
          <w:p>
            <w:pPr>
              <w:ind w:left="80"/>
              <w:spacing w:after="0"/>
              <w:rPr>
                <w:sz w:val="20"/>
                <w:szCs w:val="20"/>
                <w:color w:val="auto"/>
              </w:rPr>
            </w:pPr>
            <w:r>
              <w:rPr>
                <w:rFonts w:ascii="Arial" w:cs="Arial" w:eastAsia="Arial" w:hAnsi="Arial"/>
                <w:sz w:val="13"/>
                <w:szCs w:val="13"/>
                <w:color w:val="333333"/>
              </w:rPr>
              <w:t>—</w:t>
            </w:r>
          </w:p>
        </w:tc>
        <w:tc>
          <w:tcPr>
            <w:tcW w:w="660" w:type="dxa"/>
            <w:vAlign w:val="bottom"/>
          </w:tcPr>
          <w:p>
            <w:pPr>
              <w:ind w:left="40"/>
              <w:spacing w:after="0"/>
              <w:rPr>
                <w:sz w:val="20"/>
                <w:szCs w:val="20"/>
                <w:color w:val="auto"/>
              </w:rPr>
            </w:pPr>
            <w:r>
              <w:rPr>
                <w:rFonts w:ascii="Arial" w:cs="Arial" w:eastAsia="Arial" w:hAnsi="Arial"/>
                <w:sz w:val="13"/>
                <w:szCs w:val="13"/>
                <w:color w:val="333333"/>
              </w:rPr>
              <w:t>—</w:t>
            </w:r>
          </w:p>
        </w:tc>
        <w:tc>
          <w:tcPr>
            <w:tcW w:w="840" w:type="dxa"/>
            <w:vAlign w:val="bottom"/>
          </w:tcPr>
          <w:p>
            <w:pPr>
              <w:ind w:left="10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333333"/>
              </w:rPr>
              <w:t>2/27/2019</w:t>
            </w:r>
          </w:p>
        </w:tc>
        <w:tc>
          <w:tcPr>
            <w:tcW w:w="820" w:type="dxa"/>
            <w:vAlign w:val="bottom"/>
            <w:gridSpan w:val="2"/>
          </w:tcPr>
          <w:p>
            <w:pPr>
              <w:ind w:left="80"/>
              <w:spacing w:after="0"/>
              <w:rPr>
                <w:sz w:val="20"/>
                <w:szCs w:val="20"/>
                <w:color w:val="auto"/>
              </w:rPr>
            </w:pPr>
            <w:r>
              <w:rPr>
                <w:rFonts w:ascii="Arial" w:cs="Arial" w:eastAsia="Arial" w:hAnsi="Arial"/>
                <w:sz w:val="13"/>
                <w:szCs w:val="13"/>
                <w:color w:val="333333"/>
              </w:rPr>
              <w:t>9,600</w:t>
            </w:r>
          </w:p>
        </w:tc>
        <w:tc>
          <w:tcPr>
            <w:tcW w:w="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333333"/>
              </w:rPr>
              <w:t>—</w:t>
            </w:r>
          </w:p>
        </w:tc>
        <w:tc>
          <w:tcPr>
            <w:tcW w:w="40" w:type="dxa"/>
            <w:vAlign w:val="bottom"/>
          </w:tcPr>
          <w:p>
            <w:pPr>
              <w:spacing w:after="0"/>
              <w:rPr>
                <w:sz w:val="24"/>
                <w:szCs w:val="24"/>
                <w:color w:val="auto"/>
              </w:rPr>
            </w:pPr>
          </w:p>
        </w:tc>
        <w:tc>
          <w:tcPr>
            <w:tcW w:w="600" w:type="dxa"/>
            <w:vAlign w:val="bottom"/>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color w:val="333333"/>
                <w:w w:val="93"/>
              </w:rPr>
              <w:t>$231.70</w:t>
            </w:r>
          </w:p>
        </w:tc>
        <w:tc>
          <w:tcPr>
            <w:tcW w:w="760" w:type="dxa"/>
            <w:vAlign w:val="bottom"/>
            <w:gridSpan w:val="2"/>
          </w:tcPr>
          <w:p>
            <w:pPr>
              <w:ind w:left="80"/>
              <w:spacing w:after="0"/>
              <w:rPr>
                <w:sz w:val="20"/>
                <w:szCs w:val="20"/>
                <w:color w:val="auto"/>
              </w:rPr>
            </w:pPr>
            <w:r>
              <w:rPr>
                <w:rFonts w:ascii="Arial" w:cs="Arial" w:eastAsia="Arial" w:hAnsi="Arial"/>
                <w:sz w:val="13"/>
                <w:szCs w:val="13"/>
                <w:color w:val="333333"/>
              </w:rPr>
              <w:t>2/27/2029</w:t>
            </w:r>
          </w:p>
        </w:tc>
        <w:tc>
          <w:tcPr>
            <w:tcW w:w="640" w:type="dxa"/>
            <w:vAlign w:val="bottom"/>
          </w:tcPr>
          <w:p>
            <w:pPr>
              <w:ind w:left="80"/>
              <w:spacing w:after="0"/>
              <w:rPr>
                <w:sz w:val="20"/>
                <w:szCs w:val="20"/>
                <w:color w:val="auto"/>
              </w:rPr>
            </w:pPr>
            <w:r>
              <w:rPr>
                <w:rFonts w:ascii="Arial" w:cs="Arial" w:eastAsia="Arial" w:hAnsi="Arial"/>
                <w:sz w:val="13"/>
                <w:szCs w:val="13"/>
                <w:color w:val="333333"/>
              </w:rPr>
              <w:t>—</w:t>
            </w:r>
          </w:p>
        </w:tc>
        <w:tc>
          <w:tcPr>
            <w:tcW w:w="660" w:type="dxa"/>
            <w:vAlign w:val="bottom"/>
          </w:tcPr>
          <w:p>
            <w:pPr>
              <w:ind w:left="40"/>
              <w:spacing w:after="0"/>
              <w:rPr>
                <w:sz w:val="20"/>
                <w:szCs w:val="20"/>
                <w:color w:val="auto"/>
              </w:rPr>
            </w:pPr>
            <w:r>
              <w:rPr>
                <w:rFonts w:ascii="Arial" w:cs="Arial" w:eastAsia="Arial" w:hAnsi="Arial"/>
                <w:sz w:val="13"/>
                <w:szCs w:val="13"/>
                <w:color w:val="333333"/>
              </w:rPr>
              <w:t>—</w:t>
            </w:r>
          </w:p>
        </w:tc>
        <w:tc>
          <w:tcPr>
            <w:tcW w:w="840" w:type="dxa"/>
            <w:vAlign w:val="bottom"/>
          </w:tcPr>
          <w:p>
            <w:pPr>
              <w:ind w:left="10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333333"/>
              </w:rPr>
              <w:t>3/27/2020</w:t>
            </w:r>
          </w:p>
        </w:tc>
        <w:tc>
          <w:tcPr>
            <w:tcW w:w="820" w:type="dxa"/>
            <w:vAlign w:val="bottom"/>
            <w:gridSpan w:val="2"/>
          </w:tcPr>
          <w:p>
            <w:pPr>
              <w:ind w:left="80"/>
              <w:spacing w:after="0"/>
              <w:rPr>
                <w:sz w:val="20"/>
                <w:szCs w:val="20"/>
                <w:color w:val="auto"/>
              </w:rPr>
            </w:pPr>
            <w:r>
              <w:rPr>
                <w:rFonts w:ascii="Arial" w:cs="Arial" w:eastAsia="Arial" w:hAnsi="Arial"/>
                <w:sz w:val="13"/>
                <w:szCs w:val="13"/>
                <w:color w:val="333333"/>
              </w:rPr>
              <w:t>15,664</w:t>
            </w:r>
          </w:p>
        </w:tc>
        <w:tc>
          <w:tcPr>
            <w:tcW w:w="960" w:type="dxa"/>
            <w:vAlign w:val="bottom"/>
            <w:gridSpan w:val="2"/>
          </w:tcPr>
          <w:p>
            <w:pPr>
              <w:ind w:left="80"/>
              <w:spacing w:after="0"/>
              <w:rPr>
                <w:sz w:val="20"/>
                <w:szCs w:val="20"/>
                <w:color w:val="auto"/>
              </w:rPr>
            </w:pPr>
            <w:r>
              <w:rPr>
                <w:rFonts w:ascii="Arial" w:cs="Arial" w:eastAsia="Arial" w:hAnsi="Arial"/>
                <w:sz w:val="13"/>
                <w:szCs w:val="13"/>
                <w:color w:val="333333"/>
              </w:rPr>
              <w:t>5,222</w:t>
            </w:r>
          </w:p>
        </w:tc>
        <w:tc>
          <w:tcPr>
            <w:tcW w:w="40" w:type="dxa"/>
            <w:vAlign w:val="bottom"/>
          </w:tcPr>
          <w:p>
            <w:pPr>
              <w:spacing w:after="0"/>
              <w:rPr>
                <w:sz w:val="24"/>
                <w:szCs w:val="24"/>
                <w:color w:val="auto"/>
              </w:rPr>
            </w:pPr>
          </w:p>
        </w:tc>
        <w:tc>
          <w:tcPr>
            <w:tcW w:w="600" w:type="dxa"/>
            <w:vAlign w:val="bottom"/>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color w:val="333333"/>
                <w:w w:val="93"/>
              </w:rPr>
              <w:t>$196.18</w:t>
            </w:r>
          </w:p>
        </w:tc>
        <w:tc>
          <w:tcPr>
            <w:tcW w:w="760" w:type="dxa"/>
            <w:vAlign w:val="bottom"/>
            <w:gridSpan w:val="2"/>
          </w:tcPr>
          <w:p>
            <w:pPr>
              <w:ind w:left="80"/>
              <w:spacing w:after="0"/>
              <w:rPr>
                <w:sz w:val="20"/>
                <w:szCs w:val="20"/>
                <w:color w:val="auto"/>
              </w:rPr>
            </w:pPr>
            <w:r>
              <w:rPr>
                <w:rFonts w:ascii="Arial" w:cs="Arial" w:eastAsia="Arial" w:hAnsi="Arial"/>
                <w:sz w:val="13"/>
                <w:szCs w:val="13"/>
                <w:color w:val="333333"/>
              </w:rPr>
              <w:t>3/27/2030</w:t>
            </w:r>
          </w:p>
        </w:tc>
        <w:tc>
          <w:tcPr>
            <w:tcW w:w="640" w:type="dxa"/>
            <w:vAlign w:val="bottom"/>
          </w:tcPr>
          <w:p>
            <w:pPr>
              <w:ind w:left="80"/>
              <w:spacing w:after="0"/>
              <w:rPr>
                <w:sz w:val="20"/>
                <w:szCs w:val="20"/>
                <w:color w:val="auto"/>
              </w:rPr>
            </w:pPr>
            <w:r>
              <w:rPr>
                <w:rFonts w:ascii="Arial" w:cs="Arial" w:eastAsia="Arial" w:hAnsi="Arial"/>
                <w:sz w:val="13"/>
                <w:szCs w:val="13"/>
                <w:color w:val="333333"/>
              </w:rPr>
              <w:t>—</w:t>
            </w:r>
          </w:p>
        </w:tc>
        <w:tc>
          <w:tcPr>
            <w:tcW w:w="660" w:type="dxa"/>
            <w:vAlign w:val="bottom"/>
          </w:tcPr>
          <w:p>
            <w:pPr>
              <w:ind w:left="40"/>
              <w:spacing w:after="0"/>
              <w:rPr>
                <w:sz w:val="20"/>
                <w:szCs w:val="20"/>
                <w:color w:val="auto"/>
              </w:rPr>
            </w:pPr>
            <w:r>
              <w:rPr>
                <w:rFonts w:ascii="Arial" w:cs="Arial" w:eastAsia="Arial" w:hAnsi="Arial"/>
                <w:sz w:val="13"/>
                <w:szCs w:val="13"/>
                <w:color w:val="333333"/>
              </w:rPr>
              <w:t>—</w:t>
            </w:r>
          </w:p>
        </w:tc>
        <w:tc>
          <w:tcPr>
            <w:tcW w:w="840" w:type="dxa"/>
            <w:vAlign w:val="bottom"/>
          </w:tcPr>
          <w:p>
            <w:pPr>
              <w:ind w:left="10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333333"/>
              </w:rPr>
              <w:t>1/25/2021</w:t>
            </w:r>
          </w:p>
        </w:tc>
        <w:tc>
          <w:tcPr>
            <w:tcW w:w="820" w:type="dxa"/>
            <w:vAlign w:val="bottom"/>
            <w:gridSpan w:val="2"/>
          </w:tcPr>
          <w:p>
            <w:pPr>
              <w:ind w:left="80"/>
              <w:spacing w:after="0"/>
              <w:rPr>
                <w:sz w:val="20"/>
                <w:szCs w:val="20"/>
                <w:color w:val="auto"/>
              </w:rPr>
            </w:pPr>
            <w:r>
              <w:rPr>
                <w:rFonts w:ascii="Arial" w:cs="Arial" w:eastAsia="Arial" w:hAnsi="Arial"/>
                <w:sz w:val="13"/>
                <w:szCs w:val="13"/>
                <w:color w:val="333333"/>
              </w:rPr>
              <w:t>6,860</w:t>
            </w:r>
          </w:p>
        </w:tc>
        <w:tc>
          <w:tcPr>
            <w:tcW w:w="960" w:type="dxa"/>
            <w:vAlign w:val="bottom"/>
            <w:gridSpan w:val="2"/>
          </w:tcPr>
          <w:p>
            <w:pPr>
              <w:ind w:left="80"/>
              <w:spacing w:after="0"/>
              <w:rPr>
                <w:sz w:val="20"/>
                <w:szCs w:val="20"/>
                <w:color w:val="auto"/>
              </w:rPr>
            </w:pPr>
            <w:r>
              <w:rPr>
                <w:rFonts w:ascii="Arial" w:cs="Arial" w:eastAsia="Arial" w:hAnsi="Arial"/>
                <w:sz w:val="13"/>
                <w:szCs w:val="13"/>
                <w:color w:val="333333"/>
              </w:rPr>
              <w:t>6,862</w:t>
            </w:r>
          </w:p>
        </w:tc>
        <w:tc>
          <w:tcPr>
            <w:tcW w:w="40" w:type="dxa"/>
            <w:vAlign w:val="bottom"/>
          </w:tcPr>
          <w:p>
            <w:pPr>
              <w:spacing w:after="0"/>
              <w:rPr>
                <w:sz w:val="24"/>
                <w:szCs w:val="24"/>
                <w:color w:val="auto"/>
              </w:rPr>
            </w:pPr>
          </w:p>
        </w:tc>
        <w:tc>
          <w:tcPr>
            <w:tcW w:w="600" w:type="dxa"/>
            <w:vAlign w:val="bottom"/>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color w:val="333333"/>
                <w:w w:val="93"/>
              </w:rPr>
              <w:t>$261.07</w:t>
            </w:r>
          </w:p>
        </w:tc>
        <w:tc>
          <w:tcPr>
            <w:tcW w:w="760" w:type="dxa"/>
            <w:vAlign w:val="bottom"/>
            <w:gridSpan w:val="2"/>
          </w:tcPr>
          <w:p>
            <w:pPr>
              <w:ind w:left="80"/>
              <w:spacing w:after="0"/>
              <w:rPr>
                <w:sz w:val="20"/>
                <w:szCs w:val="20"/>
                <w:color w:val="auto"/>
              </w:rPr>
            </w:pPr>
            <w:r>
              <w:rPr>
                <w:rFonts w:ascii="Arial" w:cs="Arial" w:eastAsia="Arial" w:hAnsi="Arial"/>
                <w:sz w:val="13"/>
                <w:szCs w:val="13"/>
                <w:color w:val="333333"/>
              </w:rPr>
              <w:t>1/25/2031</w:t>
            </w:r>
          </w:p>
        </w:tc>
        <w:tc>
          <w:tcPr>
            <w:tcW w:w="640" w:type="dxa"/>
            <w:vAlign w:val="bottom"/>
          </w:tcPr>
          <w:p>
            <w:pPr>
              <w:ind w:left="80"/>
              <w:spacing w:after="0"/>
              <w:rPr>
                <w:sz w:val="20"/>
                <w:szCs w:val="20"/>
                <w:color w:val="auto"/>
              </w:rPr>
            </w:pPr>
            <w:r>
              <w:rPr>
                <w:rFonts w:ascii="Arial" w:cs="Arial" w:eastAsia="Arial" w:hAnsi="Arial"/>
                <w:sz w:val="13"/>
                <w:szCs w:val="13"/>
                <w:color w:val="333333"/>
              </w:rPr>
              <w:t>—</w:t>
            </w:r>
          </w:p>
        </w:tc>
        <w:tc>
          <w:tcPr>
            <w:tcW w:w="660" w:type="dxa"/>
            <w:vAlign w:val="bottom"/>
          </w:tcPr>
          <w:p>
            <w:pPr>
              <w:ind w:left="40"/>
              <w:spacing w:after="0"/>
              <w:rPr>
                <w:sz w:val="20"/>
                <w:szCs w:val="20"/>
                <w:color w:val="auto"/>
              </w:rPr>
            </w:pPr>
            <w:r>
              <w:rPr>
                <w:rFonts w:ascii="Arial" w:cs="Arial" w:eastAsia="Arial" w:hAnsi="Arial"/>
                <w:sz w:val="13"/>
                <w:szCs w:val="13"/>
                <w:color w:val="333333"/>
              </w:rPr>
              <w:t>—</w:t>
            </w:r>
          </w:p>
        </w:tc>
        <w:tc>
          <w:tcPr>
            <w:tcW w:w="840" w:type="dxa"/>
            <w:vAlign w:val="bottom"/>
          </w:tcPr>
          <w:p>
            <w:pPr>
              <w:ind w:left="10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333333"/>
              </w:rPr>
              <w:t>1/25/2021</w:t>
            </w:r>
          </w:p>
        </w:tc>
        <w:tc>
          <w:tcPr>
            <w:tcW w:w="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333333"/>
              </w:rPr>
              <w:t>—</w:t>
            </w:r>
          </w:p>
        </w:tc>
        <w:tc>
          <w:tcPr>
            <w:tcW w:w="40" w:type="dxa"/>
            <w:vAlign w:val="bottom"/>
          </w:tcPr>
          <w:p>
            <w:pPr>
              <w:spacing w:after="0"/>
              <w:rPr>
                <w:sz w:val="24"/>
                <w:szCs w:val="24"/>
                <w:color w:val="auto"/>
              </w:rPr>
            </w:pPr>
          </w:p>
        </w:tc>
        <w:tc>
          <w:tcPr>
            <w:tcW w:w="600" w:type="dxa"/>
            <w:vAlign w:val="bottom"/>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3"/>
                <w:szCs w:val="13"/>
                <w:color w:val="333333"/>
              </w:rPr>
              <w:t>—</w:t>
            </w:r>
          </w:p>
        </w:tc>
        <w:tc>
          <w:tcPr>
            <w:tcW w:w="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333333"/>
              </w:rPr>
              <w:t>—</w:t>
            </w:r>
          </w:p>
        </w:tc>
        <w:tc>
          <w:tcPr>
            <w:tcW w:w="640" w:type="dxa"/>
            <w:vAlign w:val="bottom"/>
          </w:tcPr>
          <w:p>
            <w:pPr>
              <w:ind w:left="80"/>
              <w:spacing w:after="0"/>
              <w:rPr>
                <w:sz w:val="20"/>
                <w:szCs w:val="20"/>
                <w:color w:val="auto"/>
              </w:rPr>
            </w:pPr>
            <w:r>
              <w:rPr>
                <w:rFonts w:ascii="Arial" w:cs="Arial" w:eastAsia="Arial" w:hAnsi="Arial"/>
                <w:sz w:val="13"/>
                <w:szCs w:val="13"/>
                <w:color w:val="333333"/>
                <w:w w:val="95"/>
              </w:rPr>
              <w:t>1,461</w:t>
            </w:r>
            <w:r>
              <w:rPr>
                <w:rFonts w:ascii="Arial" w:cs="Arial" w:eastAsia="Arial" w:hAnsi="Arial"/>
                <w:sz w:val="20"/>
                <w:szCs w:val="20"/>
                <w:color w:val="333333"/>
                <w:w w:val="95"/>
                <w:vertAlign w:val="superscript"/>
              </w:rPr>
              <w:t>(10)</w:t>
            </w:r>
          </w:p>
        </w:tc>
        <w:tc>
          <w:tcPr>
            <w:tcW w:w="660" w:type="dxa"/>
            <w:vAlign w:val="bottom"/>
          </w:tcPr>
          <w:p>
            <w:pPr>
              <w:ind w:left="40"/>
              <w:spacing w:after="0"/>
              <w:rPr>
                <w:sz w:val="20"/>
                <w:szCs w:val="20"/>
                <w:color w:val="auto"/>
              </w:rPr>
            </w:pPr>
            <w:r>
              <w:rPr>
                <w:rFonts w:ascii="Arial" w:cs="Arial" w:eastAsia="Arial" w:hAnsi="Arial"/>
                <w:sz w:val="13"/>
                <w:szCs w:val="13"/>
                <w:color w:val="333333"/>
              </w:rPr>
              <w:t>$412,893</w:t>
            </w:r>
          </w:p>
        </w:tc>
        <w:tc>
          <w:tcPr>
            <w:tcW w:w="840" w:type="dxa"/>
            <w:vAlign w:val="bottom"/>
          </w:tcPr>
          <w:p>
            <w:pPr>
              <w:ind w:left="10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333333"/>
              </w:rPr>
              <w:t>1/24/2022</w:t>
            </w:r>
          </w:p>
        </w:tc>
        <w:tc>
          <w:tcPr>
            <w:tcW w:w="820" w:type="dxa"/>
            <w:vAlign w:val="bottom"/>
            <w:gridSpan w:val="2"/>
          </w:tcPr>
          <w:p>
            <w:pPr>
              <w:ind w:left="80"/>
              <w:spacing w:after="0"/>
              <w:rPr>
                <w:sz w:val="20"/>
                <w:szCs w:val="20"/>
                <w:color w:val="auto"/>
              </w:rPr>
            </w:pPr>
            <w:r>
              <w:rPr>
                <w:rFonts w:ascii="Arial" w:cs="Arial" w:eastAsia="Arial" w:hAnsi="Arial"/>
                <w:sz w:val="13"/>
                <w:szCs w:val="13"/>
                <w:color w:val="333333"/>
              </w:rPr>
              <w:t>4,588</w:t>
            </w:r>
          </w:p>
        </w:tc>
        <w:tc>
          <w:tcPr>
            <w:tcW w:w="960" w:type="dxa"/>
            <w:vAlign w:val="bottom"/>
            <w:gridSpan w:val="2"/>
          </w:tcPr>
          <w:p>
            <w:pPr>
              <w:ind w:left="80"/>
              <w:spacing w:after="0"/>
              <w:rPr>
                <w:sz w:val="20"/>
                <w:szCs w:val="20"/>
                <w:color w:val="auto"/>
              </w:rPr>
            </w:pPr>
            <w:r>
              <w:rPr>
                <w:rFonts w:ascii="Arial" w:cs="Arial" w:eastAsia="Arial" w:hAnsi="Arial"/>
                <w:sz w:val="13"/>
                <w:szCs w:val="13"/>
                <w:color w:val="333333"/>
              </w:rPr>
              <w:t>13,764</w:t>
            </w:r>
          </w:p>
        </w:tc>
        <w:tc>
          <w:tcPr>
            <w:tcW w:w="40" w:type="dxa"/>
            <w:vAlign w:val="bottom"/>
          </w:tcPr>
          <w:p>
            <w:pPr>
              <w:spacing w:after="0"/>
              <w:rPr>
                <w:sz w:val="18"/>
                <w:szCs w:val="18"/>
                <w:color w:val="auto"/>
              </w:rPr>
            </w:pPr>
          </w:p>
        </w:tc>
        <w:tc>
          <w:tcPr>
            <w:tcW w:w="600" w:type="dxa"/>
            <w:vAlign w:val="bottom"/>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color w:val="333333"/>
                <w:w w:val="93"/>
              </w:rPr>
              <w:t>$225.45</w:t>
            </w:r>
          </w:p>
        </w:tc>
        <w:tc>
          <w:tcPr>
            <w:tcW w:w="760" w:type="dxa"/>
            <w:vAlign w:val="bottom"/>
            <w:gridSpan w:val="2"/>
          </w:tcPr>
          <w:p>
            <w:pPr>
              <w:ind w:left="80"/>
              <w:spacing w:after="0"/>
              <w:rPr>
                <w:sz w:val="20"/>
                <w:szCs w:val="20"/>
                <w:color w:val="auto"/>
              </w:rPr>
            </w:pPr>
            <w:r>
              <w:rPr>
                <w:rFonts w:ascii="Arial" w:cs="Arial" w:eastAsia="Arial" w:hAnsi="Arial"/>
                <w:sz w:val="13"/>
                <w:szCs w:val="13"/>
                <w:color w:val="333333"/>
              </w:rPr>
              <w:t>1/24/2032</w:t>
            </w:r>
          </w:p>
        </w:tc>
        <w:tc>
          <w:tcPr>
            <w:tcW w:w="640" w:type="dxa"/>
            <w:vAlign w:val="bottom"/>
          </w:tcPr>
          <w:p>
            <w:pPr>
              <w:ind w:left="80"/>
              <w:spacing w:after="0"/>
              <w:rPr>
                <w:sz w:val="20"/>
                <w:szCs w:val="20"/>
                <w:color w:val="auto"/>
              </w:rPr>
            </w:pPr>
            <w:r>
              <w:rPr>
                <w:rFonts w:ascii="Arial" w:cs="Arial" w:eastAsia="Arial" w:hAnsi="Arial"/>
                <w:sz w:val="13"/>
                <w:szCs w:val="13"/>
                <w:color w:val="333333"/>
              </w:rPr>
              <w:t>—</w:t>
            </w:r>
          </w:p>
        </w:tc>
        <w:tc>
          <w:tcPr>
            <w:tcW w:w="660" w:type="dxa"/>
            <w:vAlign w:val="bottom"/>
          </w:tcPr>
          <w:p>
            <w:pPr>
              <w:ind w:left="40"/>
              <w:spacing w:after="0"/>
              <w:rPr>
                <w:sz w:val="20"/>
                <w:szCs w:val="20"/>
                <w:color w:val="auto"/>
              </w:rPr>
            </w:pPr>
            <w:r>
              <w:rPr>
                <w:rFonts w:ascii="Arial" w:cs="Arial" w:eastAsia="Arial" w:hAnsi="Arial"/>
                <w:sz w:val="13"/>
                <w:szCs w:val="13"/>
                <w:color w:val="333333"/>
              </w:rPr>
              <w:t>—</w:t>
            </w:r>
          </w:p>
        </w:tc>
        <w:tc>
          <w:tcPr>
            <w:tcW w:w="840" w:type="dxa"/>
            <w:vAlign w:val="bottom"/>
          </w:tcPr>
          <w:p>
            <w:pPr>
              <w:ind w:left="10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333333"/>
              </w:rPr>
              <w:t>1/24/2022</w:t>
            </w:r>
          </w:p>
        </w:tc>
        <w:tc>
          <w:tcPr>
            <w:tcW w:w="820" w:type="dxa"/>
            <w:vAlign w:val="bottom"/>
            <w:gridSpan w:val="2"/>
          </w:tcPr>
          <w:p>
            <w:pPr>
              <w:ind w:left="80"/>
              <w:spacing w:after="0"/>
              <w:rPr>
                <w:sz w:val="20"/>
                <w:szCs w:val="20"/>
                <w:color w:val="auto"/>
              </w:rPr>
            </w:pPr>
            <w:r>
              <w:rPr>
                <w:rFonts w:ascii="Arial" w:cs="Arial" w:eastAsia="Arial" w:hAnsi="Arial"/>
                <w:sz w:val="13"/>
                <w:szCs w:val="13"/>
                <w:color w:val="333333"/>
              </w:rPr>
              <w:t>4,588</w:t>
            </w:r>
          </w:p>
        </w:tc>
        <w:tc>
          <w:tcPr>
            <w:tcW w:w="960" w:type="dxa"/>
            <w:vAlign w:val="bottom"/>
            <w:gridSpan w:val="2"/>
          </w:tcPr>
          <w:p>
            <w:pPr>
              <w:ind w:left="80"/>
              <w:spacing w:after="0"/>
              <w:rPr>
                <w:sz w:val="20"/>
                <w:szCs w:val="20"/>
                <w:color w:val="auto"/>
              </w:rPr>
            </w:pPr>
            <w:r>
              <w:rPr>
                <w:rFonts w:ascii="Arial" w:cs="Arial" w:eastAsia="Arial" w:hAnsi="Arial"/>
                <w:sz w:val="13"/>
                <w:szCs w:val="13"/>
                <w:color w:val="333333"/>
              </w:rPr>
              <w:t>13,764</w:t>
            </w:r>
          </w:p>
        </w:tc>
        <w:tc>
          <w:tcPr>
            <w:tcW w:w="40" w:type="dxa"/>
            <w:vAlign w:val="bottom"/>
          </w:tcPr>
          <w:p>
            <w:pPr>
              <w:spacing w:after="0"/>
              <w:rPr>
                <w:sz w:val="24"/>
                <w:szCs w:val="24"/>
                <w:color w:val="auto"/>
              </w:rPr>
            </w:pPr>
          </w:p>
        </w:tc>
        <w:tc>
          <w:tcPr>
            <w:tcW w:w="600" w:type="dxa"/>
            <w:vAlign w:val="bottom"/>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color w:val="333333"/>
                <w:w w:val="93"/>
              </w:rPr>
              <w:t>$225.45</w:t>
            </w:r>
          </w:p>
        </w:tc>
        <w:tc>
          <w:tcPr>
            <w:tcW w:w="760" w:type="dxa"/>
            <w:vAlign w:val="bottom"/>
            <w:gridSpan w:val="2"/>
          </w:tcPr>
          <w:p>
            <w:pPr>
              <w:ind w:left="80"/>
              <w:spacing w:after="0"/>
              <w:rPr>
                <w:sz w:val="20"/>
                <w:szCs w:val="20"/>
                <w:color w:val="auto"/>
              </w:rPr>
            </w:pPr>
            <w:r>
              <w:rPr>
                <w:rFonts w:ascii="Arial" w:cs="Arial" w:eastAsia="Arial" w:hAnsi="Arial"/>
                <w:sz w:val="13"/>
                <w:szCs w:val="13"/>
                <w:color w:val="333333"/>
              </w:rPr>
              <w:t>1/24/2032</w:t>
            </w:r>
          </w:p>
        </w:tc>
        <w:tc>
          <w:tcPr>
            <w:tcW w:w="640" w:type="dxa"/>
            <w:vAlign w:val="bottom"/>
          </w:tcPr>
          <w:p>
            <w:pPr>
              <w:ind w:left="80"/>
              <w:spacing w:after="0"/>
              <w:rPr>
                <w:sz w:val="20"/>
                <w:szCs w:val="20"/>
                <w:color w:val="auto"/>
              </w:rPr>
            </w:pPr>
            <w:r>
              <w:rPr>
                <w:rFonts w:ascii="Arial" w:cs="Arial" w:eastAsia="Arial" w:hAnsi="Arial"/>
                <w:sz w:val="13"/>
                <w:szCs w:val="13"/>
                <w:color w:val="333333"/>
              </w:rPr>
              <w:t>—</w:t>
            </w:r>
          </w:p>
        </w:tc>
        <w:tc>
          <w:tcPr>
            <w:tcW w:w="660" w:type="dxa"/>
            <w:vAlign w:val="bottom"/>
          </w:tcPr>
          <w:p>
            <w:pPr>
              <w:ind w:left="40"/>
              <w:spacing w:after="0"/>
              <w:rPr>
                <w:sz w:val="20"/>
                <w:szCs w:val="20"/>
                <w:color w:val="auto"/>
              </w:rPr>
            </w:pPr>
            <w:r>
              <w:rPr>
                <w:rFonts w:ascii="Arial" w:cs="Arial" w:eastAsia="Arial" w:hAnsi="Arial"/>
                <w:sz w:val="13"/>
                <w:szCs w:val="13"/>
                <w:color w:val="333333"/>
              </w:rPr>
              <w:t>—</w:t>
            </w:r>
          </w:p>
        </w:tc>
        <w:tc>
          <w:tcPr>
            <w:tcW w:w="840" w:type="dxa"/>
            <w:vAlign w:val="bottom"/>
          </w:tcPr>
          <w:p>
            <w:pPr>
              <w:ind w:left="10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333333"/>
              </w:rPr>
              <w:t>1/24/2022</w:t>
            </w:r>
          </w:p>
        </w:tc>
        <w:tc>
          <w:tcPr>
            <w:tcW w:w="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333333"/>
              </w:rPr>
              <w:t>—</w:t>
            </w:r>
          </w:p>
        </w:tc>
        <w:tc>
          <w:tcPr>
            <w:tcW w:w="40" w:type="dxa"/>
            <w:vAlign w:val="bottom"/>
          </w:tcPr>
          <w:p>
            <w:pPr>
              <w:spacing w:after="0"/>
              <w:rPr>
                <w:sz w:val="24"/>
                <w:szCs w:val="24"/>
                <w:color w:val="auto"/>
              </w:rPr>
            </w:pPr>
          </w:p>
        </w:tc>
        <w:tc>
          <w:tcPr>
            <w:tcW w:w="600" w:type="dxa"/>
            <w:vAlign w:val="bottom"/>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3"/>
                <w:szCs w:val="13"/>
                <w:color w:val="333333"/>
              </w:rPr>
              <w:t>—</w:t>
            </w:r>
          </w:p>
        </w:tc>
        <w:tc>
          <w:tcPr>
            <w:tcW w:w="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333333"/>
              </w:rPr>
              <w:t>—</w:t>
            </w:r>
          </w:p>
        </w:tc>
        <w:tc>
          <w:tcPr>
            <w:tcW w:w="640" w:type="dxa"/>
            <w:vAlign w:val="bottom"/>
          </w:tcPr>
          <w:p>
            <w:pPr>
              <w:ind w:left="80"/>
              <w:spacing w:after="0"/>
              <w:rPr>
                <w:sz w:val="20"/>
                <w:szCs w:val="20"/>
                <w:color w:val="auto"/>
              </w:rPr>
            </w:pPr>
            <w:r>
              <w:rPr>
                <w:rFonts w:ascii="Arial" w:cs="Arial" w:eastAsia="Arial" w:hAnsi="Arial"/>
                <w:sz w:val="13"/>
                <w:szCs w:val="13"/>
                <w:color w:val="333333"/>
                <w:w w:val="95"/>
              </w:rPr>
              <w:t>2,663</w:t>
            </w:r>
            <w:r>
              <w:rPr>
                <w:rFonts w:ascii="Arial" w:cs="Arial" w:eastAsia="Arial" w:hAnsi="Arial"/>
                <w:sz w:val="20"/>
                <w:szCs w:val="20"/>
                <w:color w:val="333333"/>
                <w:w w:val="95"/>
                <w:vertAlign w:val="superscript"/>
              </w:rPr>
              <w:t>(10)</w:t>
            </w:r>
          </w:p>
        </w:tc>
        <w:tc>
          <w:tcPr>
            <w:tcW w:w="660" w:type="dxa"/>
            <w:vAlign w:val="bottom"/>
          </w:tcPr>
          <w:p>
            <w:pPr>
              <w:ind w:left="40"/>
              <w:spacing w:after="0"/>
              <w:rPr>
                <w:sz w:val="20"/>
                <w:szCs w:val="20"/>
                <w:color w:val="auto"/>
              </w:rPr>
            </w:pPr>
            <w:r>
              <w:rPr>
                <w:rFonts w:ascii="Arial" w:cs="Arial" w:eastAsia="Arial" w:hAnsi="Arial"/>
                <w:sz w:val="13"/>
                <w:szCs w:val="13"/>
                <w:color w:val="333333"/>
              </w:rPr>
              <w:t>$752,590</w:t>
            </w:r>
          </w:p>
        </w:tc>
        <w:tc>
          <w:tcPr>
            <w:tcW w:w="840" w:type="dxa"/>
            <w:vAlign w:val="bottom"/>
          </w:tcPr>
          <w:p>
            <w:pPr>
              <w:ind w:left="10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333333"/>
              </w:rPr>
              <w:t>1/23/2023</w:t>
            </w:r>
          </w:p>
        </w:tc>
        <w:tc>
          <w:tcPr>
            <w:tcW w:w="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333333"/>
              </w:rPr>
              <w:t>—</w:t>
            </w:r>
          </w:p>
        </w:tc>
        <w:tc>
          <w:tcPr>
            <w:tcW w:w="40" w:type="dxa"/>
            <w:vAlign w:val="bottom"/>
          </w:tcPr>
          <w:p>
            <w:pPr>
              <w:spacing w:after="0"/>
              <w:rPr>
                <w:sz w:val="24"/>
                <w:szCs w:val="24"/>
                <w:color w:val="auto"/>
              </w:rPr>
            </w:pPr>
          </w:p>
        </w:tc>
        <w:tc>
          <w:tcPr>
            <w:tcW w:w="600" w:type="dxa"/>
            <w:vAlign w:val="bottom"/>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3"/>
                <w:szCs w:val="13"/>
                <w:color w:val="333333"/>
              </w:rPr>
              <w:t>—</w:t>
            </w:r>
          </w:p>
        </w:tc>
        <w:tc>
          <w:tcPr>
            <w:tcW w:w="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333333"/>
              </w:rPr>
              <w:t>—</w:t>
            </w:r>
          </w:p>
        </w:tc>
        <w:tc>
          <w:tcPr>
            <w:tcW w:w="640" w:type="dxa"/>
            <w:vAlign w:val="bottom"/>
          </w:tcPr>
          <w:p>
            <w:pPr>
              <w:ind w:left="80"/>
              <w:spacing w:after="0"/>
              <w:rPr>
                <w:sz w:val="20"/>
                <w:szCs w:val="20"/>
                <w:color w:val="auto"/>
              </w:rPr>
            </w:pPr>
            <w:r>
              <w:rPr>
                <w:rFonts w:ascii="Arial" w:cs="Arial" w:eastAsia="Arial" w:hAnsi="Arial"/>
                <w:sz w:val="13"/>
                <w:szCs w:val="13"/>
                <w:color w:val="333333"/>
              </w:rPr>
              <w:t>1,636</w:t>
            </w:r>
            <w:r>
              <w:rPr>
                <w:rFonts w:ascii="Arial" w:cs="Arial" w:eastAsia="Arial" w:hAnsi="Arial"/>
                <w:sz w:val="20"/>
                <w:szCs w:val="20"/>
                <w:color w:val="333333"/>
                <w:vertAlign w:val="superscript"/>
              </w:rPr>
              <w:t>(9)</w:t>
            </w:r>
          </w:p>
        </w:tc>
        <w:tc>
          <w:tcPr>
            <w:tcW w:w="660" w:type="dxa"/>
            <w:vAlign w:val="bottom"/>
          </w:tcPr>
          <w:p>
            <w:pPr>
              <w:ind w:left="40"/>
              <w:spacing w:after="0"/>
              <w:rPr>
                <w:sz w:val="20"/>
                <w:szCs w:val="20"/>
                <w:color w:val="auto"/>
              </w:rPr>
            </w:pPr>
            <w:r>
              <w:rPr>
                <w:rFonts w:ascii="Arial" w:cs="Arial" w:eastAsia="Arial" w:hAnsi="Arial"/>
                <w:sz w:val="13"/>
                <w:szCs w:val="13"/>
                <w:color w:val="333333"/>
              </w:rPr>
              <w:t>$462,350</w:t>
            </w:r>
          </w:p>
        </w:tc>
        <w:tc>
          <w:tcPr>
            <w:tcW w:w="840" w:type="dxa"/>
            <w:vAlign w:val="bottom"/>
          </w:tcPr>
          <w:p>
            <w:pPr>
              <w:ind w:left="10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333333"/>
              </w:rPr>
              <w:t>1/23/2023</w:t>
            </w:r>
          </w:p>
        </w:tc>
        <w:tc>
          <w:tcPr>
            <w:tcW w:w="8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3"/>
                <w:szCs w:val="13"/>
                <w:color w:val="333333"/>
              </w:rPr>
              <w:t>—</w:t>
            </w:r>
          </w:p>
        </w:tc>
        <w:tc>
          <w:tcPr>
            <w:tcW w:w="960" w:type="dxa"/>
            <w:vAlign w:val="bottom"/>
            <w:gridSpan w:val="2"/>
          </w:tcPr>
          <w:p>
            <w:pPr>
              <w:ind w:left="80"/>
              <w:spacing w:after="0"/>
              <w:rPr>
                <w:sz w:val="20"/>
                <w:szCs w:val="20"/>
                <w:color w:val="auto"/>
              </w:rPr>
            </w:pPr>
            <w:r>
              <w:rPr>
                <w:rFonts w:ascii="Arial" w:cs="Arial" w:eastAsia="Arial" w:hAnsi="Arial"/>
                <w:sz w:val="13"/>
                <w:szCs w:val="13"/>
                <w:color w:val="333333"/>
              </w:rPr>
              <w:t>17,679</w:t>
            </w:r>
          </w:p>
        </w:tc>
        <w:tc>
          <w:tcPr>
            <w:tcW w:w="40" w:type="dxa"/>
            <w:vAlign w:val="bottom"/>
          </w:tcPr>
          <w:p>
            <w:pPr>
              <w:spacing w:after="0"/>
              <w:rPr>
                <w:sz w:val="18"/>
                <w:szCs w:val="18"/>
                <w:color w:val="auto"/>
              </w:rPr>
            </w:pPr>
          </w:p>
        </w:tc>
        <w:tc>
          <w:tcPr>
            <w:tcW w:w="600" w:type="dxa"/>
            <w:vAlign w:val="bottom"/>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color w:val="333333"/>
                <w:w w:val="93"/>
              </w:rPr>
              <w:t>$200.41</w:t>
            </w:r>
          </w:p>
        </w:tc>
        <w:tc>
          <w:tcPr>
            <w:tcW w:w="760" w:type="dxa"/>
            <w:vAlign w:val="bottom"/>
            <w:gridSpan w:val="2"/>
          </w:tcPr>
          <w:p>
            <w:pPr>
              <w:ind w:left="80"/>
              <w:spacing w:after="0"/>
              <w:rPr>
                <w:sz w:val="20"/>
                <w:szCs w:val="20"/>
                <w:color w:val="auto"/>
              </w:rPr>
            </w:pPr>
            <w:r>
              <w:rPr>
                <w:rFonts w:ascii="Arial" w:cs="Arial" w:eastAsia="Arial" w:hAnsi="Arial"/>
                <w:sz w:val="13"/>
                <w:szCs w:val="13"/>
                <w:color w:val="333333"/>
              </w:rPr>
              <w:t>1/23/2033</w:t>
            </w:r>
          </w:p>
        </w:tc>
        <w:tc>
          <w:tcPr>
            <w:tcW w:w="640" w:type="dxa"/>
            <w:vAlign w:val="bottom"/>
          </w:tcPr>
          <w:p>
            <w:pPr>
              <w:ind w:left="80"/>
              <w:spacing w:after="0"/>
              <w:rPr>
                <w:sz w:val="20"/>
                <w:szCs w:val="20"/>
                <w:color w:val="auto"/>
              </w:rPr>
            </w:pPr>
            <w:r>
              <w:rPr>
                <w:rFonts w:ascii="Arial" w:cs="Arial" w:eastAsia="Arial" w:hAnsi="Arial"/>
                <w:sz w:val="13"/>
                <w:szCs w:val="13"/>
                <w:color w:val="333333"/>
              </w:rPr>
              <w:t>—</w:t>
            </w:r>
          </w:p>
        </w:tc>
        <w:tc>
          <w:tcPr>
            <w:tcW w:w="660" w:type="dxa"/>
            <w:vAlign w:val="bottom"/>
          </w:tcPr>
          <w:p>
            <w:pPr>
              <w:ind w:left="40"/>
              <w:spacing w:after="0"/>
              <w:rPr>
                <w:sz w:val="20"/>
                <w:szCs w:val="20"/>
                <w:color w:val="auto"/>
              </w:rPr>
            </w:pPr>
            <w:r>
              <w:rPr>
                <w:rFonts w:ascii="Arial" w:cs="Arial" w:eastAsia="Arial" w:hAnsi="Arial"/>
                <w:sz w:val="13"/>
                <w:szCs w:val="13"/>
                <w:color w:val="333333"/>
              </w:rPr>
              <w:t>—</w:t>
            </w:r>
          </w:p>
        </w:tc>
        <w:tc>
          <w:tcPr>
            <w:tcW w:w="840" w:type="dxa"/>
            <w:vAlign w:val="bottom"/>
          </w:tcPr>
          <w:p>
            <w:pPr>
              <w:ind w:left="10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333333"/>
              </w:rPr>
              <w:t>3/01/2023</w:t>
            </w:r>
          </w:p>
        </w:tc>
        <w:tc>
          <w:tcPr>
            <w:tcW w:w="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333333"/>
              </w:rPr>
              <w:t>—</w:t>
            </w:r>
          </w:p>
        </w:tc>
        <w:tc>
          <w:tcPr>
            <w:tcW w:w="40" w:type="dxa"/>
            <w:vAlign w:val="bottom"/>
          </w:tcPr>
          <w:p>
            <w:pPr>
              <w:spacing w:after="0"/>
              <w:rPr>
                <w:sz w:val="24"/>
                <w:szCs w:val="24"/>
                <w:color w:val="auto"/>
              </w:rPr>
            </w:pPr>
          </w:p>
        </w:tc>
        <w:tc>
          <w:tcPr>
            <w:tcW w:w="600" w:type="dxa"/>
            <w:vAlign w:val="bottom"/>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3"/>
                <w:szCs w:val="13"/>
                <w:color w:val="333333"/>
              </w:rPr>
              <w:t>—</w:t>
            </w:r>
          </w:p>
        </w:tc>
        <w:tc>
          <w:tcPr>
            <w:tcW w:w="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333333"/>
              </w:rPr>
              <w:t>—</w:t>
            </w:r>
          </w:p>
        </w:tc>
        <w:tc>
          <w:tcPr>
            <w:tcW w:w="640" w:type="dxa"/>
            <w:vAlign w:val="bottom"/>
          </w:tcPr>
          <w:p>
            <w:pPr>
              <w:ind w:left="80"/>
              <w:spacing w:after="0"/>
              <w:rPr>
                <w:sz w:val="20"/>
                <w:szCs w:val="20"/>
                <w:color w:val="auto"/>
              </w:rPr>
            </w:pPr>
            <w:r>
              <w:rPr>
                <w:rFonts w:ascii="Arial" w:cs="Arial" w:eastAsia="Arial" w:hAnsi="Arial"/>
                <w:sz w:val="13"/>
                <w:szCs w:val="13"/>
                <w:color w:val="333333"/>
              </w:rPr>
              <w:t>—</w:t>
            </w:r>
          </w:p>
        </w:tc>
        <w:tc>
          <w:tcPr>
            <w:tcW w:w="660" w:type="dxa"/>
            <w:vAlign w:val="bottom"/>
          </w:tcPr>
          <w:p>
            <w:pPr>
              <w:ind w:left="40"/>
              <w:spacing w:after="0"/>
              <w:rPr>
                <w:sz w:val="20"/>
                <w:szCs w:val="20"/>
                <w:color w:val="auto"/>
              </w:rPr>
            </w:pPr>
            <w:r>
              <w:rPr>
                <w:rFonts w:ascii="Arial" w:cs="Arial" w:eastAsia="Arial" w:hAnsi="Arial"/>
                <w:sz w:val="13"/>
                <w:szCs w:val="13"/>
                <w:color w:val="333333"/>
              </w:rPr>
              <w:t>—</w:t>
            </w:r>
          </w:p>
        </w:tc>
        <w:tc>
          <w:tcPr>
            <w:tcW w:w="840" w:type="dxa"/>
            <w:vAlign w:val="bottom"/>
          </w:tcPr>
          <w:p>
            <w:pPr>
              <w:ind w:left="100"/>
              <w:spacing w:after="0"/>
              <w:rPr>
                <w:sz w:val="20"/>
                <w:szCs w:val="20"/>
                <w:color w:val="auto"/>
              </w:rPr>
            </w:pPr>
            <w:r>
              <w:rPr>
                <w:rFonts w:ascii="Arial" w:cs="Arial" w:eastAsia="Arial" w:hAnsi="Arial"/>
                <w:sz w:val="13"/>
                <w:szCs w:val="13"/>
                <w:color w:val="333333"/>
              </w:rPr>
              <w:t>1,996</w:t>
            </w:r>
            <w:r>
              <w:rPr>
                <w:rFonts w:ascii="Arial" w:cs="Arial" w:eastAsia="Arial" w:hAnsi="Arial"/>
                <w:sz w:val="20"/>
                <w:szCs w:val="20"/>
                <w:color w:val="333333"/>
                <w:vertAlign w:val="superscript"/>
              </w:rPr>
              <w:t>(5)</w:t>
            </w:r>
          </w:p>
        </w:tc>
        <w:tc>
          <w:tcPr>
            <w:tcW w:w="960" w:type="dxa"/>
            <w:vAlign w:val="bottom"/>
          </w:tcPr>
          <w:p>
            <w:pPr>
              <w:ind w:left="60"/>
              <w:spacing w:after="0"/>
              <w:rPr>
                <w:sz w:val="20"/>
                <w:szCs w:val="20"/>
                <w:color w:val="auto"/>
              </w:rPr>
            </w:pPr>
            <w:r>
              <w:rPr>
                <w:rFonts w:ascii="Arial" w:cs="Arial" w:eastAsia="Arial" w:hAnsi="Arial"/>
                <w:sz w:val="13"/>
                <w:szCs w:val="13"/>
                <w:color w:val="333333"/>
              </w:rPr>
              <w:t>$564,090</w:t>
            </w:r>
          </w:p>
        </w:tc>
        <w:tc>
          <w:tcPr>
            <w:tcW w:w="0" w:type="dxa"/>
            <w:vAlign w:val="bottom"/>
          </w:tcPr>
          <w:p>
            <w:pPr>
              <w:spacing w:after="0"/>
              <w:rPr>
                <w:sz w:val="1"/>
                <w:szCs w:val="1"/>
                <w:color w:val="auto"/>
              </w:rPr>
            </w:pPr>
          </w:p>
        </w:tc>
      </w:tr>
      <w:tr>
        <w:trPr>
          <w:trHeight w:val="337"/>
        </w:trPr>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333333"/>
              </w:rPr>
              <w:t>3/01/2023</w:t>
            </w:r>
          </w:p>
        </w:tc>
        <w:tc>
          <w:tcPr>
            <w:tcW w:w="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333333"/>
              </w:rPr>
              <w:t>—</w:t>
            </w:r>
          </w:p>
        </w:tc>
        <w:tc>
          <w:tcPr>
            <w:tcW w:w="40" w:type="dxa"/>
            <w:vAlign w:val="bottom"/>
          </w:tcPr>
          <w:p>
            <w:pPr>
              <w:spacing w:after="0"/>
              <w:rPr>
                <w:sz w:val="24"/>
                <w:szCs w:val="24"/>
                <w:color w:val="auto"/>
              </w:rPr>
            </w:pPr>
          </w:p>
        </w:tc>
        <w:tc>
          <w:tcPr>
            <w:tcW w:w="600" w:type="dxa"/>
            <w:vAlign w:val="bottom"/>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3"/>
                <w:szCs w:val="13"/>
                <w:color w:val="333333"/>
              </w:rPr>
              <w:t>—</w:t>
            </w:r>
          </w:p>
        </w:tc>
        <w:tc>
          <w:tcPr>
            <w:tcW w:w="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333333"/>
              </w:rPr>
              <w:t>—</w:t>
            </w:r>
          </w:p>
        </w:tc>
        <w:tc>
          <w:tcPr>
            <w:tcW w:w="640" w:type="dxa"/>
            <w:vAlign w:val="bottom"/>
          </w:tcPr>
          <w:p>
            <w:pPr>
              <w:ind w:left="80"/>
              <w:spacing w:after="0"/>
              <w:rPr>
                <w:sz w:val="20"/>
                <w:szCs w:val="20"/>
                <w:color w:val="auto"/>
              </w:rPr>
            </w:pPr>
            <w:r>
              <w:rPr>
                <w:rFonts w:ascii="Arial" w:cs="Arial" w:eastAsia="Arial" w:hAnsi="Arial"/>
                <w:sz w:val="13"/>
                <w:szCs w:val="13"/>
                <w:color w:val="333333"/>
              </w:rPr>
              <w:t>—</w:t>
            </w:r>
          </w:p>
        </w:tc>
        <w:tc>
          <w:tcPr>
            <w:tcW w:w="660" w:type="dxa"/>
            <w:vAlign w:val="bottom"/>
          </w:tcPr>
          <w:p>
            <w:pPr>
              <w:ind w:left="40"/>
              <w:spacing w:after="0"/>
              <w:rPr>
                <w:sz w:val="20"/>
                <w:szCs w:val="20"/>
                <w:color w:val="auto"/>
              </w:rPr>
            </w:pPr>
            <w:r>
              <w:rPr>
                <w:rFonts w:ascii="Arial" w:cs="Arial" w:eastAsia="Arial" w:hAnsi="Arial"/>
                <w:sz w:val="13"/>
                <w:szCs w:val="13"/>
                <w:color w:val="333333"/>
              </w:rPr>
              <w:t>—</w:t>
            </w:r>
          </w:p>
        </w:tc>
        <w:tc>
          <w:tcPr>
            <w:tcW w:w="840" w:type="dxa"/>
            <w:vAlign w:val="bottom"/>
          </w:tcPr>
          <w:p>
            <w:pPr>
              <w:ind w:left="100"/>
              <w:spacing w:after="0"/>
              <w:rPr>
                <w:sz w:val="20"/>
                <w:szCs w:val="20"/>
                <w:color w:val="auto"/>
              </w:rPr>
            </w:pPr>
            <w:r>
              <w:rPr>
                <w:rFonts w:ascii="Arial" w:cs="Arial" w:eastAsia="Arial" w:hAnsi="Arial"/>
                <w:sz w:val="13"/>
                <w:szCs w:val="13"/>
                <w:color w:val="333333"/>
              </w:rPr>
              <w:t>5,988</w:t>
            </w:r>
            <w:r>
              <w:rPr>
                <w:rFonts w:ascii="Arial" w:cs="Arial" w:eastAsia="Arial" w:hAnsi="Arial"/>
                <w:sz w:val="20"/>
                <w:szCs w:val="20"/>
                <w:color w:val="333333"/>
                <w:vertAlign w:val="superscript"/>
              </w:rPr>
              <w:t>(6)</w:t>
            </w:r>
          </w:p>
        </w:tc>
        <w:tc>
          <w:tcPr>
            <w:tcW w:w="960" w:type="dxa"/>
            <w:vAlign w:val="bottom"/>
          </w:tcPr>
          <w:p>
            <w:pPr>
              <w:ind w:left="60"/>
              <w:spacing w:after="0"/>
              <w:rPr>
                <w:sz w:val="20"/>
                <w:szCs w:val="20"/>
                <w:color w:val="auto"/>
              </w:rPr>
            </w:pPr>
            <w:r>
              <w:rPr>
                <w:rFonts w:ascii="Arial" w:cs="Arial" w:eastAsia="Arial" w:hAnsi="Arial"/>
                <w:sz w:val="13"/>
                <w:szCs w:val="13"/>
                <w:color w:val="333333"/>
              </w:rPr>
              <w:t>$1,692,269</w:t>
            </w: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333333"/>
              </w:rPr>
              <w:t>3/01/2023</w:t>
            </w:r>
          </w:p>
        </w:tc>
        <w:tc>
          <w:tcPr>
            <w:tcW w:w="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3"/>
                <w:szCs w:val="13"/>
                <w:color w:val="333333"/>
              </w:rPr>
              <w:t>—</w:t>
            </w:r>
          </w:p>
        </w:tc>
        <w:tc>
          <w:tcPr>
            <w:tcW w:w="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333333"/>
              </w:rPr>
              <w:t>—</w:t>
            </w:r>
          </w:p>
        </w:tc>
        <w:tc>
          <w:tcPr>
            <w:tcW w:w="40" w:type="dxa"/>
            <w:vAlign w:val="bottom"/>
          </w:tcPr>
          <w:p>
            <w:pPr>
              <w:spacing w:after="0"/>
              <w:rPr>
                <w:sz w:val="24"/>
                <w:szCs w:val="24"/>
                <w:color w:val="auto"/>
              </w:rPr>
            </w:pPr>
          </w:p>
        </w:tc>
        <w:tc>
          <w:tcPr>
            <w:tcW w:w="600" w:type="dxa"/>
            <w:vAlign w:val="bottom"/>
          </w:tcPr>
          <w:p>
            <w:pPr>
              <w:jc w:val="right"/>
              <w:ind w:right="379"/>
              <w:spacing w:after="0"/>
              <w:rPr>
                <w:sz w:val="20"/>
                <w:szCs w:val="20"/>
                <w:color w:val="auto"/>
              </w:rPr>
            </w:pPr>
            <w:r>
              <w:rPr>
                <w:rFonts w:ascii="Arial" w:cs="Arial" w:eastAsia="Arial" w:hAnsi="Arial"/>
                <w:sz w:val="13"/>
                <w:szCs w:val="13"/>
                <w:color w:val="333333"/>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3"/>
                <w:szCs w:val="13"/>
                <w:color w:val="333333"/>
              </w:rPr>
              <w:t>—</w:t>
            </w:r>
          </w:p>
        </w:tc>
        <w:tc>
          <w:tcPr>
            <w:tcW w:w="4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333333"/>
              </w:rPr>
              <w:t>—</w:t>
            </w:r>
          </w:p>
        </w:tc>
        <w:tc>
          <w:tcPr>
            <w:tcW w:w="640" w:type="dxa"/>
            <w:vAlign w:val="bottom"/>
          </w:tcPr>
          <w:p>
            <w:pPr>
              <w:ind w:left="80"/>
              <w:spacing w:after="0"/>
              <w:rPr>
                <w:sz w:val="20"/>
                <w:szCs w:val="20"/>
                <w:color w:val="auto"/>
              </w:rPr>
            </w:pPr>
            <w:r>
              <w:rPr>
                <w:rFonts w:ascii="Arial" w:cs="Arial" w:eastAsia="Arial" w:hAnsi="Arial"/>
                <w:sz w:val="13"/>
                <w:szCs w:val="13"/>
                <w:color w:val="333333"/>
              </w:rPr>
              <w:t>1,265</w:t>
            </w:r>
            <w:r>
              <w:rPr>
                <w:rFonts w:ascii="Arial" w:cs="Arial" w:eastAsia="Arial" w:hAnsi="Arial"/>
                <w:sz w:val="20"/>
                <w:szCs w:val="20"/>
                <w:color w:val="333333"/>
                <w:vertAlign w:val="superscript"/>
              </w:rPr>
              <w:t>(4)</w:t>
            </w:r>
          </w:p>
        </w:tc>
        <w:tc>
          <w:tcPr>
            <w:tcW w:w="660" w:type="dxa"/>
            <w:vAlign w:val="bottom"/>
          </w:tcPr>
          <w:p>
            <w:pPr>
              <w:ind w:left="40"/>
              <w:spacing w:after="0"/>
              <w:rPr>
                <w:sz w:val="20"/>
                <w:szCs w:val="20"/>
                <w:color w:val="auto"/>
              </w:rPr>
            </w:pPr>
            <w:r>
              <w:rPr>
                <w:rFonts w:ascii="Arial" w:cs="Arial" w:eastAsia="Arial" w:hAnsi="Arial"/>
                <w:sz w:val="13"/>
                <w:szCs w:val="13"/>
                <w:color w:val="333333"/>
              </w:rPr>
              <w:t>$357,502</w:t>
            </w:r>
          </w:p>
        </w:tc>
        <w:tc>
          <w:tcPr>
            <w:tcW w:w="840" w:type="dxa"/>
            <w:vAlign w:val="bottom"/>
          </w:tcPr>
          <w:p>
            <w:pPr>
              <w:ind w:left="100"/>
              <w:spacing w:after="0"/>
              <w:rPr>
                <w:sz w:val="20"/>
                <w:szCs w:val="20"/>
                <w:color w:val="auto"/>
              </w:rPr>
            </w:pPr>
            <w:r>
              <w:rPr>
                <w:rFonts w:ascii="Arial" w:cs="Arial" w:eastAsia="Arial" w:hAnsi="Arial"/>
                <w:sz w:val="13"/>
                <w:szCs w:val="13"/>
                <w:color w:val="333333"/>
              </w:rPr>
              <w:t>—</w:t>
            </w:r>
          </w:p>
        </w:tc>
        <w:tc>
          <w:tcPr>
            <w:tcW w:w="960" w:type="dxa"/>
            <w:vAlign w:val="bottom"/>
          </w:tcPr>
          <w:p>
            <w:pPr>
              <w:ind w:left="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-6942455</wp:posOffset>
            </wp:positionV>
            <wp:extent cx="442341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222" w:lineRule="exact"/>
        <w:rPr>
          <w:sz w:val="20"/>
          <w:szCs w:val="20"/>
          <w:color w:val="auto"/>
        </w:rPr>
      </w:pPr>
    </w:p>
    <w:p>
      <w:pPr>
        <w:ind w:left="840" w:hanging="190"/>
        <w:spacing w:after="0"/>
        <w:tabs>
          <w:tab w:leader="none" w:pos="840" w:val="left"/>
        </w:tabs>
        <w:numPr>
          <w:ilvl w:val="0"/>
          <w:numId w:val="89"/>
        </w:numPr>
        <w:rPr>
          <w:rFonts w:ascii="Arial" w:cs="Arial" w:eastAsia="Arial" w:hAnsi="Arial"/>
          <w:sz w:val="13"/>
          <w:szCs w:val="13"/>
          <w:i w:val="1"/>
          <w:iCs w:val="1"/>
          <w:color w:val="333333"/>
        </w:rPr>
      </w:pPr>
      <w:r>
        <w:rPr>
          <w:rFonts w:ascii="Arial" w:cs="Arial" w:eastAsia="Arial" w:hAnsi="Arial"/>
          <w:sz w:val="13"/>
          <w:szCs w:val="13"/>
          <w:i w:val="1"/>
          <w:iCs w:val="1"/>
          <w:color w:val="333333"/>
        </w:rPr>
        <w:t>Stock options in these columns generally vest in substantially equal installments on each of the first four anniversaries of the grant date.</w:t>
      </w:r>
    </w:p>
    <w:p>
      <w:pPr>
        <w:spacing w:after="0" w:line="9" w:lineRule="exact"/>
        <w:rPr>
          <w:rFonts w:ascii="Arial" w:cs="Arial" w:eastAsia="Arial" w:hAnsi="Arial"/>
          <w:sz w:val="13"/>
          <w:szCs w:val="13"/>
          <w:i w:val="1"/>
          <w:iCs w:val="1"/>
          <w:color w:val="333333"/>
        </w:rPr>
      </w:pPr>
    </w:p>
    <w:p>
      <w:pPr>
        <w:ind w:left="660" w:right="239" w:hanging="10"/>
        <w:spacing w:after="0" w:line="222" w:lineRule="auto"/>
        <w:tabs>
          <w:tab w:leader="none" w:pos="849" w:val="left"/>
        </w:tabs>
        <w:numPr>
          <w:ilvl w:val="0"/>
          <w:numId w:val="89"/>
        </w:numPr>
        <w:rPr>
          <w:rFonts w:ascii="Arial" w:cs="Arial" w:eastAsia="Arial" w:hAnsi="Arial"/>
          <w:sz w:val="13"/>
          <w:szCs w:val="13"/>
          <w:i w:val="1"/>
          <w:iCs w:val="1"/>
          <w:color w:val="333333"/>
        </w:rPr>
      </w:pPr>
      <w:r>
        <w:rPr>
          <w:rFonts w:ascii="Arial" w:cs="Arial" w:eastAsia="Arial" w:hAnsi="Arial"/>
          <w:sz w:val="13"/>
          <w:szCs w:val="13"/>
          <w:i w:val="1"/>
          <w:iCs w:val="1"/>
          <w:color w:val="333333"/>
        </w:rPr>
        <w:t>For Mr. Clarke, reflects a performance-based stock option award granted to Mr. Clarke in 2021, reported at the target performance level, which is the portion of the award that would be eligible to vest after achievement of both of the stock price hurdles applicable to the award. For Mr. Clarke to earn the full award, our stock price must achieve two stock price hurdles by December 31, 2024, and any portion of the award earned based on stock price performance will generally vest in substantially equal increments on each of March 31, 2022, September 30, 2022 and March 31, 2023. Neither stock price hurdle applicable to this award had been achieved as of December 31, 2023.</w:t>
      </w:r>
    </w:p>
    <w:p>
      <w:pPr>
        <w:spacing w:after="0" w:line="2" w:lineRule="exact"/>
        <w:rPr>
          <w:rFonts w:ascii="Arial" w:cs="Arial" w:eastAsia="Arial" w:hAnsi="Arial"/>
          <w:sz w:val="13"/>
          <w:szCs w:val="13"/>
          <w:i w:val="1"/>
          <w:iCs w:val="1"/>
          <w:color w:val="333333"/>
        </w:rPr>
      </w:pPr>
    </w:p>
    <w:p>
      <w:pPr>
        <w:ind w:left="660" w:right="419" w:hanging="10"/>
        <w:spacing w:after="0" w:line="238" w:lineRule="auto"/>
        <w:tabs>
          <w:tab w:leader="none" w:pos="849" w:val="left"/>
        </w:tabs>
        <w:numPr>
          <w:ilvl w:val="0"/>
          <w:numId w:val="89"/>
        </w:numPr>
        <w:rPr>
          <w:rFonts w:ascii="Arial" w:cs="Arial" w:eastAsia="Arial" w:hAnsi="Arial"/>
          <w:sz w:val="13"/>
          <w:szCs w:val="13"/>
          <w:i w:val="1"/>
          <w:iCs w:val="1"/>
          <w:color w:val="333333"/>
        </w:rPr>
      </w:pPr>
      <w:r>
        <w:rPr>
          <w:rFonts w:ascii="Arial" w:cs="Arial" w:eastAsia="Arial" w:hAnsi="Arial"/>
          <w:sz w:val="13"/>
          <w:szCs w:val="13"/>
          <w:i w:val="1"/>
          <w:iCs w:val="1"/>
          <w:color w:val="333333"/>
        </w:rPr>
        <w:t>Market value of Performance Shares, Performance-Based RSUs, and shares of restricted stock that have not vested is calculated using $282.61, the Company’s closing stock price on December 29, 2023 (the last trading day of 2023).</w:t>
      </w:r>
    </w:p>
    <w:p>
      <w:pPr>
        <w:spacing w:after="0" w:line="12" w:lineRule="exact"/>
        <w:rPr>
          <w:rFonts w:ascii="Arial" w:cs="Arial" w:eastAsia="Arial" w:hAnsi="Arial"/>
          <w:sz w:val="13"/>
          <w:szCs w:val="13"/>
          <w:i w:val="1"/>
          <w:iCs w:val="1"/>
          <w:color w:val="333333"/>
        </w:rPr>
      </w:pPr>
    </w:p>
    <w:p>
      <w:pPr>
        <w:ind w:left="660" w:right="319" w:hanging="10"/>
        <w:spacing w:after="0"/>
        <w:tabs>
          <w:tab w:leader="none" w:pos="849" w:val="left"/>
        </w:tabs>
        <w:numPr>
          <w:ilvl w:val="0"/>
          <w:numId w:val="89"/>
        </w:numPr>
        <w:rPr>
          <w:rFonts w:ascii="Arial" w:cs="Arial" w:eastAsia="Arial" w:hAnsi="Arial"/>
          <w:sz w:val="13"/>
          <w:szCs w:val="13"/>
          <w:i w:val="1"/>
          <w:iCs w:val="1"/>
          <w:color w:val="333333"/>
        </w:rPr>
      </w:pPr>
      <w:r>
        <w:rPr>
          <w:rFonts w:ascii="Arial" w:cs="Arial" w:eastAsia="Arial" w:hAnsi="Arial"/>
          <w:sz w:val="13"/>
          <w:szCs w:val="13"/>
          <w:i w:val="1"/>
          <w:iCs w:val="1"/>
          <w:color w:val="333333"/>
        </w:rPr>
        <w:t>Represents time-based restricted stock granted during 2023 in connection with our 2023 annual incentive program which generally vested on March 1, 2024.</w:t>
      </w:r>
    </w:p>
    <w:p>
      <w:pPr>
        <w:sectPr>
          <w:pgSz w:w="11900" w:h="16838" w:orient="portrait"/>
          <w:cols w:equalWidth="0" w:num="1">
            <w:col w:w="9539"/>
          </w:cols>
          <w:pgMar w:left="920" w:top="114" w:right="1440"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0"/>
          <w:szCs w:val="10"/>
          <w:b w:val="1"/>
          <w:bCs w:val="1"/>
          <w:color w:val="333333"/>
        </w:rPr>
        <w:t xml:space="preserve">54 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CF1D4C"/>
        </w:rPr>
        <w:t>2023 NAMED EXECUTIVE OFFICER COMPENSATION</w:t>
      </w:r>
    </w:p>
    <w:p>
      <w:pPr>
        <w:spacing w:after="0" w:line="349" w:lineRule="exact"/>
        <w:rPr>
          <w:sz w:val="20"/>
          <w:szCs w:val="20"/>
          <w:color w:val="auto"/>
        </w:rPr>
      </w:pPr>
    </w:p>
    <w:p>
      <w:pPr>
        <w:ind w:left="660" w:right="680" w:hanging="10"/>
        <w:spacing w:after="0" w:line="224" w:lineRule="auto"/>
        <w:tabs>
          <w:tab w:leader="none" w:pos="849" w:val="left"/>
        </w:tabs>
        <w:numPr>
          <w:ilvl w:val="0"/>
          <w:numId w:val="9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Performance Shares unvested and unearned at December 31, 2023, where performance targets are based on achieving financial or other performance goals for the period ending December 31, 2023. The earned portion of the award generally pays out after certification of the performance goals, except that the earned portion of Ms. Vickery’s 2023 Performance Share award vests as to 5/8 of the award on the first anniversary of the grant date, and as to 3/8 of the award on the second anniversary of the grant date. For information regarding the portion of the awards actually earned after the compensation committee’s certification of the performance goals, see “Compensation Discussion and Analysis — Key Elements of 2023 Named Executive Officer Compensation — Equity Awards.”</w:t>
      </w:r>
    </w:p>
    <w:p>
      <w:pPr>
        <w:spacing w:after="0" w:line="1" w:lineRule="exact"/>
        <w:rPr>
          <w:rFonts w:ascii="Arial" w:cs="Arial" w:eastAsia="Arial" w:hAnsi="Arial"/>
          <w:sz w:val="13"/>
          <w:szCs w:val="13"/>
          <w:i w:val="1"/>
          <w:iCs w:val="1"/>
          <w:color w:val="auto"/>
        </w:rPr>
      </w:pPr>
    </w:p>
    <w:p>
      <w:pPr>
        <w:ind w:left="660" w:right="640" w:hanging="10"/>
        <w:spacing w:after="0" w:line="242" w:lineRule="auto"/>
        <w:tabs>
          <w:tab w:leader="none" w:pos="849" w:val="left"/>
        </w:tabs>
        <w:numPr>
          <w:ilvl w:val="0"/>
          <w:numId w:val="91"/>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Performance-Based RSUs unvested and unearned at December 31, 2023, where performance targets are based on achieving Company-wide or business unit performance goals. These awards were generally subject to a performance period ending on December 31, 2023, and the earned portions of the awards generally vest in substantially equal installments on each of the first three anniversaries of the grant date. The awards are reported based on the target performance level. For information regarding the portion of the awards actually earned after the compensation committee’s certification of the performance goals, see “Compensation Discussion and Analysis — Key Elements of 2023 Named Executive Officer Compensation — Equity Awards.”</w:t>
      </w:r>
    </w:p>
    <w:p>
      <w:pPr>
        <w:ind w:left="660" w:right="820" w:hanging="10"/>
        <w:spacing w:after="0" w:line="223" w:lineRule="auto"/>
        <w:tabs>
          <w:tab w:leader="none" w:pos="849" w:val="left"/>
        </w:tabs>
        <w:numPr>
          <w:ilvl w:val="0"/>
          <w:numId w:val="91"/>
        </w:numPr>
        <w:rPr>
          <w:rFonts w:ascii="Arial" w:cs="Arial" w:eastAsia="Arial" w:hAnsi="Arial"/>
          <w:sz w:val="13"/>
          <w:szCs w:val="13"/>
          <w:i w:val="1"/>
          <w:iCs w:val="1"/>
          <w:color w:val="auto"/>
        </w:rPr>
      </w:pPr>
      <w:r>
        <w:rPr>
          <w:rFonts w:ascii="Arial" w:cs="Arial" w:eastAsia="Arial" w:hAnsi="Arial"/>
          <w:sz w:val="13"/>
          <w:szCs w:val="13"/>
          <w:i w:val="1"/>
          <w:iCs w:val="1"/>
          <w:color w:val="auto"/>
        </w:rPr>
        <w:t>Reflects the unvested portion of Performance Share awards granted in 2020 and 2021 that were earned based on 2020 and 2021 performance, respectively. Ms. Vickery’s earned 2020 and 2021 Performance Shares are 5/8 vested on the first anniversary of the grant date, and 1/8 vested on each of the second, third and fourth anniversaries of the grant date.</w:t>
      </w:r>
    </w:p>
    <w:p>
      <w:pPr>
        <w:spacing w:after="0" w:line="1" w:lineRule="exact"/>
        <w:rPr>
          <w:rFonts w:ascii="Arial" w:cs="Arial" w:eastAsia="Arial" w:hAnsi="Arial"/>
          <w:sz w:val="13"/>
          <w:szCs w:val="13"/>
          <w:i w:val="1"/>
          <w:iCs w:val="1"/>
          <w:color w:val="auto"/>
        </w:rPr>
      </w:pPr>
    </w:p>
    <w:p>
      <w:pPr>
        <w:ind w:left="660" w:right="660" w:hanging="10"/>
        <w:spacing w:after="0" w:line="251" w:lineRule="auto"/>
        <w:tabs>
          <w:tab w:leader="none" w:pos="849" w:val="left"/>
        </w:tabs>
        <w:numPr>
          <w:ilvl w:val="0"/>
          <w:numId w:val="91"/>
        </w:numPr>
        <w:rPr>
          <w:rFonts w:ascii="Arial" w:cs="Arial" w:eastAsia="Arial" w:hAnsi="Arial"/>
          <w:sz w:val="12"/>
          <w:szCs w:val="12"/>
          <w:i w:val="1"/>
          <w:iCs w:val="1"/>
          <w:color w:val="auto"/>
        </w:rPr>
      </w:pPr>
      <w:r>
        <w:rPr>
          <w:rFonts w:ascii="Arial" w:cs="Arial" w:eastAsia="Arial" w:hAnsi="Arial"/>
          <w:sz w:val="12"/>
          <w:szCs w:val="12"/>
          <w:i w:val="1"/>
          <w:iCs w:val="1"/>
          <w:color w:val="auto"/>
        </w:rPr>
        <w:t>Reflects the unvested portion of Performance Share award granted in 2022 that was earned based on 2022 performance, and which was vested as to 5/8 of the earned award on the first anniversary of the grant date and as to the remaining 3/8 of the earned award on the second anniversary of the grant date.</w:t>
      </w:r>
    </w:p>
    <w:p>
      <w:pPr>
        <w:ind w:left="660" w:right="1320" w:hanging="10"/>
        <w:spacing w:after="0" w:line="233" w:lineRule="auto"/>
        <w:tabs>
          <w:tab w:leader="none" w:pos="849" w:val="left"/>
        </w:tabs>
        <w:numPr>
          <w:ilvl w:val="0"/>
          <w:numId w:val="91"/>
        </w:numPr>
        <w:rPr>
          <w:rFonts w:ascii="Arial" w:cs="Arial" w:eastAsia="Arial" w:hAnsi="Arial"/>
          <w:sz w:val="13"/>
          <w:szCs w:val="13"/>
          <w:i w:val="1"/>
          <w:iCs w:val="1"/>
          <w:color w:val="auto"/>
        </w:rPr>
      </w:pPr>
      <w:r>
        <w:rPr>
          <w:rFonts w:ascii="Arial" w:cs="Arial" w:eastAsia="Arial" w:hAnsi="Arial"/>
          <w:sz w:val="13"/>
          <w:szCs w:val="13"/>
          <w:i w:val="1"/>
          <w:iCs w:val="1"/>
          <w:color w:val="auto"/>
        </w:rPr>
        <w:t>Reflect special grants of restricted stock granted in 2023 that generally vested on January 23, 2024, except that Ms. Vickery's award vested in substantially equal installments on each of September 1, 2023 and March 1, 2024.</w:t>
      </w:r>
    </w:p>
    <w:p>
      <w:pPr>
        <w:spacing w:after="0" w:line="1" w:lineRule="exact"/>
        <w:rPr>
          <w:rFonts w:ascii="Arial" w:cs="Arial" w:eastAsia="Arial" w:hAnsi="Arial"/>
          <w:sz w:val="13"/>
          <w:szCs w:val="13"/>
          <w:i w:val="1"/>
          <w:iCs w:val="1"/>
          <w:color w:val="auto"/>
        </w:rPr>
      </w:pPr>
    </w:p>
    <w:p>
      <w:pPr>
        <w:jc w:val="both"/>
        <w:ind w:left="660" w:right="680" w:hanging="10"/>
        <w:spacing w:after="0" w:line="226" w:lineRule="auto"/>
        <w:tabs>
          <w:tab w:leader="none" w:pos="919" w:val="left"/>
        </w:tabs>
        <w:numPr>
          <w:ilvl w:val="0"/>
          <w:numId w:val="91"/>
        </w:numPr>
        <w:rPr>
          <w:rFonts w:ascii="Arial" w:cs="Arial" w:eastAsia="Arial" w:hAnsi="Arial"/>
          <w:sz w:val="13"/>
          <w:szCs w:val="13"/>
          <w:i w:val="1"/>
          <w:iCs w:val="1"/>
          <w:color w:val="auto"/>
        </w:rPr>
      </w:pPr>
      <w:r>
        <w:rPr>
          <w:rFonts w:ascii="Arial" w:cs="Arial" w:eastAsia="Arial" w:hAnsi="Arial"/>
          <w:sz w:val="13"/>
          <w:szCs w:val="13"/>
          <w:i w:val="1"/>
          <w:iCs w:val="1"/>
          <w:color w:val="auto"/>
        </w:rPr>
        <w:t>For Mr. King and Mr. Netto, amounts in this column reflect the unvested portion of Performance-Based RSU awards granted in 2021 and 2022 that were earned based on 2021 performance and 2022 performance, respectively, and which vest in substantially equal installments on the first three anniversaries of the grant date.</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2023 Option Exercises and Stock Vested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The following table shows the number of stock options exercised and stock vested in 2023 by each of the NEOs:</w:t>
      </w:r>
    </w:p>
    <w:p>
      <w:pPr>
        <w:spacing w:after="0" w:line="87" w:lineRule="exact"/>
        <w:rPr>
          <w:sz w:val="20"/>
          <w:szCs w:val="20"/>
          <w:color w:val="auto"/>
        </w:rPr>
      </w:pPr>
    </w:p>
    <w:tbl>
      <w:tblPr>
        <w:tblLayout w:type="fixed"/>
        <w:tblInd w:w="640" w:type="dxa"/>
        <w:tblCellMar>
          <w:top w:w="0" w:type="dxa"/>
          <w:left w:w="0" w:type="dxa"/>
          <w:bottom w:w="0" w:type="dxa"/>
          <w:right w:w="0" w:type="dxa"/>
        </w:tblCellMar>
      </w:tblPr>
      <w:tr>
        <w:trPr>
          <w:trHeight w:val="330"/>
        </w:trPr>
        <w:tc>
          <w:tcPr>
            <w:tcW w:w="100" w:type="dxa"/>
            <w:vAlign w:val="bottom"/>
            <w:shd w:val="clear" w:color="auto" w:fill="CF1D4C"/>
          </w:tcPr>
          <w:p>
            <w:pPr>
              <w:spacing w:after="0"/>
              <w:rPr>
                <w:sz w:val="24"/>
                <w:szCs w:val="24"/>
                <w:color w:val="auto"/>
              </w:rPr>
            </w:pPr>
          </w:p>
        </w:tc>
        <w:tc>
          <w:tcPr>
            <w:tcW w:w="1860" w:type="dxa"/>
            <w:vAlign w:val="bottom"/>
            <w:shd w:val="clear" w:color="auto" w:fill="CF1D4C"/>
          </w:tcPr>
          <w:p>
            <w:pPr>
              <w:spacing w:after="0"/>
              <w:rPr>
                <w:sz w:val="24"/>
                <w:szCs w:val="24"/>
                <w:color w:val="auto"/>
              </w:rPr>
            </w:pPr>
          </w:p>
        </w:tc>
        <w:tc>
          <w:tcPr>
            <w:tcW w:w="3220" w:type="dxa"/>
            <w:vAlign w:val="bottom"/>
            <w:gridSpan w:val="2"/>
            <w:shd w:val="clear" w:color="auto" w:fill="CF1D4C"/>
          </w:tcPr>
          <w:p>
            <w:pPr>
              <w:ind w:left="1140"/>
              <w:spacing w:after="0"/>
              <w:rPr>
                <w:sz w:val="20"/>
                <w:szCs w:val="20"/>
                <w:color w:val="auto"/>
              </w:rPr>
            </w:pPr>
            <w:r>
              <w:rPr>
                <w:rFonts w:ascii="Arial" w:cs="Arial" w:eastAsia="Arial" w:hAnsi="Arial"/>
                <w:sz w:val="13"/>
                <w:szCs w:val="13"/>
                <w:b w:val="1"/>
                <w:bCs w:val="1"/>
                <w:color w:val="FFFFFF"/>
              </w:rPr>
              <w:t>OPTION AWARDS</w:t>
            </w:r>
          </w:p>
        </w:tc>
        <w:tc>
          <w:tcPr>
            <w:tcW w:w="3580" w:type="dxa"/>
            <w:vAlign w:val="bottom"/>
            <w:gridSpan w:val="2"/>
            <w:shd w:val="clear" w:color="auto" w:fill="CF1D4C"/>
          </w:tcPr>
          <w:p>
            <w:pPr>
              <w:ind w:left="1280"/>
              <w:spacing w:after="0"/>
              <w:rPr>
                <w:sz w:val="20"/>
                <w:szCs w:val="20"/>
                <w:color w:val="auto"/>
              </w:rPr>
            </w:pPr>
            <w:r>
              <w:rPr>
                <w:rFonts w:ascii="Arial" w:cs="Arial" w:eastAsia="Arial" w:hAnsi="Arial"/>
                <w:sz w:val="13"/>
                <w:szCs w:val="13"/>
                <w:b w:val="1"/>
                <w:bCs w:val="1"/>
                <w:color w:val="FFFFFF"/>
              </w:rPr>
              <w:t>STOCK AWARDS</w:t>
            </w:r>
          </w:p>
        </w:tc>
        <w:tc>
          <w:tcPr>
            <w:tcW w:w="0" w:type="dxa"/>
            <w:vAlign w:val="bottom"/>
          </w:tcPr>
          <w:p>
            <w:pPr>
              <w:spacing w:after="0"/>
              <w:rPr>
                <w:sz w:val="1"/>
                <w:szCs w:val="1"/>
                <w:color w:val="auto"/>
              </w:rPr>
            </w:pPr>
          </w:p>
        </w:tc>
      </w:tr>
      <w:tr>
        <w:trPr>
          <w:trHeight w:val="308"/>
        </w:trPr>
        <w:tc>
          <w:tcPr>
            <w:tcW w:w="100" w:type="dxa"/>
            <w:vAlign w:val="bottom"/>
            <w:shd w:val="clear" w:color="auto" w:fill="CF1D4C"/>
          </w:tcPr>
          <w:p>
            <w:pPr>
              <w:spacing w:after="0"/>
              <w:rPr>
                <w:sz w:val="24"/>
                <w:szCs w:val="24"/>
                <w:color w:val="auto"/>
              </w:rPr>
            </w:pPr>
          </w:p>
        </w:tc>
        <w:tc>
          <w:tcPr>
            <w:tcW w:w="1860" w:type="dxa"/>
            <w:vAlign w:val="bottom"/>
            <w:vMerge w:val="restart"/>
            <w:shd w:val="clear" w:color="auto" w:fill="CF1D4C"/>
          </w:tcPr>
          <w:p>
            <w:pPr>
              <w:ind w:left="60"/>
              <w:spacing w:after="0"/>
              <w:rPr>
                <w:sz w:val="20"/>
                <w:szCs w:val="20"/>
                <w:color w:val="auto"/>
              </w:rPr>
            </w:pPr>
            <w:r>
              <w:rPr>
                <w:rFonts w:ascii="Arial" w:cs="Arial" w:eastAsia="Arial" w:hAnsi="Arial"/>
                <w:sz w:val="13"/>
                <w:szCs w:val="13"/>
                <w:b w:val="1"/>
                <w:bCs w:val="1"/>
                <w:color w:val="FFFFFF"/>
              </w:rPr>
              <w:t>Name</w:t>
            </w:r>
          </w:p>
        </w:tc>
        <w:tc>
          <w:tcPr>
            <w:tcW w:w="1820" w:type="dxa"/>
            <w:vAlign w:val="bottom"/>
            <w:shd w:val="clear" w:color="auto" w:fill="CF1D4C"/>
          </w:tcPr>
          <w:p>
            <w:pPr>
              <w:ind w:left="140"/>
              <w:spacing w:after="0"/>
              <w:rPr>
                <w:sz w:val="20"/>
                <w:szCs w:val="20"/>
                <w:color w:val="auto"/>
              </w:rPr>
            </w:pPr>
            <w:r>
              <w:rPr>
                <w:rFonts w:ascii="Arial" w:cs="Arial" w:eastAsia="Arial" w:hAnsi="Arial"/>
                <w:sz w:val="13"/>
                <w:szCs w:val="13"/>
                <w:b w:val="1"/>
                <w:bCs w:val="1"/>
                <w:color w:val="FFFFFF"/>
              </w:rPr>
              <w:t>Number of Shares</w:t>
            </w:r>
          </w:p>
        </w:tc>
        <w:tc>
          <w:tcPr>
            <w:tcW w:w="1400" w:type="dxa"/>
            <w:vAlign w:val="bottom"/>
            <w:shd w:val="clear" w:color="auto" w:fill="CF1D4C"/>
          </w:tcPr>
          <w:p>
            <w:pPr>
              <w:ind w:left="220"/>
              <w:spacing w:after="0"/>
              <w:rPr>
                <w:sz w:val="20"/>
                <w:szCs w:val="20"/>
                <w:color w:val="auto"/>
              </w:rPr>
            </w:pPr>
            <w:r>
              <w:rPr>
                <w:rFonts w:ascii="Arial" w:cs="Arial" w:eastAsia="Arial" w:hAnsi="Arial"/>
                <w:sz w:val="13"/>
                <w:szCs w:val="13"/>
                <w:b w:val="1"/>
                <w:bCs w:val="1"/>
                <w:color w:val="FFFFFF"/>
              </w:rPr>
              <w:t>Value Realized on</w:t>
            </w:r>
          </w:p>
        </w:tc>
        <w:tc>
          <w:tcPr>
            <w:tcW w:w="1900" w:type="dxa"/>
            <w:vAlign w:val="bottom"/>
            <w:shd w:val="clear" w:color="auto" w:fill="CF1D4C"/>
          </w:tcPr>
          <w:p>
            <w:pPr>
              <w:ind w:left="280"/>
              <w:spacing w:after="0"/>
              <w:rPr>
                <w:sz w:val="20"/>
                <w:szCs w:val="20"/>
                <w:color w:val="auto"/>
              </w:rPr>
            </w:pPr>
            <w:r>
              <w:rPr>
                <w:rFonts w:ascii="Arial" w:cs="Arial" w:eastAsia="Arial" w:hAnsi="Arial"/>
                <w:sz w:val="13"/>
                <w:szCs w:val="13"/>
                <w:b w:val="1"/>
                <w:bCs w:val="1"/>
                <w:color w:val="FFFFFF"/>
              </w:rPr>
              <w:t>Number of Shares</w:t>
            </w:r>
          </w:p>
        </w:tc>
        <w:tc>
          <w:tcPr>
            <w:tcW w:w="1680" w:type="dxa"/>
            <w:vAlign w:val="bottom"/>
            <w:shd w:val="clear" w:color="auto" w:fill="CF1D4C"/>
          </w:tcPr>
          <w:p>
            <w:pPr>
              <w:ind w:left="220"/>
              <w:spacing w:after="0"/>
              <w:rPr>
                <w:sz w:val="20"/>
                <w:szCs w:val="20"/>
                <w:color w:val="auto"/>
              </w:rPr>
            </w:pPr>
            <w:r>
              <w:rPr>
                <w:rFonts w:ascii="Arial" w:cs="Arial" w:eastAsia="Arial" w:hAnsi="Arial"/>
                <w:sz w:val="13"/>
                <w:szCs w:val="13"/>
                <w:b w:val="1"/>
                <w:bCs w:val="1"/>
                <w:color w:val="FFFFFF"/>
              </w:rPr>
              <w:t>Value Realized on</w:t>
            </w:r>
          </w:p>
        </w:tc>
        <w:tc>
          <w:tcPr>
            <w:tcW w:w="0" w:type="dxa"/>
            <w:vAlign w:val="bottom"/>
          </w:tcPr>
          <w:p>
            <w:pPr>
              <w:spacing w:after="0"/>
              <w:rPr>
                <w:sz w:val="1"/>
                <w:szCs w:val="1"/>
                <w:color w:val="auto"/>
              </w:rPr>
            </w:pPr>
          </w:p>
        </w:tc>
      </w:tr>
      <w:tr>
        <w:trPr>
          <w:trHeight w:val="110"/>
        </w:trPr>
        <w:tc>
          <w:tcPr>
            <w:tcW w:w="100" w:type="dxa"/>
            <w:vAlign w:val="bottom"/>
            <w:shd w:val="clear" w:color="auto" w:fill="CF1D4C"/>
          </w:tcPr>
          <w:p>
            <w:pPr>
              <w:spacing w:after="0"/>
              <w:rPr>
                <w:sz w:val="9"/>
                <w:szCs w:val="9"/>
                <w:color w:val="auto"/>
              </w:rPr>
            </w:pPr>
          </w:p>
        </w:tc>
        <w:tc>
          <w:tcPr>
            <w:tcW w:w="1860" w:type="dxa"/>
            <w:vAlign w:val="bottom"/>
            <w:vMerge w:val="continue"/>
            <w:shd w:val="clear" w:color="auto" w:fill="CF1D4C"/>
          </w:tcPr>
          <w:p>
            <w:pPr>
              <w:spacing w:after="0"/>
              <w:rPr>
                <w:sz w:val="9"/>
                <w:szCs w:val="9"/>
                <w:color w:val="auto"/>
              </w:rPr>
            </w:pPr>
          </w:p>
        </w:tc>
        <w:tc>
          <w:tcPr>
            <w:tcW w:w="1820" w:type="dxa"/>
            <w:vAlign w:val="bottom"/>
            <w:vMerge w:val="restart"/>
            <w:shd w:val="clear" w:color="auto" w:fill="CF1D4C"/>
          </w:tcPr>
          <w:p>
            <w:pPr>
              <w:ind w:left="140"/>
              <w:spacing w:after="0"/>
              <w:rPr>
                <w:sz w:val="20"/>
                <w:szCs w:val="20"/>
                <w:color w:val="auto"/>
              </w:rPr>
            </w:pPr>
            <w:r>
              <w:rPr>
                <w:rFonts w:ascii="Arial" w:cs="Arial" w:eastAsia="Arial" w:hAnsi="Arial"/>
                <w:sz w:val="13"/>
                <w:szCs w:val="13"/>
                <w:b w:val="1"/>
                <w:bCs w:val="1"/>
                <w:color w:val="FFFFFF"/>
              </w:rPr>
              <w:t>Acquired on Exercise (#)</w:t>
            </w:r>
          </w:p>
        </w:tc>
        <w:tc>
          <w:tcPr>
            <w:tcW w:w="1400" w:type="dxa"/>
            <w:vAlign w:val="bottom"/>
            <w:vMerge w:val="restart"/>
            <w:shd w:val="clear" w:color="auto" w:fill="CF1D4C"/>
          </w:tcPr>
          <w:p>
            <w:pPr>
              <w:ind w:left="220"/>
              <w:spacing w:after="0"/>
              <w:rPr>
                <w:sz w:val="20"/>
                <w:szCs w:val="20"/>
                <w:color w:val="auto"/>
              </w:rPr>
            </w:pPr>
            <w:r>
              <w:rPr>
                <w:rFonts w:ascii="Arial" w:cs="Arial" w:eastAsia="Arial" w:hAnsi="Arial"/>
                <w:sz w:val="13"/>
                <w:szCs w:val="13"/>
                <w:b w:val="1"/>
                <w:bCs w:val="1"/>
                <w:color w:val="FFFFFF"/>
              </w:rPr>
              <w:t>Exercise ($)</w:t>
            </w:r>
          </w:p>
        </w:tc>
        <w:tc>
          <w:tcPr>
            <w:tcW w:w="1900" w:type="dxa"/>
            <w:vAlign w:val="bottom"/>
            <w:vMerge w:val="restart"/>
            <w:shd w:val="clear" w:color="auto" w:fill="CF1D4C"/>
          </w:tcPr>
          <w:p>
            <w:pPr>
              <w:ind w:left="280"/>
              <w:spacing w:after="0"/>
              <w:rPr>
                <w:sz w:val="20"/>
                <w:szCs w:val="20"/>
                <w:color w:val="auto"/>
              </w:rPr>
            </w:pPr>
            <w:r>
              <w:rPr>
                <w:rFonts w:ascii="Arial" w:cs="Arial" w:eastAsia="Arial" w:hAnsi="Arial"/>
                <w:sz w:val="13"/>
                <w:szCs w:val="13"/>
                <w:b w:val="1"/>
                <w:bCs w:val="1"/>
                <w:color w:val="FFFFFF"/>
              </w:rPr>
              <w:t>Acquired on Vesting (#)</w:t>
            </w:r>
          </w:p>
        </w:tc>
        <w:tc>
          <w:tcPr>
            <w:tcW w:w="1680" w:type="dxa"/>
            <w:vAlign w:val="bottom"/>
            <w:vMerge w:val="restart"/>
            <w:shd w:val="clear" w:color="auto" w:fill="CF1D4C"/>
          </w:tcPr>
          <w:p>
            <w:pPr>
              <w:ind w:left="220"/>
              <w:spacing w:after="0"/>
              <w:rPr>
                <w:sz w:val="20"/>
                <w:szCs w:val="20"/>
                <w:color w:val="auto"/>
              </w:rPr>
            </w:pPr>
            <w:r>
              <w:rPr>
                <w:rFonts w:ascii="Arial" w:cs="Arial" w:eastAsia="Arial" w:hAnsi="Arial"/>
                <w:sz w:val="13"/>
                <w:szCs w:val="13"/>
                <w:b w:val="1"/>
                <w:bCs w:val="1"/>
                <w:color w:val="FFFFFF"/>
              </w:rPr>
              <w:t>Vesting ($)</w:t>
            </w:r>
            <w:r>
              <w:rPr>
                <w:rFonts w:ascii="Arial" w:cs="Arial" w:eastAsia="Arial" w:hAnsi="Arial"/>
                <w:sz w:val="20"/>
                <w:szCs w:val="20"/>
                <w:b w:val="1"/>
                <w:bCs w:val="1"/>
                <w:color w:val="FFFFFF"/>
                <w:vertAlign w:val="superscript"/>
              </w:rPr>
              <w:t>(1)</w:t>
            </w:r>
          </w:p>
        </w:tc>
        <w:tc>
          <w:tcPr>
            <w:tcW w:w="0" w:type="dxa"/>
            <w:vAlign w:val="bottom"/>
          </w:tcPr>
          <w:p>
            <w:pPr>
              <w:spacing w:after="0"/>
              <w:rPr>
                <w:sz w:val="1"/>
                <w:szCs w:val="1"/>
                <w:color w:val="auto"/>
              </w:rPr>
            </w:pPr>
          </w:p>
        </w:tc>
      </w:tr>
      <w:tr>
        <w:trPr>
          <w:trHeight w:val="157"/>
        </w:trPr>
        <w:tc>
          <w:tcPr>
            <w:tcW w:w="100" w:type="dxa"/>
            <w:vAlign w:val="bottom"/>
            <w:shd w:val="clear" w:color="auto" w:fill="CF1D4C"/>
          </w:tcPr>
          <w:p>
            <w:pPr>
              <w:spacing w:after="0"/>
              <w:rPr>
                <w:sz w:val="13"/>
                <w:szCs w:val="13"/>
                <w:color w:val="auto"/>
              </w:rPr>
            </w:pPr>
          </w:p>
        </w:tc>
        <w:tc>
          <w:tcPr>
            <w:tcW w:w="1860" w:type="dxa"/>
            <w:vAlign w:val="bottom"/>
            <w:shd w:val="clear" w:color="auto" w:fill="CF1D4C"/>
          </w:tcPr>
          <w:p>
            <w:pPr>
              <w:spacing w:after="0"/>
              <w:rPr>
                <w:sz w:val="13"/>
                <w:szCs w:val="13"/>
                <w:color w:val="auto"/>
              </w:rPr>
            </w:pPr>
          </w:p>
        </w:tc>
        <w:tc>
          <w:tcPr>
            <w:tcW w:w="1820" w:type="dxa"/>
            <w:vAlign w:val="bottom"/>
            <w:vMerge w:val="continue"/>
            <w:shd w:val="clear" w:color="auto" w:fill="CF1D4C"/>
          </w:tcPr>
          <w:p>
            <w:pPr>
              <w:spacing w:after="0"/>
              <w:rPr>
                <w:sz w:val="13"/>
                <w:szCs w:val="13"/>
                <w:color w:val="auto"/>
              </w:rPr>
            </w:pPr>
          </w:p>
        </w:tc>
        <w:tc>
          <w:tcPr>
            <w:tcW w:w="1400" w:type="dxa"/>
            <w:vAlign w:val="bottom"/>
            <w:vMerge w:val="continue"/>
            <w:shd w:val="clear" w:color="auto" w:fill="CF1D4C"/>
          </w:tcPr>
          <w:p>
            <w:pPr>
              <w:spacing w:after="0"/>
              <w:rPr>
                <w:sz w:val="13"/>
                <w:szCs w:val="13"/>
                <w:color w:val="auto"/>
              </w:rPr>
            </w:pPr>
          </w:p>
        </w:tc>
        <w:tc>
          <w:tcPr>
            <w:tcW w:w="1900" w:type="dxa"/>
            <w:vAlign w:val="bottom"/>
            <w:vMerge w:val="continue"/>
            <w:shd w:val="clear" w:color="auto" w:fill="CF1D4C"/>
          </w:tcPr>
          <w:p>
            <w:pPr>
              <w:spacing w:after="0"/>
              <w:rPr>
                <w:sz w:val="13"/>
                <w:szCs w:val="13"/>
                <w:color w:val="auto"/>
              </w:rPr>
            </w:pPr>
          </w:p>
        </w:tc>
        <w:tc>
          <w:tcPr>
            <w:tcW w:w="1680" w:type="dxa"/>
            <w:vAlign w:val="bottom"/>
            <w:vMerge w:val="continue"/>
            <w:shd w:val="clear" w:color="auto" w:fill="CF1D4C"/>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00" w:type="dxa"/>
            <w:vAlign w:val="bottom"/>
          </w:tcPr>
          <w:p>
            <w:pPr>
              <w:spacing w:after="0"/>
              <w:rPr>
                <w:sz w:val="23"/>
                <w:szCs w:val="23"/>
                <w:color w:val="auto"/>
              </w:rPr>
            </w:pPr>
          </w:p>
        </w:tc>
        <w:tc>
          <w:tcPr>
            <w:tcW w:w="1860" w:type="dxa"/>
            <w:vAlign w:val="bottom"/>
          </w:tcPr>
          <w:p>
            <w:pPr>
              <w:ind w:left="60"/>
              <w:spacing w:after="0"/>
              <w:rPr>
                <w:sz w:val="20"/>
                <w:szCs w:val="20"/>
                <w:color w:val="auto"/>
              </w:rPr>
            </w:pPr>
            <w:r>
              <w:rPr>
                <w:rFonts w:ascii="Arial" w:cs="Arial" w:eastAsia="Arial" w:hAnsi="Arial"/>
                <w:sz w:val="14"/>
                <w:szCs w:val="14"/>
                <w:b w:val="1"/>
                <w:bCs w:val="1"/>
                <w:color w:val="333333"/>
              </w:rPr>
              <w:t>Ronald F. Clarke</w:t>
            </w:r>
          </w:p>
        </w:tc>
        <w:tc>
          <w:tcPr>
            <w:tcW w:w="1820" w:type="dxa"/>
            <w:vAlign w:val="bottom"/>
          </w:tcPr>
          <w:p>
            <w:pPr>
              <w:ind w:left="140"/>
              <w:spacing w:after="0"/>
              <w:rPr>
                <w:sz w:val="20"/>
                <w:szCs w:val="20"/>
                <w:color w:val="auto"/>
              </w:rPr>
            </w:pPr>
            <w:r>
              <w:rPr>
                <w:rFonts w:ascii="Arial" w:cs="Arial" w:eastAsia="Arial" w:hAnsi="Arial"/>
                <w:sz w:val="14"/>
                <w:szCs w:val="14"/>
                <w:color w:val="333333"/>
              </w:rPr>
              <w:t>—</w:t>
            </w:r>
          </w:p>
        </w:tc>
        <w:tc>
          <w:tcPr>
            <w:tcW w:w="1400" w:type="dxa"/>
            <w:vAlign w:val="bottom"/>
          </w:tcPr>
          <w:p>
            <w:pPr>
              <w:ind w:left="220"/>
              <w:spacing w:after="0"/>
              <w:rPr>
                <w:sz w:val="20"/>
                <w:szCs w:val="20"/>
                <w:color w:val="auto"/>
              </w:rPr>
            </w:pPr>
            <w:r>
              <w:rPr>
                <w:rFonts w:ascii="Arial" w:cs="Arial" w:eastAsia="Arial" w:hAnsi="Arial"/>
                <w:sz w:val="14"/>
                <w:szCs w:val="14"/>
                <w:color w:val="333333"/>
              </w:rPr>
              <w:t>—</w:t>
            </w:r>
          </w:p>
        </w:tc>
        <w:tc>
          <w:tcPr>
            <w:tcW w:w="1900" w:type="dxa"/>
            <w:vAlign w:val="bottom"/>
          </w:tcPr>
          <w:p>
            <w:pPr>
              <w:ind w:left="280"/>
              <w:spacing w:after="0"/>
              <w:rPr>
                <w:sz w:val="20"/>
                <w:szCs w:val="20"/>
                <w:color w:val="auto"/>
              </w:rPr>
            </w:pPr>
            <w:r>
              <w:rPr>
                <w:rFonts w:ascii="Arial" w:cs="Arial" w:eastAsia="Arial" w:hAnsi="Arial"/>
                <w:sz w:val="14"/>
                <w:szCs w:val="14"/>
                <w:color w:val="333333"/>
              </w:rPr>
              <w:t>—</w:t>
            </w:r>
          </w:p>
        </w:tc>
        <w:tc>
          <w:tcPr>
            <w:tcW w:w="1680" w:type="dxa"/>
            <w:vAlign w:val="bottom"/>
          </w:tcPr>
          <w:p>
            <w:pPr>
              <w:ind w:left="220"/>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0" w:type="dxa"/>
            <w:vAlign w:val="bottom"/>
            <w:tcBorders>
              <w:bottom w:val="single" w:sz="8" w:color="D9D9D9"/>
            </w:tcBorders>
            <w:shd w:val="clear" w:color="auto" w:fill="D9D9D9"/>
          </w:tcPr>
          <w:p>
            <w:pPr>
              <w:spacing w:after="0"/>
              <w:rPr>
                <w:sz w:val="24"/>
                <w:szCs w:val="24"/>
                <w:color w:val="auto"/>
              </w:rPr>
            </w:pPr>
          </w:p>
        </w:tc>
        <w:tc>
          <w:tcPr>
            <w:tcW w:w="186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4"/>
                <w:szCs w:val="14"/>
                <w:b w:val="1"/>
                <w:bCs w:val="1"/>
                <w:color w:val="333333"/>
              </w:rPr>
              <w:t>Tom Panther</w:t>
            </w:r>
          </w:p>
        </w:tc>
        <w:tc>
          <w:tcPr>
            <w:tcW w:w="182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333333"/>
              </w:rPr>
              <w:t>—</w:t>
            </w:r>
          </w:p>
        </w:tc>
        <w:tc>
          <w:tcPr>
            <w:tcW w:w="1400" w:type="dxa"/>
            <w:vAlign w:val="bottom"/>
            <w:tcBorders>
              <w:bottom w:val="single" w:sz="8" w:color="D9D9D9"/>
            </w:tcBorders>
            <w:shd w:val="clear" w:color="auto" w:fill="D9D9D9"/>
          </w:tcPr>
          <w:p>
            <w:pPr>
              <w:ind w:left="220"/>
              <w:spacing w:after="0"/>
              <w:rPr>
                <w:sz w:val="20"/>
                <w:szCs w:val="20"/>
                <w:color w:val="auto"/>
              </w:rPr>
            </w:pPr>
            <w:r>
              <w:rPr>
                <w:rFonts w:ascii="Arial" w:cs="Arial" w:eastAsia="Arial" w:hAnsi="Arial"/>
                <w:sz w:val="14"/>
                <w:szCs w:val="14"/>
                <w:color w:val="333333"/>
              </w:rPr>
              <w:t>—</w:t>
            </w:r>
          </w:p>
        </w:tc>
        <w:tc>
          <w:tcPr>
            <w:tcW w:w="1900" w:type="dxa"/>
            <w:vAlign w:val="bottom"/>
            <w:tcBorders>
              <w:bottom w:val="single" w:sz="8" w:color="D9D9D9"/>
            </w:tcBorders>
            <w:shd w:val="clear" w:color="auto" w:fill="D9D9D9"/>
          </w:tcPr>
          <w:p>
            <w:pPr>
              <w:ind w:left="280"/>
              <w:spacing w:after="0"/>
              <w:rPr>
                <w:sz w:val="20"/>
                <w:szCs w:val="20"/>
                <w:color w:val="auto"/>
              </w:rPr>
            </w:pPr>
            <w:r>
              <w:rPr>
                <w:rFonts w:ascii="Arial" w:cs="Arial" w:eastAsia="Arial" w:hAnsi="Arial"/>
                <w:sz w:val="14"/>
                <w:szCs w:val="14"/>
                <w:color w:val="333333"/>
              </w:rPr>
              <w:t>—</w:t>
            </w:r>
          </w:p>
        </w:tc>
        <w:tc>
          <w:tcPr>
            <w:tcW w:w="1680" w:type="dxa"/>
            <w:vAlign w:val="bottom"/>
            <w:tcBorders>
              <w:bottom w:val="single" w:sz="8" w:color="D9D9D9"/>
            </w:tcBorders>
            <w:shd w:val="clear" w:color="auto" w:fill="D9D9D9"/>
          </w:tcPr>
          <w:p>
            <w:pPr>
              <w:ind w:left="220"/>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268"/>
        </w:trPr>
        <w:tc>
          <w:tcPr>
            <w:tcW w:w="100" w:type="dxa"/>
            <w:vAlign w:val="bottom"/>
          </w:tcPr>
          <w:p>
            <w:pPr>
              <w:spacing w:after="0"/>
              <w:rPr>
                <w:sz w:val="23"/>
                <w:szCs w:val="23"/>
                <w:color w:val="auto"/>
              </w:rPr>
            </w:pPr>
          </w:p>
        </w:tc>
        <w:tc>
          <w:tcPr>
            <w:tcW w:w="1860" w:type="dxa"/>
            <w:vAlign w:val="bottom"/>
          </w:tcPr>
          <w:p>
            <w:pPr>
              <w:ind w:left="60"/>
              <w:spacing w:after="0"/>
              <w:rPr>
                <w:sz w:val="20"/>
                <w:szCs w:val="20"/>
                <w:color w:val="auto"/>
              </w:rPr>
            </w:pPr>
            <w:r>
              <w:rPr>
                <w:rFonts w:ascii="Arial" w:cs="Arial" w:eastAsia="Arial" w:hAnsi="Arial"/>
                <w:sz w:val="14"/>
                <w:szCs w:val="14"/>
                <w:b w:val="1"/>
                <w:bCs w:val="1"/>
                <w:color w:val="333333"/>
              </w:rPr>
              <w:t>Alissa B. Vickery</w:t>
            </w:r>
          </w:p>
        </w:tc>
        <w:tc>
          <w:tcPr>
            <w:tcW w:w="1820" w:type="dxa"/>
            <w:vAlign w:val="bottom"/>
          </w:tcPr>
          <w:p>
            <w:pPr>
              <w:ind w:left="140"/>
              <w:spacing w:after="0"/>
              <w:rPr>
                <w:sz w:val="20"/>
                <w:szCs w:val="20"/>
                <w:color w:val="auto"/>
              </w:rPr>
            </w:pPr>
            <w:r>
              <w:rPr>
                <w:rFonts w:ascii="Arial" w:cs="Arial" w:eastAsia="Arial" w:hAnsi="Arial"/>
                <w:sz w:val="14"/>
                <w:szCs w:val="14"/>
                <w:color w:val="333333"/>
              </w:rPr>
              <w:t>—</w:t>
            </w:r>
          </w:p>
        </w:tc>
        <w:tc>
          <w:tcPr>
            <w:tcW w:w="1400" w:type="dxa"/>
            <w:vAlign w:val="bottom"/>
          </w:tcPr>
          <w:p>
            <w:pPr>
              <w:ind w:left="220"/>
              <w:spacing w:after="0"/>
              <w:rPr>
                <w:sz w:val="20"/>
                <w:szCs w:val="20"/>
                <w:color w:val="auto"/>
              </w:rPr>
            </w:pPr>
            <w:r>
              <w:rPr>
                <w:rFonts w:ascii="Arial" w:cs="Arial" w:eastAsia="Arial" w:hAnsi="Arial"/>
                <w:sz w:val="14"/>
                <w:szCs w:val="14"/>
                <w:color w:val="333333"/>
              </w:rPr>
              <w:t>—</w:t>
            </w:r>
          </w:p>
        </w:tc>
        <w:tc>
          <w:tcPr>
            <w:tcW w:w="1900" w:type="dxa"/>
            <w:vAlign w:val="bottom"/>
          </w:tcPr>
          <w:p>
            <w:pPr>
              <w:ind w:left="280"/>
              <w:spacing w:after="0"/>
              <w:rPr>
                <w:sz w:val="20"/>
                <w:szCs w:val="20"/>
                <w:color w:val="auto"/>
              </w:rPr>
            </w:pPr>
            <w:r>
              <w:rPr>
                <w:rFonts w:ascii="Arial" w:cs="Arial" w:eastAsia="Arial" w:hAnsi="Arial"/>
                <w:sz w:val="14"/>
                <w:szCs w:val="14"/>
                <w:color w:val="333333"/>
              </w:rPr>
              <w:t>1,227</w:t>
            </w:r>
          </w:p>
        </w:tc>
        <w:tc>
          <w:tcPr>
            <w:tcW w:w="1680" w:type="dxa"/>
            <w:vAlign w:val="bottom"/>
          </w:tcPr>
          <w:p>
            <w:pPr>
              <w:ind w:left="220"/>
              <w:spacing w:after="0"/>
              <w:rPr>
                <w:sz w:val="20"/>
                <w:szCs w:val="20"/>
                <w:color w:val="auto"/>
              </w:rPr>
            </w:pPr>
            <w:r>
              <w:rPr>
                <w:rFonts w:ascii="Arial" w:cs="Arial" w:eastAsia="Arial" w:hAnsi="Arial"/>
                <w:sz w:val="14"/>
                <w:szCs w:val="14"/>
                <w:color w:val="333333"/>
              </w:rPr>
              <w:t>$268,191</w:t>
            </w: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0" w:type="dxa"/>
            <w:vAlign w:val="bottom"/>
            <w:tcBorders>
              <w:bottom w:val="single" w:sz="8" w:color="D9D9D9"/>
            </w:tcBorders>
            <w:shd w:val="clear" w:color="auto" w:fill="D9D9D9"/>
          </w:tcPr>
          <w:p>
            <w:pPr>
              <w:spacing w:after="0"/>
              <w:rPr>
                <w:sz w:val="24"/>
                <w:szCs w:val="24"/>
                <w:color w:val="auto"/>
              </w:rPr>
            </w:pPr>
          </w:p>
        </w:tc>
        <w:tc>
          <w:tcPr>
            <w:tcW w:w="186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4"/>
                <w:szCs w:val="14"/>
                <w:b w:val="1"/>
                <w:bCs w:val="1"/>
                <w:color w:val="333333"/>
              </w:rPr>
              <w:t>Armando L. Netto</w:t>
            </w:r>
          </w:p>
        </w:tc>
        <w:tc>
          <w:tcPr>
            <w:tcW w:w="182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333333"/>
              </w:rPr>
              <w:t>—</w:t>
            </w:r>
          </w:p>
        </w:tc>
        <w:tc>
          <w:tcPr>
            <w:tcW w:w="1400" w:type="dxa"/>
            <w:vAlign w:val="bottom"/>
            <w:tcBorders>
              <w:bottom w:val="single" w:sz="8" w:color="D9D9D9"/>
            </w:tcBorders>
            <w:shd w:val="clear" w:color="auto" w:fill="D9D9D9"/>
          </w:tcPr>
          <w:p>
            <w:pPr>
              <w:ind w:left="220"/>
              <w:spacing w:after="0"/>
              <w:rPr>
                <w:sz w:val="20"/>
                <w:szCs w:val="20"/>
                <w:color w:val="auto"/>
              </w:rPr>
            </w:pPr>
            <w:r>
              <w:rPr>
                <w:rFonts w:ascii="Arial" w:cs="Arial" w:eastAsia="Arial" w:hAnsi="Arial"/>
                <w:sz w:val="14"/>
                <w:szCs w:val="14"/>
                <w:color w:val="333333"/>
              </w:rPr>
              <w:t>—</w:t>
            </w:r>
          </w:p>
        </w:tc>
        <w:tc>
          <w:tcPr>
            <w:tcW w:w="1900" w:type="dxa"/>
            <w:vAlign w:val="bottom"/>
            <w:tcBorders>
              <w:bottom w:val="single" w:sz="8" w:color="D9D9D9"/>
            </w:tcBorders>
            <w:shd w:val="clear" w:color="auto" w:fill="D9D9D9"/>
          </w:tcPr>
          <w:p>
            <w:pPr>
              <w:ind w:left="280"/>
              <w:spacing w:after="0"/>
              <w:rPr>
                <w:sz w:val="20"/>
                <w:szCs w:val="20"/>
                <w:color w:val="auto"/>
              </w:rPr>
            </w:pPr>
            <w:r>
              <w:rPr>
                <w:rFonts w:ascii="Arial" w:cs="Arial" w:eastAsia="Arial" w:hAnsi="Arial"/>
                <w:sz w:val="14"/>
                <w:szCs w:val="14"/>
                <w:color w:val="333333"/>
              </w:rPr>
              <w:t>6,929</w:t>
            </w:r>
          </w:p>
        </w:tc>
        <w:tc>
          <w:tcPr>
            <w:tcW w:w="1680" w:type="dxa"/>
            <w:vAlign w:val="bottom"/>
            <w:tcBorders>
              <w:bottom w:val="single" w:sz="8" w:color="D9D9D9"/>
            </w:tcBorders>
            <w:shd w:val="clear" w:color="auto" w:fill="D9D9D9"/>
          </w:tcPr>
          <w:p>
            <w:pPr>
              <w:ind w:left="220"/>
              <w:spacing w:after="0"/>
              <w:rPr>
                <w:sz w:val="20"/>
                <w:szCs w:val="20"/>
                <w:color w:val="auto"/>
              </w:rPr>
            </w:pPr>
            <w:r>
              <w:rPr>
                <w:rFonts w:ascii="Arial" w:cs="Arial" w:eastAsia="Arial" w:hAnsi="Arial"/>
                <w:sz w:val="14"/>
                <w:szCs w:val="14"/>
                <w:color w:val="333333"/>
              </w:rPr>
              <w:t>$1,388,197</w:t>
            </w:r>
          </w:p>
        </w:tc>
        <w:tc>
          <w:tcPr>
            <w:tcW w:w="0" w:type="dxa"/>
            <w:vAlign w:val="bottom"/>
          </w:tcPr>
          <w:p>
            <w:pPr>
              <w:spacing w:after="0"/>
              <w:rPr>
                <w:sz w:val="1"/>
                <w:szCs w:val="1"/>
                <w:color w:val="auto"/>
              </w:rPr>
            </w:pPr>
          </w:p>
        </w:tc>
      </w:tr>
      <w:tr>
        <w:trPr>
          <w:trHeight w:val="268"/>
        </w:trPr>
        <w:tc>
          <w:tcPr>
            <w:tcW w:w="100" w:type="dxa"/>
            <w:vAlign w:val="bottom"/>
          </w:tcPr>
          <w:p>
            <w:pPr>
              <w:spacing w:after="0"/>
              <w:rPr>
                <w:sz w:val="23"/>
                <w:szCs w:val="23"/>
                <w:color w:val="auto"/>
              </w:rPr>
            </w:pPr>
          </w:p>
        </w:tc>
        <w:tc>
          <w:tcPr>
            <w:tcW w:w="1860" w:type="dxa"/>
            <w:vAlign w:val="bottom"/>
          </w:tcPr>
          <w:p>
            <w:pPr>
              <w:ind w:left="60"/>
              <w:spacing w:after="0"/>
              <w:rPr>
                <w:sz w:val="20"/>
                <w:szCs w:val="20"/>
                <w:color w:val="auto"/>
              </w:rPr>
            </w:pPr>
            <w:r>
              <w:rPr>
                <w:rFonts w:ascii="Arial" w:cs="Arial" w:eastAsia="Arial" w:hAnsi="Arial"/>
                <w:sz w:val="14"/>
                <w:szCs w:val="14"/>
                <w:b w:val="1"/>
                <w:bCs w:val="1"/>
                <w:color w:val="333333"/>
              </w:rPr>
              <w:t>Alan King</w:t>
            </w:r>
          </w:p>
        </w:tc>
        <w:tc>
          <w:tcPr>
            <w:tcW w:w="1820" w:type="dxa"/>
            <w:vAlign w:val="bottom"/>
          </w:tcPr>
          <w:p>
            <w:pPr>
              <w:ind w:left="140"/>
              <w:spacing w:after="0"/>
              <w:rPr>
                <w:sz w:val="20"/>
                <w:szCs w:val="20"/>
                <w:color w:val="auto"/>
              </w:rPr>
            </w:pPr>
            <w:r>
              <w:rPr>
                <w:rFonts w:ascii="Arial" w:cs="Arial" w:eastAsia="Arial" w:hAnsi="Arial"/>
                <w:sz w:val="14"/>
                <w:szCs w:val="14"/>
                <w:color w:val="333333"/>
              </w:rPr>
              <w:t>—</w:t>
            </w:r>
          </w:p>
        </w:tc>
        <w:tc>
          <w:tcPr>
            <w:tcW w:w="1400" w:type="dxa"/>
            <w:vAlign w:val="bottom"/>
          </w:tcPr>
          <w:p>
            <w:pPr>
              <w:ind w:left="220"/>
              <w:spacing w:after="0"/>
              <w:rPr>
                <w:sz w:val="20"/>
                <w:szCs w:val="20"/>
                <w:color w:val="auto"/>
              </w:rPr>
            </w:pPr>
            <w:r>
              <w:rPr>
                <w:rFonts w:ascii="Arial" w:cs="Arial" w:eastAsia="Arial" w:hAnsi="Arial"/>
                <w:sz w:val="14"/>
                <w:szCs w:val="14"/>
                <w:color w:val="333333"/>
              </w:rPr>
              <w:t>—</w:t>
            </w:r>
          </w:p>
        </w:tc>
        <w:tc>
          <w:tcPr>
            <w:tcW w:w="1900" w:type="dxa"/>
            <w:vAlign w:val="bottom"/>
          </w:tcPr>
          <w:p>
            <w:pPr>
              <w:ind w:left="280"/>
              <w:spacing w:after="0"/>
              <w:rPr>
                <w:sz w:val="20"/>
                <w:szCs w:val="20"/>
                <w:color w:val="auto"/>
              </w:rPr>
            </w:pPr>
            <w:r>
              <w:rPr>
                <w:rFonts w:ascii="Arial" w:cs="Arial" w:eastAsia="Arial" w:hAnsi="Arial"/>
                <w:sz w:val="14"/>
                <w:szCs w:val="14"/>
                <w:color w:val="333333"/>
              </w:rPr>
              <w:t>6,525</w:t>
            </w:r>
          </w:p>
        </w:tc>
        <w:tc>
          <w:tcPr>
            <w:tcW w:w="1680" w:type="dxa"/>
            <w:vAlign w:val="bottom"/>
          </w:tcPr>
          <w:p>
            <w:pPr>
              <w:ind w:left="220"/>
              <w:spacing w:after="0"/>
              <w:rPr>
                <w:sz w:val="20"/>
                <w:szCs w:val="20"/>
                <w:color w:val="auto"/>
              </w:rPr>
            </w:pPr>
            <w:r>
              <w:rPr>
                <w:rFonts w:ascii="Arial" w:cs="Arial" w:eastAsia="Arial" w:hAnsi="Arial"/>
                <w:sz w:val="14"/>
                <w:szCs w:val="14"/>
                <w:color w:val="333333"/>
              </w:rPr>
              <w:t>$1,306,938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-1310005</wp:posOffset>
            </wp:positionV>
            <wp:extent cx="406336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88" w:lineRule="exact"/>
        <w:rPr>
          <w:sz w:val="20"/>
          <w:szCs w:val="20"/>
          <w:color w:val="auto"/>
        </w:rPr>
      </w:pPr>
    </w:p>
    <w:p>
      <w:pPr>
        <w:ind w:left="660" w:right="660" w:hanging="10"/>
        <w:spacing w:after="0" w:line="232" w:lineRule="auto"/>
        <w:tabs>
          <w:tab w:leader="none" w:pos="849" w:val="left"/>
        </w:tabs>
        <w:numPr>
          <w:ilvl w:val="0"/>
          <w:numId w:val="92"/>
        </w:numPr>
        <w:rPr>
          <w:rFonts w:ascii="Arial" w:cs="Arial" w:eastAsia="Arial" w:hAnsi="Arial"/>
          <w:sz w:val="13"/>
          <w:szCs w:val="13"/>
          <w:i w:val="1"/>
          <w:iCs w:val="1"/>
          <w:color w:val="333333"/>
        </w:rPr>
      </w:pPr>
      <w:r>
        <w:rPr>
          <w:rFonts w:ascii="Arial" w:cs="Arial" w:eastAsia="Arial" w:hAnsi="Arial"/>
          <w:sz w:val="13"/>
          <w:szCs w:val="13"/>
          <w:i w:val="1"/>
          <w:iCs w:val="1"/>
          <w:color w:val="333333"/>
        </w:rPr>
        <w:t>Value realized with respect to stock awards is calculated based on the closing price of our common stock on the New York Stock Exchange on the date of vesting. There is no guarantee the NEOs actually received or will receive the value indicated upon the ultimate disposition of the underlying shares of common stock.</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93"/>
        </w:numPr>
        <w:rPr>
          <w:rFonts w:ascii="Arial" w:cs="Arial" w:eastAsia="Arial" w:hAnsi="Arial"/>
          <w:sz w:val="17"/>
          <w:szCs w:val="17"/>
          <w:b w:val="1"/>
          <w:bCs w:val="1"/>
          <w:color w:val="auto"/>
        </w:rPr>
      </w:pPr>
      <w:r>
        <w:rPr>
          <w:rFonts w:ascii="Arial" w:cs="Arial" w:eastAsia="Arial" w:hAnsi="Arial"/>
          <w:sz w:val="17"/>
          <w:szCs w:val="17"/>
          <w:color w:val="CF1D4C"/>
        </w:rPr>
        <w:t>2023 NAMED EXECUTIVE OFFICER COMPENSATION</w:t>
      </w:r>
    </w:p>
    <w:p>
      <w:pPr>
        <w:sectPr>
          <w:pgSz w:w="11900" w:h="16838" w:orient="portrait"/>
          <w:cols w:equalWidth="0" w:num="1">
            <w:col w:w="9539"/>
          </w:cols>
          <w:pgMar w:left="920" w:top="114"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660" w:right="60"/>
        <w:spacing w:after="0" w:line="281" w:lineRule="auto"/>
        <w:rPr>
          <w:sz w:val="20"/>
          <w:szCs w:val="20"/>
          <w:color w:val="auto"/>
        </w:rPr>
      </w:pPr>
      <w:r>
        <w:rPr>
          <w:rFonts w:ascii="Arial" w:cs="Arial" w:eastAsia="Arial" w:hAnsi="Arial"/>
          <w:sz w:val="18"/>
          <w:szCs w:val="18"/>
          <w:b w:val="1"/>
          <w:bCs w:val="1"/>
          <w:color w:val="CF1D4C"/>
        </w:rPr>
        <w:t>Potential Payments Upon Termination or Change in Control</w:t>
      </w:r>
    </w:p>
    <w:p>
      <w:pPr>
        <w:spacing w:after="0" w:line="168" w:lineRule="exact"/>
        <w:rPr>
          <w:sz w:val="20"/>
          <w:szCs w:val="20"/>
          <w:color w:val="auto"/>
        </w:rPr>
      </w:pPr>
    </w:p>
    <w:p>
      <w:pPr>
        <w:ind w:left="660" w:right="200"/>
        <w:spacing w:after="0" w:line="296" w:lineRule="auto"/>
        <w:rPr>
          <w:sz w:val="20"/>
          <w:szCs w:val="20"/>
          <w:color w:val="auto"/>
        </w:rPr>
      </w:pPr>
      <w:r>
        <w:rPr>
          <w:rFonts w:ascii="Arial" w:cs="Arial" w:eastAsia="Arial" w:hAnsi="Arial"/>
          <w:sz w:val="16"/>
          <w:szCs w:val="16"/>
          <w:b w:val="1"/>
          <w:bCs w:val="1"/>
          <w:color w:val="auto"/>
        </w:rPr>
        <w:t>Employment Agreements, Severance and Change of Control Benefits</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Ronald F. Clarke</w:t>
      </w:r>
    </w:p>
    <w:p>
      <w:pPr>
        <w:spacing w:after="0" w:line="228"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333333"/>
        </w:rPr>
        <w:t>We entered into an employment agreement with Mr. Clarke in 2010, the key terms of which are:</w:t>
      </w:r>
    </w:p>
    <w:p>
      <w:pPr>
        <w:spacing w:after="0" w:line="156" w:lineRule="exact"/>
        <w:rPr>
          <w:sz w:val="20"/>
          <w:szCs w:val="20"/>
          <w:color w:val="auto"/>
        </w:rPr>
      </w:pPr>
    </w:p>
    <w:p>
      <w:pPr>
        <w:ind w:left="880" w:right="120" w:hanging="228"/>
        <w:spacing w:after="0"/>
        <w:rPr>
          <w:sz w:val="20"/>
          <w:szCs w:val="20"/>
          <w:color w:val="auto"/>
        </w:rPr>
      </w:pPr>
      <w:r>
        <w:rPr>
          <w:sz w:val="1"/>
          <w:szCs w:val="1"/>
          <w:color w:val="auto"/>
        </w:rPr>
        <w:drawing>
          <wp:inline distT="0" distB="0" distL="0" distR="0">
            <wp:extent cx="76835" cy="9398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The agreement term automatically renews for successive one-year periods unless we provide notice at least 30 days prior to the expiration date.</w:t>
      </w:r>
    </w:p>
    <w:p>
      <w:pPr>
        <w:spacing w:after="0" w:line="190" w:lineRule="exact"/>
        <w:rPr>
          <w:sz w:val="20"/>
          <w:szCs w:val="20"/>
          <w:color w:val="auto"/>
        </w:rPr>
      </w:pPr>
    </w:p>
    <w:p>
      <w:pPr>
        <w:ind w:left="880" w:right="360" w:hanging="228"/>
        <w:spacing w:after="0"/>
        <w:rPr>
          <w:sz w:val="20"/>
          <w:szCs w:val="20"/>
          <w:color w:val="auto"/>
        </w:rPr>
      </w:pPr>
      <w:r>
        <w:rPr>
          <w:sz w:val="1"/>
          <w:szCs w:val="1"/>
          <w:color w:val="auto"/>
        </w:rPr>
        <w:drawing>
          <wp:inline distT="0" distB="0" distL="0" distR="0">
            <wp:extent cx="76835" cy="93980"/>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Mr. Clarke is entitled to an annual base salary of at least $687,500.</w:t>
      </w:r>
    </w:p>
    <w:p>
      <w:pPr>
        <w:spacing w:after="0" w:line="190" w:lineRule="exact"/>
        <w:rPr>
          <w:sz w:val="20"/>
          <w:szCs w:val="20"/>
          <w:color w:val="auto"/>
        </w:rPr>
      </w:pPr>
    </w:p>
    <w:p>
      <w:pPr>
        <w:ind w:left="880" w:right="60" w:hanging="228"/>
        <w:spacing w:after="0"/>
        <w:rPr>
          <w:sz w:val="20"/>
          <w:szCs w:val="20"/>
          <w:color w:val="auto"/>
        </w:rPr>
      </w:pPr>
      <w:r>
        <w:rPr>
          <w:sz w:val="1"/>
          <w:szCs w:val="1"/>
          <w:color w:val="auto"/>
        </w:rPr>
        <w:drawing>
          <wp:inline distT="0" distB="0" distL="0" distR="0">
            <wp:extent cx="76835" cy="93980"/>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If we terminate Mr. Clarke’s employment other than for “cause” (as defined below), including through non-renewal of the agreement, Mr. Clarke will receive (1) cash severance payments, in equal monthly installments over 12 months, in an amount equal to 150% of his then-current annual base salary plus any accrued and unpaid vacation, (2) payment of his health insurance premiums for coverage under COBRA in amounts equal to those made immediately prior to his termination until, at his election, the earlier of the expiration of the severance period or his commencement of employment with another employer and (3) continuation of coverage during the severance period under our life and disability insurance plans, if permitted by the terms of the plans.</w:t>
      </w:r>
    </w:p>
    <w:p>
      <w:pPr>
        <w:ind w:left="880" w:right="20" w:hanging="228"/>
        <w:spacing w:after="0"/>
        <w:rPr>
          <w:sz w:val="20"/>
          <w:szCs w:val="20"/>
          <w:color w:val="auto"/>
        </w:rPr>
      </w:pPr>
      <w:r>
        <w:rPr>
          <w:sz w:val="1"/>
          <w:szCs w:val="1"/>
          <w:color w:val="auto"/>
        </w:rPr>
        <w:drawing>
          <wp:inline distT="0" distB="0" distL="0" distR="0">
            <wp:extent cx="76835" cy="93980"/>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The employment agreement includes customary non-competition and non-solicitation provisions that apply during his employment with the Company and for one year thereafter, as well as customary confidentiality and intellectual property provisions and a mutual non-disparagement 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“Cause” is defined, in general, to mean: Mr. Clarke’s</w:t>
      </w:r>
    </w:p>
    <w:p>
      <w:pPr>
        <w:spacing w:after="0" w:line="21" w:lineRule="exact"/>
        <w:rPr>
          <w:sz w:val="20"/>
          <w:szCs w:val="20"/>
          <w:color w:val="auto"/>
        </w:rPr>
      </w:pPr>
    </w:p>
    <w:p>
      <w:pPr>
        <w:ind w:right="199" w:firstLine="10"/>
        <w:spacing w:after="0" w:line="246" w:lineRule="auto"/>
        <w:tabs>
          <w:tab w:leader="none" w:pos="243" w:val="left"/>
        </w:tabs>
        <w:numPr>
          <w:ilvl w:val="0"/>
          <w:numId w:val="94"/>
        </w:numPr>
        <w:rPr>
          <w:rFonts w:ascii="Arial" w:cs="Arial" w:eastAsia="Arial" w:hAnsi="Arial"/>
          <w:sz w:val="16"/>
          <w:szCs w:val="16"/>
          <w:color w:val="auto"/>
        </w:rPr>
      </w:pPr>
      <w:r>
        <w:rPr>
          <w:rFonts w:ascii="Arial" w:cs="Arial" w:eastAsia="Arial" w:hAnsi="Arial"/>
          <w:sz w:val="16"/>
          <w:szCs w:val="16"/>
          <w:color w:val="auto"/>
        </w:rPr>
        <w:t>failure to render services to us, (2) commission of an act of disloyalty, gross negligence, dishonesty or breach of fiduciary duty, (3) material breach of the agreement,</w:t>
      </w:r>
    </w:p>
    <w:p>
      <w:pPr>
        <w:spacing w:after="0" w:line="1" w:lineRule="exact"/>
        <w:rPr>
          <w:rFonts w:ascii="Arial" w:cs="Arial" w:eastAsia="Arial" w:hAnsi="Arial"/>
          <w:sz w:val="16"/>
          <w:szCs w:val="16"/>
          <w:color w:val="auto"/>
        </w:rPr>
      </w:pPr>
    </w:p>
    <w:p>
      <w:pPr>
        <w:ind w:right="779" w:firstLine="10"/>
        <w:spacing w:after="0" w:line="246" w:lineRule="auto"/>
        <w:tabs>
          <w:tab w:leader="none" w:pos="243"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commission of any crime or act of fraud or embezzlement, (5) misappropriation of our assets,</w:t>
      </w:r>
    </w:p>
    <w:p>
      <w:pPr>
        <w:ind w:right="459" w:firstLine="10"/>
        <w:spacing w:after="0" w:line="246" w:lineRule="auto"/>
        <w:tabs>
          <w:tab w:leader="none" w:pos="243" w:val="left"/>
        </w:tabs>
        <w:numPr>
          <w:ilvl w:val="0"/>
          <w:numId w:val="96"/>
        </w:numPr>
        <w:rPr>
          <w:rFonts w:ascii="Arial" w:cs="Arial" w:eastAsia="Arial" w:hAnsi="Arial"/>
          <w:sz w:val="16"/>
          <w:szCs w:val="16"/>
          <w:color w:val="auto"/>
        </w:rPr>
      </w:pPr>
      <w:r>
        <w:rPr>
          <w:rFonts w:ascii="Arial" w:cs="Arial" w:eastAsia="Arial" w:hAnsi="Arial"/>
          <w:sz w:val="16"/>
          <w:szCs w:val="16"/>
          <w:color w:val="auto"/>
        </w:rPr>
        <w:t>violation of material policies, (7) commission of acts generating material adverse publicity toward us,</w:t>
      </w:r>
    </w:p>
    <w:p>
      <w:pPr>
        <w:ind w:right="439" w:firstLine="10"/>
        <w:spacing w:after="0" w:line="256" w:lineRule="auto"/>
        <w:tabs>
          <w:tab w:leader="none" w:pos="243"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commission or conviction of a felony, or (9) death or inability due to disability to perform his essential job functions for a period of three consecutive months.</w:t>
      </w:r>
    </w:p>
    <w:p>
      <w:pPr>
        <w:spacing w:after="0" w:line="124" w:lineRule="exact"/>
        <w:rPr>
          <w:sz w:val="20"/>
          <w:szCs w:val="20"/>
          <w:color w:val="auto"/>
        </w:rPr>
      </w:pPr>
    </w:p>
    <w:p>
      <w:pPr>
        <w:ind w:right="339"/>
        <w:spacing w:after="0" w:line="249" w:lineRule="auto"/>
        <w:rPr>
          <w:sz w:val="20"/>
          <w:szCs w:val="20"/>
          <w:color w:val="auto"/>
        </w:rPr>
      </w:pPr>
      <w:r>
        <w:rPr>
          <w:rFonts w:ascii="Arial" w:cs="Arial" w:eastAsia="Arial" w:hAnsi="Arial"/>
          <w:sz w:val="16"/>
          <w:szCs w:val="16"/>
          <w:color w:val="auto"/>
        </w:rPr>
        <w:t>“Good reason” is defined to mean, following a change in control, and without Mr. Clarke’s written consent: (1) a significant diminution in the nature and scope of his authority, duties or responsibilities; (2) a reduction in his annual base salary or total compensation and benefits in the amount of 10% or more; (3) his principal place of employment is relocated to a place that is more than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25 miles from the prior principal place of employment; or</w:t>
      </w:r>
    </w:p>
    <w:p>
      <w:pPr>
        <w:spacing w:after="0" w:line="5" w:lineRule="exact"/>
        <w:rPr>
          <w:sz w:val="20"/>
          <w:szCs w:val="20"/>
          <w:color w:val="auto"/>
        </w:rPr>
      </w:pPr>
    </w:p>
    <w:p>
      <w:pPr>
        <w:ind w:right="139" w:firstLine="10"/>
        <w:spacing w:after="0" w:line="265" w:lineRule="auto"/>
        <w:tabs>
          <w:tab w:leader="none" w:pos="243" w:val="left"/>
        </w:tabs>
        <w:numPr>
          <w:ilvl w:val="0"/>
          <w:numId w:val="98"/>
        </w:numPr>
        <w:rPr>
          <w:rFonts w:ascii="Arial" w:cs="Arial" w:eastAsia="Arial" w:hAnsi="Arial"/>
          <w:sz w:val="16"/>
          <w:szCs w:val="16"/>
          <w:color w:val="auto"/>
        </w:rPr>
      </w:pPr>
      <w:r>
        <w:rPr>
          <w:rFonts w:ascii="Arial" w:cs="Arial" w:eastAsia="Arial" w:hAnsi="Arial"/>
          <w:sz w:val="16"/>
          <w:szCs w:val="16"/>
          <w:color w:val="auto"/>
        </w:rPr>
        <w:t>he is required to be away from his office 25% more than was required prior to the change in control.</w:t>
      </w:r>
    </w:p>
    <w:p>
      <w:pPr>
        <w:spacing w:after="0" w:line="145" w:lineRule="exact"/>
        <w:rPr>
          <w:sz w:val="20"/>
          <w:szCs w:val="20"/>
          <w:color w:val="auto"/>
        </w:rPr>
      </w:pPr>
    </w:p>
    <w:p>
      <w:pPr>
        <w:ind w:right="279"/>
        <w:spacing w:after="0" w:line="260" w:lineRule="auto"/>
        <w:rPr>
          <w:sz w:val="20"/>
          <w:szCs w:val="20"/>
          <w:color w:val="auto"/>
        </w:rPr>
      </w:pPr>
      <w:r>
        <w:rPr>
          <w:rFonts w:ascii="Arial" w:cs="Arial" w:eastAsia="Arial" w:hAnsi="Arial"/>
          <w:sz w:val="16"/>
          <w:szCs w:val="16"/>
          <w:color w:val="auto"/>
        </w:rPr>
        <w:t>“Change in control” for purposes of Mr. Clarke’s employment agreement generally has the meaning given to such term in our 2010 Equity Compensation Plan (the “2010 Plan”), which generally means any of the following:</w:t>
      </w:r>
    </w:p>
    <w:p>
      <w:pPr>
        <w:spacing w:after="0" w:line="2" w:lineRule="exact"/>
        <w:rPr>
          <w:sz w:val="20"/>
          <w:szCs w:val="20"/>
          <w:color w:val="auto"/>
        </w:rPr>
      </w:pPr>
    </w:p>
    <w:p>
      <w:pPr>
        <w:ind w:right="139" w:firstLine="10"/>
        <w:spacing w:after="0" w:line="259" w:lineRule="auto"/>
        <w:tabs>
          <w:tab w:leader="none" w:pos="243"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sale by the Company of all or substantially all of its assets or the consummation by the Company of any merger, consolidation, reorganization, or business combination with any person that results in a substantial change in ownership or leadership, as further described in the definition; (2) the acquisition directly or indirectly by any person or group of beneficial ownership of securities entitled to vote generally in the election of directors of the Company that represent 30% or more of the combined voting power of the Company’s then-outstanding voting securities, subject to certain exceptions as described in the definition; (3) turnover of a majority of the Board, subject to certain exceptions; and (4) the approval by the Company’s shareholders of a liquidation or dissolution of the Company, subject to certain exceptions.</w:t>
      </w:r>
    </w:p>
    <w:p>
      <w:pPr>
        <w:spacing w:after="0" w:line="193" w:lineRule="exact"/>
        <w:rPr>
          <w:sz w:val="20"/>
          <w:szCs w:val="20"/>
          <w:color w:val="auto"/>
        </w:rPr>
      </w:pPr>
    </w:p>
    <w:p>
      <w:pPr>
        <w:sectPr>
          <w:pgSz w:w="11900" w:h="16838" w:orient="portrait"/>
          <w:cols w:equalWidth="0" w:num="2">
            <w:col w:w="4880" w:space="260"/>
            <w:col w:w="4399"/>
          </w:cols>
          <w:pgMar w:left="920" w:top="114" w:right="1440" w:bottom="1440" w:gutter="0" w:footer="0" w:header="0"/>
          <w:type w:val="continuous"/>
        </w:sectPr>
      </w:pPr>
    </w:p>
    <w:p>
      <w:pPr>
        <w:spacing w:after="0"/>
        <w:rPr>
          <w:sz w:val="20"/>
          <w:szCs w:val="20"/>
          <w:color w:val="auto"/>
        </w:rPr>
      </w:pPr>
      <w:r>
        <w:rPr>
          <w:rFonts w:ascii="Arial" w:cs="Arial" w:eastAsia="Arial" w:hAnsi="Arial"/>
          <w:sz w:val="10"/>
          <w:szCs w:val="10"/>
          <w:b w:val="1"/>
          <w:bCs w:val="1"/>
          <w:color w:val="333333"/>
        </w:rPr>
        <w:t xml:space="preserve">56 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100"/>
        </w:numPr>
        <w:rPr>
          <w:rFonts w:ascii="Arial" w:cs="Arial" w:eastAsia="Arial" w:hAnsi="Arial"/>
          <w:sz w:val="17"/>
          <w:szCs w:val="17"/>
          <w:b w:val="1"/>
          <w:bCs w:val="1"/>
          <w:color w:val="auto"/>
        </w:rPr>
      </w:pPr>
      <w:r>
        <w:rPr>
          <w:rFonts w:ascii="Arial" w:cs="Arial" w:eastAsia="Arial" w:hAnsi="Arial"/>
          <w:sz w:val="17"/>
          <w:szCs w:val="17"/>
          <w:color w:val="CF1D4C"/>
        </w:rPr>
        <w:t>2023 NAMED EXECUTIVE OFFICER COMPENSATION</w:t>
      </w:r>
    </w:p>
    <w:p>
      <w:pPr>
        <w:sectPr>
          <w:pgSz w:w="11900" w:h="16838" w:orient="portrait"/>
          <w:cols w:equalWidth="0" w:num="1">
            <w:col w:w="10040"/>
          </w:cols>
          <w:pgMar w:left="920" w:top="114" w:right="9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Other NEOs</w:t>
      </w:r>
    </w:p>
    <w:p>
      <w:pPr>
        <w:spacing w:after="0" w:line="248" w:lineRule="exact"/>
        <w:rPr>
          <w:sz w:val="20"/>
          <w:szCs w:val="20"/>
          <w:color w:val="auto"/>
        </w:rPr>
      </w:pPr>
    </w:p>
    <w:p>
      <w:pPr>
        <w:ind w:left="660" w:right="20"/>
        <w:spacing w:after="0" w:line="250" w:lineRule="auto"/>
        <w:rPr>
          <w:sz w:val="20"/>
          <w:szCs w:val="20"/>
          <w:color w:val="auto"/>
        </w:rPr>
      </w:pPr>
      <w:r>
        <w:rPr>
          <w:rFonts w:ascii="Arial" w:cs="Arial" w:eastAsia="Arial" w:hAnsi="Arial"/>
          <w:sz w:val="16"/>
          <w:szCs w:val="16"/>
          <w:color w:val="333333"/>
        </w:rPr>
        <w:t>We provided offer letters to Messrs. Netto, King, and Panther in connection with their hiring or promotion. As a matter of policy, if any of our NEOs, other than Mr. Clarke, is terminated by us for any reason other than for cause, we will (1) pay cash severance in the amount of one year of continuation of their then-current base salary and</w:t>
      </w:r>
    </w:p>
    <w:p>
      <w:pPr>
        <w:ind w:left="660" w:right="60" w:hanging="10"/>
        <w:spacing w:after="0" w:line="252" w:lineRule="auto"/>
        <w:tabs>
          <w:tab w:leader="none" w:pos="903" w:val="left"/>
        </w:tabs>
        <w:numPr>
          <w:ilvl w:val="0"/>
          <w:numId w:val="101"/>
        </w:numPr>
        <w:rPr>
          <w:rFonts w:ascii="Arial" w:cs="Arial" w:eastAsia="Arial" w:hAnsi="Arial"/>
          <w:sz w:val="16"/>
          <w:szCs w:val="16"/>
          <w:color w:val="333333"/>
        </w:rPr>
      </w:pPr>
      <w:r>
        <w:rPr>
          <w:rFonts w:ascii="Arial" w:cs="Arial" w:eastAsia="Arial" w:hAnsi="Arial"/>
          <w:sz w:val="16"/>
          <w:szCs w:val="16"/>
          <w:color w:val="333333"/>
        </w:rPr>
        <w:t>provide health benefits for one year, each upon execution of a general release. If such termination occurs due to a change in control, we will also pay his or her annual bonus for the year of termination at the target level.</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Equity Awards</w:t>
      </w:r>
    </w:p>
    <w:p>
      <w:pPr>
        <w:spacing w:after="0" w:line="248" w:lineRule="exact"/>
        <w:rPr>
          <w:sz w:val="20"/>
          <w:szCs w:val="20"/>
          <w:color w:val="auto"/>
        </w:rPr>
      </w:pPr>
    </w:p>
    <w:p>
      <w:pPr>
        <w:ind w:left="660" w:right="40"/>
        <w:spacing w:after="0" w:line="252" w:lineRule="auto"/>
        <w:rPr>
          <w:sz w:val="20"/>
          <w:szCs w:val="20"/>
          <w:color w:val="auto"/>
        </w:rPr>
      </w:pPr>
      <w:r>
        <w:rPr>
          <w:rFonts w:ascii="Arial" w:cs="Arial" w:eastAsia="Arial" w:hAnsi="Arial"/>
          <w:sz w:val="16"/>
          <w:szCs w:val="16"/>
          <w:color w:val="333333"/>
        </w:rPr>
        <w:t>Our NEOs also have rights under outstanding equity awards, (other than Mr. Clarke's 2021 CEO Performance Option), which will accelerate as follows: (1) in the event of a change in control, all unvested equity awards will vest in full; (2) in the event of retirement, death or disability, all unvested equity awards that are scheduled to vest in the year in which the retirement, death or disability occurs will vest (with the remainder being forfeited).</w:t>
      </w:r>
    </w:p>
    <w:p>
      <w:pPr>
        <w:spacing w:after="0" w:line="142"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333333"/>
        </w:rPr>
        <w:t>Mr. Clarke’s 2021 CEO Performance Option is subject to alternative vesting provisions in the event of a termination of his service or a change in control. If Mr. Clarke’s service is terminated by the Company without “cause” (as defined in the award agreement) or by Mr. Clarke for “good reason” (as defined in the award agreement) other than in connection with a change in control as described below, the unvested portion of the award will remain eligible to vest subject to the degree of achievement of the applicable stock price hurdles as of the date of termination, and the vested portion of the option will remain exercisable until the earlier of the 91st day after termination and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right="680"/>
        <w:spacing w:after="0" w:line="250" w:lineRule="auto"/>
        <w:rPr>
          <w:sz w:val="20"/>
          <w:szCs w:val="20"/>
          <w:color w:val="auto"/>
        </w:rPr>
      </w:pPr>
      <w:r>
        <w:rPr>
          <w:rFonts w:ascii="Arial" w:cs="Arial" w:eastAsia="Arial" w:hAnsi="Arial"/>
          <w:sz w:val="16"/>
          <w:szCs w:val="16"/>
          <w:color w:val="auto"/>
        </w:rPr>
        <w:t>If Mr. Clarke’s employment terminates due to his death or disability, then the unvested portion of the award will vest (if at all) subject to the degree of achievement of the stock price hurdles, including during the one-year period following the date of termination, and the vested option will remain exercisable until the 366th day after termination or (if earlier) December 31, 2024. If Mr. Clarke dies or becomes disabled after ceasing active service (other than for cause), then the vested portion of the option will remain exercisable until the earlier of the 366th day after the date of such death or disability and December 31, 2024.</w:t>
      </w:r>
    </w:p>
    <w:p>
      <w:pPr>
        <w:spacing w:after="0" w:line="160" w:lineRule="exact"/>
        <w:rPr>
          <w:sz w:val="20"/>
          <w:szCs w:val="20"/>
          <w:color w:val="auto"/>
        </w:rPr>
      </w:pPr>
    </w:p>
    <w:p>
      <w:pPr>
        <w:ind w:right="680"/>
        <w:spacing w:after="0" w:line="249" w:lineRule="auto"/>
        <w:rPr>
          <w:sz w:val="20"/>
          <w:szCs w:val="20"/>
          <w:color w:val="auto"/>
        </w:rPr>
      </w:pPr>
      <w:r>
        <w:rPr>
          <w:rFonts w:ascii="Arial" w:cs="Arial" w:eastAsia="Arial" w:hAnsi="Arial"/>
          <w:sz w:val="16"/>
          <w:szCs w:val="16"/>
          <w:color w:val="auto"/>
        </w:rPr>
        <w:t>Mr. Clarke’s award is also subject to double trigger vesting. If the award is not continued, assumed or substituted in connection with a change in control, then the unvested portion of the option will vest based on the degree of attainment of the stock price hurdles as of the day immediately prior to the date of the change in control and Mr. Clarke will have a reasonable right to exercise the vested option as of the date of and immediately prior to the change in control. In the event that the award is continued, assumed or substituted in connection with a change in control, and Mr. Clarke’s service is terminated without cause or for good reason within a period of two years after the change in control, then the unvested option will vest subject to the degree of attainment of the stock price hurdles as of the date of termination, and the option will remain exercisable until the earlier of the 91st day after such termination and December 31, 2024.</w:t>
      </w:r>
    </w:p>
    <w:p>
      <w:pPr>
        <w:spacing w:after="0" w:line="1871" w:lineRule="exact"/>
        <w:rPr>
          <w:sz w:val="20"/>
          <w:szCs w:val="20"/>
          <w:color w:val="auto"/>
        </w:rPr>
      </w:pPr>
    </w:p>
    <w:p>
      <w:pPr>
        <w:sectPr>
          <w:pgSz w:w="11900" w:h="16838" w:orient="portrait"/>
          <w:cols w:equalWidth="0" w:num="2">
            <w:col w:w="4900" w:space="240"/>
            <w:col w:w="4900"/>
          </w:cols>
          <w:pgMar w:left="920" w:top="114" w:right="939" w:bottom="1440" w:gutter="0" w:footer="0" w:header="0"/>
          <w:type w:val="continuous"/>
        </w:sectPr>
      </w:pPr>
    </w:p>
    <w:p>
      <w:pPr>
        <w:ind w:left="7300"/>
        <w:spacing w:after="0"/>
        <w:rPr>
          <w:sz w:val="20"/>
          <w:szCs w:val="20"/>
          <w:color w:val="auto"/>
        </w:rPr>
      </w:pPr>
      <w:r>
        <w:rPr>
          <w:rFonts w:ascii="Arial" w:cs="Arial" w:eastAsia="Arial" w:hAnsi="Arial"/>
          <w:sz w:val="10"/>
          <w:szCs w:val="10"/>
          <w:color w:val="333333"/>
        </w:rPr>
        <w:t xml:space="preserve">2024 Notice of Annual Meeting &amp; Proxy Statement      </w:t>
      </w:r>
      <w:r>
        <w:rPr>
          <w:rFonts w:ascii="Arial" w:cs="Arial" w:eastAsia="Arial" w:hAnsi="Arial"/>
          <w:sz w:val="10"/>
          <w:szCs w:val="10"/>
          <w:b w:val="1"/>
          <w:bCs w:val="1"/>
          <w:color w:val="333333"/>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CF1D4C"/>
        </w:rPr>
        <w:t>2023 NAMED EXECUTIVE OFFICER COMPENSATION</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Quantification of Potential Payments</w:t>
      </w:r>
    </w:p>
    <w:p>
      <w:pPr>
        <w:spacing w:after="0" w:line="248" w:lineRule="exact"/>
        <w:rPr>
          <w:sz w:val="20"/>
          <w:szCs w:val="20"/>
          <w:color w:val="auto"/>
        </w:rPr>
      </w:pPr>
    </w:p>
    <w:p>
      <w:pPr>
        <w:ind w:left="660" w:right="319"/>
        <w:spacing w:after="0" w:line="266" w:lineRule="auto"/>
        <w:rPr>
          <w:sz w:val="20"/>
          <w:szCs w:val="20"/>
          <w:color w:val="auto"/>
        </w:rPr>
      </w:pPr>
      <w:r>
        <w:rPr>
          <w:rFonts w:ascii="Arial" w:cs="Arial" w:eastAsia="Arial" w:hAnsi="Arial"/>
          <w:sz w:val="16"/>
          <w:szCs w:val="16"/>
          <w:color w:val="333333"/>
        </w:rPr>
        <w:t>The following table shows the potential payments to the NEOs upon a termination of employment in various circumstances, including in connection with a change in control. In preparing the table, we assumed the triggering event occurred on December 29, 2023 (the last business day of fiscal 2023).</w:t>
      </w:r>
    </w:p>
    <w:p>
      <w:pPr>
        <w:spacing w:after="0" w:line="118" w:lineRule="exact"/>
        <w:rPr>
          <w:sz w:val="20"/>
          <w:szCs w:val="20"/>
          <w:color w:val="auto"/>
        </w:rPr>
      </w:pPr>
    </w:p>
    <w:tbl>
      <w:tblPr>
        <w:tblLayout w:type="fixed"/>
        <w:tblInd w:w="640" w:type="dxa"/>
        <w:tblCellMar>
          <w:top w:w="0" w:type="dxa"/>
          <w:left w:w="0" w:type="dxa"/>
          <w:bottom w:w="0" w:type="dxa"/>
          <w:right w:w="0" w:type="dxa"/>
        </w:tblCellMar>
      </w:tblPr>
      <w:tr>
        <w:trPr>
          <w:trHeight w:val="252"/>
        </w:trPr>
        <w:tc>
          <w:tcPr>
            <w:tcW w:w="3840" w:type="dxa"/>
            <w:vAlign w:val="bottom"/>
            <w:shd w:val="clear" w:color="auto" w:fill="CF1D4C"/>
          </w:tcPr>
          <w:p>
            <w:pPr>
              <w:spacing w:after="0"/>
              <w:rPr>
                <w:sz w:val="21"/>
                <w:szCs w:val="21"/>
                <w:color w:val="auto"/>
              </w:rPr>
            </w:pPr>
          </w:p>
        </w:tc>
        <w:tc>
          <w:tcPr>
            <w:tcW w:w="1260" w:type="dxa"/>
            <w:vAlign w:val="bottom"/>
            <w:vMerge w:val="restart"/>
            <w:shd w:val="clear" w:color="auto" w:fill="CF1D4C"/>
          </w:tcPr>
          <w:p>
            <w:pPr>
              <w:ind w:left="320"/>
              <w:spacing w:after="0"/>
              <w:rPr>
                <w:sz w:val="20"/>
                <w:szCs w:val="20"/>
                <w:color w:val="auto"/>
              </w:rPr>
            </w:pPr>
            <w:r>
              <w:rPr>
                <w:rFonts w:ascii="Arial" w:cs="Arial" w:eastAsia="Arial" w:hAnsi="Arial"/>
                <w:sz w:val="13"/>
                <w:szCs w:val="13"/>
                <w:b w:val="1"/>
                <w:bCs w:val="1"/>
                <w:color w:val="FFFFFF"/>
              </w:rPr>
              <w:t>Severance</w:t>
            </w:r>
          </w:p>
        </w:tc>
        <w:tc>
          <w:tcPr>
            <w:tcW w:w="1360" w:type="dxa"/>
            <w:vAlign w:val="bottom"/>
            <w:shd w:val="clear" w:color="auto" w:fill="CF1D4C"/>
          </w:tcPr>
          <w:p>
            <w:pPr>
              <w:ind w:left="160"/>
              <w:spacing w:after="0"/>
              <w:rPr>
                <w:sz w:val="20"/>
                <w:szCs w:val="20"/>
                <w:color w:val="auto"/>
              </w:rPr>
            </w:pPr>
            <w:r>
              <w:rPr>
                <w:rFonts w:ascii="Arial" w:cs="Arial" w:eastAsia="Arial" w:hAnsi="Arial"/>
                <w:sz w:val="13"/>
                <w:szCs w:val="13"/>
                <w:b w:val="1"/>
                <w:bCs w:val="1"/>
                <w:color w:val="FFFFFF"/>
              </w:rPr>
              <w:t>Accelerated</w:t>
            </w:r>
          </w:p>
        </w:tc>
        <w:tc>
          <w:tcPr>
            <w:tcW w:w="1160" w:type="dxa"/>
            <w:vAlign w:val="bottom"/>
            <w:shd w:val="clear" w:color="auto" w:fill="CF1D4C"/>
          </w:tcPr>
          <w:p>
            <w:pPr>
              <w:spacing w:after="0"/>
              <w:rPr>
                <w:sz w:val="21"/>
                <w:szCs w:val="21"/>
                <w:color w:val="auto"/>
              </w:rPr>
            </w:pPr>
          </w:p>
        </w:tc>
        <w:tc>
          <w:tcPr>
            <w:tcW w:w="1140" w:type="dxa"/>
            <w:vAlign w:val="bottom"/>
            <w:shd w:val="clear" w:color="auto" w:fill="CF1D4C"/>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3840" w:type="dxa"/>
            <w:vAlign w:val="bottom"/>
            <w:vMerge w:val="restart"/>
            <w:shd w:val="clear" w:color="auto" w:fill="CF1D4C"/>
          </w:tcPr>
          <w:p>
            <w:pPr>
              <w:ind w:left="180"/>
              <w:spacing w:after="0" w:line="139" w:lineRule="exact"/>
              <w:rPr>
                <w:sz w:val="20"/>
                <w:szCs w:val="20"/>
                <w:color w:val="auto"/>
              </w:rPr>
            </w:pPr>
            <w:r>
              <w:rPr>
                <w:rFonts w:ascii="Arial" w:cs="Arial" w:eastAsia="Arial" w:hAnsi="Arial"/>
                <w:sz w:val="13"/>
                <w:szCs w:val="13"/>
                <w:b w:val="1"/>
                <w:bCs w:val="1"/>
                <w:color w:val="FFFFFF"/>
              </w:rPr>
              <w:t>Name</w:t>
            </w:r>
          </w:p>
        </w:tc>
        <w:tc>
          <w:tcPr>
            <w:tcW w:w="1260" w:type="dxa"/>
            <w:vAlign w:val="bottom"/>
            <w:vMerge w:val="continue"/>
            <w:shd w:val="clear" w:color="auto" w:fill="CF1D4C"/>
          </w:tcPr>
          <w:p>
            <w:pPr>
              <w:spacing w:after="0"/>
              <w:rPr>
                <w:sz w:val="6"/>
                <w:szCs w:val="6"/>
                <w:color w:val="auto"/>
              </w:rPr>
            </w:pPr>
          </w:p>
        </w:tc>
        <w:tc>
          <w:tcPr>
            <w:tcW w:w="1360" w:type="dxa"/>
            <w:vAlign w:val="bottom"/>
            <w:vMerge w:val="restart"/>
            <w:shd w:val="clear" w:color="auto" w:fill="CF1D4C"/>
          </w:tcPr>
          <w:p>
            <w:pPr>
              <w:ind w:left="160"/>
              <w:spacing w:after="0" w:line="139" w:lineRule="exact"/>
              <w:rPr>
                <w:sz w:val="20"/>
                <w:szCs w:val="20"/>
                <w:color w:val="auto"/>
              </w:rPr>
            </w:pPr>
            <w:r>
              <w:rPr>
                <w:rFonts w:ascii="Arial" w:cs="Arial" w:eastAsia="Arial" w:hAnsi="Arial"/>
                <w:sz w:val="13"/>
                <w:szCs w:val="13"/>
                <w:b w:val="1"/>
                <w:bCs w:val="1"/>
                <w:color w:val="FFFFFF"/>
              </w:rPr>
              <w:t>Vesting of Equity</w:t>
            </w:r>
          </w:p>
        </w:tc>
        <w:tc>
          <w:tcPr>
            <w:tcW w:w="1160" w:type="dxa"/>
            <w:vAlign w:val="bottom"/>
            <w:vMerge w:val="restart"/>
            <w:shd w:val="clear" w:color="auto" w:fill="CF1D4C"/>
          </w:tcPr>
          <w:p>
            <w:pPr>
              <w:ind w:left="880"/>
              <w:spacing w:after="0"/>
              <w:rPr>
                <w:sz w:val="20"/>
                <w:szCs w:val="20"/>
                <w:color w:val="auto"/>
              </w:rPr>
            </w:pPr>
            <w:r>
              <w:rPr>
                <w:rFonts w:ascii="Arial" w:cs="Arial" w:eastAsia="Arial" w:hAnsi="Arial"/>
                <w:sz w:val="10"/>
                <w:szCs w:val="10"/>
                <w:b w:val="1"/>
                <w:bCs w:val="1"/>
                <w:color w:val="FFFFFF"/>
              </w:rPr>
              <w:t>(3)</w:t>
            </w:r>
          </w:p>
        </w:tc>
        <w:tc>
          <w:tcPr>
            <w:tcW w:w="1140" w:type="dxa"/>
            <w:vAlign w:val="bottom"/>
            <w:vMerge w:val="restart"/>
            <w:shd w:val="clear" w:color="auto" w:fill="CF1D4C"/>
          </w:tcPr>
          <w:p>
            <w:pPr>
              <w:ind w:left="160"/>
              <w:spacing w:after="0" w:line="139" w:lineRule="exact"/>
              <w:rPr>
                <w:sz w:val="20"/>
                <w:szCs w:val="20"/>
                <w:color w:val="auto"/>
              </w:rPr>
            </w:pPr>
            <w:r>
              <w:rPr>
                <w:rFonts w:ascii="Arial" w:cs="Arial" w:eastAsia="Arial" w:hAnsi="Arial"/>
                <w:sz w:val="13"/>
                <w:szCs w:val="13"/>
                <w:b w:val="1"/>
                <w:bCs w:val="1"/>
                <w:color w:val="FFFFFF"/>
              </w:rPr>
              <w:t>Total ($)</w:t>
            </w:r>
          </w:p>
        </w:tc>
        <w:tc>
          <w:tcPr>
            <w:tcW w:w="0" w:type="dxa"/>
            <w:vAlign w:val="bottom"/>
          </w:tcPr>
          <w:p>
            <w:pPr>
              <w:spacing w:after="0"/>
              <w:rPr>
                <w:sz w:val="1"/>
                <w:szCs w:val="1"/>
                <w:color w:val="auto"/>
              </w:rPr>
            </w:pPr>
          </w:p>
        </w:tc>
      </w:tr>
      <w:tr>
        <w:trPr>
          <w:trHeight w:val="64"/>
        </w:trPr>
        <w:tc>
          <w:tcPr>
            <w:tcW w:w="3840" w:type="dxa"/>
            <w:vAlign w:val="bottom"/>
            <w:vMerge w:val="continue"/>
            <w:shd w:val="clear" w:color="auto" w:fill="CF1D4C"/>
          </w:tcPr>
          <w:p>
            <w:pPr>
              <w:spacing w:after="0"/>
              <w:rPr>
                <w:sz w:val="5"/>
                <w:szCs w:val="5"/>
                <w:color w:val="auto"/>
              </w:rPr>
            </w:pPr>
          </w:p>
        </w:tc>
        <w:tc>
          <w:tcPr>
            <w:tcW w:w="1260" w:type="dxa"/>
            <w:vAlign w:val="bottom"/>
            <w:vMerge w:val="restart"/>
            <w:shd w:val="clear" w:color="auto" w:fill="CF1D4C"/>
          </w:tcPr>
          <w:p>
            <w:pPr>
              <w:ind w:left="320"/>
              <w:spacing w:after="0"/>
              <w:rPr>
                <w:sz w:val="20"/>
                <w:szCs w:val="20"/>
                <w:color w:val="auto"/>
              </w:rPr>
            </w:pPr>
            <w:r>
              <w:rPr>
                <w:rFonts w:ascii="Arial" w:cs="Arial" w:eastAsia="Arial" w:hAnsi="Arial"/>
                <w:sz w:val="13"/>
                <w:szCs w:val="13"/>
                <w:b w:val="1"/>
                <w:bCs w:val="1"/>
                <w:color w:val="FFFFFF"/>
              </w:rPr>
              <w:t>Amount ($)</w:t>
            </w:r>
            <w:r>
              <w:rPr>
                <w:rFonts w:ascii="Arial" w:cs="Arial" w:eastAsia="Arial" w:hAnsi="Arial"/>
                <w:sz w:val="20"/>
                <w:szCs w:val="20"/>
                <w:b w:val="1"/>
                <w:bCs w:val="1"/>
                <w:color w:val="FFFFFF"/>
                <w:vertAlign w:val="superscript"/>
              </w:rPr>
              <w:t>(1)</w:t>
            </w:r>
          </w:p>
        </w:tc>
        <w:tc>
          <w:tcPr>
            <w:tcW w:w="1360" w:type="dxa"/>
            <w:vAlign w:val="bottom"/>
            <w:vMerge w:val="continue"/>
            <w:shd w:val="clear" w:color="auto" w:fill="CF1D4C"/>
          </w:tcPr>
          <w:p>
            <w:pPr>
              <w:spacing w:after="0"/>
              <w:rPr>
                <w:sz w:val="5"/>
                <w:szCs w:val="5"/>
                <w:color w:val="auto"/>
              </w:rPr>
            </w:pPr>
          </w:p>
        </w:tc>
        <w:tc>
          <w:tcPr>
            <w:tcW w:w="1160" w:type="dxa"/>
            <w:vAlign w:val="bottom"/>
            <w:vMerge w:val="continue"/>
            <w:shd w:val="clear" w:color="auto" w:fill="CF1D4C"/>
          </w:tcPr>
          <w:p>
            <w:pPr>
              <w:spacing w:after="0"/>
              <w:rPr>
                <w:sz w:val="5"/>
                <w:szCs w:val="5"/>
                <w:color w:val="auto"/>
              </w:rPr>
            </w:pPr>
          </w:p>
        </w:tc>
        <w:tc>
          <w:tcPr>
            <w:tcW w:w="114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840" w:type="dxa"/>
            <w:vAlign w:val="bottom"/>
            <w:shd w:val="clear" w:color="auto" w:fill="CF1D4C"/>
          </w:tcPr>
          <w:p>
            <w:pPr>
              <w:spacing w:after="0"/>
              <w:rPr>
                <w:sz w:val="23"/>
                <w:szCs w:val="23"/>
                <w:color w:val="auto"/>
              </w:rPr>
            </w:pPr>
          </w:p>
        </w:tc>
        <w:tc>
          <w:tcPr>
            <w:tcW w:w="1260" w:type="dxa"/>
            <w:vAlign w:val="bottom"/>
            <w:vMerge w:val="continue"/>
            <w:shd w:val="clear" w:color="auto" w:fill="CF1D4C"/>
          </w:tcPr>
          <w:p>
            <w:pPr>
              <w:spacing w:after="0"/>
              <w:rPr>
                <w:sz w:val="23"/>
                <w:szCs w:val="23"/>
                <w:color w:val="auto"/>
              </w:rPr>
            </w:pPr>
          </w:p>
        </w:tc>
        <w:tc>
          <w:tcPr>
            <w:tcW w:w="1360" w:type="dxa"/>
            <w:vAlign w:val="bottom"/>
            <w:shd w:val="clear" w:color="auto" w:fill="CF1D4C"/>
          </w:tcPr>
          <w:p>
            <w:pPr>
              <w:ind w:left="160"/>
              <w:spacing w:after="0"/>
              <w:rPr>
                <w:sz w:val="20"/>
                <w:szCs w:val="20"/>
                <w:color w:val="auto"/>
              </w:rPr>
            </w:pPr>
            <w:r>
              <w:rPr>
                <w:rFonts w:ascii="Arial" w:cs="Arial" w:eastAsia="Arial" w:hAnsi="Arial"/>
                <w:sz w:val="13"/>
                <w:szCs w:val="13"/>
                <w:b w:val="1"/>
                <w:bCs w:val="1"/>
                <w:color w:val="FFFFFF"/>
              </w:rPr>
              <w:t>Awards ($)</w:t>
            </w:r>
            <w:r>
              <w:rPr>
                <w:rFonts w:ascii="Arial" w:cs="Arial" w:eastAsia="Arial" w:hAnsi="Arial"/>
                <w:sz w:val="20"/>
                <w:szCs w:val="20"/>
                <w:b w:val="1"/>
                <w:bCs w:val="1"/>
                <w:color w:val="FFFFFF"/>
                <w:vertAlign w:val="superscript"/>
              </w:rPr>
              <w:t>(2)</w:t>
            </w:r>
          </w:p>
        </w:tc>
        <w:tc>
          <w:tcPr>
            <w:tcW w:w="1160" w:type="dxa"/>
            <w:vAlign w:val="bottom"/>
            <w:shd w:val="clear" w:color="auto" w:fill="CF1D4C"/>
          </w:tcPr>
          <w:p>
            <w:pPr>
              <w:ind w:left="200"/>
              <w:spacing w:after="0"/>
              <w:rPr>
                <w:sz w:val="20"/>
                <w:szCs w:val="20"/>
                <w:color w:val="auto"/>
              </w:rPr>
            </w:pPr>
            <w:r>
              <w:rPr>
                <w:rFonts w:ascii="Arial" w:cs="Arial" w:eastAsia="Arial" w:hAnsi="Arial"/>
                <w:sz w:val="13"/>
                <w:szCs w:val="13"/>
                <w:b w:val="1"/>
                <w:bCs w:val="1"/>
                <w:color w:val="FFFFFF"/>
              </w:rPr>
              <w:t>Benefits ($)</w:t>
            </w:r>
          </w:p>
        </w:tc>
        <w:tc>
          <w:tcPr>
            <w:tcW w:w="1140" w:type="dxa"/>
            <w:vAlign w:val="bottom"/>
            <w:shd w:val="clear" w:color="auto" w:fill="CF1D4C"/>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3840" w:type="dxa"/>
            <w:vAlign w:val="bottom"/>
          </w:tcPr>
          <w:p>
            <w:pPr>
              <w:ind w:left="180"/>
              <w:spacing w:after="0"/>
              <w:rPr>
                <w:sz w:val="20"/>
                <w:szCs w:val="20"/>
                <w:color w:val="auto"/>
              </w:rPr>
            </w:pPr>
            <w:r>
              <w:rPr>
                <w:rFonts w:ascii="Arial" w:cs="Arial" w:eastAsia="Arial" w:hAnsi="Arial"/>
                <w:sz w:val="13"/>
                <w:szCs w:val="13"/>
                <w:b w:val="1"/>
                <w:bCs w:val="1"/>
                <w:color w:val="333333"/>
              </w:rPr>
              <w:t>Ronald F. Clarke</w:t>
            </w: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38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D9D9D9"/>
          </w:tcPr>
          <w:p>
            <w:pPr>
              <w:ind w:left="360"/>
              <w:spacing w:after="0"/>
              <w:rPr>
                <w:sz w:val="20"/>
                <w:szCs w:val="20"/>
                <w:color w:val="auto"/>
              </w:rPr>
            </w:pPr>
            <w:r>
              <w:rPr>
                <w:rFonts w:ascii="Arial" w:cs="Arial" w:eastAsia="Arial" w:hAnsi="Arial"/>
                <w:sz w:val="13"/>
                <w:szCs w:val="13"/>
                <w:color w:val="333333"/>
              </w:rPr>
              <w:t>Termination without cause</w:t>
            </w:r>
          </w:p>
        </w:tc>
        <w:tc>
          <w:tcPr>
            <w:tcW w:w="1260" w:type="dxa"/>
            <w:vAlign w:val="bottom"/>
            <w:shd w:val="clear" w:color="auto" w:fill="D9D9D9"/>
          </w:tcPr>
          <w:p>
            <w:pPr>
              <w:ind w:left="320"/>
              <w:spacing w:after="0"/>
              <w:rPr>
                <w:sz w:val="20"/>
                <w:szCs w:val="20"/>
                <w:color w:val="auto"/>
              </w:rPr>
            </w:pPr>
            <w:r>
              <w:rPr>
                <w:rFonts w:ascii="Arial" w:cs="Arial" w:eastAsia="Arial" w:hAnsi="Arial"/>
                <w:sz w:val="13"/>
                <w:szCs w:val="13"/>
                <w:color w:val="333333"/>
              </w:rPr>
              <w:t>$1,800,000</w:t>
            </w:r>
          </w:p>
        </w:tc>
        <w:tc>
          <w:tcPr>
            <w:tcW w:w="13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w:t>
            </w:r>
          </w:p>
        </w:tc>
        <w:tc>
          <w:tcPr>
            <w:tcW w:w="116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$25,620</w:t>
            </w:r>
          </w:p>
        </w:tc>
        <w:tc>
          <w:tcPr>
            <w:tcW w:w="114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$1,825,620</w:t>
            </w:r>
          </w:p>
        </w:tc>
        <w:tc>
          <w:tcPr>
            <w:tcW w:w="0" w:type="dxa"/>
            <w:vAlign w:val="bottom"/>
          </w:tcPr>
          <w:p>
            <w:pPr>
              <w:spacing w:after="0"/>
              <w:rPr>
                <w:sz w:val="1"/>
                <w:szCs w:val="1"/>
                <w:color w:val="auto"/>
              </w:rPr>
            </w:pPr>
          </w:p>
        </w:tc>
      </w:tr>
      <w:tr>
        <w:trPr>
          <w:trHeight w:val="68"/>
        </w:trPr>
        <w:tc>
          <w:tcPr>
            <w:tcW w:w="3840" w:type="dxa"/>
            <w:vAlign w:val="bottom"/>
            <w:shd w:val="clear" w:color="auto" w:fill="D9D9D9"/>
          </w:tcPr>
          <w:p>
            <w:pPr>
              <w:spacing w:after="0"/>
              <w:rPr>
                <w:sz w:val="5"/>
                <w:szCs w:val="5"/>
                <w:color w:val="auto"/>
              </w:rPr>
            </w:pPr>
          </w:p>
        </w:tc>
        <w:tc>
          <w:tcPr>
            <w:tcW w:w="1260" w:type="dxa"/>
            <w:vAlign w:val="bottom"/>
            <w:shd w:val="clear" w:color="auto" w:fill="D9D9D9"/>
          </w:tcPr>
          <w:p>
            <w:pPr>
              <w:spacing w:after="0"/>
              <w:rPr>
                <w:sz w:val="5"/>
                <w:szCs w:val="5"/>
                <w:color w:val="auto"/>
              </w:rPr>
            </w:pPr>
          </w:p>
        </w:tc>
        <w:tc>
          <w:tcPr>
            <w:tcW w:w="1360" w:type="dxa"/>
            <w:vAlign w:val="bottom"/>
            <w:shd w:val="clear" w:color="auto" w:fill="D9D9D9"/>
          </w:tcPr>
          <w:p>
            <w:pPr>
              <w:spacing w:after="0"/>
              <w:rPr>
                <w:sz w:val="5"/>
                <w:szCs w:val="5"/>
                <w:color w:val="auto"/>
              </w:rPr>
            </w:pPr>
          </w:p>
        </w:tc>
        <w:tc>
          <w:tcPr>
            <w:tcW w:w="1160" w:type="dxa"/>
            <w:vAlign w:val="bottom"/>
            <w:shd w:val="clear" w:color="auto" w:fill="D9D9D9"/>
          </w:tcPr>
          <w:p>
            <w:pPr>
              <w:spacing w:after="0"/>
              <w:rPr>
                <w:sz w:val="5"/>
                <w:szCs w:val="5"/>
                <w:color w:val="auto"/>
              </w:rPr>
            </w:pPr>
          </w:p>
        </w:tc>
        <w:tc>
          <w:tcPr>
            <w:tcW w:w="114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840" w:type="dxa"/>
            <w:vAlign w:val="bottom"/>
          </w:tcPr>
          <w:p>
            <w:pPr>
              <w:ind w:left="360"/>
              <w:spacing w:after="0"/>
              <w:rPr>
                <w:sz w:val="20"/>
                <w:szCs w:val="20"/>
                <w:color w:val="auto"/>
              </w:rPr>
            </w:pPr>
            <w:r>
              <w:rPr>
                <w:rFonts w:ascii="Arial" w:cs="Arial" w:eastAsia="Arial" w:hAnsi="Arial"/>
                <w:sz w:val="13"/>
                <w:szCs w:val="13"/>
                <w:color w:val="333333"/>
              </w:rPr>
              <w:t>Termination for good reason or termination without cause</w:t>
            </w:r>
          </w:p>
        </w:tc>
        <w:tc>
          <w:tcPr>
            <w:tcW w:w="1260" w:type="dxa"/>
            <w:vAlign w:val="bottom"/>
            <w:vMerge w:val="restart"/>
          </w:tcPr>
          <w:p>
            <w:pPr>
              <w:ind w:left="320"/>
              <w:spacing w:after="0"/>
              <w:rPr>
                <w:sz w:val="20"/>
                <w:szCs w:val="20"/>
                <w:color w:val="auto"/>
              </w:rPr>
            </w:pPr>
            <w:r>
              <w:rPr>
                <w:rFonts w:ascii="Arial" w:cs="Arial" w:eastAsia="Arial" w:hAnsi="Arial"/>
                <w:sz w:val="13"/>
                <w:szCs w:val="13"/>
                <w:color w:val="333333"/>
              </w:rPr>
              <w:t>$1,800,000</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333333"/>
              </w:rPr>
              <w:t>$20,045,214</w:t>
            </w:r>
          </w:p>
        </w:tc>
        <w:tc>
          <w:tcPr>
            <w:tcW w:w="1160" w:type="dxa"/>
            <w:vAlign w:val="bottom"/>
            <w:vMerge w:val="restart"/>
          </w:tcPr>
          <w:p>
            <w:pPr>
              <w:ind w:left="200"/>
              <w:spacing w:after="0"/>
              <w:rPr>
                <w:sz w:val="20"/>
                <w:szCs w:val="20"/>
                <w:color w:val="auto"/>
              </w:rPr>
            </w:pPr>
            <w:r>
              <w:rPr>
                <w:rFonts w:ascii="Arial" w:cs="Arial" w:eastAsia="Arial" w:hAnsi="Arial"/>
                <w:sz w:val="13"/>
                <w:szCs w:val="13"/>
                <w:color w:val="333333"/>
              </w:rPr>
              <w:t>$25,620</w:t>
            </w:r>
          </w:p>
        </w:tc>
        <w:tc>
          <w:tcPr>
            <w:tcW w:w="1140" w:type="dxa"/>
            <w:vAlign w:val="bottom"/>
            <w:vMerge w:val="restart"/>
          </w:tcPr>
          <w:p>
            <w:pPr>
              <w:ind w:left="160"/>
              <w:spacing w:after="0"/>
              <w:rPr>
                <w:sz w:val="20"/>
                <w:szCs w:val="20"/>
                <w:color w:val="auto"/>
              </w:rPr>
            </w:pPr>
            <w:r>
              <w:rPr>
                <w:rFonts w:ascii="Arial" w:cs="Arial" w:eastAsia="Arial" w:hAnsi="Arial"/>
                <w:sz w:val="13"/>
                <w:szCs w:val="13"/>
                <w:color w:val="333333"/>
              </w:rPr>
              <w:t>$21,870,834</w:t>
            </w:r>
          </w:p>
        </w:tc>
        <w:tc>
          <w:tcPr>
            <w:tcW w:w="0" w:type="dxa"/>
            <w:vAlign w:val="bottom"/>
          </w:tcPr>
          <w:p>
            <w:pPr>
              <w:spacing w:after="0"/>
              <w:rPr>
                <w:sz w:val="1"/>
                <w:szCs w:val="1"/>
                <w:color w:val="auto"/>
              </w:rPr>
            </w:pPr>
          </w:p>
        </w:tc>
      </w:tr>
      <w:tr>
        <w:trPr>
          <w:trHeight w:val="98"/>
        </w:trPr>
        <w:tc>
          <w:tcPr>
            <w:tcW w:w="3840" w:type="dxa"/>
            <w:vAlign w:val="bottom"/>
            <w:vMerge w:val="restart"/>
          </w:tcPr>
          <w:p>
            <w:pPr>
              <w:ind w:left="540"/>
              <w:spacing w:after="0"/>
              <w:rPr>
                <w:sz w:val="20"/>
                <w:szCs w:val="20"/>
                <w:color w:val="auto"/>
              </w:rPr>
            </w:pPr>
            <w:r>
              <w:rPr>
                <w:rFonts w:ascii="Arial" w:cs="Arial" w:eastAsia="Arial" w:hAnsi="Arial"/>
                <w:sz w:val="13"/>
                <w:szCs w:val="13"/>
                <w:color w:val="333333"/>
              </w:rPr>
              <w:t>following a change in control</w:t>
            </w:r>
          </w:p>
        </w:tc>
        <w:tc>
          <w:tcPr>
            <w:tcW w:w="12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84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D9D9D9"/>
          </w:tcPr>
          <w:p>
            <w:pPr>
              <w:ind w:left="360"/>
              <w:spacing w:after="0"/>
              <w:rPr>
                <w:sz w:val="20"/>
                <w:szCs w:val="20"/>
                <w:color w:val="auto"/>
              </w:rPr>
            </w:pPr>
            <w:r>
              <w:rPr>
                <w:rFonts w:ascii="Arial" w:cs="Arial" w:eastAsia="Arial" w:hAnsi="Arial"/>
                <w:sz w:val="13"/>
                <w:szCs w:val="13"/>
                <w:color w:val="333333"/>
              </w:rPr>
              <w:t>Change in control</w:t>
            </w:r>
          </w:p>
        </w:tc>
        <w:tc>
          <w:tcPr>
            <w:tcW w:w="1260" w:type="dxa"/>
            <w:vAlign w:val="bottom"/>
            <w:shd w:val="clear" w:color="auto" w:fill="D9D9D9"/>
          </w:tcPr>
          <w:p>
            <w:pPr>
              <w:ind w:left="320"/>
              <w:spacing w:after="0"/>
              <w:rPr>
                <w:sz w:val="20"/>
                <w:szCs w:val="20"/>
                <w:color w:val="auto"/>
              </w:rPr>
            </w:pPr>
            <w:r>
              <w:rPr>
                <w:rFonts w:ascii="Arial" w:cs="Arial" w:eastAsia="Arial" w:hAnsi="Arial"/>
                <w:sz w:val="13"/>
                <w:szCs w:val="13"/>
                <w:color w:val="333333"/>
              </w:rPr>
              <w:t>—</w:t>
            </w:r>
          </w:p>
        </w:tc>
        <w:tc>
          <w:tcPr>
            <w:tcW w:w="13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w:t>
            </w:r>
          </w:p>
        </w:tc>
        <w:tc>
          <w:tcPr>
            <w:tcW w:w="116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w:t>
            </w:r>
          </w:p>
        </w:tc>
        <w:tc>
          <w:tcPr>
            <w:tcW w:w="114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68"/>
        </w:trPr>
        <w:tc>
          <w:tcPr>
            <w:tcW w:w="3840" w:type="dxa"/>
            <w:vAlign w:val="bottom"/>
            <w:shd w:val="clear" w:color="auto" w:fill="D9D9D9"/>
          </w:tcPr>
          <w:p>
            <w:pPr>
              <w:spacing w:after="0"/>
              <w:rPr>
                <w:sz w:val="5"/>
                <w:szCs w:val="5"/>
                <w:color w:val="auto"/>
              </w:rPr>
            </w:pPr>
          </w:p>
        </w:tc>
        <w:tc>
          <w:tcPr>
            <w:tcW w:w="1260" w:type="dxa"/>
            <w:vAlign w:val="bottom"/>
            <w:shd w:val="clear" w:color="auto" w:fill="D9D9D9"/>
          </w:tcPr>
          <w:p>
            <w:pPr>
              <w:spacing w:after="0"/>
              <w:rPr>
                <w:sz w:val="5"/>
                <w:szCs w:val="5"/>
                <w:color w:val="auto"/>
              </w:rPr>
            </w:pPr>
          </w:p>
        </w:tc>
        <w:tc>
          <w:tcPr>
            <w:tcW w:w="1360" w:type="dxa"/>
            <w:vAlign w:val="bottom"/>
            <w:shd w:val="clear" w:color="auto" w:fill="D9D9D9"/>
          </w:tcPr>
          <w:p>
            <w:pPr>
              <w:spacing w:after="0"/>
              <w:rPr>
                <w:sz w:val="5"/>
                <w:szCs w:val="5"/>
                <w:color w:val="auto"/>
              </w:rPr>
            </w:pPr>
          </w:p>
        </w:tc>
        <w:tc>
          <w:tcPr>
            <w:tcW w:w="1160" w:type="dxa"/>
            <w:vAlign w:val="bottom"/>
            <w:shd w:val="clear" w:color="auto" w:fill="D9D9D9"/>
          </w:tcPr>
          <w:p>
            <w:pPr>
              <w:spacing w:after="0"/>
              <w:rPr>
                <w:sz w:val="5"/>
                <w:szCs w:val="5"/>
                <w:color w:val="auto"/>
              </w:rPr>
            </w:pPr>
          </w:p>
        </w:tc>
        <w:tc>
          <w:tcPr>
            <w:tcW w:w="114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3"/>
                <w:szCs w:val="13"/>
                <w:color w:val="333333"/>
              </w:rPr>
              <w:t>Death or disability/Retirement</w:t>
            </w:r>
          </w:p>
        </w:tc>
        <w:tc>
          <w:tcPr>
            <w:tcW w:w="1260" w:type="dxa"/>
            <w:vAlign w:val="bottom"/>
          </w:tcPr>
          <w:p>
            <w:pPr>
              <w:ind w:left="320"/>
              <w:spacing w:after="0"/>
              <w:rPr>
                <w:sz w:val="20"/>
                <w:szCs w:val="20"/>
                <w:color w:val="auto"/>
              </w:rPr>
            </w:pPr>
            <w:r>
              <w:rPr>
                <w:rFonts w:ascii="Arial" w:cs="Arial" w:eastAsia="Arial" w:hAnsi="Arial"/>
                <w:sz w:val="13"/>
                <w:szCs w:val="13"/>
                <w:color w:val="333333"/>
              </w:rPr>
              <w:t>—</w:t>
            </w:r>
          </w:p>
        </w:tc>
        <w:tc>
          <w:tcPr>
            <w:tcW w:w="1360" w:type="dxa"/>
            <w:vAlign w:val="bottom"/>
          </w:tcPr>
          <w:p>
            <w:pPr>
              <w:ind w:left="160"/>
              <w:spacing w:after="0"/>
              <w:rPr>
                <w:sz w:val="20"/>
                <w:szCs w:val="20"/>
                <w:color w:val="auto"/>
              </w:rPr>
            </w:pPr>
            <w:r>
              <w:rPr>
                <w:rFonts w:ascii="Arial" w:cs="Arial" w:eastAsia="Arial" w:hAnsi="Arial"/>
                <w:sz w:val="13"/>
                <w:szCs w:val="13"/>
                <w:color w:val="333333"/>
              </w:rPr>
              <w:t>—</w:t>
            </w:r>
          </w:p>
        </w:tc>
        <w:tc>
          <w:tcPr>
            <w:tcW w:w="1160" w:type="dxa"/>
            <w:vAlign w:val="bottom"/>
          </w:tcPr>
          <w:p>
            <w:pPr>
              <w:ind w:left="200"/>
              <w:spacing w:after="0"/>
              <w:rPr>
                <w:sz w:val="20"/>
                <w:szCs w:val="20"/>
                <w:color w:val="auto"/>
              </w:rPr>
            </w:pPr>
            <w:r>
              <w:rPr>
                <w:rFonts w:ascii="Arial" w:cs="Arial" w:eastAsia="Arial" w:hAnsi="Arial"/>
                <w:sz w:val="13"/>
                <w:szCs w:val="13"/>
                <w:color w:val="333333"/>
              </w:rPr>
              <w:t>—</w:t>
            </w:r>
          </w:p>
        </w:tc>
        <w:tc>
          <w:tcPr>
            <w:tcW w:w="1140" w:type="dxa"/>
            <w:vAlign w:val="bottom"/>
          </w:tcPr>
          <w:p>
            <w:pPr>
              <w:ind w:left="160"/>
              <w:spacing w:after="0"/>
              <w:rPr>
                <w:sz w:val="20"/>
                <w:szCs w:val="20"/>
                <w:color w:val="auto"/>
              </w:rPr>
            </w:pPr>
            <w:r>
              <w:rPr>
                <w:rFonts w:ascii="Arial" w:cs="Arial" w:eastAsia="Arial" w:hAnsi="Arial"/>
                <w:sz w:val="13"/>
                <w:szCs w:val="13"/>
                <w:color w:val="333333"/>
              </w:rPr>
              <w:t>—</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3840" w:type="dxa"/>
            <w:vAlign w:val="bottom"/>
            <w:shd w:val="clear" w:color="auto" w:fill="D9D9D9"/>
          </w:tcPr>
          <w:p>
            <w:pPr>
              <w:ind w:left="180"/>
              <w:spacing w:after="0"/>
              <w:rPr>
                <w:sz w:val="20"/>
                <w:szCs w:val="20"/>
                <w:color w:val="auto"/>
              </w:rPr>
            </w:pPr>
            <w:r>
              <w:rPr>
                <w:rFonts w:ascii="Arial" w:cs="Arial" w:eastAsia="Arial" w:hAnsi="Arial"/>
                <w:sz w:val="13"/>
                <w:szCs w:val="13"/>
                <w:b w:val="1"/>
                <w:bCs w:val="1"/>
                <w:color w:val="333333"/>
              </w:rPr>
              <w:t>Tom Panther</w:t>
            </w:r>
          </w:p>
        </w:tc>
        <w:tc>
          <w:tcPr>
            <w:tcW w:w="1260" w:type="dxa"/>
            <w:vAlign w:val="bottom"/>
            <w:shd w:val="clear" w:color="auto" w:fill="D9D9D9"/>
          </w:tcPr>
          <w:p>
            <w:pPr>
              <w:spacing w:after="0"/>
              <w:rPr>
                <w:sz w:val="20"/>
                <w:szCs w:val="20"/>
                <w:color w:val="auto"/>
              </w:rPr>
            </w:pPr>
          </w:p>
        </w:tc>
        <w:tc>
          <w:tcPr>
            <w:tcW w:w="1360" w:type="dxa"/>
            <w:vAlign w:val="bottom"/>
            <w:shd w:val="clear" w:color="auto" w:fill="D9D9D9"/>
          </w:tcPr>
          <w:p>
            <w:pPr>
              <w:spacing w:after="0"/>
              <w:rPr>
                <w:sz w:val="20"/>
                <w:szCs w:val="20"/>
                <w:color w:val="auto"/>
              </w:rPr>
            </w:pPr>
          </w:p>
        </w:tc>
        <w:tc>
          <w:tcPr>
            <w:tcW w:w="1160" w:type="dxa"/>
            <w:vAlign w:val="bottom"/>
            <w:shd w:val="clear" w:color="auto" w:fill="D9D9D9"/>
          </w:tcPr>
          <w:p>
            <w:pPr>
              <w:spacing w:after="0"/>
              <w:rPr>
                <w:sz w:val="20"/>
                <w:szCs w:val="20"/>
                <w:color w:val="auto"/>
              </w:rPr>
            </w:pPr>
          </w:p>
        </w:tc>
        <w:tc>
          <w:tcPr>
            <w:tcW w:w="114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3840" w:type="dxa"/>
            <w:vAlign w:val="bottom"/>
            <w:shd w:val="clear" w:color="auto" w:fill="D9D9D9"/>
          </w:tcPr>
          <w:p>
            <w:pPr>
              <w:spacing w:after="0"/>
              <w:rPr>
                <w:sz w:val="5"/>
                <w:szCs w:val="5"/>
                <w:color w:val="auto"/>
              </w:rPr>
            </w:pPr>
          </w:p>
        </w:tc>
        <w:tc>
          <w:tcPr>
            <w:tcW w:w="1260" w:type="dxa"/>
            <w:vAlign w:val="bottom"/>
            <w:shd w:val="clear" w:color="auto" w:fill="D9D9D9"/>
          </w:tcPr>
          <w:p>
            <w:pPr>
              <w:spacing w:after="0"/>
              <w:rPr>
                <w:sz w:val="5"/>
                <w:szCs w:val="5"/>
                <w:color w:val="auto"/>
              </w:rPr>
            </w:pPr>
          </w:p>
        </w:tc>
        <w:tc>
          <w:tcPr>
            <w:tcW w:w="1360" w:type="dxa"/>
            <w:vAlign w:val="bottom"/>
            <w:shd w:val="clear" w:color="auto" w:fill="D9D9D9"/>
          </w:tcPr>
          <w:p>
            <w:pPr>
              <w:spacing w:after="0"/>
              <w:rPr>
                <w:sz w:val="5"/>
                <w:szCs w:val="5"/>
                <w:color w:val="auto"/>
              </w:rPr>
            </w:pPr>
          </w:p>
        </w:tc>
        <w:tc>
          <w:tcPr>
            <w:tcW w:w="1160" w:type="dxa"/>
            <w:vAlign w:val="bottom"/>
            <w:shd w:val="clear" w:color="auto" w:fill="D9D9D9"/>
          </w:tcPr>
          <w:p>
            <w:pPr>
              <w:spacing w:after="0"/>
              <w:rPr>
                <w:sz w:val="5"/>
                <w:szCs w:val="5"/>
                <w:color w:val="auto"/>
              </w:rPr>
            </w:pPr>
          </w:p>
        </w:tc>
        <w:tc>
          <w:tcPr>
            <w:tcW w:w="114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3"/>
                <w:szCs w:val="13"/>
                <w:color w:val="333333"/>
              </w:rPr>
              <w:t>Termination without cause</w:t>
            </w:r>
          </w:p>
        </w:tc>
        <w:tc>
          <w:tcPr>
            <w:tcW w:w="1260" w:type="dxa"/>
            <w:vAlign w:val="bottom"/>
          </w:tcPr>
          <w:p>
            <w:pPr>
              <w:ind w:left="320"/>
              <w:spacing w:after="0"/>
              <w:rPr>
                <w:sz w:val="20"/>
                <w:szCs w:val="20"/>
                <w:color w:val="auto"/>
              </w:rPr>
            </w:pPr>
            <w:r>
              <w:rPr>
                <w:rFonts w:ascii="Arial" w:cs="Arial" w:eastAsia="Arial" w:hAnsi="Arial"/>
                <w:sz w:val="13"/>
                <w:szCs w:val="13"/>
                <w:color w:val="333333"/>
              </w:rPr>
              <w:t>​$400,000</w:t>
            </w:r>
          </w:p>
        </w:tc>
        <w:tc>
          <w:tcPr>
            <w:tcW w:w="1360" w:type="dxa"/>
            <w:vAlign w:val="bottom"/>
          </w:tcPr>
          <w:p>
            <w:pPr>
              <w:ind w:left="160"/>
              <w:spacing w:after="0"/>
              <w:rPr>
                <w:sz w:val="20"/>
                <w:szCs w:val="20"/>
                <w:color w:val="auto"/>
              </w:rPr>
            </w:pPr>
            <w:r>
              <w:rPr>
                <w:rFonts w:ascii="Arial" w:cs="Arial" w:eastAsia="Arial" w:hAnsi="Arial"/>
                <w:sz w:val="13"/>
                <w:szCs w:val="13"/>
                <w:color w:val="333333"/>
              </w:rPr>
              <w:t>—</w:t>
            </w:r>
          </w:p>
        </w:tc>
        <w:tc>
          <w:tcPr>
            <w:tcW w:w="1160" w:type="dxa"/>
            <w:vAlign w:val="bottom"/>
          </w:tcPr>
          <w:p>
            <w:pPr>
              <w:ind w:left="200"/>
              <w:spacing w:after="0"/>
              <w:rPr>
                <w:sz w:val="20"/>
                <w:szCs w:val="20"/>
                <w:color w:val="auto"/>
              </w:rPr>
            </w:pPr>
            <w:r>
              <w:rPr>
                <w:rFonts w:ascii="Arial" w:cs="Arial" w:eastAsia="Arial" w:hAnsi="Arial"/>
                <w:sz w:val="13"/>
                <w:szCs w:val="13"/>
                <w:color w:val="333333"/>
              </w:rPr>
              <w:t>$14,734</w:t>
            </w:r>
          </w:p>
        </w:tc>
        <w:tc>
          <w:tcPr>
            <w:tcW w:w="1140" w:type="dxa"/>
            <w:vAlign w:val="bottom"/>
          </w:tcPr>
          <w:p>
            <w:pPr>
              <w:ind w:left="160"/>
              <w:spacing w:after="0"/>
              <w:rPr>
                <w:sz w:val="20"/>
                <w:szCs w:val="20"/>
                <w:color w:val="auto"/>
              </w:rPr>
            </w:pPr>
            <w:r>
              <w:rPr>
                <w:rFonts w:ascii="Arial" w:cs="Arial" w:eastAsia="Arial" w:hAnsi="Arial"/>
                <w:sz w:val="13"/>
                <w:szCs w:val="13"/>
                <w:color w:val="333333"/>
              </w:rPr>
              <w:t>$414,374</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D9D9D9"/>
          </w:tcPr>
          <w:p>
            <w:pPr>
              <w:ind w:left="360"/>
              <w:spacing w:after="0"/>
              <w:rPr>
                <w:sz w:val="20"/>
                <w:szCs w:val="20"/>
                <w:color w:val="auto"/>
              </w:rPr>
            </w:pPr>
            <w:r>
              <w:rPr>
                <w:rFonts w:ascii="Arial" w:cs="Arial" w:eastAsia="Arial" w:hAnsi="Arial"/>
                <w:sz w:val="13"/>
                <w:szCs w:val="13"/>
                <w:color w:val="333333"/>
              </w:rPr>
              <w:t>Termination without cause following a change in control</w:t>
            </w:r>
          </w:p>
        </w:tc>
        <w:tc>
          <w:tcPr>
            <w:tcW w:w="1260" w:type="dxa"/>
            <w:vAlign w:val="bottom"/>
            <w:shd w:val="clear" w:color="auto" w:fill="D9D9D9"/>
          </w:tcPr>
          <w:p>
            <w:pPr>
              <w:ind w:left="320"/>
              <w:spacing w:after="0"/>
              <w:rPr>
                <w:sz w:val="20"/>
                <w:szCs w:val="20"/>
                <w:color w:val="auto"/>
              </w:rPr>
            </w:pPr>
            <w:r>
              <w:rPr>
                <w:rFonts w:ascii="Arial" w:cs="Arial" w:eastAsia="Arial" w:hAnsi="Arial"/>
                <w:sz w:val="13"/>
                <w:szCs w:val="13"/>
                <w:color w:val="333333"/>
              </w:rPr>
              <w:t>$445,000</w:t>
            </w:r>
          </w:p>
        </w:tc>
        <w:tc>
          <w:tcPr>
            <w:tcW w:w="13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$3,167,587</w:t>
            </w:r>
          </w:p>
        </w:tc>
        <w:tc>
          <w:tcPr>
            <w:tcW w:w="116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$14,734</w:t>
            </w:r>
          </w:p>
        </w:tc>
        <w:tc>
          <w:tcPr>
            <w:tcW w:w="114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$3,627,321</w:t>
            </w:r>
          </w:p>
        </w:tc>
        <w:tc>
          <w:tcPr>
            <w:tcW w:w="0" w:type="dxa"/>
            <w:vAlign w:val="bottom"/>
          </w:tcPr>
          <w:p>
            <w:pPr>
              <w:spacing w:after="0"/>
              <w:rPr>
                <w:sz w:val="1"/>
                <w:szCs w:val="1"/>
                <w:color w:val="auto"/>
              </w:rPr>
            </w:pPr>
          </w:p>
        </w:tc>
      </w:tr>
      <w:tr>
        <w:trPr>
          <w:trHeight w:val="68"/>
        </w:trPr>
        <w:tc>
          <w:tcPr>
            <w:tcW w:w="3840" w:type="dxa"/>
            <w:vAlign w:val="bottom"/>
            <w:shd w:val="clear" w:color="auto" w:fill="D9D9D9"/>
          </w:tcPr>
          <w:p>
            <w:pPr>
              <w:spacing w:after="0"/>
              <w:rPr>
                <w:sz w:val="5"/>
                <w:szCs w:val="5"/>
                <w:color w:val="auto"/>
              </w:rPr>
            </w:pPr>
          </w:p>
        </w:tc>
        <w:tc>
          <w:tcPr>
            <w:tcW w:w="1260" w:type="dxa"/>
            <w:vAlign w:val="bottom"/>
            <w:shd w:val="clear" w:color="auto" w:fill="D9D9D9"/>
          </w:tcPr>
          <w:p>
            <w:pPr>
              <w:spacing w:after="0"/>
              <w:rPr>
                <w:sz w:val="5"/>
                <w:szCs w:val="5"/>
                <w:color w:val="auto"/>
              </w:rPr>
            </w:pPr>
          </w:p>
        </w:tc>
        <w:tc>
          <w:tcPr>
            <w:tcW w:w="1360" w:type="dxa"/>
            <w:vAlign w:val="bottom"/>
            <w:shd w:val="clear" w:color="auto" w:fill="D9D9D9"/>
          </w:tcPr>
          <w:p>
            <w:pPr>
              <w:spacing w:after="0"/>
              <w:rPr>
                <w:sz w:val="5"/>
                <w:szCs w:val="5"/>
                <w:color w:val="auto"/>
              </w:rPr>
            </w:pPr>
          </w:p>
        </w:tc>
        <w:tc>
          <w:tcPr>
            <w:tcW w:w="1160" w:type="dxa"/>
            <w:vAlign w:val="bottom"/>
            <w:shd w:val="clear" w:color="auto" w:fill="D9D9D9"/>
          </w:tcPr>
          <w:p>
            <w:pPr>
              <w:spacing w:after="0"/>
              <w:rPr>
                <w:sz w:val="5"/>
                <w:szCs w:val="5"/>
                <w:color w:val="auto"/>
              </w:rPr>
            </w:pPr>
          </w:p>
        </w:tc>
        <w:tc>
          <w:tcPr>
            <w:tcW w:w="114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3"/>
                <w:szCs w:val="13"/>
                <w:color w:val="333333"/>
              </w:rPr>
              <w:t>Change in control</w:t>
            </w:r>
          </w:p>
        </w:tc>
        <w:tc>
          <w:tcPr>
            <w:tcW w:w="1260" w:type="dxa"/>
            <w:vAlign w:val="bottom"/>
          </w:tcPr>
          <w:p>
            <w:pPr>
              <w:ind w:left="320"/>
              <w:spacing w:after="0"/>
              <w:rPr>
                <w:sz w:val="20"/>
                <w:szCs w:val="20"/>
                <w:color w:val="auto"/>
              </w:rPr>
            </w:pPr>
            <w:r>
              <w:rPr>
                <w:rFonts w:ascii="Arial" w:cs="Arial" w:eastAsia="Arial" w:hAnsi="Arial"/>
                <w:sz w:val="13"/>
                <w:szCs w:val="13"/>
                <w:color w:val="333333"/>
              </w:rPr>
              <w:t>—</w:t>
            </w:r>
          </w:p>
        </w:tc>
        <w:tc>
          <w:tcPr>
            <w:tcW w:w="1360" w:type="dxa"/>
            <w:vAlign w:val="bottom"/>
          </w:tcPr>
          <w:p>
            <w:pPr>
              <w:ind w:left="160"/>
              <w:spacing w:after="0"/>
              <w:rPr>
                <w:sz w:val="20"/>
                <w:szCs w:val="20"/>
                <w:color w:val="auto"/>
              </w:rPr>
            </w:pPr>
            <w:r>
              <w:rPr>
                <w:rFonts w:ascii="Arial" w:cs="Arial" w:eastAsia="Arial" w:hAnsi="Arial"/>
                <w:sz w:val="13"/>
                <w:szCs w:val="13"/>
                <w:color w:val="333333"/>
              </w:rPr>
              <w:t>$​3,167,587</w:t>
            </w:r>
          </w:p>
        </w:tc>
        <w:tc>
          <w:tcPr>
            <w:tcW w:w="1160" w:type="dxa"/>
            <w:vAlign w:val="bottom"/>
          </w:tcPr>
          <w:p>
            <w:pPr>
              <w:ind w:left="200"/>
              <w:spacing w:after="0"/>
              <w:rPr>
                <w:sz w:val="20"/>
                <w:szCs w:val="20"/>
                <w:color w:val="auto"/>
              </w:rPr>
            </w:pPr>
            <w:r>
              <w:rPr>
                <w:rFonts w:ascii="Arial" w:cs="Arial" w:eastAsia="Arial" w:hAnsi="Arial"/>
                <w:sz w:val="13"/>
                <w:szCs w:val="13"/>
                <w:color w:val="333333"/>
              </w:rPr>
              <w:t>—</w:t>
            </w:r>
          </w:p>
        </w:tc>
        <w:tc>
          <w:tcPr>
            <w:tcW w:w="1140" w:type="dxa"/>
            <w:vAlign w:val="bottom"/>
          </w:tcPr>
          <w:p>
            <w:pPr>
              <w:ind w:left="160"/>
              <w:spacing w:after="0"/>
              <w:rPr>
                <w:sz w:val="20"/>
                <w:szCs w:val="20"/>
                <w:color w:val="auto"/>
              </w:rPr>
            </w:pPr>
            <w:r>
              <w:rPr>
                <w:rFonts w:ascii="Arial" w:cs="Arial" w:eastAsia="Arial" w:hAnsi="Arial"/>
                <w:sz w:val="13"/>
                <w:szCs w:val="13"/>
                <w:color w:val="333333"/>
              </w:rPr>
              <w:t>​$3,167,587</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D9D9D9"/>
          </w:tcPr>
          <w:p>
            <w:pPr>
              <w:ind w:left="360"/>
              <w:spacing w:after="0"/>
              <w:rPr>
                <w:sz w:val="20"/>
                <w:szCs w:val="20"/>
                <w:color w:val="auto"/>
              </w:rPr>
            </w:pPr>
            <w:r>
              <w:rPr>
                <w:rFonts w:ascii="Arial" w:cs="Arial" w:eastAsia="Arial" w:hAnsi="Arial"/>
                <w:sz w:val="13"/>
                <w:szCs w:val="13"/>
                <w:color w:val="333333"/>
              </w:rPr>
              <w:t>Death or disability/Retirement</w:t>
            </w:r>
          </w:p>
        </w:tc>
        <w:tc>
          <w:tcPr>
            <w:tcW w:w="1260" w:type="dxa"/>
            <w:vAlign w:val="bottom"/>
            <w:shd w:val="clear" w:color="auto" w:fill="D9D9D9"/>
          </w:tcPr>
          <w:p>
            <w:pPr>
              <w:ind w:left="320"/>
              <w:spacing w:after="0"/>
              <w:rPr>
                <w:sz w:val="20"/>
                <w:szCs w:val="20"/>
                <w:color w:val="auto"/>
              </w:rPr>
            </w:pPr>
            <w:r>
              <w:rPr>
                <w:rFonts w:ascii="Arial" w:cs="Arial" w:eastAsia="Arial" w:hAnsi="Arial"/>
                <w:sz w:val="13"/>
                <w:szCs w:val="13"/>
                <w:color w:val="333333"/>
              </w:rPr>
              <w:t>—</w:t>
            </w:r>
          </w:p>
        </w:tc>
        <w:tc>
          <w:tcPr>
            <w:tcW w:w="13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$1,385,552</w:t>
            </w:r>
          </w:p>
        </w:tc>
        <w:tc>
          <w:tcPr>
            <w:tcW w:w="116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w:t>
            </w:r>
          </w:p>
        </w:tc>
        <w:tc>
          <w:tcPr>
            <w:tcW w:w="114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$1,385,552</w:t>
            </w:r>
          </w:p>
        </w:tc>
        <w:tc>
          <w:tcPr>
            <w:tcW w:w="0" w:type="dxa"/>
            <w:vAlign w:val="bottom"/>
          </w:tcPr>
          <w:p>
            <w:pPr>
              <w:spacing w:after="0"/>
              <w:rPr>
                <w:sz w:val="1"/>
                <w:szCs w:val="1"/>
                <w:color w:val="auto"/>
              </w:rPr>
            </w:pPr>
          </w:p>
        </w:tc>
      </w:tr>
      <w:tr>
        <w:trPr>
          <w:trHeight w:val="68"/>
        </w:trPr>
        <w:tc>
          <w:tcPr>
            <w:tcW w:w="3840" w:type="dxa"/>
            <w:vAlign w:val="bottom"/>
            <w:shd w:val="clear" w:color="auto" w:fill="D9D9D9"/>
          </w:tcPr>
          <w:p>
            <w:pPr>
              <w:spacing w:after="0"/>
              <w:rPr>
                <w:sz w:val="5"/>
                <w:szCs w:val="5"/>
                <w:color w:val="auto"/>
              </w:rPr>
            </w:pPr>
          </w:p>
        </w:tc>
        <w:tc>
          <w:tcPr>
            <w:tcW w:w="1260" w:type="dxa"/>
            <w:vAlign w:val="bottom"/>
            <w:shd w:val="clear" w:color="auto" w:fill="D9D9D9"/>
          </w:tcPr>
          <w:p>
            <w:pPr>
              <w:spacing w:after="0"/>
              <w:rPr>
                <w:sz w:val="5"/>
                <w:szCs w:val="5"/>
                <w:color w:val="auto"/>
              </w:rPr>
            </w:pPr>
          </w:p>
        </w:tc>
        <w:tc>
          <w:tcPr>
            <w:tcW w:w="1360" w:type="dxa"/>
            <w:vAlign w:val="bottom"/>
            <w:shd w:val="clear" w:color="auto" w:fill="D9D9D9"/>
          </w:tcPr>
          <w:p>
            <w:pPr>
              <w:spacing w:after="0"/>
              <w:rPr>
                <w:sz w:val="5"/>
                <w:szCs w:val="5"/>
                <w:color w:val="auto"/>
              </w:rPr>
            </w:pPr>
          </w:p>
        </w:tc>
        <w:tc>
          <w:tcPr>
            <w:tcW w:w="1160" w:type="dxa"/>
            <w:vAlign w:val="bottom"/>
            <w:shd w:val="clear" w:color="auto" w:fill="D9D9D9"/>
          </w:tcPr>
          <w:p>
            <w:pPr>
              <w:spacing w:after="0"/>
              <w:rPr>
                <w:sz w:val="5"/>
                <w:szCs w:val="5"/>
                <w:color w:val="auto"/>
              </w:rPr>
            </w:pPr>
          </w:p>
        </w:tc>
        <w:tc>
          <w:tcPr>
            <w:tcW w:w="114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3840" w:type="dxa"/>
            <w:vAlign w:val="bottom"/>
          </w:tcPr>
          <w:p>
            <w:pPr>
              <w:ind w:left="180"/>
              <w:spacing w:after="0"/>
              <w:rPr>
                <w:sz w:val="20"/>
                <w:szCs w:val="20"/>
                <w:color w:val="auto"/>
              </w:rPr>
            </w:pPr>
            <w:r>
              <w:rPr>
                <w:rFonts w:ascii="Arial" w:cs="Arial" w:eastAsia="Arial" w:hAnsi="Arial"/>
                <w:sz w:val="13"/>
                <w:szCs w:val="13"/>
                <w:b w:val="1"/>
                <w:bCs w:val="1"/>
                <w:color w:val="333333"/>
              </w:rPr>
              <w:t>Alissa B. Vickery</w:t>
            </w:r>
            <w:r>
              <w:rPr>
                <w:rFonts w:ascii="Arial" w:cs="Arial" w:eastAsia="Arial" w:hAnsi="Arial"/>
                <w:sz w:val="20"/>
                <w:szCs w:val="20"/>
                <w:b w:val="1"/>
                <w:bCs w:val="1"/>
                <w:color w:val="333333"/>
                <w:vertAlign w:val="superscript"/>
              </w:rPr>
              <w:t>(4)</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D9D9D9"/>
          </w:tcPr>
          <w:p>
            <w:pPr>
              <w:ind w:left="360"/>
              <w:spacing w:after="0"/>
              <w:rPr>
                <w:sz w:val="20"/>
                <w:szCs w:val="20"/>
                <w:color w:val="auto"/>
              </w:rPr>
            </w:pPr>
            <w:r>
              <w:rPr>
                <w:rFonts w:ascii="Arial" w:cs="Arial" w:eastAsia="Arial" w:hAnsi="Arial"/>
                <w:sz w:val="13"/>
                <w:szCs w:val="13"/>
                <w:color w:val="333333"/>
              </w:rPr>
              <w:t>Termination without cause</w:t>
            </w:r>
          </w:p>
        </w:tc>
        <w:tc>
          <w:tcPr>
            <w:tcW w:w="1260" w:type="dxa"/>
            <w:vAlign w:val="bottom"/>
            <w:shd w:val="clear" w:color="auto" w:fill="D9D9D9"/>
          </w:tcPr>
          <w:p>
            <w:pPr>
              <w:ind w:left="320"/>
              <w:spacing w:after="0"/>
              <w:rPr>
                <w:sz w:val="20"/>
                <w:szCs w:val="20"/>
                <w:color w:val="auto"/>
              </w:rPr>
            </w:pPr>
            <w:r>
              <w:rPr>
                <w:rFonts w:ascii="Arial" w:cs="Arial" w:eastAsia="Arial" w:hAnsi="Arial"/>
                <w:sz w:val="13"/>
                <w:szCs w:val="13"/>
                <w:color w:val="333333"/>
              </w:rPr>
              <w:t>$300,000</w:t>
            </w:r>
          </w:p>
        </w:tc>
        <w:tc>
          <w:tcPr>
            <w:tcW w:w="13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w:t>
            </w:r>
          </w:p>
        </w:tc>
        <w:tc>
          <w:tcPr>
            <w:tcW w:w="116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w:t>
            </w:r>
          </w:p>
        </w:tc>
        <w:tc>
          <w:tcPr>
            <w:tcW w:w="114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$300,000</w:t>
            </w:r>
          </w:p>
        </w:tc>
        <w:tc>
          <w:tcPr>
            <w:tcW w:w="0" w:type="dxa"/>
            <w:vAlign w:val="bottom"/>
          </w:tcPr>
          <w:p>
            <w:pPr>
              <w:spacing w:after="0"/>
              <w:rPr>
                <w:sz w:val="1"/>
                <w:szCs w:val="1"/>
                <w:color w:val="auto"/>
              </w:rPr>
            </w:pPr>
          </w:p>
        </w:tc>
      </w:tr>
      <w:tr>
        <w:trPr>
          <w:trHeight w:val="68"/>
        </w:trPr>
        <w:tc>
          <w:tcPr>
            <w:tcW w:w="3840" w:type="dxa"/>
            <w:vAlign w:val="bottom"/>
            <w:shd w:val="clear" w:color="auto" w:fill="D9D9D9"/>
          </w:tcPr>
          <w:p>
            <w:pPr>
              <w:spacing w:after="0"/>
              <w:rPr>
                <w:sz w:val="5"/>
                <w:szCs w:val="5"/>
                <w:color w:val="auto"/>
              </w:rPr>
            </w:pPr>
          </w:p>
        </w:tc>
        <w:tc>
          <w:tcPr>
            <w:tcW w:w="1260" w:type="dxa"/>
            <w:vAlign w:val="bottom"/>
            <w:shd w:val="clear" w:color="auto" w:fill="D9D9D9"/>
          </w:tcPr>
          <w:p>
            <w:pPr>
              <w:spacing w:after="0"/>
              <w:rPr>
                <w:sz w:val="5"/>
                <w:szCs w:val="5"/>
                <w:color w:val="auto"/>
              </w:rPr>
            </w:pPr>
          </w:p>
        </w:tc>
        <w:tc>
          <w:tcPr>
            <w:tcW w:w="1360" w:type="dxa"/>
            <w:vAlign w:val="bottom"/>
            <w:shd w:val="clear" w:color="auto" w:fill="D9D9D9"/>
          </w:tcPr>
          <w:p>
            <w:pPr>
              <w:spacing w:after="0"/>
              <w:rPr>
                <w:sz w:val="5"/>
                <w:szCs w:val="5"/>
                <w:color w:val="auto"/>
              </w:rPr>
            </w:pPr>
          </w:p>
        </w:tc>
        <w:tc>
          <w:tcPr>
            <w:tcW w:w="1160" w:type="dxa"/>
            <w:vAlign w:val="bottom"/>
            <w:shd w:val="clear" w:color="auto" w:fill="D9D9D9"/>
          </w:tcPr>
          <w:p>
            <w:pPr>
              <w:spacing w:after="0"/>
              <w:rPr>
                <w:sz w:val="5"/>
                <w:szCs w:val="5"/>
                <w:color w:val="auto"/>
              </w:rPr>
            </w:pPr>
          </w:p>
        </w:tc>
        <w:tc>
          <w:tcPr>
            <w:tcW w:w="114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3"/>
                <w:szCs w:val="13"/>
                <w:color w:val="333333"/>
              </w:rPr>
              <w:t>Termination without cause following a change in control</w:t>
            </w:r>
          </w:p>
        </w:tc>
        <w:tc>
          <w:tcPr>
            <w:tcW w:w="1260" w:type="dxa"/>
            <w:vAlign w:val="bottom"/>
          </w:tcPr>
          <w:p>
            <w:pPr>
              <w:ind w:left="320"/>
              <w:spacing w:after="0"/>
              <w:rPr>
                <w:sz w:val="20"/>
                <w:szCs w:val="20"/>
                <w:color w:val="auto"/>
              </w:rPr>
            </w:pPr>
            <w:r>
              <w:rPr>
                <w:rFonts w:ascii="Arial" w:cs="Arial" w:eastAsia="Arial" w:hAnsi="Arial"/>
                <w:sz w:val="13"/>
                <w:szCs w:val="13"/>
                <w:color w:val="333333"/>
              </w:rPr>
              <w:t>$330,000</w:t>
            </w:r>
          </w:p>
        </w:tc>
        <w:tc>
          <w:tcPr>
            <w:tcW w:w="1360" w:type="dxa"/>
            <w:vAlign w:val="bottom"/>
          </w:tcPr>
          <w:p>
            <w:pPr>
              <w:ind w:left="160"/>
              <w:spacing w:after="0"/>
              <w:rPr>
                <w:sz w:val="20"/>
                <w:szCs w:val="20"/>
                <w:color w:val="auto"/>
              </w:rPr>
            </w:pPr>
            <w:r>
              <w:rPr>
                <w:rFonts w:ascii="Arial" w:cs="Arial" w:eastAsia="Arial" w:hAnsi="Arial"/>
                <w:sz w:val="13"/>
                <w:szCs w:val="13"/>
                <w:color w:val="333333"/>
              </w:rPr>
              <w:t>$936,701</w:t>
            </w:r>
          </w:p>
        </w:tc>
        <w:tc>
          <w:tcPr>
            <w:tcW w:w="1160" w:type="dxa"/>
            <w:vAlign w:val="bottom"/>
          </w:tcPr>
          <w:p>
            <w:pPr>
              <w:ind w:left="200"/>
              <w:spacing w:after="0"/>
              <w:rPr>
                <w:sz w:val="20"/>
                <w:szCs w:val="20"/>
                <w:color w:val="auto"/>
              </w:rPr>
            </w:pPr>
            <w:r>
              <w:rPr>
                <w:rFonts w:ascii="Arial" w:cs="Arial" w:eastAsia="Arial" w:hAnsi="Arial"/>
                <w:sz w:val="13"/>
                <w:szCs w:val="13"/>
                <w:color w:val="333333"/>
              </w:rPr>
              <w:t>—</w:t>
            </w:r>
          </w:p>
        </w:tc>
        <w:tc>
          <w:tcPr>
            <w:tcW w:w="1140" w:type="dxa"/>
            <w:vAlign w:val="bottom"/>
          </w:tcPr>
          <w:p>
            <w:pPr>
              <w:ind w:left="160"/>
              <w:spacing w:after="0"/>
              <w:rPr>
                <w:sz w:val="20"/>
                <w:szCs w:val="20"/>
                <w:color w:val="auto"/>
              </w:rPr>
            </w:pPr>
            <w:r>
              <w:rPr>
                <w:rFonts w:ascii="Arial" w:cs="Arial" w:eastAsia="Arial" w:hAnsi="Arial"/>
                <w:sz w:val="13"/>
                <w:szCs w:val="13"/>
                <w:color w:val="333333"/>
              </w:rPr>
              <w:t>$1,266,701</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D9D9D9"/>
          </w:tcPr>
          <w:p>
            <w:pPr>
              <w:ind w:left="360"/>
              <w:spacing w:after="0"/>
              <w:rPr>
                <w:sz w:val="20"/>
                <w:szCs w:val="20"/>
                <w:color w:val="auto"/>
              </w:rPr>
            </w:pPr>
            <w:r>
              <w:rPr>
                <w:rFonts w:ascii="Arial" w:cs="Arial" w:eastAsia="Arial" w:hAnsi="Arial"/>
                <w:sz w:val="13"/>
                <w:szCs w:val="13"/>
                <w:color w:val="333333"/>
              </w:rPr>
              <w:t>Change in control</w:t>
            </w:r>
          </w:p>
        </w:tc>
        <w:tc>
          <w:tcPr>
            <w:tcW w:w="1260" w:type="dxa"/>
            <w:vAlign w:val="bottom"/>
            <w:shd w:val="clear" w:color="auto" w:fill="D9D9D9"/>
          </w:tcPr>
          <w:p>
            <w:pPr>
              <w:ind w:left="320"/>
              <w:spacing w:after="0"/>
              <w:rPr>
                <w:sz w:val="20"/>
                <w:szCs w:val="20"/>
                <w:color w:val="auto"/>
              </w:rPr>
            </w:pPr>
            <w:r>
              <w:rPr>
                <w:rFonts w:ascii="Arial" w:cs="Arial" w:eastAsia="Arial" w:hAnsi="Arial"/>
                <w:sz w:val="13"/>
                <w:szCs w:val="13"/>
                <w:color w:val="333333"/>
              </w:rPr>
              <w:t>—</w:t>
            </w:r>
          </w:p>
        </w:tc>
        <w:tc>
          <w:tcPr>
            <w:tcW w:w="13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$​936,701</w:t>
            </w:r>
          </w:p>
        </w:tc>
        <w:tc>
          <w:tcPr>
            <w:tcW w:w="116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w:t>
            </w:r>
          </w:p>
        </w:tc>
        <w:tc>
          <w:tcPr>
            <w:tcW w:w="114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​$936,701</w:t>
            </w:r>
          </w:p>
        </w:tc>
        <w:tc>
          <w:tcPr>
            <w:tcW w:w="0" w:type="dxa"/>
            <w:vAlign w:val="bottom"/>
          </w:tcPr>
          <w:p>
            <w:pPr>
              <w:spacing w:after="0"/>
              <w:rPr>
                <w:sz w:val="1"/>
                <w:szCs w:val="1"/>
                <w:color w:val="auto"/>
              </w:rPr>
            </w:pPr>
          </w:p>
        </w:tc>
      </w:tr>
      <w:tr>
        <w:trPr>
          <w:trHeight w:val="68"/>
        </w:trPr>
        <w:tc>
          <w:tcPr>
            <w:tcW w:w="3840" w:type="dxa"/>
            <w:vAlign w:val="bottom"/>
            <w:shd w:val="clear" w:color="auto" w:fill="D9D9D9"/>
          </w:tcPr>
          <w:p>
            <w:pPr>
              <w:spacing w:after="0"/>
              <w:rPr>
                <w:sz w:val="5"/>
                <w:szCs w:val="5"/>
                <w:color w:val="auto"/>
              </w:rPr>
            </w:pPr>
          </w:p>
        </w:tc>
        <w:tc>
          <w:tcPr>
            <w:tcW w:w="1260" w:type="dxa"/>
            <w:vAlign w:val="bottom"/>
            <w:shd w:val="clear" w:color="auto" w:fill="D9D9D9"/>
          </w:tcPr>
          <w:p>
            <w:pPr>
              <w:spacing w:after="0"/>
              <w:rPr>
                <w:sz w:val="5"/>
                <w:szCs w:val="5"/>
                <w:color w:val="auto"/>
              </w:rPr>
            </w:pPr>
          </w:p>
        </w:tc>
        <w:tc>
          <w:tcPr>
            <w:tcW w:w="1360" w:type="dxa"/>
            <w:vAlign w:val="bottom"/>
            <w:shd w:val="clear" w:color="auto" w:fill="D9D9D9"/>
          </w:tcPr>
          <w:p>
            <w:pPr>
              <w:spacing w:after="0"/>
              <w:rPr>
                <w:sz w:val="5"/>
                <w:szCs w:val="5"/>
                <w:color w:val="auto"/>
              </w:rPr>
            </w:pPr>
          </w:p>
        </w:tc>
        <w:tc>
          <w:tcPr>
            <w:tcW w:w="1160" w:type="dxa"/>
            <w:vAlign w:val="bottom"/>
            <w:shd w:val="clear" w:color="auto" w:fill="D9D9D9"/>
          </w:tcPr>
          <w:p>
            <w:pPr>
              <w:spacing w:after="0"/>
              <w:rPr>
                <w:sz w:val="5"/>
                <w:szCs w:val="5"/>
                <w:color w:val="auto"/>
              </w:rPr>
            </w:pPr>
          </w:p>
        </w:tc>
        <w:tc>
          <w:tcPr>
            <w:tcW w:w="114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3"/>
                <w:szCs w:val="13"/>
                <w:color w:val="333333"/>
              </w:rPr>
              <w:t>Death or disability/Retirement</w:t>
            </w:r>
          </w:p>
        </w:tc>
        <w:tc>
          <w:tcPr>
            <w:tcW w:w="1260" w:type="dxa"/>
            <w:vAlign w:val="bottom"/>
          </w:tcPr>
          <w:p>
            <w:pPr>
              <w:ind w:left="320"/>
              <w:spacing w:after="0"/>
              <w:rPr>
                <w:sz w:val="20"/>
                <w:szCs w:val="20"/>
                <w:color w:val="auto"/>
              </w:rPr>
            </w:pPr>
            <w:r>
              <w:rPr>
                <w:rFonts w:ascii="Arial" w:cs="Arial" w:eastAsia="Arial" w:hAnsi="Arial"/>
                <w:sz w:val="13"/>
                <w:szCs w:val="13"/>
                <w:color w:val="333333"/>
              </w:rPr>
              <w:t>—</w:t>
            </w:r>
          </w:p>
        </w:tc>
        <w:tc>
          <w:tcPr>
            <w:tcW w:w="1360" w:type="dxa"/>
            <w:vAlign w:val="bottom"/>
          </w:tcPr>
          <w:p>
            <w:pPr>
              <w:ind w:left="160"/>
              <w:spacing w:after="0"/>
              <w:rPr>
                <w:sz w:val="20"/>
                <w:szCs w:val="20"/>
                <w:color w:val="auto"/>
              </w:rPr>
            </w:pPr>
            <w:r>
              <w:rPr>
                <w:rFonts w:ascii="Arial" w:cs="Arial" w:eastAsia="Arial" w:hAnsi="Arial"/>
                <w:sz w:val="13"/>
                <w:szCs w:val="13"/>
                <w:color w:val="333333"/>
              </w:rPr>
              <w:t>$577,792</w:t>
            </w:r>
          </w:p>
        </w:tc>
        <w:tc>
          <w:tcPr>
            <w:tcW w:w="1160" w:type="dxa"/>
            <w:vAlign w:val="bottom"/>
          </w:tcPr>
          <w:p>
            <w:pPr>
              <w:ind w:left="200"/>
              <w:spacing w:after="0"/>
              <w:rPr>
                <w:sz w:val="20"/>
                <w:szCs w:val="20"/>
                <w:color w:val="auto"/>
              </w:rPr>
            </w:pPr>
            <w:r>
              <w:rPr>
                <w:rFonts w:ascii="Arial" w:cs="Arial" w:eastAsia="Arial" w:hAnsi="Arial"/>
                <w:sz w:val="13"/>
                <w:szCs w:val="13"/>
                <w:color w:val="333333"/>
              </w:rPr>
              <w:t>—</w:t>
            </w:r>
          </w:p>
        </w:tc>
        <w:tc>
          <w:tcPr>
            <w:tcW w:w="1140" w:type="dxa"/>
            <w:vAlign w:val="bottom"/>
          </w:tcPr>
          <w:p>
            <w:pPr>
              <w:ind w:left="160"/>
              <w:spacing w:after="0"/>
              <w:rPr>
                <w:sz w:val="20"/>
                <w:szCs w:val="20"/>
                <w:color w:val="auto"/>
              </w:rPr>
            </w:pPr>
            <w:r>
              <w:rPr>
                <w:rFonts w:ascii="Arial" w:cs="Arial" w:eastAsia="Arial" w:hAnsi="Arial"/>
                <w:sz w:val="13"/>
                <w:szCs w:val="13"/>
                <w:color w:val="333333"/>
              </w:rPr>
              <w:t>$577,792</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3840" w:type="dxa"/>
            <w:vAlign w:val="bottom"/>
            <w:shd w:val="clear" w:color="auto" w:fill="D9D9D9"/>
          </w:tcPr>
          <w:p>
            <w:pPr>
              <w:ind w:left="180"/>
              <w:spacing w:after="0"/>
              <w:rPr>
                <w:sz w:val="20"/>
                <w:szCs w:val="20"/>
                <w:color w:val="auto"/>
              </w:rPr>
            </w:pPr>
            <w:r>
              <w:rPr>
                <w:rFonts w:ascii="Arial" w:cs="Arial" w:eastAsia="Arial" w:hAnsi="Arial"/>
                <w:sz w:val="13"/>
                <w:szCs w:val="13"/>
                <w:b w:val="1"/>
                <w:bCs w:val="1"/>
                <w:color w:val="333333"/>
              </w:rPr>
              <w:t>Armando L. Netto</w:t>
            </w:r>
            <w:r>
              <w:rPr>
                <w:rFonts w:ascii="Arial" w:cs="Arial" w:eastAsia="Arial" w:hAnsi="Arial"/>
                <w:sz w:val="20"/>
                <w:szCs w:val="20"/>
                <w:b w:val="1"/>
                <w:bCs w:val="1"/>
                <w:color w:val="333333"/>
                <w:vertAlign w:val="superscript"/>
              </w:rPr>
              <w:t>(5)</w:t>
            </w:r>
          </w:p>
        </w:tc>
        <w:tc>
          <w:tcPr>
            <w:tcW w:w="1260" w:type="dxa"/>
            <w:vAlign w:val="bottom"/>
            <w:shd w:val="clear" w:color="auto" w:fill="D9D9D9"/>
          </w:tcPr>
          <w:p>
            <w:pPr>
              <w:spacing w:after="0"/>
              <w:rPr>
                <w:sz w:val="24"/>
                <w:szCs w:val="24"/>
                <w:color w:val="auto"/>
              </w:rPr>
            </w:pPr>
          </w:p>
        </w:tc>
        <w:tc>
          <w:tcPr>
            <w:tcW w:w="1360" w:type="dxa"/>
            <w:vAlign w:val="bottom"/>
            <w:shd w:val="clear" w:color="auto" w:fill="D9D9D9"/>
          </w:tcPr>
          <w:p>
            <w:pPr>
              <w:spacing w:after="0"/>
              <w:rPr>
                <w:sz w:val="24"/>
                <w:szCs w:val="24"/>
                <w:color w:val="auto"/>
              </w:rPr>
            </w:pPr>
          </w:p>
        </w:tc>
        <w:tc>
          <w:tcPr>
            <w:tcW w:w="1160" w:type="dxa"/>
            <w:vAlign w:val="bottom"/>
            <w:shd w:val="clear" w:color="auto" w:fill="D9D9D9"/>
          </w:tcPr>
          <w:p>
            <w:pPr>
              <w:spacing w:after="0"/>
              <w:rPr>
                <w:sz w:val="24"/>
                <w:szCs w:val="24"/>
                <w:color w:val="auto"/>
              </w:rPr>
            </w:pPr>
          </w:p>
        </w:tc>
        <w:tc>
          <w:tcPr>
            <w:tcW w:w="11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3"/>
                <w:szCs w:val="13"/>
                <w:color w:val="333333"/>
              </w:rPr>
              <w:t>Termination without cause</w:t>
            </w:r>
          </w:p>
        </w:tc>
        <w:tc>
          <w:tcPr>
            <w:tcW w:w="1260" w:type="dxa"/>
            <w:vAlign w:val="bottom"/>
          </w:tcPr>
          <w:p>
            <w:pPr>
              <w:ind w:left="320"/>
              <w:spacing w:after="0"/>
              <w:rPr>
                <w:sz w:val="20"/>
                <w:szCs w:val="20"/>
                <w:color w:val="auto"/>
              </w:rPr>
            </w:pPr>
            <w:r>
              <w:rPr>
                <w:rFonts w:ascii="Arial" w:cs="Arial" w:eastAsia="Arial" w:hAnsi="Arial"/>
                <w:sz w:val="13"/>
                <w:szCs w:val="13"/>
                <w:color w:val="333333"/>
              </w:rPr>
              <w:t>$503,091</w:t>
            </w:r>
          </w:p>
        </w:tc>
        <w:tc>
          <w:tcPr>
            <w:tcW w:w="1360" w:type="dxa"/>
            <w:vAlign w:val="bottom"/>
          </w:tcPr>
          <w:p>
            <w:pPr>
              <w:ind w:left="160"/>
              <w:spacing w:after="0"/>
              <w:rPr>
                <w:sz w:val="20"/>
                <w:szCs w:val="20"/>
                <w:color w:val="auto"/>
              </w:rPr>
            </w:pPr>
            <w:r>
              <w:rPr>
                <w:rFonts w:ascii="Arial" w:cs="Arial" w:eastAsia="Arial" w:hAnsi="Arial"/>
                <w:sz w:val="13"/>
                <w:szCs w:val="13"/>
                <w:color w:val="333333"/>
              </w:rPr>
              <w:t>—</w:t>
            </w:r>
          </w:p>
        </w:tc>
        <w:tc>
          <w:tcPr>
            <w:tcW w:w="1160" w:type="dxa"/>
            <w:vAlign w:val="bottom"/>
          </w:tcPr>
          <w:p>
            <w:pPr>
              <w:ind w:left="200"/>
              <w:spacing w:after="0"/>
              <w:rPr>
                <w:sz w:val="20"/>
                <w:szCs w:val="20"/>
                <w:color w:val="auto"/>
              </w:rPr>
            </w:pPr>
            <w:r>
              <w:rPr>
                <w:rFonts w:ascii="Arial" w:cs="Arial" w:eastAsia="Arial" w:hAnsi="Arial"/>
                <w:sz w:val="13"/>
                <w:szCs w:val="13"/>
                <w:color w:val="333333"/>
              </w:rPr>
              <w:t>$15,580</w:t>
            </w:r>
          </w:p>
        </w:tc>
        <w:tc>
          <w:tcPr>
            <w:tcW w:w="1140" w:type="dxa"/>
            <w:vAlign w:val="bottom"/>
          </w:tcPr>
          <w:p>
            <w:pPr>
              <w:ind w:left="160"/>
              <w:spacing w:after="0"/>
              <w:rPr>
                <w:sz w:val="20"/>
                <w:szCs w:val="20"/>
                <w:color w:val="auto"/>
              </w:rPr>
            </w:pPr>
            <w:r>
              <w:rPr>
                <w:rFonts w:ascii="Arial" w:cs="Arial" w:eastAsia="Arial" w:hAnsi="Arial"/>
                <w:sz w:val="13"/>
                <w:szCs w:val="13"/>
                <w:color w:val="333333"/>
              </w:rPr>
              <w:t>$518,671</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D9D9D9"/>
          </w:tcPr>
          <w:p>
            <w:pPr>
              <w:ind w:left="360"/>
              <w:spacing w:after="0"/>
              <w:rPr>
                <w:sz w:val="20"/>
                <w:szCs w:val="20"/>
                <w:color w:val="auto"/>
              </w:rPr>
            </w:pPr>
            <w:r>
              <w:rPr>
                <w:rFonts w:ascii="Arial" w:cs="Arial" w:eastAsia="Arial" w:hAnsi="Arial"/>
                <w:sz w:val="13"/>
                <w:szCs w:val="13"/>
                <w:color w:val="333333"/>
              </w:rPr>
              <w:t>Termination without cause following a change in control</w:t>
            </w:r>
          </w:p>
        </w:tc>
        <w:tc>
          <w:tcPr>
            <w:tcW w:w="1260" w:type="dxa"/>
            <w:vAlign w:val="bottom"/>
            <w:shd w:val="clear" w:color="auto" w:fill="D9D9D9"/>
          </w:tcPr>
          <w:p>
            <w:pPr>
              <w:ind w:left="320"/>
              <w:spacing w:after="0"/>
              <w:rPr>
                <w:sz w:val="20"/>
                <w:szCs w:val="20"/>
                <w:color w:val="auto"/>
              </w:rPr>
            </w:pPr>
            <w:r>
              <w:rPr>
                <w:rFonts w:ascii="Arial" w:cs="Arial" w:eastAsia="Arial" w:hAnsi="Arial"/>
                <w:sz w:val="13"/>
                <w:szCs w:val="13"/>
                <w:color w:val="333333"/>
              </w:rPr>
              <w:t>$589,524</w:t>
            </w:r>
          </w:p>
        </w:tc>
        <w:tc>
          <w:tcPr>
            <w:tcW w:w="13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$6,932,427</w:t>
            </w:r>
          </w:p>
        </w:tc>
        <w:tc>
          <w:tcPr>
            <w:tcW w:w="116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$15,580</w:t>
            </w:r>
          </w:p>
        </w:tc>
        <w:tc>
          <w:tcPr>
            <w:tcW w:w="114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$7,537,531</w:t>
            </w:r>
          </w:p>
        </w:tc>
        <w:tc>
          <w:tcPr>
            <w:tcW w:w="0" w:type="dxa"/>
            <w:vAlign w:val="bottom"/>
          </w:tcPr>
          <w:p>
            <w:pPr>
              <w:spacing w:after="0"/>
              <w:rPr>
                <w:sz w:val="1"/>
                <w:szCs w:val="1"/>
                <w:color w:val="auto"/>
              </w:rPr>
            </w:pPr>
          </w:p>
        </w:tc>
      </w:tr>
      <w:tr>
        <w:trPr>
          <w:trHeight w:val="68"/>
        </w:trPr>
        <w:tc>
          <w:tcPr>
            <w:tcW w:w="3840" w:type="dxa"/>
            <w:vAlign w:val="bottom"/>
            <w:shd w:val="clear" w:color="auto" w:fill="D9D9D9"/>
          </w:tcPr>
          <w:p>
            <w:pPr>
              <w:spacing w:after="0"/>
              <w:rPr>
                <w:sz w:val="5"/>
                <w:szCs w:val="5"/>
                <w:color w:val="auto"/>
              </w:rPr>
            </w:pPr>
          </w:p>
        </w:tc>
        <w:tc>
          <w:tcPr>
            <w:tcW w:w="1260" w:type="dxa"/>
            <w:vAlign w:val="bottom"/>
            <w:shd w:val="clear" w:color="auto" w:fill="D9D9D9"/>
          </w:tcPr>
          <w:p>
            <w:pPr>
              <w:spacing w:after="0"/>
              <w:rPr>
                <w:sz w:val="5"/>
                <w:szCs w:val="5"/>
                <w:color w:val="auto"/>
              </w:rPr>
            </w:pPr>
          </w:p>
        </w:tc>
        <w:tc>
          <w:tcPr>
            <w:tcW w:w="1360" w:type="dxa"/>
            <w:vAlign w:val="bottom"/>
            <w:shd w:val="clear" w:color="auto" w:fill="D9D9D9"/>
          </w:tcPr>
          <w:p>
            <w:pPr>
              <w:spacing w:after="0"/>
              <w:rPr>
                <w:sz w:val="5"/>
                <w:szCs w:val="5"/>
                <w:color w:val="auto"/>
              </w:rPr>
            </w:pPr>
          </w:p>
        </w:tc>
        <w:tc>
          <w:tcPr>
            <w:tcW w:w="1160" w:type="dxa"/>
            <w:vAlign w:val="bottom"/>
            <w:shd w:val="clear" w:color="auto" w:fill="D9D9D9"/>
          </w:tcPr>
          <w:p>
            <w:pPr>
              <w:spacing w:after="0"/>
              <w:rPr>
                <w:sz w:val="5"/>
                <w:szCs w:val="5"/>
                <w:color w:val="auto"/>
              </w:rPr>
            </w:pPr>
          </w:p>
        </w:tc>
        <w:tc>
          <w:tcPr>
            <w:tcW w:w="114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3"/>
                <w:szCs w:val="13"/>
                <w:color w:val="333333"/>
              </w:rPr>
              <w:t>Change in control</w:t>
            </w:r>
          </w:p>
        </w:tc>
        <w:tc>
          <w:tcPr>
            <w:tcW w:w="1260" w:type="dxa"/>
            <w:vAlign w:val="bottom"/>
          </w:tcPr>
          <w:p>
            <w:pPr>
              <w:ind w:left="320"/>
              <w:spacing w:after="0"/>
              <w:rPr>
                <w:sz w:val="20"/>
                <w:szCs w:val="20"/>
                <w:color w:val="auto"/>
              </w:rPr>
            </w:pPr>
            <w:r>
              <w:rPr>
                <w:rFonts w:ascii="Arial" w:cs="Arial" w:eastAsia="Arial" w:hAnsi="Arial"/>
                <w:sz w:val="13"/>
                <w:szCs w:val="13"/>
                <w:color w:val="333333"/>
              </w:rPr>
              <w:t>—</w:t>
            </w:r>
          </w:p>
        </w:tc>
        <w:tc>
          <w:tcPr>
            <w:tcW w:w="1360" w:type="dxa"/>
            <w:vAlign w:val="bottom"/>
          </w:tcPr>
          <w:p>
            <w:pPr>
              <w:ind w:left="160"/>
              <w:spacing w:after="0"/>
              <w:rPr>
                <w:sz w:val="20"/>
                <w:szCs w:val="20"/>
                <w:color w:val="auto"/>
              </w:rPr>
            </w:pPr>
            <w:r>
              <w:rPr>
                <w:rFonts w:ascii="Arial" w:cs="Arial" w:eastAsia="Arial" w:hAnsi="Arial"/>
                <w:sz w:val="13"/>
                <w:szCs w:val="13"/>
                <w:color w:val="333333"/>
              </w:rPr>
              <w:t>$​6,932,427</w:t>
            </w:r>
          </w:p>
        </w:tc>
        <w:tc>
          <w:tcPr>
            <w:tcW w:w="1160" w:type="dxa"/>
            <w:vAlign w:val="bottom"/>
          </w:tcPr>
          <w:p>
            <w:pPr>
              <w:ind w:left="200"/>
              <w:spacing w:after="0"/>
              <w:rPr>
                <w:sz w:val="20"/>
                <w:szCs w:val="20"/>
                <w:color w:val="auto"/>
              </w:rPr>
            </w:pPr>
            <w:r>
              <w:rPr>
                <w:rFonts w:ascii="Arial" w:cs="Arial" w:eastAsia="Arial" w:hAnsi="Arial"/>
                <w:sz w:val="13"/>
                <w:szCs w:val="13"/>
                <w:color w:val="333333"/>
              </w:rPr>
              <w:t>—</w:t>
            </w:r>
          </w:p>
        </w:tc>
        <w:tc>
          <w:tcPr>
            <w:tcW w:w="1140" w:type="dxa"/>
            <w:vAlign w:val="bottom"/>
          </w:tcPr>
          <w:p>
            <w:pPr>
              <w:ind w:left="160"/>
              <w:spacing w:after="0"/>
              <w:rPr>
                <w:sz w:val="20"/>
                <w:szCs w:val="20"/>
                <w:color w:val="auto"/>
              </w:rPr>
            </w:pPr>
            <w:r>
              <w:rPr>
                <w:rFonts w:ascii="Arial" w:cs="Arial" w:eastAsia="Arial" w:hAnsi="Arial"/>
                <w:sz w:val="13"/>
                <w:szCs w:val="13"/>
                <w:color w:val="333333"/>
              </w:rPr>
              <w:t>​$6,932,427</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D9D9D9"/>
          </w:tcPr>
          <w:p>
            <w:pPr>
              <w:ind w:left="360"/>
              <w:spacing w:after="0"/>
              <w:rPr>
                <w:sz w:val="20"/>
                <w:szCs w:val="20"/>
                <w:color w:val="auto"/>
              </w:rPr>
            </w:pPr>
            <w:r>
              <w:rPr>
                <w:rFonts w:ascii="Arial" w:cs="Arial" w:eastAsia="Arial" w:hAnsi="Arial"/>
                <w:sz w:val="13"/>
                <w:szCs w:val="13"/>
                <w:color w:val="333333"/>
              </w:rPr>
              <w:t>Death or disability/Retirement</w:t>
            </w:r>
          </w:p>
        </w:tc>
        <w:tc>
          <w:tcPr>
            <w:tcW w:w="1260" w:type="dxa"/>
            <w:vAlign w:val="bottom"/>
            <w:shd w:val="clear" w:color="auto" w:fill="D9D9D9"/>
          </w:tcPr>
          <w:p>
            <w:pPr>
              <w:ind w:left="320"/>
              <w:spacing w:after="0"/>
              <w:rPr>
                <w:sz w:val="20"/>
                <w:szCs w:val="20"/>
                <w:color w:val="auto"/>
              </w:rPr>
            </w:pPr>
            <w:r>
              <w:rPr>
                <w:rFonts w:ascii="Arial" w:cs="Arial" w:eastAsia="Arial" w:hAnsi="Arial"/>
                <w:sz w:val="13"/>
                <w:szCs w:val="13"/>
                <w:color w:val="333333"/>
              </w:rPr>
              <w:t>—</w:t>
            </w:r>
          </w:p>
        </w:tc>
        <w:tc>
          <w:tcPr>
            <w:tcW w:w="13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$4,833,573</w:t>
            </w:r>
          </w:p>
        </w:tc>
        <w:tc>
          <w:tcPr>
            <w:tcW w:w="116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w:t>
            </w:r>
          </w:p>
        </w:tc>
        <w:tc>
          <w:tcPr>
            <w:tcW w:w="114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$4,833,573</w:t>
            </w:r>
          </w:p>
        </w:tc>
        <w:tc>
          <w:tcPr>
            <w:tcW w:w="0" w:type="dxa"/>
            <w:vAlign w:val="bottom"/>
          </w:tcPr>
          <w:p>
            <w:pPr>
              <w:spacing w:after="0"/>
              <w:rPr>
                <w:sz w:val="1"/>
                <w:szCs w:val="1"/>
                <w:color w:val="auto"/>
              </w:rPr>
            </w:pPr>
          </w:p>
        </w:tc>
      </w:tr>
      <w:tr>
        <w:trPr>
          <w:trHeight w:val="68"/>
        </w:trPr>
        <w:tc>
          <w:tcPr>
            <w:tcW w:w="3840" w:type="dxa"/>
            <w:vAlign w:val="bottom"/>
            <w:shd w:val="clear" w:color="auto" w:fill="D9D9D9"/>
          </w:tcPr>
          <w:p>
            <w:pPr>
              <w:spacing w:after="0"/>
              <w:rPr>
                <w:sz w:val="5"/>
                <w:szCs w:val="5"/>
                <w:color w:val="auto"/>
              </w:rPr>
            </w:pPr>
          </w:p>
        </w:tc>
        <w:tc>
          <w:tcPr>
            <w:tcW w:w="1260" w:type="dxa"/>
            <w:vAlign w:val="bottom"/>
            <w:shd w:val="clear" w:color="auto" w:fill="D9D9D9"/>
          </w:tcPr>
          <w:p>
            <w:pPr>
              <w:spacing w:after="0"/>
              <w:rPr>
                <w:sz w:val="5"/>
                <w:szCs w:val="5"/>
                <w:color w:val="auto"/>
              </w:rPr>
            </w:pPr>
          </w:p>
        </w:tc>
        <w:tc>
          <w:tcPr>
            <w:tcW w:w="1360" w:type="dxa"/>
            <w:vAlign w:val="bottom"/>
            <w:shd w:val="clear" w:color="auto" w:fill="D9D9D9"/>
          </w:tcPr>
          <w:p>
            <w:pPr>
              <w:spacing w:after="0"/>
              <w:rPr>
                <w:sz w:val="5"/>
                <w:szCs w:val="5"/>
                <w:color w:val="auto"/>
              </w:rPr>
            </w:pPr>
          </w:p>
        </w:tc>
        <w:tc>
          <w:tcPr>
            <w:tcW w:w="1160" w:type="dxa"/>
            <w:vAlign w:val="bottom"/>
            <w:shd w:val="clear" w:color="auto" w:fill="D9D9D9"/>
          </w:tcPr>
          <w:p>
            <w:pPr>
              <w:spacing w:after="0"/>
              <w:rPr>
                <w:sz w:val="5"/>
                <w:szCs w:val="5"/>
                <w:color w:val="auto"/>
              </w:rPr>
            </w:pPr>
          </w:p>
        </w:tc>
        <w:tc>
          <w:tcPr>
            <w:tcW w:w="114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3840" w:type="dxa"/>
            <w:vAlign w:val="bottom"/>
          </w:tcPr>
          <w:p>
            <w:pPr>
              <w:ind w:left="180"/>
              <w:spacing w:after="0"/>
              <w:rPr>
                <w:sz w:val="20"/>
                <w:szCs w:val="20"/>
                <w:color w:val="auto"/>
              </w:rPr>
            </w:pPr>
            <w:r>
              <w:rPr>
                <w:rFonts w:ascii="Arial" w:cs="Arial" w:eastAsia="Arial" w:hAnsi="Arial"/>
                <w:sz w:val="13"/>
                <w:szCs w:val="13"/>
                <w:b w:val="1"/>
                <w:bCs w:val="1"/>
                <w:color w:val="333333"/>
              </w:rPr>
              <w:t>Alan King</w:t>
            </w: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38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D9D9D9"/>
          </w:tcPr>
          <w:p>
            <w:pPr>
              <w:ind w:left="360"/>
              <w:spacing w:after="0"/>
              <w:rPr>
                <w:sz w:val="20"/>
                <w:szCs w:val="20"/>
                <w:color w:val="auto"/>
              </w:rPr>
            </w:pPr>
            <w:r>
              <w:rPr>
                <w:rFonts w:ascii="Arial" w:cs="Arial" w:eastAsia="Arial" w:hAnsi="Arial"/>
                <w:sz w:val="13"/>
                <w:szCs w:val="13"/>
                <w:color w:val="333333"/>
              </w:rPr>
              <w:t>Termination without cause</w:t>
            </w:r>
          </w:p>
        </w:tc>
        <w:tc>
          <w:tcPr>
            <w:tcW w:w="1260" w:type="dxa"/>
            <w:vAlign w:val="bottom"/>
            <w:shd w:val="clear" w:color="auto" w:fill="D9D9D9"/>
          </w:tcPr>
          <w:p>
            <w:pPr>
              <w:ind w:left="320"/>
              <w:spacing w:after="0"/>
              <w:rPr>
                <w:sz w:val="20"/>
                <w:szCs w:val="20"/>
                <w:color w:val="auto"/>
              </w:rPr>
            </w:pPr>
            <w:r>
              <w:rPr>
                <w:rFonts w:ascii="Arial" w:cs="Arial" w:eastAsia="Arial" w:hAnsi="Arial"/>
                <w:sz w:val="13"/>
                <w:szCs w:val="13"/>
                <w:color w:val="333333"/>
              </w:rPr>
              <w:t>$450,000</w:t>
            </w:r>
          </w:p>
        </w:tc>
        <w:tc>
          <w:tcPr>
            <w:tcW w:w="13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w:t>
            </w:r>
          </w:p>
        </w:tc>
        <w:tc>
          <w:tcPr>
            <w:tcW w:w="116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$27,045</w:t>
            </w:r>
          </w:p>
        </w:tc>
        <w:tc>
          <w:tcPr>
            <w:tcW w:w="114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$477,045</w:t>
            </w:r>
          </w:p>
        </w:tc>
        <w:tc>
          <w:tcPr>
            <w:tcW w:w="0" w:type="dxa"/>
            <w:vAlign w:val="bottom"/>
          </w:tcPr>
          <w:p>
            <w:pPr>
              <w:spacing w:after="0"/>
              <w:rPr>
                <w:sz w:val="1"/>
                <w:szCs w:val="1"/>
                <w:color w:val="auto"/>
              </w:rPr>
            </w:pPr>
          </w:p>
        </w:tc>
      </w:tr>
      <w:tr>
        <w:trPr>
          <w:trHeight w:val="68"/>
        </w:trPr>
        <w:tc>
          <w:tcPr>
            <w:tcW w:w="3840" w:type="dxa"/>
            <w:vAlign w:val="bottom"/>
            <w:shd w:val="clear" w:color="auto" w:fill="D9D9D9"/>
          </w:tcPr>
          <w:p>
            <w:pPr>
              <w:spacing w:after="0"/>
              <w:rPr>
                <w:sz w:val="5"/>
                <w:szCs w:val="5"/>
                <w:color w:val="auto"/>
              </w:rPr>
            </w:pPr>
          </w:p>
        </w:tc>
        <w:tc>
          <w:tcPr>
            <w:tcW w:w="1260" w:type="dxa"/>
            <w:vAlign w:val="bottom"/>
            <w:shd w:val="clear" w:color="auto" w:fill="D9D9D9"/>
          </w:tcPr>
          <w:p>
            <w:pPr>
              <w:spacing w:after="0"/>
              <w:rPr>
                <w:sz w:val="5"/>
                <w:szCs w:val="5"/>
                <w:color w:val="auto"/>
              </w:rPr>
            </w:pPr>
          </w:p>
        </w:tc>
        <w:tc>
          <w:tcPr>
            <w:tcW w:w="1360" w:type="dxa"/>
            <w:vAlign w:val="bottom"/>
            <w:shd w:val="clear" w:color="auto" w:fill="D9D9D9"/>
          </w:tcPr>
          <w:p>
            <w:pPr>
              <w:spacing w:after="0"/>
              <w:rPr>
                <w:sz w:val="5"/>
                <w:szCs w:val="5"/>
                <w:color w:val="auto"/>
              </w:rPr>
            </w:pPr>
          </w:p>
        </w:tc>
        <w:tc>
          <w:tcPr>
            <w:tcW w:w="1160" w:type="dxa"/>
            <w:vAlign w:val="bottom"/>
            <w:shd w:val="clear" w:color="auto" w:fill="D9D9D9"/>
          </w:tcPr>
          <w:p>
            <w:pPr>
              <w:spacing w:after="0"/>
              <w:rPr>
                <w:sz w:val="5"/>
                <w:szCs w:val="5"/>
                <w:color w:val="auto"/>
              </w:rPr>
            </w:pPr>
          </w:p>
        </w:tc>
        <w:tc>
          <w:tcPr>
            <w:tcW w:w="114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3"/>
                <w:szCs w:val="13"/>
                <w:color w:val="333333"/>
              </w:rPr>
              <w:t>Termination without cause following a change in control</w:t>
            </w:r>
          </w:p>
        </w:tc>
        <w:tc>
          <w:tcPr>
            <w:tcW w:w="1260" w:type="dxa"/>
            <w:vAlign w:val="bottom"/>
          </w:tcPr>
          <w:p>
            <w:pPr>
              <w:ind w:left="320"/>
              <w:spacing w:after="0"/>
              <w:rPr>
                <w:sz w:val="20"/>
                <w:szCs w:val="20"/>
                <w:color w:val="auto"/>
              </w:rPr>
            </w:pPr>
            <w:r>
              <w:rPr>
                <w:rFonts w:ascii="Arial" w:cs="Arial" w:eastAsia="Arial" w:hAnsi="Arial"/>
                <w:sz w:val="13"/>
                <w:szCs w:val="13"/>
                <w:color w:val="333333"/>
              </w:rPr>
              <w:t>$517,500</w:t>
            </w:r>
          </w:p>
        </w:tc>
        <w:tc>
          <w:tcPr>
            <w:tcW w:w="1360" w:type="dxa"/>
            <w:vAlign w:val="bottom"/>
          </w:tcPr>
          <w:p>
            <w:pPr>
              <w:ind w:left="160"/>
              <w:spacing w:after="0"/>
              <w:rPr>
                <w:sz w:val="20"/>
                <w:szCs w:val="20"/>
                <w:color w:val="auto"/>
              </w:rPr>
            </w:pPr>
            <w:r>
              <w:rPr>
                <w:rFonts w:ascii="Arial" w:cs="Arial" w:eastAsia="Arial" w:hAnsi="Arial"/>
                <w:sz w:val="13"/>
                <w:szCs w:val="13"/>
                <w:color w:val="333333"/>
              </w:rPr>
              <w:t>$7,867,553</w:t>
            </w:r>
          </w:p>
        </w:tc>
        <w:tc>
          <w:tcPr>
            <w:tcW w:w="1160" w:type="dxa"/>
            <w:vAlign w:val="bottom"/>
          </w:tcPr>
          <w:p>
            <w:pPr>
              <w:ind w:left="200"/>
              <w:spacing w:after="0"/>
              <w:rPr>
                <w:sz w:val="20"/>
                <w:szCs w:val="20"/>
                <w:color w:val="auto"/>
              </w:rPr>
            </w:pPr>
            <w:r>
              <w:rPr>
                <w:rFonts w:ascii="Arial" w:cs="Arial" w:eastAsia="Arial" w:hAnsi="Arial"/>
                <w:sz w:val="13"/>
                <w:szCs w:val="13"/>
                <w:color w:val="333333"/>
              </w:rPr>
              <w:t>$27,245</w:t>
            </w:r>
          </w:p>
        </w:tc>
        <w:tc>
          <w:tcPr>
            <w:tcW w:w="1140" w:type="dxa"/>
            <w:vAlign w:val="bottom"/>
          </w:tcPr>
          <w:p>
            <w:pPr>
              <w:ind w:left="160"/>
              <w:spacing w:after="0"/>
              <w:rPr>
                <w:sz w:val="20"/>
                <w:szCs w:val="20"/>
                <w:color w:val="auto"/>
              </w:rPr>
            </w:pPr>
            <w:r>
              <w:rPr>
                <w:rFonts w:ascii="Arial" w:cs="Arial" w:eastAsia="Arial" w:hAnsi="Arial"/>
                <w:sz w:val="13"/>
                <w:szCs w:val="13"/>
                <w:color w:val="333333"/>
              </w:rPr>
              <w:t>$8,412,298</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D9D9D9"/>
          </w:tcPr>
          <w:p>
            <w:pPr>
              <w:ind w:left="360"/>
              <w:spacing w:after="0"/>
              <w:rPr>
                <w:sz w:val="20"/>
                <w:szCs w:val="20"/>
                <w:color w:val="auto"/>
              </w:rPr>
            </w:pPr>
            <w:r>
              <w:rPr>
                <w:rFonts w:ascii="Arial" w:cs="Arial" w:eastAsia="Arial" w:hAnsi="Arial"/>
                <w:sz w:val="13"/>
                <w:szCs w:val="13"/>
                <w:color w:val="333333"/>
              </w:rPr>
              <w:t>Change in control</w:t>
            </w:r>
          </w:p>
        </w:tc>
        <w:tc>
          <w:tcPr>
            <w:tcW w:w="1260" w:type="dxa"/>
            <w:vAlign w:val="bottom"/>
            <w:shd w:val="clear" w:color="auto" w:fill="D9D9D9"/>
          </w:tcPr>
          <w:p>
            <w:pPr>
              <w:ind w:left="320"/>
              <w:spacing w:after="0"/>
              <w:rPr>
                <w:sz w:val="20"/>
                <w:szCs w:val="20"/>
                <w:color w:val="auto"/>
              </w:rPr>
            </w:pPr>
            <w:r>
              <w:rPr>
                <w:rFonts w:ascii="Arial" w:cs="Arial" w:eastAsia="Arial" w:hAnsi="Arial"/>
                <w:sz w:val="13"/>
                <w:szCs w:val="13"/>
                <w:color w:val="333333"/>
              </w:rPr>
              <w:t>—</w:t>
            </w:r>
          </w:p>
        </w:tc>
        <w:tc>
          <w:tcPr>
            <w:tcW w:w="136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$​7,867,553</w:t>
            </w:r>
          </w:p>
        </w:tc>
        <w:tc>
          <w:tcPr>
            <w:tcW w:w="1160" w:type="dxa"/>
            <w:vAlign w:val="bottom"/>
            <w:shd w:val="clear" w:color="auto" w:fill="D9D9D9"/>
          </w:tcPr>
          <w:p>
            <w:pPr>
              <w:ind w:left="200"/>
              <w:spacing w:after="0"/>
              <w:rPr>
                <w:sz w:val="20"/>
                <w:szCs w:val="20"/>
                <w:color w:val="auto"/>
              </w:rPr>
            </w:pPr>
            <w:r>
              <w:rPr>
                <w:rFonts w:ascii="Arial" w:cs="Arial" w:eastAsia="Arial" w:hAnsi="Arial"/>
                <w:sz w:val="13"/>
                <w:szCs w:val="13"/>
                <w:color w:val="333333"/>
              </w:rPr>
              <w:t>—</w:t>
            </w:r>
          </w:p>
        </w:tc>
        <w:tc>
          <w:tcPr>
            <w:tcW w:w="1140" w:type="dxa"/>
            <w:vAlign w:val="bottom"/>
            <w:shd w:val="clear" w:color="auto" w:fill="D9D9D9"/>
          </w:tcPr>
          <w:p>
            <w:pPr>
              <w:ind w:left="160"/>
              <w:spacing w:after="0"/>
              <w:rPr>
                <w:sz w:val="20"/>
                <w:szCs w:val="20"/>
                <w:color w:val="auto"/>
              </w:rPr>
            </w:pPr>
            <w:r>
              <w:rPr>
                <w:rFonts w:ascii="Arial" w:cs="Arial" w:eastAsia="Arial" w:hAnsi="Arial"/>
                <w:sz w:val="13"/>
                <w:szCs w:val="13"/>
                <w:color w:val="333333"/>
              </w:rPr>
              <w:t>​$7,867,553</w:t>
            </w:r>
          </w:p>
        </w:tc>
        <w:tc>
          <w:tcPr>
            <w:tcW w:w="0" w:type="dxa"/>
            <w:vAlign w:val="bottom"/>
          </w:tcPr>
          <w:p>
            <w:pPr>
              <w:spacing w:after="0"/>
              <w:rPr>
                <w:sz w:val="1"/>
                <w:szCs w:val="1"/>
                <w:color w:val="auto"/>
              </w:rPr>
            </w:pPr>
          </w:p>
        </w:tc>
      </w:tr>
      <w:tr>
        <w:trPr>
          <w:trHeight w:val="68"/>
        </w:trPr>
        <w:tc>
          <w:tcPr>
            <w:tcW w:w="3840" w:type="dxa"/>
            <w:vAlign w:val="bottom"/>
            <w:shd w:val="clear" w:color="auto" w:fill="D9D9D9"/>
          </w:tcPr>
          <w:p>
            <w:pPr>
              <w:spacing w:after="0"/>
              <w:rPr>
                <w:sz w:val="5"/>
                <w:szCs w:val="5"/>
                <w:color w:val="auto"/>
              </w:rPr>
            </w:pPr>
          </w:p>
        </w:tc>
        <w:tc>
          <w:tcPr>
            <w:tcW w:w="1260" w:type="dxa"/>
            <w:vAlign w:val="bottom"/>
            <w:shd w:val="clear" w:color="auto" w:fill="D9D9D9"/>
          </w:tcPr>
          <w:p>
            <w:pPr>
              <w:spacing w:after="0"/>
              <w:rPr>
                <w:sz w:val="5"/>
                <w:szCs w:val="5"/>
                <w:color w:val="auto"/>
              </w:rPr>
            </w:pPr>
          </w:p>
        </w:tc>
        <w:tc>
          <w:tcPr>
            <w:tcW w:w="1360" w:type="dxa"/>
            <w:vAlign w:val="bottom"/>
            <w:shd w:val="clear" w:color="auto" w:fill="D9D9D9"/>
          </w:tcPr>
          <w:p>
            <w:pPr>
              <w:spacing w:after="0"/>
              <w:rPr>
                <w:sz w:val="5"/>
                <w:szCs w:val="5"/>
                <w:color w:val="auto"/>
              </w:rPr>
            </w:pPr>
          </w:p>
        </w:tc>
        <w:tc>
          <w:tcPr>
            <w:tcW w:w="1160" w:type="dxa"/>
            <w:vAlign w:val="bottom"/>
            <w:shd w:val="clear" w:color="auto" w:fill="D9D9D9"/>
          </w:tcPr>
          <w:p>
            <w:pPr>
              <w:spacing w:after="0"/>
              <w:rPr>
                <w:sz w:val="5"/>
                <w:szCs w:val="5"/>
                <w:color w:val="auto"/>
              </w:rPr>
            </w:pPr>
          </w:p>
        </w:tc>
        <w:tc>
          <w:tcPr>
            <w:tcW w:w="114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3"/>
                <w:szCs w:val="13"/>
                <w:color w:val="333333"/>
              </w:rPr>
              <w:t>Death or disability/Retirement</w:t>
            </w:r>
          </w:p>
        </w:tc>
        <w:tc>
          <w:tcPr>
            <w:tcW w:w="1260" w:type="dxa"/>
            <w:vAlign w:val="bottom"/>
          </w:tcPr>
          <w:p>
            <w:pPr>
              <w:ind w:left="320"/>
              <w:spacing w:after="0"/>
              <w:rPr>
                <w:sz w:val="20"/>
                <w:szCs w:val="20"/>
                <w:color w:val="auto"/>
              </w:rPr>
            </w:pPr>
            <w:r>
              <w:rPr>
                <w:rFonts w:ascii="Arial" w:cs="Arial" w:eastAsia="Arial" w:hAnsi="Arial"/>
                <w:sz w:val="13"/>
                <w:szCs w:val="13"/>
                <w:color w:val="333333"/>
              </w:rPr>
              <w:t>—</w:t>
            </w:r>
          </w:p>
        </w:tc>
        <w:tc>
          <w:tcPr>
            <w:tcW w:w="1360" w:type="dxa"/>
            <w:vAlign w:val="bottom"/>
          </w:tcPr>
          <w:p>
            <w:pPr>
              <w:ind w:left="160"/>
              <w:spacing w:after="0"/>
              <w:rPr>
                <w:sz w:val="20"/>
                <w:szCs w:val="20"/>
                <w:color w:val="auto"/>
              </w:rPr>
            </w:pPr>
            <w:r>
              <w:rPr>
                <w:rFonts w:ascii="Arial" w:cs="Arial" w:eastAsia="Arial" w:hAnsi="Arial"/>
                <w:sz w:val="13"/>
                <w:szCs w:val="13"/>
                <w:color w:val="333333"/>
              </w:rPr>
              <w:t>$4,223,257</w:t>
            </w:r>
          </w:p>
        </w:tc>
        <w:tc>
          <w:tcPr>
            <w:tcW w:w="1160" w:type="dxa"/>
            <w:vAlign w:val="bottom"/>
          </w:tcPr>
          <w:p>
            <w:pPr>
              <w:ind w:left="200"/>
              <w:spacing w:after="0"/>
              <w:rPr>
                <w:sz w:val="20"/>
                <w:szCs w:val="20"/>
                <w:color w:val="auto"/>
              </w:rPr>
            </w:pPr>
            <w:r>
              <w:rPr>
                <w:rFonts w:ascii="Arial" w:cs="Arial" w:eastAsia="Arial" w:hAnsi="Arial"/>
                <w:sz w:val="13"/>
                <w:szCs w:val="13"/>
                <w:color w:val="333333"/>
              </w:rPr>
              <w:t>—</w:t>
            </w:r>
          </w:p>
        </w:tc>
        <w:tc>
          <w:tcPr>
            <w:tcW w:w="1140" w:type="dxa"/>
            <w:vAlign w:val="bottom"/>
          </w:tcPr>
          <w:p>
            <w:pPr>
              <w:ind w:left="160"/>
              <w:spacing w:after="0"/>
              <w:rPr>
                <w:sz w:val="20"/>
                <w:szCs w:val="20"/>
                <w:color w:val="auto"/>
              </w:rPr>
            </w:pPr>
            <w:r>
              <w:rPr>
                <w:rFonts w:ascii="Arial" w:cs="Arial" w:eastAsia="Arial" w:hAnsi="Arial"/>
                <w:sz w:val="13"/>
                <w:szCs w:val="13"/>
                <w:color w:val="333333"/>
              </w:rPr>
              <w:t>$4,223,257</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660" w:right="259" w:hanging="10"/>
        <w:spacing w:after="0" w:line="235" w:lineRule="auto"/>
        <w:tabs>
          <w:tab w:leader="none" w:pos="849" w:val="left"/>
        </w:tabs>
        <w:numPr>
          <w:ilvl w:val="0"/>
          <w:numId w:val="103"/>
        </w:numPr>
        <w:rPr>
          <w:rFonts w:ascii="Arial" w:cs="Arial" w:eastAsia="Arial" w:hAnsi="Arial"/>
          <w:sz w:val="13"/>
          <w:szCs w:val="13"/>
          <w:i w:val="1"/>
          <w:iCs w:val="1"/>
          <w:color w:val="333333"/>
        </w:rPr>
      </w:pPr>
      <w:r>
        <w:rPr>
          <w:rFonts w:ascii="Arial" w:cs="Arial" w:eastAsia="Arial" w:hAnsi="Arial"/>
          <w:sz w:val="13"/>
          <w:szCs w:val="13"/>
          <w:i w:val="1"/>
          <w:iCs w:val="1"/>
          <w:color w:val="333333"/>
        </w:rPr>
        <w:t>For Mr. Clarke, represents 150% of his then-current annual base salary and any accrued vacation. For Mr. Panther, Ms. Vickery, Mr. Netto and Mr. King, represents one year of their then-current annual base salary.</w:t>
      </w:r>
    </w:p>
    <w:p>
      <w:pPr>
        <w:ind w:left="660" w:right="179" w:hanging="10"/>
        <w:spacing w:after="0" w:line="220" w:lineRule="auto"/>
        <w:tabs>
          <w:tab w:leader="none" w:pos="849" w:val="left"/>
        </w:tabs>
        <w:numPr>
          <w:ilvl w:val="0"/>
          <w:numId w:val="103"/>
        </w:numPr>
        <w:rPr>
          <w:rFonts w:ascii="Arial" w:cs="Arial" w:eastAsia="Arial" w:hAnsi="Arial"/>
          <w:sz w:val="13"/>
          <w:szCs w:val="13"/>
          <w:i w:val="1"/>
          <w:iCs w:val="1"/>
          <w:color w:val="333333"/>
        </w:rPr>
      </w:pPr>
      <w:r>
        <w:rPr>
          <w:rFonts w:ascii="Arial" w:cs="Arial" w:eastAsia="Arial" w:hAnsi="Arial"/>
          <w:sz w:val="13"/>
          <w:szCs w:val="13"/>
          <w:i w:val="1"/>
          <w:iCs w:val="1"/>
          <w:color w:val="333333"/>
        </w:rPr>
        <w:t>Under our 2010 Plan and the stock option, restricted share and restricted stock unit agreements with each named executive officer, all awards, other than Mr. Clarke's 2021 CEO Performance Option, are subject to vesting in the event of a change in control or the executive's retirement, death or disability. The value shown above with respect to a change in control represents the value of the unvested options, restricted shares and restricted stock units held by the named executive officers at December 29, 2023, assuming a value of $282.61 per share, the closing price of our common stock on the New York Stock Exchange on December 29, 2023 (the last business day of 2023), for which vesting would be accelerated. The value shown above with respect to death, disability and retirement represents the value of the portion of the awards that are scheduled to vest in the year in which the retirement, death or disability occurs, which portion would vest upon such events. For options with an exercise price above the closing price of our common stock on December 29, 2023, accelerated vesting value was assumed as zero.</w:t>
      </w:r>
    </w:p>
    <w:p>
      <w:pPr>
        <w:spacing w:after="0" w:line="14" w:lineRule="exact"/>
        <w:rPr>
          <w:rFonts w:ascii="Arial" w:cs="Arial" w:eastAsia="Arial" w:hAnsi="Arial"/>
          <w:sz w:val="13"/>
          <w:szCs w:val="13"/>
          <w:i w:val="1"/>
          <w:iCs w:val="1"/>
          <w:color w:val="333333"/>
        </w:rPr>
      </w:pPr>
    </w:p>
    <w:p>
      <w:pPr>
        <w:ind w:left="840" w:hanging="190"/>
        <w:spacing w:after="0"/>
        <w:tabs>
          <w:tab w:leader="none" w:pos="840" w:val="left"/>
        </w:tabs>
        <w:numPr>
          <w:ilvl w:val="0"/>
          <w:numId w:val="103"/>
        </w:numPr>
        <w:rPr>
          <w:rFonts w:ascii="Arial" w:cs="Arial" w:eastAsia="Arial" w:hAnsi="Arial"/>
          <w:sz w:val="13"/>
          <w:szCs w:val="13"/>
          <w:i w:val="1"/>
          <w:iCs w:val="1"/>
          <w:color w:val="333333"/>
        </w:rPr>
      </w:pPr>
      <w:r>
        <w:rPr>
          <w:rFonts w:ascii="Arial" w:cs="Arial" w:eastAsia="Arial" w:hAnsi="Arial"/>
          <w:sz w:val="13"/>
          <w:szCs w:val="13"/>
          <w:i w:val="1"/>
          <w:iCs w:val="1"/>
          <w:color w:val="333333"/>
        </w:rPr>
        <w:t>Represents payment of medical, dental and vision benefits for 12 months.</w:t>
      </w:r>
    </w:p>
    <w:p>
      <w:pPr>
        <w:spacing w:after="0" w:line="9" w:lineRule="exact"/>
        <w:rPr>
          <w:rFonts w:ascii="Arial" w:cs="Arial" w:eastAsia="Arial" w:hAnsi="Arial"/>
          <w:sz w:val="13"/>
          <w:szCs w:val="13"/>
          <w:i w:val="1"/>
          <w:iCs w:val="1"/>
          <w:color w:val="333333"/>
        </w:rPr>
      </w:pPr>
    </w:p>
    <w:p>
      <w:pPr>
        <w:ind w:left="660" w:right="399" w:hanging="10"/>
        <w:spacing w:after="0" w:line="231" w:lineRule="auto"/>
        <w:tabs>
          <w:tab w:leader="none" w:pos="849" w:val="left"/>
        </w:tabs>
        <w:numPr>
          <w:ilvl w:val="0"/>
          <w:numId w:val="103"/>
        </w:numPr>
        <w:rPr>
          <w:rFonts w:ascii="Arial" w:cs="Arial" w:eastAsia="Arial" w:hAnsi="Arial"/>
          <w:sz w:val="13"/>
          <w:szCs w:val="13"/>
          <w:i w:val="1"/>
          <w:iCs w:val="1"/>
          <w:color w:val="333333"/>
        </w:rPr>
      </w:pPr>
      <w:r>
        <w:rPr>
          <w:rFonts w:ascii="Arial" w:cs="Arial" w:eastAsia="Arial" w:hAnsi="Arial"/>
          <w:sz w:val="13"/>
          <w:szCs w:val="13"/>
          <w:i w:val="1"/>
          <w:iCs w:val="1"/>
          <w:color w:val="333333"/>
        </w:rPr>
        <w:t>The Company does not hold an offer letter or other individual agreement with Ms. Vickery. For purposes of this disclosure, we have assumed that Ms. Vickery would receive cash severance compensation similar to other non-CEO named executive officers.</w:t>
      </w:r>
    </w:p>
    <w:p>
      <w:pPr>
        <w:spacing w:after="0" w:line="1" w:lineRule="exact"/>
        <w:rPr>
          <w:rFonts w:ascii="Arial" w:cs="Arial" w:eastAsia="Arial" w:hAnsi="Arial"/>
          <w:sz w:val="13"/>
          <w:szCs w:val="13"/>
          <w:i w:val="1"/>
          <w:iCs w:val="1"/>
          <w:color w:val="333333"/>
        </w:rPr>
      </w:pPr>
    </w:p>
    <w:p>
      <w:pPr>
        <w:ind w:left="660" w:right="439" w:hanging="10"/>
        <w:spacing w:after="0" w:line="238" w:lineRule="auto"/>
        <w:tabs>
          <w:tab w:leader="none" w:pos="849" w:val="left"/>
        </w:tabs>
        <w:numPr>
          <w:ilvl w:val="0"/>
          <w:numId w:val="103"/>
        </w:numPr>
        <w:rPr>
          <w:rFonts w:ascii="Arial" w:cs="Arial" w:eastAsia="Arial" w:hAnsi="Arial"/>
          <w:sz w:val="13"/>
          <w:szCs w:val="13"/>
          <w:i w:val="1"/>
          <w:iCs w:val="1"/>
          <w:color w:val="333333"/>
        </w:rPr>
      </w:pPr>
      <w:r>
        <w:rPr>
          <w:rFonts w:ascii="Arial" w:cs="Arial" w:eastAsia="Arial" w:hAnsi="Arial"/>
          <w:sz w:val="13"/>
          <w:szCs w:val="13"/>
          <w:i w:val="1"/>
          <w:iCs w:val="1"/>
          <w:color w:val="333333"/>
        </w:rPr>
        <w:t>As Mr. Netto is based in Brazil, his cash compensation is denominated in Brazilian Real. All cash amounts for Mr. Netto have been converted to U.S. dollars at an average exchange rate of $1 to R$4.9915 for 2023.</w:t>
      </w:r>
    </w:p>
    <w:p>
      <w:pPr>
        <w:spacing w:after="0" w:line="190"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58 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CF1D4C"/>
        </w:rPr>
        <w:t>EQUITY COMPENSATION PLAN INFORMATION</w:t>
      </w:r>
    </w:p>
    <w:p>
      <w:pPr>
        <w:spacing w:after="0" w:line="351" w:lineRule="exact"/>
        <w:rPr>
          <w:sz w:val="20"/>
          <w:szCs w:val="20"/>
          <w:color w:val="auto"/>
        </w:rPr>
      </w:pPr>
    </w:p>
    <w:p>
      <w:pPr>
        <w:ind w:left="660" w:right="900"/>
        <w:spacing w:after="0" w:line="286" w:lineRule="auto"/>
        <w:rPr>
          <w:sz w:val="20"/>
          <w:szCs w:val="20"/>
          <w:color w:val="auto"/>
        </w:rPr>
      </w:pPr>
      <w:r>
        <w:rPr>
          <w:rFonts w:ascii="Arial" w:cs="Arial" w:eastAsia="Arial" w:hAnsi="Arial"/>
          <w:sz w:val="16"/>
          <w:szCs w:val="16"/>
          <w:color w:val="333333"/>
        </w:rPr>
        <w:t>The following table sets forth information, as of December 31, 2023, with respect to 2010 Plan, which is our only equity compensation plan under which common shares are authorized for issuance:</w:t>
      </w:r>
    </w:p>
    <w:p>
      <w:pPr>
        <w:spacing w:after="0" w:line="35" w:lineRule="exact"/>
        <w:rPr>
          <w:sz w:val="20"/>
          <w:szCs w:val="20"/>
          <w:color w:val="auto"/>
        </w:rPr>
      </w:pPr>
    </w:p>
    <w:tbl>
      <w:tblPr>
        <w:tblLayout w:type="fixed"/>
        <w:tblInd w:w="640" w:type="dxa"/>
        <w:tblCellMar>
          <w:top w:w="0" w:type="dxa"/>
          <w:left w:w="0" w:type="dxa"/>
          <w:bottom w:w="0" w:type="dxa"/>
          <w:right w:w="0" w:type="dxa"/>
        </w:tblCellMar>
      </w:tblPr>
      <w:tr>
        <w:trPr>
          <w:trHeight w:val="279"/>
        </w:trPr>
        <w:tc>
          <w:tcPr>
            <w:tcW w:w="2060" w:type="dxa"/>
            <w:vAlign w:val="bottom"/>
            <w:shd w:val="clear" w:color="auto" w:fill="CF1D4C"/>
          </w:tcPr>
          <w:p>
            <w:pPr>
              <w:spacing w:after="0"/>
              <w:rPr>
                <w:sz w:val="24"/>
                <w:szCs w:val="24"/>
                <w:color w:val="auto"/>
              </w:rPr>
            </w:pPr>
          </w:p>
        </w:tc>
        <w:tc>
          <w:tcPr>
            <w:tcW w:w="2000" w:type="dxa"/>
            <w:vAlign w:val="bottom"/>
            <w:vMerge w:val="restart"/>
            <w:shd w:val="clear" w:color="auto" w:fill="CF1D4C"/>
          </w:tcPr>
          <w:p>
            <w:pPr>
              <w:ind w:left="140"/>
              <w:spacing w:after="0"/>
              <w:rPr>
                <w:sz w:val="20"/>
                <w:szCs w:val="20"/>
                <w:color w:val="auto"/>
              </w:rPr>
            </w:pPr>
            <w:r>
              <w:rPr>
                <w:rFonts w:ascii="Arial" w:cs="Arial" w:eastAsia="Arial" w:hAnsi="Arial"/>
                <w:sz w:val="13"/>
                <w:szCs w:val="13"/>
                <w:b w:val="1"/>
                <w:bCs w:val="1"/>
                <w:color w:val="FFFFFF"/>
              </w:rPr>
              <w:t>Number of Securities to be</w:t>
            </w:r>
          </w:p>
        </w:tc>
        <w:tc>
          <w:tcPr>
            <w:tcW w:w="2200" w:type="dxa"/>
            <w:vAlign w:val="bottom"/>
            <w:shd w:val="clear" w:color="auto" w:fill="CF1D4C"/>
          </w:tcPr>
          <w:p>
            <w:pPr>
              <w:spacing w:after="0"/>
              <w:rPr>
                <w:sz w:val="24"/>
                <w:szCs w:val="24"/>
                <w:color w:val="auto"/>
              </w:rPr>
            </w:pPr>
          </w:p>
        </w:tc>
        <w:tc>
          <w:tcPr>
            <w:tcW w:w="2500" w:type="dxa"/>
            <w:vAlign w:val="bottom"/>
            <w:shd w:val="clear" w:color="auto" w:fill="CF1D4C"/>
          </w:tcPr>
          <w:p>
            <w:pPr>
              <w:ind w:left="180"/>
              <w:spacing w:after="0"/>
              <w:rPr>
                <w:sz w:val="20"/>
                <w:szCs w:val="20"/>
                <w:color w:val="auto"/>
              </w:rPr>
            </w:pPr>
            <w:r>
              <w:rPr>
                <w:rFonts w:ascii="Arial" w:cs="Arial" w:eastAsia="Arial" w:hAnsi="Arial"/>
                <w:sz w:val="13"/>
                <w:szCs w:val="13"/>
                <w:b w:val="1"/>
                <w:bCs w:val="1"/>
                <w:color w:val="FFFFFF"/>
              </w:rPr>
              <w:t>Number of Securities Remaining</w:t>
            </w:r>
          </w:p>
        </w:tc>
        <w:tc>
          <w:tcPr>
            <w:tcW w:w="0" w:type="dxa"/>
            <w:vAlign w:val="bottom"/>
          </w:tcPr>
          <w:p>
            <w:pPr>
              <w:spacing w:after="0"/>
              <w:rPr>
                <w:sz w:val="1"/>
                <w:szCs w:val="1"/>
                <w:color w:val="auto"/>
              </w:rPr>
            </w:pPr>
          </w:p>
        </w:tc>
      </w:tr>
      <w:tr>
        <w:trPr>
          <w:trHeight w:val="68"/>
        </w:trPr>
        <w:tc>
          <w:tcPr>
            <w:tcW w:w="2060" w:type="dxa"/>
            <w:vAlign w:val="bottom"/>
            <w:shd w:val="clear" w:color="auto" w:fill="CF1D4C"/>
          </w:tcPr>
          <w:p>
            <w:pPr>
              <w:spacing w:after="0"/>
              <w:rPr>
                <w:sz w:val="5"/>
                <w:szCs w:val="5"/>
                <w:color w:val="auto"/>
              </w:rPr>
            </w:pPr>
          </w:p>
        </w:tc>
        <w:tc>
          <w:tcPr>
            <w:tcW w:w="2000" w:type="dxa"/>
            <w:vAlign w:val="bottom"/>
            <w:vMerge w:val="continue"/>
            <w:shd w:val="clear" w:color="auto" w:fill="CF1D4C"/>
          </w:tcPr>
          <w:p>
            <w:pPr>
              <w:spacing w:after="0"/>
              <w:rPr>
                <w:sz w:val="5"/>
                <w:szCs w:val="5"/>
                <w:color w:val="auto"/>
              </w:rPr>
            </w:pPr>
          </w:p>
        </w:tc>
        <w:tc>
          <w:tcPr>
            <w:tcW w:w="2200" w:type="dxa"/>
            <w:vAlign w:val="bottom"/>
            <w:vMerge w:val="restart"/>
            <w:shd w:val="clear" w:color="auto" w:fill="CF1D4C"/>
          </w:tcPr>
          <w:p>
            <w:pPr>
              <w:ind w:left="240"/>
              <w:spacing w:after="0" w:line="135" w:lineRule="exact"/>
              <w:rPr>
                <w:sz w:val="20"/>
                <w:szCs w:val="20"/>
                <w:color w:val="auto"/>
              </w:rPr>
            </w:pPr>
            <w:r>
              <w:rPr>
                <w:rFonts w:ascii="Arial" w:cs="Arial" w:eastAsia="Arial" w:hAnsi="Arial"/>
                <w:sz w:val="13"/>
                <w:szCs w:val="13"/>
                <w:b w:val="1"/>
                <w:bCs w:val="1"/>
                <w:color w:val="FFFFFF"/>
              </w:rPr>
              <w:t>Weighted Average Exercise</w:t>
            </w:r>
          </w:p>
        </w:tc>
        <w:tc>
          <w:tcPr>
            <w:tcW w:w="2500" w:type="dxa"/>
            <w:vAlign w:val="bottom"/>
            <w:vMerge w:val="restart"/>
            <w:shd w:val="clear" w:color="auto" w:fill="CF1D4C"/>
          </w:tcPr>
          <w:p>
            <w:pPr>
              <w:ind w:left="180"/>
              <w:spacing w:after="0" w:line="135" w:lineRule="exact"/>
              <w:rPr>
                <w:sz w:val="20"/>
                <w:szCs w:val="20"/>
                <w:color w:val="auto"/>
              </w:rPr>
            </w:pPr>
            <w:r>
              <w:rPr>
                <w:rFonts w:ascii="Arial" w:cs="Arial" w:eastAsia="Arial" w:hAnsi="Arial"/>
                <w:sz w:val="13"/>
                <w:szCs w:val="13"/>
                <w:b w:val="1"/>
                <w:bCs w:val="1"/>
                <w:color w:val="FFFFFF"/>
              </w:rPr>
              <w:t>Available for Future Issuance</w:t>
            </w:r>
          </w:p>
        </w:tc>
        <w:tc>
          <w:tcPr>
            <w:tcW w:w="0" w:type="dxa"/>
            <w:vAlign w:val="bottom"/>
          </w:tcPr>
          <w:p>
            <w:pPr>
              <w:spacing w:after="0"/>
              <w:rPr>
                <w:sz w:val="1"/>
                <w:szCs w:val="1"/>
                <w:color w:val="auto"/>
              </w:rPr>
            </w:pPr>
          </w:p>
        </w:tc>
      </w:tr>
      <w:tr>
        <w:trPr>
          <w:trHeight w:val="68"/>
        </w:trPr>
        <w:tc>
          <w:tcPr>
            <w:tcW w:w="2060" w:type="dxa"/>
            <w:vAlign w:val="bottom"/>
            <w:shd w:val="clear" w:color="auto" w:fill="CF1D4C"/>
          </w:tcPr>
          <w:p>
            <w:pPr>
              <w:spacing w:after="0"/>
              <w:rPr>
                <w:sz w:val="5"/>
                <w:szCs w:val="5"/>
                <w:color w:val="auto"/>
              </w:rPr>
            </w:pPr>
          </w:p>
        </w:tc>
        <w:tc>
          <w:tcPr>
            <w:tcW w:w="2000" w:type="dxa"/>
            <w:vAlign w:val="bottom"/>
            <w:vMerge w:val="restart"/>
            <w:shd w:val="clear" w:color="auto" w:fill="CF1D4C"/>
          </w:tcPr>
          <w:p>
            <w:pPr>
              <w:ind w:left="140"/>
              <w:spacing w:after="0" w:line="135" w:lineRule="exact"/>
              <w:rPr>
                <w:sz w:val="20"/>
                <w:szCs w:val="20"/>
                <w:color w:val="auto"/>
              </w:rPr>
            </w:pPr>
            <w:r>
              <w:rPr>
                <w:rFonts w:ascii="Arial" w:cs="Arial" w:eastAsia="Arial" w:hAnsi="Arial"/>
                <w:sz w:val="13"/>
                <w:szCs w:val="13"/>
                <w:b w:val="1"/>
                <w:bCs w:val="1"/>
                <w:color w:val="FFFFFF"/>
              </w:rPr>
              <w:t>Issued Upon Exercise of</w:t>
            </w:r>
          </w:p>
        </w:tc>
        <w:tc>
          <w:tcPr>
            <w:tcW w:w="2200" w:type="dxa"/>
            <w:vAlign w:val="bottom"/>
            <w:vMerge w:val="continue"/>
            <w:shd w:val="clear" w:color="auto" w:fill="CF1D4C"/>
          </w:tcPr>
          <w:p>
            <w:pPr>
              <w:spacing w:after="0"/>
              <w:rPr>
                <w:sz w:val="5"/>
                <w:szCs w:val="5"/>
                <w:color w:val="auto"/>
              </w:rPr>
            </w:pPr>
          </w:p>
        </w:tc>
        <w:tc>
          <w:tcPr>
            <w:tcW w:w="2500" w:type="dxa"/>
            <w:vAlign w:val="bottom"/>
            <w:vMerge w:val="continue"/>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60" w:type="dxa"/>
            <w:vAlign w:val="bottom"/>
            <w:vMerge w:val="restart"/>
            <w:shd w:val="clear" w:color="auto" w:fill="CF1D4C"/>
          </w:tcPr>
          <w:p>
            <w:pPr>
              <w:ind w:left="180"/>
              <w:spacing w:after="0" w:line="139" w:lineRule="exact"/>
              <w:rPr>
                <w:sz w:val="20"/>
                <w:szCs w:val="20"/>
                <w:color w:val="auto"/>
              </w:rPr>
            </w:pPr>
            <w:r>
              <w:rPr>
                <w:rFonts w:ascii="Arial" w:cs="Arial" w:eastAsia="Arial" w:hAnsi="Arial"/>
                <w:sz w:val="13"/>
                <w:szCs w:val="13"/>
                <w:b w:val="1"/>
                <w:bCs w:val="1"/>
                <w:color w:val="FFFFFF"/>
              </w:rPr>
              <w:t>Plan Category</w:t>
            </w:r>
          </w:p>
        </w:tc>
        <w:tc>
          <w:tcPr>
            <w:tcW w:w="2000" w:type="dxa"/>
            <w:vAlign w:val="bottom"/>
            <w:vMerge w:val="continue"/>
            <w:shd w:val="clear" w:color="auto" w:fill="CF1D4C"/>
          </w:tcPr>
          <w:p>
            <w:pPr>
              <w:spacing w:after="0"/>
              <w:rPr>
                <w:sz w:val="5"/>
                <w:szCs w:val="5"/>
                <w:color w:val="auto"/>
              </w:rPr>
            </w:pPr>
          </w:p>
        </w:tc>
        <w:tc>
          <w:tcPr>
            <w:tcW w:w="2200" w:type="dxa"/>
            <w:vAlign w:val="bottom"/>
            <w:vMerge w:val="restart"/>
            <w:shd w:val="clear" w:color="auto" w:fill="CF1D4C"/>
          </w:tcPr>
          <w:p>
            <w:pPr>
              <w:ind w:left="240"/>
              <w:spacing w:after="0" w:line="139" w:lineRule="exact"/>
              <w:rPr>
                <w:sz w:val="20"/>
                <w:szCs w:val="20"/>
                <w:color w:val="auto"/>
              </w:rPr>
            </w:pPr>
            <w:r>
              <w:rPr>
                <w:rFonts w:ascii="Arial" w:cs="Arial" w:eastAsia="Arial" w:hAnsi="Arial"/>
                <w:sz w:val="13"/>
                <w:szCs w:val="13"/>
                <w:b w:val="1"/>
                <w:bCs w:val="1"/>
                <w:color w:val="FFFFFF"/>
              </w:rPr>
              <w:t>Price of Outstanding Options,</w:t>
            </w:r>
          </w:p>
        </w:tc>
        <w:tc>
          <w:tcPr>
            <w:tcW w:w="2500" w:type="dxa"/>
            <w:vAlign w:val="bottom"/>
            <w:vMerge w:val="restart"/>
            <w:shd w:val="clear" w:color="auto" w:fill="CF1D4C"/>
          </w:tcPr>
          <w:p>
            <w:pPr>
              <w:ind w:left="180"/>
              <w:spacing w:after="0" w:line="139" w:lineRule="exact"/>
              <w:rPr>
                <w:sz w:val="20"/>
                <w:szCs w:val="20"/>
                <w:color w:val="auto"/>
              </w:rPr>
            </w:pPr>
            <w:r>
              <w:rPr>
                <w:rFonts w:ascii="Arial" w:cs="Arial" w:eastAsia="Arial" w:hAnsi="Arial"/>
                <w:sz w:val="13"/>
                <w:szCs w:val="13"/>
                <w:b w:val="1"/>
                <w:bCs w:val="1"/>
                <w:color w:val="FFFFFF"/>
              </w:rPr>
              <w:t>Under Equity Compensation</w:t>
            </w:r>
          </w:p>
        </w:tc>
        <w:tc>
          <w:tcPr>
            <w:tcW w:w="0" w:type="dxa"/>
            <w:vAlign w:val="bottom"/>
          </w:tcPr>
          <w:p>
            <w:pPr>
              <w:spacing w:after="0"/>
              <w:rPr>
                <w:sz w:val="1"/>
                <w:szCs w:val="1"/>
                <w:color w:val="auto"/>
              </w:rPr>
            </w:pPr>
          </w:p>
        </w:tc>
      </w:tr>
      <w:tr>
        <w:trPr>
          <w:trHeight w:val="72"/>
        </w:trPr>
        <w:tc>
          <w:tcPr>
            <w:tcW w:w="2060" w:type="dxa"/>
            <w:vAlign w:val="bottom"/>
            <w:vMerge w:val="continue"/>
            <w:shd w:val="clear" w:color="auto" w:fill="CF1D4C"/>
          </w:tcPr>
          <w:p>
            <w:pPr>
              <w:spacing w:after="0"/>
              <w:rPr>
                <w:sz w:val="6"/>
                <w:szCs w:val="6"/>
                <w:color w:val="auto"/>
              </w:rPr>
            </w:pPr>
          </w:p>
        </w:tc>
        <w:tc>
          <w:tcPr>
            <w:tcW w:w="2000" w:type="dxa"/>
            <w:vAlign w:val="bottom"/>
            <w:vMerge w:val="restart"/>
            <w:shd w:val="clear" w:color="auto" w:fill="CF1D4C"/>
          </w:tcPr>
          <w:p>
            <w:pPr>
              <w:ind w:left="140"/>
              <w:spacing w:after="0"/>
              <w:rPr>
                <w:sz w:val="20"/>
                <w:szCs w:val="20"/>
                <w:color w:val="auto"/>
              </w:rPr>
            </w:pPr>
            <w:r>
              <w:rPr>
                <w:rFonts w:ascii="Arial" w:cs="Arial" w:eastAsia="Arial" w:hAnsi="Arial"/>
                <w:sz w:val="13"/>
                <w:szCs w:val="13"/>
                <w:b w:val="1"/>
                <w:bCs w:val="1"/>
                <w:color w:val="FFFFFF"/>
              </w:rPr>
              <w:t>Outstanding Options,</w:t>
            </w:r>
          </w:p>
        </w:tc>
        <w:tc>
          <w:tcPr>
            <w:tcW w:w="2200" w:type="dxa"/>
            <w:vAlign w:val="bottom"/>
            <w:vMerge w:val="continue"/>
            <w:shd w:val="clear" w:color="auto" w:fill="CF1D4C"/>
          </w:tcPr>
          <w:p>
            <w:pPr>
              <w:spacing w:after="0"/>
              <w:rPr>
                <w:sz w:val="6"/>
                <w:szCs w:val="6"/>
                <w:color w:val="auto"/>
              </w:rPr>
            </w:pPr>
          </w:p>
        </w:tc>
        <w:tc>
          <w:tcPr>
            <w:tcW w:w="2500" w:type="dxa"/>
            <w:vAlign w:val="bottom"/>
            <w:vMerge w:val="continue"/>
            <w:shd w:val="clear" w:color="auto" w:fill="CF1D4C"/>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60" w:type="dxa"/>
            <w:vAlign w:val="bottom"/>
            <w:shd w:val="clear" w:color="auto" w:fill="CF1D4C"/>
          </w:tcPr>
          <w:p>
            <w:pPr>
              <w:spacing w:after="0"/>
              <w:rPr>
                <w:sz w:val="8"/>
                <w:szCs w:val="8"/>
                <w:color w:val="auto"/>
              </w:rPr>
            </w:pPr>
          </w:p>
        </w:tc>
        <w:tc>
          <w:tcPr>
            <w:tcW w:w="2000" w:type="dxa"/>
            <w:vAlign w:val="bottom"/>
            <w:vMerge w:val="continue"/>
            <w:shd w:val="clear" w:color="auto" w:fill="CF1D4C"/>
          </w:tcPr>
          <w:p>
            <w:pPr>
              <w:spacing w:after="0"/>
              <w:rPr>
                <w:sz w:val="8"/>
                <w:szCs w:val="8"/>
                <w:color w:val="auto"/>
              </w:rPr>
            </w:pPr>
          </w:p>
        </w:tc>
        <w:tc>
          <w:tcPr>
            <w:tcW w:w="2200" w:type="dxa"/>
            <w:vAlign w:val="bottom"/>
            <w:vMerge w:val="restart"/>
            <w:shd w:val="clear" w:color="auto" w:fill="CF1D4C"/>
          </w:tcPr>
          <w:p>
            <w:pPr>
              <w:ind w:left="1680"/>
              <w:spacing w:after="0"/>
              <w:rPr>
                <w:sz w:val="20"/>
                <w:szCs w:val="20"/>
                <w:color w:val="auto"/>
              </w:rPr>
            </w:pPr>
            <w:r>
              <w:rPr>
                <w:rFonts w:ascii="Arial" w:cs="Arial" w:eastAsia="Arial" w:hAnsi="Arial"/>
                <w:sz w:val="10"/>
                <w:szCs w:val="10"/>
                <w:b w:val="1"/>
                <w:bCs w:val="1"/>
                <w:color w:val="FFFFFF"/>
              </w:rPr>
              <w:t>(2)</w:t>
            </w:r>
          </w:p>
        </w:tc>
        <w:tc>
          <w:tcPr>
            <w:tcW w:w="2500" w:type="dxa"/>
            <w:vAlign w:val="bottom"/>
            <w:vMerge w:val="restart"/>
            <w:shd w:val="clear" w:color="auto" w:fill="CF1D4C"/>
          </w:tcPr>
          <w:p>
            <w:pPr>
              <w:ind w:left="180"/>
              <w:spacing w:after="0" w:line="122" w:lineRule="exact"/>
              <w:rPr>
                <w:sz w:val="20"/>
                <w:szCs w:val="20"/>
                <w:color w:val="auto"/>
              </w:rPr>
            </w:pPr>
            <w:r>
              <w:rPr>
                <w:rFonts w:ascii="Arial" w:cs="Arial" w:eastAsia="Arial" w:hAnsi="Arial"/>
                <w:sz w:val="13"/>
                <w:szCs w:val="13"/>
                <w:b w:val="1"/>
                <w:bCs w:val="1"/>
                <w:color w:val="FFFFFF"/>
              </w:rPr>
              <w:t>Plans (Excluding Securities</w:t>
            </w:r>
          </w:p>
        </w:tc>
        <w:tc>
          <w:tcPr>
            <w:tcW w:w="0" w:type="dxa"/>
            <w:vAlign w:val="bottom"/>
          </w:tcPr>
          <w:p>
            <w:pPr>
              <w:spacing w:after="0"/>
              <w:rPr>
                <w:sz w:val="1"/>
                <w:szCs w:val="1"/>
                <w:color w:val="auto"/>
              </w:rPr>
            </w:pPr>
          </w:p>
        </w:tc>
      </w:tr>
      <w:tr>
        <w:trPr>
          <w:trHeight w:val="22"/>
        </w:trPr>
        <w:tc>
          <w:tcPr>
            <w:tcW w:w="2060" w:type="dxa"/>
            <w:vAlign w:val="bottom"/>
            <w:shd w:val="clear" w:color="auto" w:fill="CF1D4C"/>
          </w:tcPr>
          <w:p>
            <w:pPr>
              <w:spacing w:after="0" w:line="20" w:lineRule="exact"/>
              <w:rPr>
                <w:sz w:val="1"/>
                <w:szCs w:val="1"/>
                <w:color w:val="auto"/>
              </w:rPr>
            </w:pPr>
          </w:p>
        </w:tc>
        <w:tc>
          <w:tcPr>
            <w:tcW w:w="2000" w:type="dxa"/>
            <w:vAlign w:val="bottom"/>
            <w:shd w:val="clear" w:color="auto" w:fill="CF1D4C"/>
          </w:tcPr>
          <w:p>
            <w:pPr>
              <w:spacing w:after="0" w:line="20" w:lineRule="exact"/>
              <w:rPr>
                <w:sz w:val="1"/>
                <w:szCs w:val="1"/>
                <w:color w:val="auto"/>
              </w:rPr>
            </w:pPr>
          </w:p>
        </w:tc>
        <w:tc>
          <w:tcPr>
            <w:tcW w:w="2200" w:type="dxa"/>
            <w:vAlign w:val="bottom"/>
            <w:vMerge w:val="continue"/>
            <w:shd w:val="clear" w:color="auto" w:fill="CF1D4C"/>
          </w:tcPr>
          <w:p>
            <w:pPr>
              <w:spacing w:after="0" w:line="20" w:lineRule="exact"/>
              <w:rPr>
                <w:sz w:val="1"/>
                <w:szCs w:val="1"/>
                <w:color w:val="auto"/>
              </w:rPr>
            </w:pPr>
          </w:p>
        </w:tc>
        <w:tc>
          <w:tcPr>
            <w:tcW w:w="2500" w:type="dxa"/>
            <w:vAlign w:val="bottom"/>
            <w:vMerge w:val="continue"/>
            <w:shd w:val="clear" w:color="auto" w:fill="CF1D4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060" w:type="dxa"/>
            <w:vAlign w:val="bottom"/>
            <w:shd w:val="clear" w:color="auto" w:fill="CF1D4C"/>
          </w:tcPr>
          <w:p>
            <w:pPr>
              <w:spacing w:after="0"/>
              <w:rPr>
                <w:sz w:val="24"/>
                <w:szCs w:val="24"/>
                <w:color w:val="auto"/>
              </w:rPr>
            </w:pPr>
          </w:p>
        </w:tc>
        <w:tc>
          <w:tcPr>
            <w:tcW w:w="2000" w:type="dxa"/>
            <w:vAlign w:val="bottom"/>
            <w:shd w:val="clear" w:color="auto" w:fill="CF1D4C"/>
          </w:tcPr>
          <w:p>
            <w:pPr>
              <w:ind w:left="140"/>
              <w:spacing w:after="0"/>
              <w:rPr>
                <w:sz w:val="20"/>
                <w:szCs w:val="20"/>
                <w:color w:val="auto"/>
              </w:rPr>
            </w:pPr>
            <w:r>
              <w:rPr>
                <w:rFonts w:ascii="Arial" w:cs="Arial" w:eastAsia="Arial" w:hAnsi="Arial"/>
                <w:sz w:val="13"/>
                <w:szCs w:val="13"/>
                <w:b w:val="1"/>
                <w:bCs w:val="1"/>
                <w:color w:val="FFFFFF"/>
              </w:rPr>
              <w:t>Warrants and Rights (A)</w:t>
            </w:r>
            <w:r>
              <w:rPr>
                <w:rFonts w:ascii="Arial" w:cs="Arial" w:eastAsia="Arial" w:hAnsi="Arial"/>
                <w:sz w:val="20"/>
                <w:szCs w:val="20"/>
                <w:b w:val="1"/>
                <w:bCs w:val="1"/>
                <w:color w:val="FFFFFF"/>
                <w:vertAlign w:val="superscript"/>
              </w:rPr>
              <w:t>(1)</w:t>
            </w:r>
          </w:p>
        </w:tc>
        <w:tc>
          <w:tcPr>
            <w:tcW w:w="2200" w:type="dxa"/>
            <w:vAlign w:val="bottom"/>
            <w:shd w:val="clear" w:color="auto" w:fill="CF1D4C"/>
          </w:tcPr>
          <w:p>
            <w:pPr>
              <w:ind w:left="240"/>
              <w:spacing w:after="0"/>
              <w:rPr>
                <w:sz w:val="20"/>
                <w:szCs w:val="20"/>
                <w:color w:val="auto"/>
              </w:rPr>
            </w:pPr>
            <w:r>
              <w:rPr>
                <w:rFonts w:ascii="Arial" w:cs="Arial" w:eastAsia="Arial" w:hAnsi="Arial"/>
                <w:sz w:val="13"/>
                <w:szCs w:val="13"/>
                <w:b w:val="1"/>
                <w:bCs w:val="1"/>
                <w:color w:val="FFFFFF"/>
              </w:rPr>
              <w:t>Warrants and Rights (B)</w:t>
            </w:r>
          </w:p>
        </w:tc>
        <w:tc>
          <w:tcPr>
            <w:tcW w:w="2500" w:type="dxa"/>
            <w:vAlign w:val="bottom"/>
            <w:shd w:val="clear" w:color="auto" w:fill="CF1D4C"/>
          </w:tcPr>
          <w:p>
            <w:pPr>
              <w:ind w:left="180"/>
              <w:spacing w:after="0"/>
              <w:rPr>
                <w:sz w:val="20"/>
                <w:szCs w:val="20"/>
                <w:color w:val="auto"/>
              </w:rPr>
            </w:pPr>
            <w:r>
              <w:rPr>
                <w:rFonts w:ascii="Arial" w:cs="Arial" w:eastAsia="Arial" w:hAnsi="Arial"/>
                <w:sz w:val="13"/>
                <w:szCs w:val="13"/>
                <w:b w:val="1"/>
                <w:bCs w:val="1"/>
                <w:color w:val="FFFFFF"/>
              </w:rPr>
              <w:t>Reflected in Column (A)) (C)</w:t>
            </w:r>
            <w:r>
              <w:rPr>
                <w:rFonts w:ascii="Arial" w:cs="Arial" w:eastAsia="Arial" w:hAnsi="Arial"/>
                <w:sz w:val="20"/>
                <w:szCs w:val="20"/>
                <w:b w:val="1"/>
                <w:bCs w:val="1"/>
                <w:color w:val="FFFFFF"/>
                <w:vertAlign w:val="superscript"/>
              </w:rPr>
              <w:t>(3)</w:t>
            </w:r>
          </w:p>
        </w:tc>
        <w:tc>
          <w:tcPr>
            <w:tcW w:w="0" w:type="dxa"/>
            <w:vAlign w:val="bottom"/>
          </w:tcPr>
          <w:p>
            <w:pPr>
              <w:spacing w:after="0"/>
              <w:rPr>
                <w:sz w:val="1"/>
                <w:szCs w:val="1"/>
                <w:color w:val="auto"/>
              </w:rPr>
            </w:pPr>
          </w:p>
        </w:tc>
      </w:tr>
      <w:tr>
        <w:trPr>
          <w:trHeight w:val="63"/>
        </w:trPr>
        <w:tc>
          <w:tcPr>
            <w:tcW w:w="2060" w:type="dxa"/>
            <w:vAlign w:val="bottom"/>
            <w:shd w:val="clear" w:color="auto" w:fill="CF1D4C"/>
          </w:tcPr>
          <w:p>
            <w:pPr>
              <w:spacing w:after="0"/>
              <w:rPr>
                <w:sz w:val="5"/>
                <w:szCs w:val="5"/>
                <w:color w:val="auto"/>
              </w:rPr>
            </w:pPr>
          </w:p>
        </w:tc>
        <w:tc>
          <w:tcPr>
            <w:tcW w:w="2000" w:type="dxa"/>
            <w:vAlign w:val="bottom"/>
            <w:shd w:val="clear" w:color="auto" w:fill="CF1D4C"/>
          </w:tcPr>
          <w:p>
            <w:pPr>
              <w:spacing w:after="0"/>
              <w:rPr>
                <w:sz w:val="5"/>
                <w:szCs w:val="5"/>
                <w:color w:val="auto"/>
              </w:rPr>
            </w:pPr>
          </w:p>
        </w:tc>
        <w:tc>
          <w:tcPr>
            <w:tcW w:w="2200" w:type="dxa"/>
            <w:vAlign w:val="bottom"/>
            <w:shd w:val="clear" w:color="auto" w:fill="CF1D4C"/>
          </w:tcPr>
          <w:p>
            <w:pPr>
              <w:spacing w:after="0"/>
              <w:rPr>
                <w:sz w:val="5"/>
                <w:szCs w:val="5"/>
                <w:color w:val="auto"/>
              </w:rPr>
            </w:pPr>
          </w:p>
        </w:tc>
        <w:tc>
          <w:tcPr>
            <w:tcW w:w="2500" w:type="dxa"/>
            <w:vAlign w:val="bottom"/>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60" w:type="dxa"/>
            <w:vAlign w:val="bottom"/>
          </w:tcPr>
          <w:p>
            <w:pPr>
              <w:ind w:left="180"/>
              <w:spacing w:after="0"/>
              <w:rPr>
                <w:sz w:val="20"/>
                <w:szCs w:val="20"/>
                <w:color w:val="auto"/>
              </w:rPr>
            </w:pPr>
            <w:r>
              <w:rPr>
                <w:rFonts w:ascii="Arial" w:cs="Arial" w:eastAsia="Arial" w:hAnsi="Arial"/>
                <w:sz w:val="14"/>
                <w:szCs w:val="14"/>
                <w:color w:val="333333"/>
              </w:rPr>
              <w:t>Equity Compensation Plans</w:t>
            </w:r>
          </w:p>
        </w:tc>
        <w:tc>
          <w:tcPr>
            <w:tcW w:w="2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180"/>
              <w:spacing w:after="0"/>
              <w:rPr>
                <w:sz w:val="20"/>
                <w:szCs w:val="20"/>
                <w:color w:val="auto"/>
              </w:rPr>
            </w:pPr>
            <w:r>
              <w:rPr>
                <w:rFonts w:ascii="Arial" w:cs="Arial" w:eastAsia="Arial" w:hAnsi="Arial"/>
                <w:sz w:val="14"/>
                <w:szCs w:val="14"/>
                <w:color w:val="333333"/>
              </w:rPr>
              <w:t>Approved by Security</w:t>
            </w:r>
          </w:p>
        </w:tc>
        <w:tc>
          <w:tcPr>
            <w:tcW w:w="2000" w:type="dxa"/>
            <w:vAlign w:val="bottom"/>
          </w:tcPr>
          <w:p>
            <w:pPr>
              <w:ind w:left="140"/>
              <w:spacing w:after="0"/>
              <w:rPr>
                <w:sz w:val="20"/>
                <w:szCs w:val="20"/>
                <w:color w:val="auto"/>
              </w:rPr>
            </w:pPr>
            <w:r>
              <w:rPr>
                <w:rFonts w:ascii="Arial" w:cs="Arial" w:eastAsia="Arial" w:hAnsi="Arial"/>
                <w:sz w:val="14"/>
                <w:szCs w:val="14"/>
                <w:color w:val="333333"/>
              </w:rPr>
              <w:t>​5,550,778</w:t>
            </w:r>
          </w:p>
        </w:tc>
        <w:tc>
          <w:tcPr>
            <w:tcW w:w="2200" w:type="dxa"/>
            <w:vAlign w:val="bottom"/>
          </w:tcPr>
          <w:p>
            <w:pPr>
              <w:ind w:left="240"/>
              <w:spacing w:after="0"/>
              <w:rPr>
                <w:sz w:val="20"/>
                <w:szCs w:val="20"/>
                <w:color w:val="auto"/>
              </w:rPr>
            </w:pPr>
            <w:r>
              <w:rPr>
                <w:rFonts w:ascii="Arial" w:cs="Arial" w:eastAsia="Arial" w:hAnsi="Arial"/>
                <w:sz w:val="14"/>
                <w:szCs w:val="14"/>
                <w:color w:val="333333"/>
              </w:rPr>
              <w:t>$​192.18</w:t>
            </w:r>
          </w:p>
        </w:tc>
        <w:tc>
          <w:tcPr>
            <w:tcW w:w="2500" w:type="dxa"/>
            <w:vAlign w:val="bottom"/>
          </w:tcPr>
          <w:p>
            <w:pPr>
              <w:ind w:left="180"/>
              <w:spacing w:after="0"/>
              <w:rPr>
                <w:sz w:val="20"/>
                <w:szCs w:val="20"/>
                <w:color w:val="auto"/>
              </w:rPr>
            </w:pPr>
            <w:r>
              <w:rPr>
                <w:rFonts w:ascii="Arial" w:cs="Arial" w:eastAsia="Arial" w:hAnsi="Arial"/>
                <w:sz w:val="14"/>
                <w:szCs w:val="14"/>
                <w:color w:val="333333"/>
              </w:rPr>
              <w:t>3,828,015​</w:t>
            </w:r>
          </w:p>
        </w:tc>
        <w:tc>
          <w:tcPr>
            <w:tcW w:w="0" w:type="dxa"/>
            <w:vAlign w:val="bottom"/>
          </w:tcPr>
          <w:p>
            <w:pPr>
              <w:spacing w:after="0"/>
              <w:rPr>
                <w:sz w:val="1"/>
                <w:szCs w:val="1"/>
                <w:color w:val="auto"/>
              </w:rPr>
            </w:pPr>
          </w:p>
        </w:tc>
      </w:tr>
      <w:tr>
        <w:trPr>
          <w:trHeight w:val="190"/>
        </w:trPr>
        <w:tc>
          <w:tcPr>
            <w:tcW w:w="2060" w:type="dxa"/>
            <w:vAlign w:val="bottom"/>
          </w:tcPr>
          <w:p>
            <w:pPr>
              <w:ind w:left="180"/>
              <w:spacing w:after="0"/>
              <w:rPr>
                <w:sz w:val="20"/>
                <w:szCs w:val="20"/>
                <w:color w:val="auto"/>
              </w:rPr>
            </w:pPr>
            <w:r>
              <w:rPr>
                <w:rFonts w:ascii="Arial" w:cs="Arial" w:eastAsia="Arial" w:hAnsi="Arial"/>
                <w:sz w:val="14"/>
                <w:szCs w:val="14"/>
                <w:color w:val="333333"/>
              </w:rPr>
              <w:t>Holders</w:t>
            </w:r>
          </w:p>
        </w:tc>
        <w:tc>
          <w:tcPr>
            <w:tcW w:w="2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2060" w:type="dxa"/>
            <w:vAlign w:val="bottom"/>
            <w:shd w:val="clear" w:color="auto" w:fill="D9D9D9"/>
          </w:tcPr>
          <w:p>
            <w:pPr>
              <w:ind w:left="180"/>
              <w:spacing w:after="0"/>
              <w:rPr>
                <w:sz w:val="20"/>
                <w:szCs w:val="20"/>
                <w:color w:val="auto"/>
              </w:rPr>
            </w:pPr>
            <w:r>
              <w:rPr>
                <w:rFonts w:ascii="Arial" w:cs="Arial" w:eastAsia="Arial" w:hAnsi="Arial"/>
                <w:sz w:val="14"/>
                <w:szCs w:val="14"/>
                <w:color w:val="333333"/>
              </w:rPr>
              <w:t>Equity Compensation</w:t>
            </w:r>
          </w:p>
        </w:tc>
        <w:tc>
          <w:tcPr>
            <w:tcW w:w="2000" w:type="dxa"/>
            <w:vAlign w:val="bottom"/>
            <w:shd w:val="clear" w:color="auto" w:fill="D9D9D9"/>
          </w:tcPr>
          <w:p>
            <w:pPr>
              <w:spacing w:after="0"/>
              <w:rPr>
                <w:sz w:val="24"/>
                <w:szCs w:val="24"/>
                <w:color w:val="auto"/>
              </w:rPr>
            </w:pPr>
          </w:p>
        </w:tc>
        <w:tc>
          <w:tcPr>
            <w:tcW w:w="2200" w:type="dxa"/>
            <w:vAlign w:val="bottom"/>
            <w:shd w:val="clear" w:color="auto" w:fill="D9D9D9"/>
          </w:tcPr>
          <w:p>
            <w:pPr>
              <w:spacing w:after="0"/>
              <w:rPr>
                <w:sz w:val="24"/>
                <w:szCs w:val="24"/>
                <w:color w:val="auto"/>
              </w:rPr>
            </w:pPr>
          </w:p>
        </w:tc>
        <w:tc>
          <w:tcPr>
            <w:tcW w:w="25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D9D9D9"/>
          </w:tcPr>
          <w:p>
            <w:pPr>
              <w:ind w:left="180"/>
              <w:spacing w:after="0"/>
              <w:rPr>
                <w:sz w:val="20"/>
                <w:szCs w:val="20"/>
                <w:color w:val="auto"/>
              </w:rPr>
            </w:pPr>
            <w:r>
              <w:rPr>
                <w:rFonts w:ascii="Arial" w:cs="Arial" w:eastAsia="Arial" w:hAnsi="Arial"/>
                <w:sz w:val="14"/>
                <w:szCs w:val="14"/>
                <w:color w:val="333333"/>
              </w:rPr>
              <w:t>Plans Not Approved by</w:t>
            </w:r>
          </w:p>
        </w:tc>
        <w:tc>
          <w:tcPr>
            <w:tcW w:w="2000" w:type="dxa"/>
            <w:vAlign w:val="bottom"/>
            <w:shd w:val="clear" w:color="auto" w:fill="D9D9D9"/>
          </w:tcPr>
          <w:p>
            <w:pPr>
              <w:ind w:left="140"/>
              <w:spacing w:after="0"/>
              <w:rPr>
                <w:sz w:val="20"/>
                <w:szCs w:val="20"/>
                <w:color w:val="auto"/>
              </w:rPr>
            </w:pPr>
            <w:r>
              <w:rPr>
                <w:rFonts w:ascii="Arial" w:cs="Arial" w:eastAsia="Arial" w:hAnsi="Arial"/>
                <w:sz w:val="14"/>
                <w:szCs w:val="14"/>
                <w:color w:val="333333"/>
              </w:rPr>
              <w:t>—</w:t>
            </w:r>
          </w:p>
        </w:tc>
        <w:tc>
          <w:tcPr>
            <w:tcW w:w="2200" w:type="dxa"/>
            <w:vAlign w:val="bottom"/>
            <w:shd w:val="clear" w:color="auto" w:fill="D9D9D9"/>
          </w:tcPr>
          <w:p>
            <w:pPr>
              <w:ind w:left="240"/>
              <w:spacing w:after="0"/>
              <w:rPr>
                <w:sz w:val="20"/>
                <w:szCs w:val="20"/>
                <w:color w:val="auto"/>
              </w:rPr>
            </w:pPr>
            <w:r>
              <w:rPr>
                <w:rFonts w:ascii="Arial" w:cs="Arial" w:eastAsia="Arial" w:hAnsi="Arial"/>
                <w:sz w:val="14"/>
                <w:szCs w:val="14"/>
                <w:color w:val="333333"/>
              </w:rPr>
              <w:t>—</w:t>
            </w:r>
          </w:p>
        </w:tc>
        <w:tc>
          <w:tcPr>
            <w:tcW w:w="2500" w:type="dxa"/>
            <w:vAlign w:val="bottom"/>
            <w:shd w:val="clear" w:color="auto" w:fill="D9D9D9"/>
          </w:tcPr>
          <w:p>
            <w:pPr>
              <w:ind w:left="180"/>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90"/>
        </w:trPr>
        <w:tc>
          <w:tcPr>
            <w:tcW w:w="2060" w:type="dxa"/>
            <w:vAlign w:val="bottom"/>
            <w:shd w:val="clear" w:color="auto" w:fill="D9D9D9"/>
          </w:tcPr>
          <w:p>
            <w:pPr>
              <w:ind w:left="180"/>
              <w:spacing w:after="0"/>
              <w:rPr>
                <w:sz w:val="20"/>
                <w:szCs w:val="20"/>
                <w:color w:val="auto"/>
              </w:rPr>
            </w:pPr>
            <w:r>
              <w:rPr>
                <w:rFonts w:ascii="Arial" w:cs="Arial" w:eastAsia="Arial" w:hAnsi="Arial"/>
                <w:sz w:val="14"/>
                <w:szCs w:val="14"/>
                <w:color w:val="333333"/>
              </w:rPr>
              <w:t>Security Holders</w:t>
            </w:r>
          </w:p>
        </w:tc>
        <w:tc>
          <w:tcPr>
            <w:tcW w:w="2000" w:type="dxa"/>
            <w:vAlign w:val="bottom"/>
            <w:shd w:val="clear" w:color="auto" w:fill="D9D9D9"/>
          </w:tcPr>
          <w:p>
            <w:pPr>
              <w:spacing w:after="0"/>
              <w:rPr>
                <w:sz w:val="16"/>
                <w:szCs w:val="16"/>
                <w:color w:val="auto"/>
              </w:rPr>
            </w:pPr>
          </w:p>
        </w:tc>
        <w:tc>
          <w:tcPr>
            <w:tcW w:w="2200" w:type="dxa"/>
            <w:vAlign w:val="bottom"/>
            <w:shd w:val="clear" w:color="auto" w:fill="D9D9D9"/>
          </w:tcPr>
          <w:p>
            <w:pPr>
              <w:spacing w:after="0"/>
              <w:rPr>
                <w:sz w:val="16"/>
                <w:szCs w:val="16"/>
                <w:color w:val="auto"/>
              </w:rPr>
            </w:pPr>
          </w:p>
        </w:tc>
        <w:tc>
          <w:tcPr>
            <w:tcW w:w="25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60" w:type="dxa"/>
            <w:vAlign w:val="bottom"/>
            <w:shd w:val="clear" w:color="auto" w:fill="D9D9D9"/>
          </w:tcPr>
          <w:p>
            <w:pPr>
              <w:spacing w:after="0"/>
              <w:rPr>
                <w:sz w:val="12"/>
                <w:szCs w:val="12"/>
                <w:color w:val="auto"/>
              </w:rPr>
            </w:pPr>
          </w:p>
        </w:tc>
        <w:tc>
          <w:tcPr>
            <w:tcW w:w="2000" w:type="dxa"/>
            <w:vAlign w:val="bottom"/>
            <w:shd w:val="clear" w:color="auto" w:fill="D9D9D9"/>
          </w:tcPr>
          <w:p>
            <w:pPr>
              <w:spacing w:after="0"/>
              <w:rPr>
                <w:sz w:val="12"/>
                <w:szCs w:val="12"/>
                <w:color w:val="auto"/>
              </w:rPr>
            </w:pPr>
          </w:p>
        </w:tc>
        <w:tc>
          <w:tcPr>
            <w:tcW w:w="2200" w:type="dxa"/>
            <w:vAlign w:val="bottom"/>
            <w:shd w:val="clear" w:color="auto" w:fill="D9D9D9"/>
          </w:tcPr>
          <w:p>
            <w:pPr>
              <w:spacing w:after="0"/>
              <w:rPr>
                <w:sz w:val="12"/>
                <w:szCs w:val="12"/>
                <w:color w:val="auto"/>
              </w:rPr>
            </w:pPr>
          </w:p>
        </w:tc>
        <w:tc>
          <w:tcPr>
            <w:tcW w:w="25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343"/>
        </w:trPr>
        <w:tc>
          <w:tcPr>
            <w:tcW w:w="2060" w:type="dxa"/>
            <w:vAlign w:val="bottom"/>
          </w:tcPr>
          <w:p>
            <w:pPr>
              <w:ind w:left="180"/>
              <w:spacing w:after="0"/>
              <w:rPr>
                <w:sz w:val="20"/>
                <w:szCs w:val="20"/>
                <w:color w:val="auto"/>
              </w:rPr>
            </w:pPr>
            <w:r>
              <w:rPr>
                <w:rFonts w:ascii="Arial" w:cs="Arial" w:eastAsia="Arial" w:hAnsi="Arial"/>
                <w:sz w:val="14"/>
                <w:szCs w:val="14"/>
                <w:color w:val="333333"/>
              </w:rPr>
              <w:t>Total</w:t>
            </w:r>
          </w:p>
        </w:tc>
        <w:tc>
          <w:tcPr>
            <w:tcW w:w="2000" w:type="dxa"/>
            <w:vAlign w:val="bottom"/>
          </w:tcPr>
          <w:p>
            <w:pPr>
              <w:ind w:left="140"/>
              <w:spacing w:after="0"/>
              <w:rPr>
                <w:sz w:val="20"/>
                <w:szCs w:val="20"/>
                <w:color w:val="auto"/>
              </w:rPr>
            </w:pPr>
            <w:r>
              <w:rPr>
                <w:rFonts w:ascii="Arial" w:cs="Arial" w:eastAsia="Arial" w:hAnsi="Arial"/>
                <w:sz w:val="14"/>
                <w:szCs w:val="14"/>
                <w:color w:val="333333"/>
              </w:rPr>
              <w:t>5,550,778​</w:t>
            </w:r>
          </w:p>
        </w:tc>
        <w:tc>
          <w:tcPr>
            <w:tcW w:w="2200" w:type="dxa"/>
            <w:vAlign w:val="bottom"/>
          </w:tcPr>
          <w:p>
            <w:pPr>
              <w:ind w:left="240"/>
              <w:spacing w:after="0"/>
              <w:rPr>
                <w:sz w:val="20"/>
                <w:szCs w:val="20"/>
                <w:color w:val="auto"/>
              </w:rPr>
            </w:pPr>
            <w:r>
              <w:rPr>
                <w:rFonts w:ascii="Arial" w:cs="Arial" w:eastAsia="Arial" w:hAnsi="Arial"/>
                <w:sz w:val="14"/>
                <w:szCs w:val="14"/>
                <w:color w:val="333333"/>
              </w:rPr>
              <w:t>​$192.18</w:t>
            </w:r>
          </w:p>
        </w:tc>
        <w:tc>
          <w:tcPr>
            <w:tcW w:w="2500" w:type="dxa"/>
            <w:vAlign w:val="bottom"/>
          </w:tcPr>
          <w:p>
            <w:pPr>
              <w:ind w:left="180"/>
              <w:spacing w:after="0"/>
              <w:rPr>
                <w:sz w:val="20"/>
                <w:szCs w:val="20"/>
                <w:color w:val="auto"/>
              </w:rPr>
            </w:pPr>
            <w:r>
              <w:rPr>
                <w:rFonts w:ascii="Arial" w:cs="Arial" w:eastAsia="Arial" w:hAnsi="Arial"/>
                <w:sz w:val="14"/>
                <w:szCs w:val="14"/>
                <w:color w:val="333333"/>
              </w:rPr>
              <w:t>3,828,015​</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840" w:hanging="190"/>
        <w:spacing w:after="0"/>
        <w:tabs>
          <w:tab w:leader="none" w:pos="840" w:val="left"/>
        </w:tabs>
        <w:numPr>
          <w:ilvl w:val="0"/>
          <w:numId w:val="105"/>
        </w:numPr>
        <w:rPr>
          <w:rFonts w:ascii="Arial" w:cs="Arial" w:eastAsia="Arial" w:hAnsi="Arial"/>
          <w:sz w:val="13"/>
          <w:szCs w:val="13"/>
          <w:i w:val="1"/>
          <w:iCs w:val="1"/>
          <w:color w:val="333333"/>
        </w:rPr>
      </w:pPr>
      <w:r>
        <w:rPr>
          <w:rFonts w:ascii="Arial" w:cs="Arial" w:eastAsia="Arial" w:hAnsi="Arial"/>
          <w:sz w:val="13"/>
          <w:szCs w:val="13"/>
          <w:i w:val="1"/>
          <w:iCs w:val="1"/>
          <w:color w:val="333333"/>
        </w:rPr>
        <w:t>Includes performance-based awards assuming the maximum level of performance, which may overstate the dilution associated with such awards.</w:t>
      </w:r>
    </w:p>
    <w:p>
      <w:pPr>
        <w:spacing w:after="0" w:line="14" w:lineRule="exact"/>
        <w:rPr>
          <w:rFonts w:ascii="Arial" w:cs="Arial" w:eastAsia="Arial" w:hAnsi="Arial"/>
          <w:sz w:val="13"/>
          <w:szCs w:val="13"/>
          <w:i w:val="1"/>
          <w:iCs w:val="1"/>
          <w:color w:val="333333"/>
        </w:rPr>
      </w:pPr>
    </w:p>
    <w:p>
      <w:pPr>
        <w:ind w:left="660" w:right="720" w:hanging="10"/>
        <w:spacing w:after="0" w:line="238" w:lineRule="auto"/>
        <w:tabs>
          <w:tab w:leader="none" w:pos="849" w:val="left"/>
        </w:tabs>
        <w:numPr>
          <w:ilvl w:val="0"/>
          <w:numId w:val="105"/>
        </w:numPr>
        <w:rPr>
          <w:rFonts w:ascii="Arial" w:cs="Arial" w:eastAsia="Arial" w:hAnsi="Arial"/>
          <w:sz w:val="13"/>
          <w:szCs w:val="13"/>
          <w:i w:val="1"/>
          <w:iCs w:val="1"/>
          <w:color w:val="333333"/>
        </w:rPr>
      </w:pPr>
      <w:r>
        <w:rPr>
          <w:rFonts w:ascii="Arial" w:cs="Arial" w:eastAsia="Arial" w:hAnsi="Arial"/>
          <w:sz w:val="13"/>
          <w:szCs w:val="13"/>
          <w:i w:val="1"/>
          <w:iCs w:val="1"/>
          <w:color w:val="333333"/>
        </w:rPr>
        <w:t>The weighted-average exercise price relates to outstanding stock options only. The Company’s restricted share and restricted stock unit awards have no exercise price.</w:t>
      </w:r>
    </w:p>
    <w:p>
      <w:pPr>
        <w:spacing w:after="0" w:line="12" w:lineRule="exact"/>
        <w:rPr>
          <w:rFonts w:ascii="Arial" w:cs="Arial" w:eastAsia="Arial" w:hAnsi="Arial"/>
          <w:sz w:val="13"/>
          <w:szCs w:val="13"/>
          <w:i w:val="1"/>
          <w:iCs w:val="1"/>
          <w:color w:val="333333"/>
        </w:rPr>
      </w:pPr>
    </w:p>
    <w:p>
      <w:pPr>
        <w:ind w:left="840" w:hanging="190"/>
        <w:spacing w:after="0"/>
        <w:tabs>
          <w:tab w:leader="none" w:pos="840" w:val="left"/>
        </w:tabs>
        <w:numPr>
          <w:ilvl w:val="0"/>
          <w:numId w:val="105"/>
        </w:numPr>
        <w:rPr>
          <w:rFonts w:ascii="Arial" w:cs="Arial" w:eastAsia="Arial" w:hAnsi="Arial"/>
          <w:sz w:val="13"/>
          <w:szCs w:val="13"/>
          <w:i w:val="1"/>
          <w:iCs w:val="1"/>
          <w:color w:val="333333"/>
        </w:rPr>
      </w:pPr>
      <w:r>
        <w:rPr>
          <w:rFonts w:ascii="Arial" w:cs="Arial" w:eastAsia="Arial" w:hAnsi="Arial"/>
          <w:sz w:val="13"/>
          <w:szCs w:val="13"/>
          <w:i w:val="1"/>
          <w:iCs w:val="1"/>
          <w:color w:val="333333"/>
        </w:rPr>
        <w:t>All of the shares available under the 2010 Plan may be issued for awards other than options, warrants or rights, such as restricted stock.</w:t>
      </w:r>
    </w:p>
    <w:p>
      <w:pPr>
        <w:sectPr>
          <w:pgSz w:w="11900" w:h="16838" w:orient="portrait"/>
          <w:cols w:equalWidth="0" w:num="1">
            <w:col w:w="10040"/>
          </w:cols>
          <w:pgMar w:left="920" w:top="114" w:right="9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960" w:hanging="310"/>
        <w:spacing w:after="0"/>
        <w:tabs>
          <w:tab w:leader="none" w:pos="96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CF1D4C"/>
        </w:rPr>
        <w:t>COMPENSATION COMMITTEE REPORT</w:t>
      </w:r>
    </w:p>
    <w:p>
      <w:pPr>
        <w:spacing w:after="0" w:line="200" w:lineRule="exact"/>
        <w:rPr>
          <w:sz w:val="20"/>
          <w:szCs w:val="20"/>
          <w:color w:val="auto"/>
        </w:rPr>
      </w:pPr>
    </w:p>
    <w:p>
      <w:pPr>
        <w:spacing w:after="0" w:line="205"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color w:val="333333"/>
        </w:rPr>
        <w:t>The compensation committee has reviewed and discussed with management the Compensation Discussion and Analysis provided above. Based on its review and discussions, the committee recommended to the Board that the Compensation Discussion and Analysis be included in this Proxy Statement and in our Annual Report on Form 10-K for the fiscal year ended December 31, 2023.</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Compensation Committee</w:t>
      </w:r>
    </w:p>
    <w:p>
      <w:pPr>
        <w:spacing w:after="0" w:line="221" w:lineRule="exact"/>
        <w:rPr>
          <w:sz w:val="20"/>
          <w:szCs w:val="20"/>
          <w:color w:val="auto"/>
        </w:rPr>
      </w:pPr>
    </w:p>
    <w:p>
      <w:pPr>
        <w:ind w:left="640"/>
        <w:spacing w:after="0"/>
        <w:rPr>
          <w:sz w:val="20"/>
          <w:szCs w:val="20"/>
          <w:color w:val="auto"/>
        </w:rPr>
      </w:pPr>
      <w:r>
        <w:rPr>
          <w:sz w:val="1"/>
          <w:szCs w:val="1"/>
          <w:color w:val="auto"/>
        </w:rPr>
        <w:drawing>
          <wp:inline distT="0" distB="0" distL="0" distR="0">
            <wp:extent cx="76835" cy="9398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Annabelle Bexiga (Chair)</w:t>
      </w:r>
    </w:p>
    <w:p>
      <w:pPr>
        <w:spacing w:after="0" w:line="19" w:lineRule="exact"/>
        <w:rPr>
          <w:sz w:val="20"/>
          <w:szCs w:val="20"/>
          <w:color w:val="auto"/>
        </w:rPr>
      </w:pPr>
    </w:p>
    <w:p>
      <w:pPr>
        <w:ind w:left="640"/>
        <w:spacing w:after="0"/>
        <w:rPr>
          <w:sz w:val="20"/>
          <w:szCs w:val="20"/>
          <w:color w:val="auto"/>
        </w:rPr>
      </w:pPr>
      <w:r>
        <w:rPr>
          <w:sz w:val="1"/>
          <w:szCs w:val="1"/>
          <w:color w:val="auto"/>
        </w:rPr>
        <w:drawing>
          <wp:inline distT="0" distB="0" distL="0" distR="0">
            <wp:extent cx="76835" cy="94615"/>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94615"/>
                    </a:xfrm>
                    <a:prstGeom prst="rect">
                      <a:avLst/>
                    </a:prstGeom>
                    <a:noFill/>
                    <a:ln>
                      <a:noFill/>
                    </a:ln>
                  </pic:spPr>
                </pic:pic>
              </a:graphicData>
            </a:graphic>
          </wp:inline>
        </w:drawing>
      </w:r>
      <w:r>
        <w:rPr>
          <w:rFonts w:ascii="Arial" w:cs="Arial" w:eastAsia="Arial" w:hAnsi="Arial"/>
          <w:sz w:val="16"/>
          <w:szCs w:val="16"/>
          <w:color w:val="333333"/>
        </w:rPr>
        <w:t>  Joseph W. Farrelly</w:t>
      </w:r>
    </w:p>
    <w:p>
      <w:pPr>
        <w:spacing w:after="0" w:line="5" w:lineRule="exact"/>
        <w:rPr>
          <w:sz w:val="20"/>
          <w:szCs w:val="20"/>
          <w:color w:val="auto"/>
        </w:rPr>
      </w:pPr>
    </w:p>
    <w:p>
      <w:pPr>
        <w:ind w:left="640"/>
        <w:spacing w:after="0"/>
        <w:rPr>
          <w:sz w:val="20"/>
          <w:szCs w:val="20"/>
          <w:color w:val="auto"/>
        </w:rPr>
      </w:pPr>
      <w:r>
        <w:rPr>
          <w:sz w:val="1"/>
          <w:szCs w:val="1"/>
          <w:color w:val="auto"/>
        </w:rPr>
        <w:drawing>
          <wp:inline distT="0" distB="0" distL="0" distR="0">
            <wp:extent cx="76835" cy="9398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Thomas M. Hagerty</w:t>
      </w:r>
    </w:p>
    <w:p>
      <w:pPr>
        <w:spacing w:after="0" w:line="5" w:lineRule="exact"/>
        <w:rPr>
          <w:sz w:val="20"/>
          <w:szCs w:val="20"/>
          <w:color w:val="auto"/>
        </w:rPr>
      </w:pPr>
    </w:p>
    <w:p>
      <w:pPr>
        <w:ind w:left="640"/>
        <w:spacing w:after="0"/>
        <w:rPr>
          <w:sz w:val="20"/>
          <w:szCs w:val="20"/>
          <w:color w:val="auto"/>
        </w:rPr>
      </w:pPr>
      <w:r>
        <w:rPr>
          <w:sz w:val="1"/>
          <w:szCs w:val="1"/>
          <w:color w:val="auto"/>
        </w:rPr>
        <w:drawing>
          <wp:inline distT="0" distB="0" distL="0" distR="0">
            <wp:extent cx="76835" cy="9398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Hala G. Moddelmog</w:t>
      </w:r>
    </w:p>
    <w:p>
      <w:pPr>
        <w:spacing w:after="0" w:line="5" w:lineRule="exact"/>
        <w:rPr>
          <w:sz w:val="20"/>
          <w:szCs w:val="20"/>
          <w:color w:val="auto"/>
        </w:rPr>
      </w:pPr>
    </w:p>
    <w:p>
      <w:pPr>
        <w:ind w:left="640"/>
        <w:spacing w:after="0"/>
        <w:rPr>
          <w:sz w:val="20"/>
          <w:szCs w:val="20"/>
          <w:color w:val="auto"/>
        </w:rPr>
      </w:pPr>
      <w:r>
        <w:rPr>
          <w:sz w:val="1"/>
          <w:szCs w:val="1"/>
          <w:color w:val="auto"/>
        </w:rPr>
        <w:drawing>
          <wp:inline distT="0" distB="0" distL="0" distR="0">
            <wp:extent cx="76835" cy="94615"/>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94615"/>
                    </a:xfrm>
                    <a:prstGeom prst="rect">
                      <a:avLst/>
                    </a:prstGeom>
                    <a:noFill/>
                    <a:ln>
                      <a:noFill/>
                    </a:ln>
                  </pic:spPr>
                </pic:pic>
              </a:graphicData>
            </a:graphic>
          </wp:inline>
        </w:drawing>
      </w:r>
      <w:r>
        <w:rPr>
          <w:rFonts w:ascii="Arial" w:cs="Arial" w:eastAsia="Arial" w:hAnsi="Arial"/>
          <w:sz w:val="16"/>
          <w:szCs w:val="16"/>
          <w:color w:val="333333"/>
        </w:rPr>
        <w:t>  Steven T. Stull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ind w:right="820" w:firstLine="10"/>
        <w:spacing w:after="0" w:line="271" w:lineRule="auto"/>
        <w:tabs>
          <w:tab w:leader="none" w:pos="30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CF1D4C"/>
        </w:rPr>
        <w:t>COMPENSATION COMMITTEE INTERLOCKS AND INSIDER PARTICIPATION</w:t>
      </w:r>
    </w:p>
    <w:p>
      <w:pPr>
        <w:spacing w:after="0" w:line="347" w:lineRule="exact"/>
        <w:rPr>
          <w:sz w:val="20"/>
          <w:szCs w:val="20"/>
          <w:color w:val="auto"/>
        </w:rPr>
      </w:pPr>
    </w:p>
    <w:p>
      <w:pPr>
        <w:ind w:right="700"/>
        <w:spacing w:after="0" w:line="259" w:lineRule="auto"/>
        <w:rPr>
          <w:sz w:val="20"/>
          <w:szCs w:val="20"/>
          <w:color w:val="auto"/>
        </w:rPr>
      </w:pPr>
      <w:r>
        <w:rPr>
          <w:rFonts w:ascii="Arial" w:cs="Arial" w:eastAsia="Arial" w:hAnsi="Arial"/>
          <w:sz w:val="16"/>
          <w:szCs w:val="16"/>
          <w:color w:val="333333"/>
        </w:rPr>
        <w:t>None of our executive officers currently serves on the compensation committee or board of directors of any other company of which any member or proposed member of our compensation committee is an executive officer.</w:t>
      </w:r>
    </w:p>
    <w:p>
      <w:pPr>
        <w:spacing w:after="0" w:line="2344" w:lineRule="exact"/>
        <w:rPr>
          <w:sz w:val="20"/>
          <w:szCs w:val="20"/>
          <w:color w:val="auto"/>
        </w:rPr>
      </w:pPr>
    </w:p>
    <w:p>
      <w:pPr>
        <w:sectPr>
          <w:pgSz w:w="11900" w:h="16838" w:orient="portrait"/>
          <w:cols w:equalWidth="0" w:num="2">
            <w:col w:w="4860" w:space="280"/>
            <w:col w:w="4900"/>
          </w:cols>
          <w:pgMar w:left="920" w:top="114" w:right="939" w:bottom="1440" w:gutter="0" w:footer="0" w:header="0"/>
          <w:type w:val="continuous"/>
        </w:sectPr>
      </w:pPr>
    </w:p>
    <w:p>
      <w:pPr>
        <w:spacing w:after="0" w:line="8" w:lineRule="exact"/>
        <w:rPr>
          <w:sz w:val="20"/>
          <w:szCs w:val="20"/>
          <w:color w:val="auto"/>
        </w:rPr>
      </w:pPr>
    </w:p>
    <w:p>
      <w:pPr>
        <w:ind w:left="7300"/>
        <w:spacing w:after="0"/>
        <w:rPr>
          <w:sz w:val="20"/>
          <w:szCs w:val="20"/>
          <w:color w:val="auto"/>
        </w:rPr>
      </w:pPr>
      <w:r>
        <w:rPr>
          <w:rFonts w:ascii="Arial" w:cs="Arial" w:eastAsia="Arial" w:hAnsi="Arial"/>
          <w:sz w:val="10"/>
          <w:szCs w:val="10"/>
          <w:color w:val="333333"/>
        </w:rPr>
        <w:t xml:space="preserve">2024 Notice of Annual Meeting &amp; Proxy Statement      </w:t>
      </w:r>
      <w:r>
        <w:rPr>
          <w:rFonts w:ascii="Arial" w:cs="Arial" w:eastAsia="Arial" w:hAnsi="Arial"/>
          <w:sz w:val="10"/>
          <w:szCs w:val="10"/>
          <w:b w:val="1"/>
          <w:bCs w:val="1"/>
          <w:color w:val="333333"/>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tc>
        <w:tc>
          <w:tcPr>
            <w:tcW w:w="5520" w:type="dxa"/>
            <w:vAlign w:val="bottom"/>
          </w:tcPr>
          <w:p>
            <w:pPr>
              <w:spacing w:after="0"/>
              <w:rPr>
                <w:sz w:val="16"/>
                <w:szCs w:val="16"/>
                <w:color w:val="auto"/>
              </w:rPr>
            </w:pPr>
          </w:p>
        </w:tc>
      </w:tr>
      <w:tr>
        <w:trPr>
          <w:trHeight w:val="386"/>
        </w:trPr>
        <w:tc>
          <w:tcPr>
            <w:tcW w:w="3720" w:type="dxa"/>
            <w:vAlign w:val="bottom"/>
          </w:tcPr>
          <w:p>
            <w:pPr>
              <w:ind w:left="660"/>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color w:val="CF1D4C"/>
              </w:rPr>
              <w:t>CEO PAY RATIO</w:t>
            </w:r>
          </w:p>
        </w:tc>
        <w:tc>
          <w:tcPr>
            <w:tcW w:w="5520" w:type="dxa"/>
            <w:vAlign w:val="bottom"/>
          </w:tcPr>
          <w:p>
            <w:pPr>
              <w:ind w:left="1420"/>
              <w:spacing w:after="0"/>
              <w:rPr>
                <w:sz w:val="20"/>
                <w:szCs w:val="20"/>
                <w:color w:val="auto"/>
              </w:rPr>
            </w:pPr>
            <w:r>
              <w:rPr>
                <w:rFonts w:ascii="Arial" w:cs="Arial" w:eastAsia="Arial" w:hAnsi="Arial"/>
                <w:sz w:val="18"/>
                <w:szCs w:val="18"/>
                <w:b w:val="1"/>
                <w:bCs w:val="1"/>
                <w:color w:val="auto"/>
                <w:w w:val="98"/>
              </w:rPr>
              <w:t xml:space="preserve">11. </w:t>
            </w:r>
            <w:r>
              <w:rPr>
                <w:rFonts w:ascii="Arial" w:cs="Arial" w:eastAsia="Arial" w:hAnsi="Arial"/>
                <w:sz w:val="18"/>
                <w:szCs w:val="18"/>
                <w:color w:val="CF1D4C"/>
                <w:w w:val="98"/>
              </w:rPr>
              <w:t>PAY VERSUS PERFORMANCE DISCLOSURE</w:t>
            </w:r>
          </w:p>
        </w:tc>
      </w:tr>
    </w:tbl>
    <w:p>
      <w:pPr>
        <w:spacing w:after="0" w:line="200" w:lineRule="exact"/>
        <w:rPr>
          <w:sz w:val="20"/>
          <w:szCs w:val="20"/>
          <w:color w:val="auto"/>
        </w:rPr>
      </w:pPr>
    </w:p>
    <w:p>
      <w:pPr>
        <w:sectPr>
          <w:pgSz w:w="11900" w:h="16838" w:orient="portrait"/>
          <w:cols w:equalWidth="0" w:num="1">
            <w:col w:w="9539"/>
          </w:cols>
          <w:pgMar w:left="920" w:top="114" w:right="1440" w:bottom="1440" w:gutter="0" w:footer="0" w:header="0"/>
        </w:sectPr>
      </w:pPr>
    </w:p>
    <w:p>
      <w:pPr>
        <w:spacing w:after="0" w:line="219"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333333"/>
        </w:rPr>
        <w:t>As required by item 402(u) of Regulation S-K, the compensation committee reviewed a comparison of our CEO’s annual total compensation in fiscal year 2023 to that of all other Company employees for the same period. We identified our median employee by determining December 2023 pay (which was our consistently applied compensation measure for purposes of this disclosure) for all of our employees (as defined for purposes Item 402(u) of Regulation S-K), excluding our CEO, who were employed by us on December 31, 2023. For this purpose, the total pay for each employee was determined by calculating such employee’s total December 2023 compensation using the same categories of compensation that are required to be included in the Summary Compensation Table. We then annualized that total for each employee, but did not annualize the compensation for temporary or seasonal employees or make full-time equivalent adjustments. We did not make any cost-of-living adjustments when identifying our median employee. We applied a foreign currency to U.S. dollar exchange rate to the compensation paid in foreign currency based on rates as of December 31, 2023.</w:t>
      </w:r>
    </w:p>
    <w:p>
      <w:pPr>
        <w:spacing w:after="0" w:line="164" w:lineRule="exact"/>
        <w:rPr>
          <w:sz w:val="20"/>
          <w:szCs w:val="20"/>
          <w:color w:val="auto"/>
        </w:rPr>
      </w:pPr>
    </w:p>
    <w:p>
      <w:pPr>
        <w:ind w:left="660" w:right="60"/>
        <w:spacing w:after="0" w:line="248" w:lineRule="auto"/>
        <w:rPr>
          <w:sz w:val="20"/>
          <w:szCs w:val="20"/>
          <w:color w:val="auto"/>
        </w:rPr>
      </w:pPr>
      <w:r>
        <w:rPr>
          <w:rFonts w:ascii="Arial" w:cs="Arial" w:eastAsia="Arial" w:hAnsi="Arial"/>
          <w:sz w:val="16"/>
          <w:szCs w:val="16"/>
          <w:color w:val="333333"/>
        </w:rPr>
        <w:t>The annual total compensation for fiscal year 2023 for our CEO was $2,669,024, as set forth in the 2023 Summary Compensation Table for 2023 above, and for our median employee it was $50,798, making the resulting ratio approximately 53 to 1. This was calculated, in a manner consistent with Item 402(u) of SEC Regulation S-K, based on our payroll and employment records. The SEC rules for identifying the “median employee” and calculating the pay ratio based on that employee’s annual total compensation allow reporting companies to adopt a variety of methodologies, and to make reasonable estimates and assumptions that reflect their compensation practices. As such, the pay ratios reported by other companies may not be comparable to the pay ratio set forth above, as other companies may have different employment and compensation practices and may utilize different methodologies, exclusions, estimates and assumptions in calculating their own pay ratios.</w:t>
      </w:r>
    </w:p>
    <w:p>
      <w:pPr>
        <w:spacing w:after="0" w:line="155"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333333"/>
        </w:rPr>
        <w:t>Approximately 59% of our employees are located outside of the U.S., in several different countries. In several of these countries the cost of living is much lower than in the U.S., as is employee compensation. In light of this, we also conducted a review of compensation for our employees located only in the U.S. We included all such employees, and calculated the median of such employees using the same definitions and methodology as described above with respect to our full employee group. We determined that the annual total compensation of the median compensated U.S.-based employee, other than our CEO, was $77,729. The ratio of our CEO’s annual total compensation to that of such U.S.-based employee was approximately 34 to 1.</w:t>
      </w:r>
    </w:p>
    <w:p>
      <w:pPr>
        <w:spacing w:after="0" w:line="192"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60 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19"/>
        <w:spacing w:after="0" w:line="250" w:lineRule="auto"/>
        <w:rPr>
          <w:sz w:val="20"/>
          <w:szCs w:val="20"/>
          <w:color w:val="auto"/>
        </w:rPr>
      </w:pPr>
      <w:r>
        <w:rPr>
          <w:rFonts w:ascii="Arial" w:cs="Arial" w:eastAsia="Arial" w:hAnsi="Arial"/>
          <w:sz w:val="16"/>
          <w:szCs w:val="16"/>
          <w:color w:val="333333"/>
        </w:rPr>
        <w:t>As required by the pay versus performance rules adopted by the SEC (“PVP Rules”), the below Pay Versus Performance table (“PVP Table”) provides information about compensation for this Proxy Statement’s NEOs, as well as NEOs from our 2023, 2022 and 2021 Proxy Statements (each of 2020, 2021, 2022 and 2023, a “Covered Year”). The PVP Table also provides information about the results for certain financial performance measures during those same Covered Years. In reviewing this information, there are a few important things to consider:</w:t>
      </w:r>
    </w:p>
    <w:p>
      <w:pPr>
        <w:spacing w:after="0" w:line="146" w:lineRule="exact"/>
        <w:rPr>
          <w:sz w:val="20"/>
          <w:szCs w:val="20"/>
          <w:color w:val="auto"/>
        </w:rPr>
      </w:pPr>
    </w:p>
    <w:p>
      <w:pPr>
        <w:ind w:left="240" w:right="279" w:hanging="233"/>
        <w:spacing w:after="0"/>
        <w:rPr>
          <w:sz w:val="20"/>
          <w:szCs w:val="20"/>
          <w:color w:val="auto"/>
        </w:rPr>
      </w:pPr>
      <w:r>
        <w:rPr>
          <w:sz w:val="1"/>
          <w:szCs w:val="1"/>
          <w:color w:val="auto"/>
        </w:rPr>
        <w:drawing>
          <wp:inline distT="0" distB="0" distL="0" distR="0">
            <wp:extent cx="77470" cy="9398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As required by the PVP Rules, we describe the information in columns (c) and (e) as “compensation actually paid” (or “CAP”) to the applicable NEOs, but these CAP amounts do not entirely reflect compensation that our NEOs actually earned for their service in the Covered Years. Instead, CAP reflects a calculation involving a combination of realized pay (primarily for cash amounts) and realizable or accrued pay (primarily for pension benefits and equity awards); and</w:t>
      </w:r>
    </w:p>
    <w:p>
      <w:pPr>
        <w:spacing w:after="0" w:line="150" w:lineRule="exact"/>
        <w:rPr>
          <w:sz w:val="20"/>
          <w:szCs w:val="20"/>
          <w:color w:val="auto"/>
        </w:rPr>
      </w:pPr>
    </w:p>
    <w:p>
      <w:pPr>
        <w:jc w:val="both"/>
        <w:ind w:left="240" w:right="239" w:hanging="233"/>
        <w:spacing w:after="0"/>
        <w:rPr>
          <w:sz w:val="20"/>
          <w:szCs w:val="20"/>
          <w:color w:val="auto"/>
        </w:rPr>
      </w:pPr>
      <w:r>
        <w:rPr>
          <w:sz w:val="1"/>
          <w:szCs w:val="1"/>
          <w:color w:val="auto"/>
        </w:rPr>
        <w:drawing>
          <wp:inline distT="0" distB="0" distL="0" distR="0">
            <wp:extent cx="77470" cy="9398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As required by the PVP Rules, we provide information about our total shareholder return (“TSR”) results, PVP Peer Group (as defined below) TSR results and U.S.</w:t>
      </w:r>
    </w:p>
    <w:p>
      <w:pPr>
        <w:ind w:left="240" w:right="239"/>
        <w:spacing w:after="0" w:line="249" w:lineRule="auto"/>
        <w:rPr>
          <w:sz w:val="20"/>
          <w:szCs w:val="20"/>
          <w:color w:val="auto"/>
        </w:rPr>
      </w:pPr>
      <w:r>
        <w:rPr>
          <w:rFonts w:ascii="Arial" w:cs="Arial" w:eastAsia="Arial" w:hAnsi="Arial"/>
          <w:sz w:val="16"/>
          <w:szCs w:val="16"/>
          <w:color w:val="333333"/>
        </w:rPr>
        <w:t>GAAP net income results (the “External Measures”) during the Covered Years in the PVP Table, but we did not actually base any compensation decisions for the NEOs on, or link any NEO pay to, these particular External Measures because the External Measures were not metrics used in our incentive plans during the Covered Years.</w:t>
      </w:r>
    </w:p>
    <w:p>
      <w:pPr>
        <w:spacing w:after="0" w:line="160" w:lineRule="exact"/>
        <w:rPr>
          <w:sz w:val="20"/>
          <w:szCs w:val="20"/>
          <w:color w:val="auto"/>
        </w:rPr>
      </w:pPr>
    </w:p>
    <w:p>
      <w:pPr>
        <w:ind w:right="159"/>
        <w:spacing w:after="0" w:line="254" w:lineRule="auto"/>
        <w:rPr>
          <w:sz w:val="20"/>
          <w:szCs w:val="20"/>
          <w:color w:val="auto"/>
        </w:rPr>
      </w:pPr>
      <w:r>
        <w:rPr>
          <w:rFonts w:ascii="Arial" w:cs="Arial" w:eastAsia="Arial" w:hAnsi="Arial"/>
          <w:sz w:val="16"/>
          <w:szCs w:val="16"/>
          <w:color w:val="333333"/>
        </w:rPr>
        <w:t>Due to the use of the Adjusted EPS-COMP in our incentive programs, the Company has determined that, pursuant to the PVP Rules, Adjusted EPS-COMP should be designated as the “Company-Selected Measure” because we believe it is the most important financial measure that we used to link 2023 NEO pay to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2172970</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900" w:space="240"/>
            <w:col w:w="4399"/>
          </w:cols>
          <w:pgMar w:left="920" w:top="114" w:right="1440" w:bottom="1440" w:gutter="0" w:footer="0" w:header="0"/>
          <w:type w:val="continuous"/>
        </w:sectPr>
      </w:pPr>
    </w:p>
    <w:bookmarkStart w:id="62" w:name="page63"/>
    <w:bookmarkEnd w:id="62"/>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1420" w:hanging="290"/>
        <w:spacing w:after="0"/>
        <w:tabs>
          <w:tab w:leader="none" w:pos="142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CF1D4C"/>
        </w:rPr>
        <w:t>PAY VERSUS PERFORMANCE DISCLOSURE</w:t>
      </w:r>
    </w:p>
    <w:p>
      <w:pPr>
        <w:spacing w:after="0" w:line="35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CF1D4C"/>
        </w:rPr>
        <w:t>Pay Versus Performance Table</w:t>
      </w:r>
      <w:r>
        <w:rPr>
          <w:rFonts w:ascii="Arial" w:cs="Arial" w:eastAsia="Arial" w:hAnsi="Arial"/>
          <w:sz w:val="29"/>
          <w:szCs w:val="29"/>
          <w:b w:val="1"/>
          <w:bCs w:val="1"/>
          <w:color w:val="CF1D4C"/>
          <w:vertAlign w:val="superscript"/>
        </w:rPr>
        <w:t>(1)</w:t>
      </w:r>
    </w:p>
    <w:p>
      <w:pPr>
        <w:spacing w:after="0" w:line="79"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120" w:type="dxa"/>
            <w:vAlign w:val="bottom"/>
            <w:shd w:val="clear" w:color="auto" w:fill="CF1D4C"/>
          </w:tcPr>
          <w:p>
            <w:pPr>
              <w:spacing w:after="0"/>
              <w:rPr>
                <w:sz w:val="19"/>
                <w:szCs w:val="19"/>
                <w:color w:val="auto"/>
              </w:rPr>
            </w:pPr>
          </w:p>
        </w:tc>
        <w:tc>
          <w:tcPr>
            <w:tcW w:w="440" w:type="dxa"/>
            <w:vAlign w:val="bottom"/>
            <w:shd w:val="clear" w:color="auto" w:fill="CF1D4C"/>
          </w:tcPr>
          <w:p>
            <w:pPr>
              <w:spacing w:after="0"/>
              <w:rPr>
                <w:sz w:val="19"/>
                <w:szCs w:val="19"/>
                <w:color w:val="auto"/>
              </w:rPr>
            </w:pPr>
          </w:p>
        </w:tc>
        <w:tc>
          <w:tcPr>
            <w:tcW w:w="940" w:type="dxa"/>
            <w:vAlign w:val="bottom"/>
            <w:shd w:val="clear" w:color="auto" w:fill="CF1D4C"/>
          </w:tcPr>
          <w:p>
            <w:pPr>
              <w:spacing w:after="0"/>
              <w:rPr>
                <w:sz w:val="19"/>
                <w:szCs w:val="19"/>
                <w:color w:val="auto"/>
              </w:rPr>
            </w:pPr>
          </w:p>
        </w:tc>
        <w:tc>
          <w:tcPr>
            <w:tcW w:w="1000" w:type="dxa"/>
            <w:vAlign w:val="bottom"/>
            <w:shd w:val="clear" w:color="auto" w:fill="CF1D4C"/>
          </w:tcPr>
          <w:p>
            <w:pPr>
              <w:spacing w:after="0"/>
              <w:rPr>
                <w:sz w:val="19"/>
                <w:szCs w:val="19"/>
                <w:color w:val="auto"/>
              </w:rPr>
            </w:pPr>
          </w:p>
        </w:tc>
        <w:tc>
          <w:tcPr>
            <w:tcW w:w="980" w:type="dxa"/>
            <w:vAlign w:val="bottom"/>
            <w:shd w:val="clear" w:color="auto" w:fill="CF1D4C"/>
          </w:tcPr>
          <w:p>
            <w:pPr>
              <w:spacing w:after="0"/>
              <w:rPr>
                <w:sz w:val="19"/>
                <w:szCs w:val="19"/>
                <w:color w:val="auto"/>
              </w:rPr>
            </w:pPr>
          </w:p>
        </w:tc>
        <w:tc>
          <w:tcPr>
            <w:tcW w:w="180" w:type="dxa"/>
            <w:vAlign w:val="bottom"/>
            <w:shd w:val="clear" w:color="auto" w:fill="CF1D4C"/>
          </w:tcPr>
          <w:p>
            <w:pPr>
              <w:spacing w:after="0"/>
              <w:rPr>
                <w:sz w:val="19"/>
                <w:szCs w:val="19"/>
                <w:color w:val="auto"/>
              </w:rPr>
            </w:pPr>
          </w:p>
        </w:tc>
        <w:tc>
          <w:tcPr>
            <w:tcW w:w="104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Average</w:t>
            </w:r>
          </w:p>
        </w:tc>
        <w:tc>
          <w:tcPr>
            <w:tcW w:w="1660" w:type="dxa"/>
            <w:vAlign w:val="bottom"/>
            <w:gridSpan w:val="3"/>
            <w:shd w:val="clear" w:color="auto" w:fill="CF1D4C"/>
          </w:tcPr>
          <w:p>
            <w:pPr>
              <w:ind w:left="40"/>
              <w:spacing w:after="0"/>
              <w:rPr>
                <w:sz w:val="20"/>
                <w:szCs w:val="20"/>
                <w:color w:val="auto"/>
              </w:rPr>
            </w:pPr>
            <w:r>
              <w:rPr>
                <w:rFonts w:ascii="Arial" w:cs="Arial" w:eastAsia="Arial" w:hAnsi="Arial"/>
                <w:sz w:val="11"/>
                <w:szCs w:val="11"/>
                <w:b w:val="1"/>
                <w:bCs w:val="1"/>
                <w:color w:val="FFFFFF"/>
                <w:w w:val="99"/>
              </w:rPr>
              <w:t>VALUE OF INITIAL FIXED $100</w:t>
            </w:r>
          </w:p>
        </w:tc>
        <w:tc>
          <w:tcPr>
            <w:tcW w:w="660" w:type="dxa"/>
            <w:vAlign w:val="bottom"/>
            <w:shd w:val="clear" w:color="auto" w:fill="CF1D4C"/>
          </w:tcPr>
          <w:p>
            <w:pPr>
              <w:spacing w:after="0"/>
              <w:rPr>
                <w:sz w:val="19"/>
                <w:szCs w:val="19"/>
                <w:color w:val="auto"/>
              </w:rPr>
            </w:pPr>
          </w:p>
        </w:tc>
        <w:tc>
          <w:tcPr>
            <w:tcW w:w="260" w:type="dxa"/>
            <w:vAlign w:val="bottom"/>
            <w:shd w:val="clear" w:color="auto" w:fill="CF1D4C"/>
          </w:tcPr>
          <w:p>
            <w:pPr>
              <w:spacing w:after="0"/>
              <w:rPr>
                <w:sz w:val="19"/>
                <w:szCs w:val="19"/>
                <w:color w:val="auto"/>
              </w:rPr>
            </w:pPr>
          </w:p>
        </w:tc>
        <w:tc>
          <w:tcPr>
            <w:tcW w:w="1500" w:type="dxa"/>
            <w:vAlign w:val="bottom"/>
            <w:shd w:val="clear" w:color="auto" w:fill="CF1D4C"/>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CF1D4C"/>
          </w:tcPr>
          <w:p>
            <w:pPr>
              <w:spacing w:after="0"/>
              <w:rPr>
                <w:sz w:val="7"/>
                <w:szCs w:val="7"/>
                <w:color w:val="auto"/>
              </w:rPr>
            </w:pPr>
          </w:p>
        </w:tc>
        <w:tc>
          <w:tcPr>
            <w:tcW w:w="440" w:type="dxa"/>
            <w:vAlign w:val="bottom"/>
            <w:shd w:val="clear" w:color="auto" w:fill="CF1D4C"/>
          </w:tcPr>
          <w:p>
            <w:pPr>
              <w:spacing w:after="0"/>
              <w:rPr>
                <w:sz w:val="7"/>
                <w:szCs w:val="7"/>
                <w:color w:val="auto"/>
              </w:rPr>
            </w:pPr>
          </w:p>
        </w:tc>
        <w:tc>
          <w:tcPr>
            <w:tcW w:w="940" w:type="dxa"/>
            <w:vAlign w:val="bottom"/>
            <w:shd w:val="clear" w:color="auto" w:fill="CF1D4C"/>
          </w:tcPr>
          <w:p>
            <w:pPr>
              <w:spacing w:after="0"/>
              <w:rPr>
                <w:sz w:val="7"/>
                <w:szCs w:val="7"/>
                <w:color w:val="auto"/>
              </w:rPr>
            </w:pPr>
          </w:p>
        </w:tc>
        <w:tc>
          <w:tcPr>
            <w:tcW w:w="1000" w:type="dxa"/>
            <w:vAlign w:val="bottom"/>
            <w:shd w:val="clear" w:color="auto" w:fill="CF1D4C"/>
          </w:tcPr>
          <w:p>
            <w:pPr>
              <w:spacing w:after="0"/>
              <w:rPr>
                <w:sz w:val="7"/>
                <w:szCs w:val="7"/>
                <w:color w:val="auto"/>
              </w:rPr>
            </w:pPr>
          </w:p>
        </w:tc>
        <w:tc>
          <w:tcPr>
            <w:tcW w:w="980" w:type="dxa"/>
            <w:vAlign w:val="bottom"/>
            <w:vMerge w:val="restart"/>
            <w:shd w:val="clear" w:color="auto" w:fill="CF1D4C"/>
          </w:tcPr>
          <w:p>
            <w:pPr>
              <w:ind w:left="40"/>
              <w:spacing w:after="0"/>
              <w:rPr>
                <w:sz w:val="20"/>
                <w:szCs w:val="20"/>
                <w:color w:val="auto"/>
              </w:rPr>
            </w:pPr>
            <w:r>
              <w:rPr>
                <w:rFonts w:ascii="Arial" w:cs="Arial" w:eastAsia="Arial" w:hAnsi="Arial"/>
                <w:sz w:val="11"/>
                <w:szCs w:val="11"/>
                <w:b w:val="1"/>
                <w:bCs w:val="1"/>
                <w:color w:val="FFFFFF"/>
                <w:w w:val="95"/>
              </w:rPr>
              <w:t>Average Summary</w:t>
            </w:r>
          </w:p>
        </w:tc>
        <w:tc>
          <w:tcPr>
            <w:tcW w:w="180" w:type="dxa"/>
            <w:vAlign w:val="bottom"/>
            <w:shd w:val="clear" w:color="auto" w:fill="CF1D4C"/>
          </w:tcPr>
          <w:p>
            <w:pPr>
              <w:spacing w:after="0"/>
              <w:rPr>
                <w:sz w:val="7"/>
                <w:szCs w:val="7"/>
                <w:color w:val="auto"/>
              </w:rPr>
            </w:pPr>
          </w:p>
        </w:tc>
        <w:tc>
          <w:tcPr>
            <w:tcW w:w="1040" w:type="dxa"/>
            <w:vAlign w:val="bottom"/>
            <w:vMerge w:val="continue"/>
            <w:shd w:val="clear" w:color="auto" w:fill="CF1D4C"/>
          </w:tcPr>
          <w:p>
            <w:pPr>
              <w:spacing w:after="0"/>
              <w:rPr>
                <w:sz w:val="7"/>
                <w:szCs w:val="7"/>
                <w:color w:val="auto"/>
              </w:rPr>
            </w:pPr>
          </w:p>
        </w:tc>
        <w:tc>
          <w:tcPr>
            <w:tcW w:w="1660" w:type="dxa"/>
            <w:vAlign w:val="bottom"/>
            <w:gridSpan w:val="3"/>
            <w:vMerge w:val="restart"/>
            <w:shd w:val="clear" w:color="auto" w:fill="CF1D4C"/>
          </w:tcPr>
          <w:p>
            <w:pPr>
              <w:ind w:left="180"/>
              <w:spacing w:after="0"/>
              <w:rPr>
                <w:sz w:val="20"/>
                <w:szCs w:val="20"/>
                <w:color w:val="auto"/>
              </w:rPr>
            </w:pPr>
            <w:r>
              <w:rPr>
                <w:rFonts w:ascii="Arial" w:cs="Arial" w:eastAsia="Arial" w:hAnsi="Arial"/>
                <w:sz w:val="11"/>
                <w:szCs w:val="11"/>
                <w:b w:val="1"/>
                <w:bCs w:val="1"/>
                <w:color w:val="FFFFFF"/>
              </w:rPr>
              <w:t>INVESTMENT BASED ON:</w:t>
            </w:r>
          </w:p>
        </w:tc>
        <w:tc>
          <w:tcPr>
            <w:tcW w:w="660" w:type="dxa"/>
            <w:vAlign w:val="bottom"/>
            <w:shd w:val="clear" w:color="auto" w:fill="CF1D4C"/>
          </w:tcPr>
          <w:p>
            <w:pPr>
              <w:spacing w:after="0"/>
              <w:rPr>
                <w:sz w:val="7"/>
                <w:szCs w:val="7"/>
                <w:color w:val="auto"/>
              </w:rPr>
            </w:pPr>
          </w:p>
        </w:tc>
        <w:tc>
          <w:tcPr>
            <w:tcW w:w="260" w:type="dxa"/>
            <w:vAlign w:val="bottom"/>
            <w:shd w:val="clear" w:color="auto" w:fill="CF1D4C"/>
          </w:tcPr>
          <w:p>
            <w:pPr>
              <w:spacing w:after="0"/>
              <w:rPr>
                <w:sz w:val="7"/>
                <w:szCs w:val="7"/>
                <w:color w:val="auto"/>
              </w:rPr>
            </w:pPr>
          </w:p>
        </w:tc>
        <w:tc>
          <w:tcPr>
            <w:tcW w:w="1500" w:type="dxa"/>
            <w:vAlign w:val="bottom"/>
            <w:shd w:val="clear" w:color="auto" w:fill="CF1D4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CF1D4C"/>
          </w:tcPr>
          <w:p>
            <w:pPr>
              <w:spacing w:after="0"/>
              <w:rPr>
                <w:sz w:val="5"/>
                <w:szCs w:val="5"/>
                <w:color w:val="auto"/>
              </w:rPr>
            </w:pPr>
          </w:p>
        </w:tc>
        <w:tc>
          <w:tcPr>
            <w:tcW w:w="440" w:type="dxa"/>
            <w:vAlign w:val="bottom"/>
            <w:shd w:val="clear" w:color="auto" w:fill="CF1D4C"/>
          </w:tcPr>
          <w:p>
            <w:pPr>
              <w:spacing w:after="0"/>
              <w:rPr>
                <w:sz w:val="5"/>
                <w:szCs w:val="5"/>
                <w:color w:val="auto"/>
              </w:rPr>
            </w:pPr>
          </w:p>
        </w:tc>
        <w:tc>
          <w:tcPr>
            <w:tcW w:w="940" w:type="dxa"/>
            <w:vAlign w:val="bottom"/>
            <w:shd w:val="clear" w:color="auto" w:fill="CF1D4C"/>
          </w:tcPr>
          <w:p>
            <w:pPr>
              <w:spacing w:after="0"/>
              <w:rPr>
                <w:sz w:val="5"/>
                <w:szCs w:val="5"/>
                <w:color w:val="auto"/>
              </w:rPr>
            </w:pPr>
          </w:p>
        </w:tc>
        <w:tc>
          <w:tcPr>
            <w:tcW w:w="1000" w:type="dxa"/>
            <w:vAlign w:val="bottom"/>
            <w:shd w:val="clear" w:color="auto" w:fill="CF1D4C"/>
          </w:tcPr>
          <w:p>
            <w:pPr>
              <w:spacing w:after="0"/>
              <w:rPr>
                <w:sz w:val="5"/>
                <w:szCs w:val="5"/>
                <w:color w:val="auto"/>
              </w:rPr>
            </w:pPr>
          </w:p>
        </w:tc>
        <w:tc>
          <w:tcPr>
            <w:tcW w:w="980" w:type="dxa"/>
            <w:vAlign w:val="bottom"/>
            <w:vMerge w:val="continue"/>
            <w:shd w:val="clear" w:color="auto" w:fill="CF1D4C"/>
          </w:tcPr>
          <w:p>
            <w:pPr>
              <w:spacing w:after="0"/>
              <w:rPr>
                <w:sz w:val="5"/>
                <w:szCs w:val="5"/>
                <w:color w:val="auto"/>
              </w:rPr>
            </w:pPr>
          </w:p>
        </w:tc>
        <w:tc>
          <w:tcPr>
            <w:tcW w:w="180" w:type="dxa"/>
            <w:vAlign w:val="bottom"/>
            <w:shd w:val="clear" w:color="auto" w:fill="CF1D4C"/>
          </w:tcPr>
          <w:p>
            <w:pPr>
              <w:spacing w:after="0"/>
              <w:rPr>
                <w:sz w:val="5"/>
                <w:szCs w:val="5"/>
                <w:color w:val="auto"/>
              </w:rPr>
            </w:pPr>
          </w:p>
        </w:tc>
        <w:tc>
          <w:tcPr>
            <w:tcW w:w="1040" w:type="dxa"/>
            <w:vAlign w:val="bottom"/>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Compensation</w:t>
            </w:r>
          </w:p>
        </w:tc>
        <w:tc>
          <w:tcPr>
            <w:tcW w:w="1660" w:type="dxa"/>
            <w:vAlign w:val="bottom"/>
            <w:gridSpan w:val="3"/>
            <w:vMerge w:val="continue"/>
            <w:shd w:val="clear" w:color="auto" w:fill="CF1D4C"/>
          </w:tcPr>
          <w:p>
            <w:pPr>
              <w:spacing w:after="0"/>
              <w:rPr>
                <w:sz w:val="5"/>
                <w:szCs w:val="5"/>
                <w:color w:val="auto"/>
              </w:rPr>
            </w:pPr>
          </w:p>
        </w:tc>
        <w:tc>
          <w:tcPr>
            <w:tcW w:w="660" w:type="dxa"/>
            <w:vAlign w:val="bottom"/>
            <w:shd w:val="clear" w:color="auto" w:fill="CF1D4C"/>
          </w:tcPr>
          <w:p>
            <w:pPr>
              <w:spacing w:after="0"/>
              <w:rPr>
                <w:sz w:val="5"/>
                <w:szCs w:val="5"/>
                <w:color w:val="auto"/>
              </w:rPr>
            </w:pPr>
          </w:p>
        </w:tc>
        <w:tc>
          <w:tcPr>
            <w:tcW w:w="260" w:type="dxa"/>
            <w:vAlign w:val="bottom"/>
            <w:shd w:val="clear" w:color="auto" w:fill="CF1D4C"/>
          </w:tcPr>
          <w:p>
            <w:pPr>
              <w:spacing w:after="0"/>
              <w:rPr>
                <w:sz w:val="5"/>
                <w:szCs w:val="5"/>
                <w:color w:val="auto"/>
              </w:rPr>
            </w:pPr>
          </w:p>
        </w:tc>
        <w:tc>
          <w:tcPr>
            <w:tcW w:w="1500" w:type="dxa"/>
            <w:vAlign w:val="bottom"/>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CF1D4C"/>
          </w:tcPr>
          <w:p>
            <w:pPr>
              <w:spacing w:after="0"/>
              <w:rPr>
                <w:sz w:val="4"/>
                <w:szCs w:val="4"/>
                <w:color w:val="auto"/>
              </w:rPr>
            </w:pPr>
          </w:p>
        </w:tc>
        <w:tc>
          <w:tcPr>
            <w:tcW w:w="440" w:type="dxa"/>
            <w:vAlign w:val="bottom"/>
            <w:shd w:val="clear" w:color="auto" w:fill="CF1D4C"/>
          </w:tcPr>
          <w:p>
            <w:pPr>
              <w:spacing w:after="0"/>
              <w:rPr>
                <w:sz w:val="4"/>
                <w:szCs w:val="4"/>
                <w:color w:val="auto"/>
              </w:rPr>
            </w:pPr>
          </w:p>
        </w:tc>
        <w:tc>
          <w:tcPr>
            <w:tcW w:w="940" w:type="dxa"/>
            <w:vAlign w:val="bottom"/>
            <w:shd w:val="clear" w:color="auto" w:fill="CF1D4C"/>
          </w:tcPr>
          <w:p>
            <w:pPr>
              <w:spacing w:after="0"/>
              <w:rPr>
                <w:sz w:val="4"/>
                <w:szCs w:val="4"/>
                <w:color w:val="auto"/>
              </w:rPr>
            </w:pPr>
          </w:p>
        </w:tc>
        <w:tc>
          <w:tcPr>
            <w:tcW w:w="1000" w:type="dxa"/>
            <w:vAlign w:val="bottom"/>
            <w:shd w:val="clear" w:color="auto" w:fill="CF1D4C"/>
          </w:tcPr>
          <w:p>
            <w:pPr>
              <w:spacing w:after="0"/>
              <w:rPr>
                <w:sz w:val="4"/>
                <w:szCs w:val="4"/>
                <w:color w:val="auto"/>
              </w:rPr>
            </w:pPr>
          </w:p>
        </w:tc>
        <w:tc>
          <w:tcPr>
            <w:tcW w:w="980" w:type="dxa"/>
            <w:vAlign w:val="bottom"/>
            <w:vMerge w:val="restart"/>
            <w:shd w:val="clear" w:color="auto" w:fill="CF1D4C"/>
          </w:tcPr>
          <w:p>
            <w:pPr>
              <w:ind w:left="40"/>
              <w:spacing w:after="0" w:line="122" w:lineRule="exact"/>
              <w:rPr>
                <w:sz w:val="20"/>
                <w:szCs w:val="20"/>
                <w:color w:val="auto"/>
              </w:rPr>
            </w:pPr>
            <w:r>
              <w:rPr>
                <w:rFonts w:ascii="Arial" w:cs="Arial" w:eastAsia="Arial" w:hAnsi="Arial"/>
                <w:sz w:val="11"/>
                <w:szCs w:val="11"/>
                <w:b w:val="1"/>
                <w:bCs w:val="1"/>
                <w:color w:val="FFFFFF"/>
              </w:rPr>
              <w:t>Compensation</w:t>
            </w:r>
          </w:p>
        </w:tc>
        <w:tc>
          <w:tcPr>
            <w:tcW w:w="180" w:type="dxa"/>
            <w:vAlign w:val="bottom"/>
            <w:shd w:val="clear" w:color="auto" w:fill="CF1D4C"/>
          </w:tcPr>
          <w:p>
            <w:pPr>
              <w:spacing w:after="0"/>
              <w:rPr>
                <w:sz w:val="4"/>
                <w:szCs w:val="4"/>
                <w:color w:val="auto"/>
              </w:rPr>
            </w:pPr>
          </w:p>
        </w:tc>
        <w:tc>
          <w:tcPr>
            <w:tcW w:w="1040" w:type="dxa"/>
            <w:vAlign w:val="bottom"/>
            <w:vMerge w:val="continue"/>
            <w:shd w:val="clear" w:color="auto" w:fill="CF1D4C"/>
          </w:tcPr>
          <w:p>
            <w:pPr>
              <w:spacing w:after="0"/>
              <w:rPr>
                <w:sz w:val="4"/>
                <w:szCs w:val="4"/>
                <w:color w:val="auto"/>
              </w:rPr>
            </w:pPr>
          </w:p>
        </w:tc>
        <w:tc>
          <w:tcPr>
            <w:tcW w:w="360" w:type="dxa"/>
            <w:vAlign w:val="bottom"/>
            <w:shd w:val="clear" w:color="auto" w:fill="CF1D4C"/>
          </w:tcPr>
          <w:p>
            <w:pPr>
              <w:spacing w:after="0"/>
              <w:rPr>
                <w:sz w:val="4"/>
                <w:szCs w:val="4"/>
                <w:color w:val="auto"/>
              </w:rPr>
            </w:pPr>
          </w:p>
        </w:tc>
        <w:tc>
          <w:tcPr>
            <w:tcW w:w="400" w:type="dxa"/>
            <w:vAlign w:val="bottom"/>
            <w:shd w:val="clear" w:color="auto" w:fill="CF1D4C"/>
          </w:tcPr>
          <w:p>
            <w:pPr>
              <w:spacing w:after="0"/>
              <w:rPr>
                <w:sz w:val="4"/>
                <w:szCs w:val="4"/>
                <w:color w:val="auto"/>
              </w:rPr>
            </w:pPr>
          </w:p>
        </w:tc>
        <w:tc>
          <w:tcPr>
            <w:tcW w:w="900" w:type="dxa"/>
            <w:vAlign w:val="bottom"/>
            <w:shd w:val="clear" w:color="auto" w:fill="CF1D4C"/>
          </w:tcPr>
          <w:p>
            <w:pPr>
              <w:spacing w:after="0"/>
              <w:rPr>
                <w:sz w:val="4"/>
                <w:szCs w:val="4"/>
                <w:color w:val="auto"/>
              </w:rPr>
            </w:pPr>
          </w:p>
        </w:tc>
        <w:tc>
          <w:tcPr>
            <w:tcW w:w="660" w:type="dxa"/>
            <w:vAlign w:val="bottom"/>
            <w:shd w:val="clear" w:color="auto" w:fill="CF1D4C"/>
          </w:tcPr>
          <w:p>
            <w:pPr>
              <w:spacing w:after="0"/>
              <w:rPr>
                <w:sz w:val="4"/>
                <w:szCs w:val="4"/>
                <w:color w:val="auto"/>
              </w:rPr>
            </w:pPr>
          </w:p>
        </w:tc>
        <w:tc>
          <w:tcPr>
            <w:tcW w:w="260" w:type="dxa"/>
            <w:vAlign w:val="bottom"/>
            <w:shd w:val="clear" w:color="auto" w:fill="CF1D4C"/>
          </w:tcPr>
          <w:p>
            <w:pPr>
              <w:spacing w:after="0"/>
              <w:rPr>
                <w:sz w:val="4"/>
                <w:szCs w:val="4"/>
                <w:color w:val="auto"/>
              </w:rPr>
            </w:pPr>
          </w:p>
        </w:tc>
        <w:tc>
          <w:tcPr>
            <w:tcW w:w="1500" w:type="dxa"/>
            <w:vAlign w:val="bottom"/>
            <w:shd w:val="clear" w:color="auto" w:fill="CF1D4C"/>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CF1D4C"/>
          </w:tcPr>
          <w:p>
            <w:pPr>
              <w:spacing w:after="0"/>
              <w:rPr>
                <w:sz w:val="5"/>
                <w:szCs w:val="5"/>
                <w:color w:val="auto"/>
              </w:rPr>
            </w:pPr>
          </w:p>
        </w:tc>
        <w:tc>
          <w:tcPr>
            <w:tcW w:w="440" w:type="dxa"/>
            <w:vAlign w:val="bottom"/>
            <w:shd w:val="clear" w:color="auto" w:fill="CF1D4C"/>
          </w:tcPr>
          <w:p>
            <w:pPr>
              <w:spacing w:after="0"/>
              <w:rPr>
                <w:sz w:val="5"/>
                <w:szCs w:val="5"/>
                <w:color w:val="auto"/>
              </w:rPr>
            </w:pPr>
          </w:p>
        </w:tc>
        <w:tc>
          <w:tcPr>
            <w:tcW w:w="940" w:type="dxa"/>
            <w:vAlign w:val="bottom"/>
            <w:shd w:val="clear" w:color="auto" w:fill="CF1D4C"/>
          </w:tcPr>
          <w:p>
            <w:pPr>
              <w:spacing w:after="0"/>
              <w:rPr>
                <w:sz w:val="5"/>
                <w:szCs w:val="5"/>
                <w:color w:val="auto"/>
              </w:rPr>
            </w:pPr>
          </w:p>
        </w:tc>
        <w:tc>
          <w:tcPr>
            <w:tcW w:w="1000" w:type="dxa"/>
            <w:vAlign w:val="bottom"/>
            <w:shd w:val="clear" w:color="auto" w:fill="CF1D4C"/>
          </w:tcPr>
          <w:p>
            <w:pPr>
              <w:spacing w:after="0"/>
              <w:rPr>
                <w:sz w:val="5"/>
                <w:szCs w:val="5"/>
                <w:color w:val="auto"/>
              </w:rPr>
            </w:pPr>
          </w:p>
        </w:tc>
        <w:tc>
          <w:tcPr>
            <w:tcW w:w="980" w:type="dxa"/>
            <w:vAlign w:val="bottom"/>
            <w:vMerge w:val="continue"/>
            <w:shd w:val="clear" w:color="auto" w:fill="CF1D4C"/>
          </w:tcPr>
          <w:p>
            <w:pPr>
              <w:spacing w:after="0"/>
              <w:rPr>
                <w:sz w:val="5"/>
                <w:szCs w:val="5"/>
                <w:color w:val="auto"/>
              </w:rPr>
            </w:pPr>
          </w:p>
        </w:tc>
        <w:tc>
          <w:tcPr>
            <w:tcW w:w="180" w:type="dxa"/>
            <w:vAlign w:val="bottom"/>
            <w:shd w:val="clear" w:color="auto" w:fill="CF1D4C"/>
          </w:tcPr>
          <w:p>
            <w:pPr>
              <w:spacing w:after="0"/>
              <w:rPr>
                <w:sz w:val="5"/>
                <w:szCs w:val="5"/>
                <w:color w:val="auto"/>
              </w:rPr>
            </w:pPr>
          </w:p>
        </w:tc>
        <w:tc>
          <w:tcPr>
            <w:tcW w:w="1040" w:type="dxa"/>
            <w:vAlign w:val="bottom"/>
            <w:vMerge w:val="restart"/>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Actually Paid to</w:t>
            </w:r>
          </w:p>
        </w:tc>
        <w:tc>
          <w:tcPr>
            <w:tcW w:w="360" w:type="dxa"/>
            <w:vAlign w:val="bottom"/>
            <w:shd w:val="clear" w:color="auto" w:fill="CF1D4C"/>
          </w:tcPr>
          <w:p>
            <w:pPr>
              <w:spacing w:after="0"/>
              <w:rPr>
                <w:sz w:val="5"/>
                <w:szCs w:val="5"/>
                <w:color w:val="auto"/>
              </w:rPr>
            </w:pPr>
          </w:p>
        </w:tc>
        <w:tc>
          <w:tcPr>
            <w:tcW w:w="400" w:type="dxa"/>
            <w:vAlign w:val="bottom"/>
            <w:shd w:val="clear" w:color="auto" w:fill="CF1D4C"/>
          </w:tcPr>
          <w:p>
            <w:pPr>
              <w:spacing w:after="0"/>
              <w:rPr>
                <w:sz w:val="5"/>
                <w:szCs w:val="5"/>
                <w:color w:val="auto"/>
              </w:rPr>
            </w:pPr>
          </w:p>
        </w:tc>
        <w:tc>
          <w:tcPr>
            <w:tcW w:w="900" w:type="dxa"/>
            <w:vAlign w:val="bottom"/>
            <w:shd w:val="clear" w:color="auto" w:fill="CF1D4C"/>
          </w:tcPr>
          <w:p>
            <w:pPr>
              <w:spacing w:after="0"/>
              <w:rPr>
                <w:sz w:val="5"/>
                <w:szCs w:val="5"/>
                <w:color w:val="auto"/>
              </w:rPr>
            </w:pPr>
          </w:p>
        </w:tc>
        <w:tc>
          <w:tcPr>
            <w:tcW w:w="660" w:type="dxa"/>
            <w:vAlign w:val="bottom"/>
            <w:shd w:val="clear" w:color="auto" w:fill="CF1D4C"/>
          </w:tcPr>
          <w:p>
            <w:pPr>
              <w:spacing w:after="0"/>
              <w:rPr>
                <w:sz w:val="5"/>
                <w:szCs w:val="5"/>
                <w:color w:val="auto"/>
              </w:rPr>
            </w:pPr>
          </w:p>
        </w:tc>
        <w:tc>
          <w:tcPr>
            <w:tcW w:w="260" w:type="dxa"/>
            <w:vAlign w:val="bottom"/>
            <w:shd w:val="clear" w:color="auto" w:fill="CF1D4C"/>
          </w:tcPr>
          <w:p>
            <w:pPr>
              <w:spacing w:after="0"/>
              <w:rPr>
                <w:sz w:val="5"/>
                <w:szCs w:val="5"/>
                <w:color w:val="auto"/>
              </w:rPr>
            </w:pPr>
          </w:p>
        </w:tc>
        <w:tc>
          <w:tcPr>
            <w:tcW w:w="1500" w:type="dxa"/>
            <w:vAlign w:val="bottom"/>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CF1D4C"/>
          </w:tcPr>
          <w:p>
            <w:pPr>
              <w:spacing w:after="0"/>
              <w:rPr>
                <w:sz w:val="4"/>
                <w:szCs w:val="4"/>
                <w:color w:val="auto"/>
              </w:rPr>
            </w:pPr>
          </w:p>
        </w:tc>
        <w:tc>
          <w:tcPr>
            <w:tcW w:w="440" w:type="dxa"/>
            <w:vAlign w:val="bottom"/>
            <w:shd w:val="clear" w:color="auto" w:fill="CF1D4C"/>
          </w:tcPr>
          <w:p>
            <w:pPr>
              <w:spacing w:after="0"/>
              <w:rPr>
                <w:sz w:val="4"/>
                <w:szCs w:val="4"/>
                <w:color w:val="auto"/>
              </w:rPr>
            </w:pPr>
          </w:p>
        </w:tc>
        <w:tc>
          <w:tcPr>
            <w:tcW w:w="940" w:type="dxa"/>
            <w:vAlign w:val="bottom"/>
            <w:vMerge w:val="restart"/>
            <w:shd w:val="clear" w:color="auto" w:fill="CF1D4C"/>
          </w:tcPr>
          <w:p>
            <w:pPr>
              <w:ind w:left="80"/>
              <w:spacing w:after="0"/>
              <w:rPr>
                <w:sz w:val="20"/>
                <w:szCs w:val="20"/>
                <w:color w:val="auto"/>
              </w:rPr>
            </w:pPr>
            <w:r>
              <w:rPr>
                <w:rFonts w:ascii="Arial" w:cs="Arial" w:eastAsia="Arial" w:hAnsi="Arial"/>
                <w:sz w:val="11"/>
                <w:szCs w:val="11"/>
                <w:b w:val="1"/>
                <w:bCs w:val="1"/>
                <w:color w:val="FFFFFF"/>
              </w:rPr>
              <w:t>Summary</w:t>
            </w:r>
          </w:p>
        </w:tc>
        <w:tc>
          <w:tcPr>
            <w:tcW w:w="1000" w:type="dxa"/>
            <w:vAlign w:val="bottom"/>
            <w:shd w:val="clear" w:color="auto" w:fill="CF1D4C"/>
          </w:tcPr>
          <w:p>
            <w:pPr>
              <w:spacing w:after="0"/>
              <w:rPr>
                <w:sz w:val="4"/>
                <w:szCs w:val="4"/>
                <w:color w:val="auto"/>
              </w:rPr>
            </w:pPr>
          </w:p>
        </w:tc>
        <w:tc>
          <w:tcPr>
            <w:tcW w:w="980" w:type="dxa"/>
            <w:vAlign w:val="bottom"/>
            <w:vMerge w:val="restart"/>
            <w:shd w:val="clear" w:color="auto" w:fill="CF1D4C"/>
          </w:tcPr>
          <w:p>
            <w:pPr>
              <w:ind w:left="40"/>
              <w:spacing w:after="0"/>
              <w:rPr>
                <w:sz w:val="20"/>
                <w:szCs w:val="20"/>
                <w:color w:val="auto"/>
              </w:rPr>
            </w:pPr>
            <w:r>
              <w:rPr>
                <w:rFonts w:ascii="Arial" w:cs="Arial" w:eastAsia="Arial" w:hAnsi="Arial"/>
                <w:sz w:val="11"/>
                <w:szCs w:val="11"/>
                <w:b w:val="1"/>
                <w:bCs w:val="1"/>
                <w:color w:val="FFFFFF"/>
              </w:rPr>
              <w:t>Table Total for</w:t>
            </w:r>
          </w:p>
        </w:tc>
        <w:tc>
          <w:tcPr>
            <w:tcW w:w="180" w:type="dxa"/>
            <w:vAlign w:val="bottom"/>
            <w:shd w:val="clear" w:color="auto" w:fill="CF1D4C"/>
          </w:tcPr>
          <w:p>
            <w:pPr>
              <w:spacing w:after="0"/>
              <w:rPr>
                <w:sz w:val="4"/>
                <w:szCs w:val="4"/>
                <w:color w:val="auto"/>
              </w:rPr>
            </w:pPr>
          </w:p>
        </w:tc>
        <w:tc>
          <w:tcPr>
            <w:tcW w:w="1040" w:type="dxa"/>
            <w:vAlign w:val="bottom"/>
            <w:vMerge w:val="continue"/>
            <w:shd w:val="clear" w:color="auto" w:fill="CF1D4C"/>
          </w:tcPr>
          <w:p>
            <w:pPr>
              <w:spacing w:after="0"/>
              <w:rPr>
                <w:sz w:val="4"/>
                <w:szCs w:val="4"/>
                <w:color w:val="auto"/>
              </w:rPr>
            </w:pPr>
          </w:p>
        </w:tc>
        <w:tc>
          <w:tcPr>
            <w:tcW w:w="360" w:type="dxa"/>
            <w:vAlign w:val="bottom"/>
            <w:shd w:val="clear" w:color="auto" w:fill="CF1D4C"/>
          </w:tcPr>
          <w:p>
            <w:pPr>
              <w:spacing w:after="0"/>
              <w:rPr>
                <w:sz w:val="4"/>
                <w:szCs w:val="4"/>
                <w:color w:val="auto"/>
              </w:rPr>
            </w:pPr>
          </w:p>
        </w:tc>
        <w:tc>
          <w:tcPr>
            <w:tcW w:w="400" w:type="dxa"/>
            <w:vAlign w:val="bottom"/>
            <w:shd w:val="clear" w:color="auto" w:fill="CF1D4C"/>
          </w:tcPr>
          <w:p>
            <w:pPr>
              <w:spacing w:after="0"/>
              <w:rPr>
                <w:sz w:val="4"/>
                <w:szCs w:val="4"/>
                <w:color w:val="auto"/>
              </w:rPr>
            </w:pPr>
          </w:p>
        </w:tc>
        <w:tc>
          <w:tcPr>
            <w:tcW w:w="900" w:type="dxa"/>
            <w:vAlign w:val="bottom"/>
            <w:vMerge w:val="restart"/>
            <w:shd w:val="clear" w:color="auto" w:fill="CF1D4C"/>
          </w:tcPr>
          <w:p>
            <w:pPr>
              <w:ind w:left="120"/>
              <w:spacing w:after="0"/>
              <w:rPr>
                <w:sz w:val="20"/>
                <w:szCs w:val="20"/>
                <w:color w:val="auto"/>
              </w:rPr>
            </w:pPr>
            <w:r>
              <w:rPr>
                <w:rFonts w:ascii="Arial" w:cs="Arial" w:eastAsia="Arial" w:hAnsi="Arial"/>
                <w:sz w:val="11"/>
                <w:szCs w:val="11"/>
                <w:b w:val="1"/>
                <w:bCs w:val="1"/>
                <w:color w:val="FFFFFF"/>
              </w:rPr>
              <w:t>Peer Group</w:t>
            </w:r>
          </w:p>
        </w:tc>
        <w:tc>
          <w:tcPr>
            <w:tcW w:w="660" w:type="dxa"/>
            <w:vAlign w:val="bottom"/>
            <w:shd w:val="clear" w:color="auto" w:fill="CF1D4C"/>
          </w:tcPr>
          <w:p>
            <w:pPr>
              <w:spacing w:after="0"/>
              <w:rPr>
                <w:sz w:val="4"/>
                <w:szCs w:val="4"/>
                <w:color w:val="auto"/>
              </w:rPr>
            </w:pPr>
          </w:p>
        </w:tc>
        <w:tc>
          <w:tcPr>
            <w:tcW w:w="260" w:type="dxa"/>
            <w:vAlign w:val="bottom"/>
            <w:shd w:val="clear" w:color="auto" w:fill="CF1D4C"/>
          </w:tcPr>
          <w:p>
            <w:pPr>
              <w:spacing w:after="0"/>
              <w:rPr>
                <w:sz w:val="4"/>
                <w:szCs w:val="4"/>
                <w:color w:val="auto"/>
              </w:rPr>
            </w:pPr>
          </w:p>
        </w:tc>
        <w:tc>
          <w:tcPr>
            <w:tcW w:w="150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Company-</w:t>
            </w:r>
          </w:p>
        </w:tc>
        <w:tc>
          <w:tcPr>
            <w:tcW w:w="0" w:type="dxa"/>
            <w:vAlign w:val="bottom"/>
          </w:tcPr>
          <w:p>
            <w:pPr>
              <w:spacing w:after="0"/>
              <w:rPr>
                <w:sz w:val="1"/>
                <w:szCs w:val="1"/>
                <w:color w:val="auto"/>
              </w:rPr>
            </w:pPr>
          </w:p>
        </w:tc>
      </w:tr>
      <w:tr>
        <w:trPr>
          <w:trHeight w:val="81"/>
        </w:trPr>
        <w:tc>
          <w:tcPr>
            <w:tcW w:w="120" w:type="dxa"/>
            <w:vAlign w:val="bottom"/>
            <w:shd w:val="clear" w:color="auto" w:fill="CF1D4C"/>
          </w:tcPr>
          <w:p>
            <w:pPr>
              <w:spacing w:after="0"/>
              <w:rPr>
                <w:sz w:val="7"/>
                <w:szCs w:val="7"/>
                <w:color w:val="auto"/>
              </w:rPr>
            </w:pPr>
          </w:p>
        </w:tc>
        <w:tc>
          <w:tcPr>
            <w:tcW w:w="440" w:type="dxa"/>
            <w:vAlign w:val="bottom"/>
            <w:shd w:val="clear" w:color="auto" w:fill="CF1D4C"/>
          </w:tcPr>
          <w:p>
            <w:pPr>
              <w:spacing w:after="0"/>
              <w:rPr>
                <w:sz w:val="7"/>
                <w:szCs w:val="7"/>
                <w:color w:val="auto"/>
              </w:rPr>
            </w:pPr>
          </w:p>
        </w:tc>
        <w:tc>
          <w:tcPr>
            <w:tcW w:w="940" w:type="dxa"/>
            <w:vAlign w:val="bottom"/>
            <w:vMerge w:val="continue"/>
            <w:shd w:val="clear" w:color="auto" w:fill="CF1D4C"/>
          </w:tcPr>
          <w:p>
            <w:pPr>
              <w:spacing w:after="0"/>
              <w:rPr>
                <w:sz w:val="7"/>
                <w:szCs w:val="7"/>
                <w:color w:val="auto"/>
              </w:rPr>
            </w:pPr>
          </w:p>
        </w:tc>
        <w:tc>
          <w:tcPr>
            <w:tcW w:w="1000" w:type="dxa"/>
            <w:vAlign w:val="bottom"/>
            <w:vMerge w:val="restart"/>
            <w:shd w:val="clear" w:color="auto" w:fill="CF1D4C"/>
          </w:tcPr>
          <w:p>
            <w:pPr>
              <w:ind w:left="80"/>
              <w:spacing w:after="0"/>
              <w:rPr>
                <w:sz w:val="20"/>
                <w:szCs w:val="20"/>
                <w:color w:val="auto"/>
              </w:rPr>
            </w:pPr>
            <w:r>
              <w:rPr>
                <w:rFonts w:ascii="Arial" w:cs="Arial" w:eastAsia="Arial" w:hAnsi="Arial"/>
                <w:sz w:val="11"/>
                <w:szCs w:val="11"/>
                <w:b w:val="1"/>
                <w:bCs w:val="1"/>
                <w:color w:val="FFFFFF"/>
              </w:rPr>
              <w:t>Compensation</w:t>
            </w:r>
          </w:p>
        </w:tc>
        <w:tc>
          <w:tcPr>
            <w:tcW w:w="980" w:type="dxa"/>
            <w:vAlign w:val="bottom"/>
            <w:vMerge w:val="continue"/>
            <w:shd w:val="clear" w:color="auto" w:fill="CF1D4C"/>
          </w:tcPr>
          <w:p>
            <w:pPr>
              <w:spacing w:after="0"/>
              <w:rPr>
                <w:sz w:val="7"/>
                <w:szCs w:val="7"/>
                <w:color w:val="auto"/>
              </w:rPr>
            </w:pPr>
          </w:p>
        </w:tc>
        <w:tc>
          <w:tcPr>
            <w:tcW w:w="180" w:type="dxa"/>
            <w:vAlign w:val="bottom"/>
            <w:shd w:val="clear" w:color="auto" w:fill="CF1D4C"/>
          </w:tcPr>
          <w:p>
            <w:pPr>
              <w:spacing w:after="0"/>
              <w:rPr>
                <w:sz w:val="7"/>
                <w:szCs w:val="7"/>
                <w:color w:val="auto"/>
              </w:rPr>
            </w:pPr>
          </w:p>
        </w:tc>
        <w:tc>
          <w:tcPr>
            <w:tcW w:w="104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Non-PEO Named</w:t>
            </w:r>
          </w:p>
        </w:tc>
        <w:tc>
          <w:tcPr>
            <w:tcW w:w="360" w:type="dxa"/>
            <w:vAlign w:val="bottom"/>
            <w:vMerge w:val="restart"/>
            <w:shd w:val="clear" w:color="auto" w:fill="CF1D4C"/>
          </w:tcPr>
          <w:p>
            <w:pPr>
              <w:ind w:left="20"/>
              <w:spacing w:after="0"/>
              <w:rPr>
                <w:sz w:val="20"/>
                <w:szCs w:val="20"/>
                <w:color w:val="auto"/>
              </w:rPr>
            </w:pPr>
            <w:r>
              <w:rPr>
                <w:rFonts w:ascii="Arial" w:cs="Arial" w:eastAsia="Arial" w:hAnsi="Arial"/>
                <w:sz w:val="11"/>
                <w:szCs w:val="11"/>
                <w:b w:val="1"/>
                <w:bCs w:val="1"/>
                <w:color w:val="FFFFFF"/>
              </w:rPr>
              <w:t>Total</w:t>
            </w:r>
          </w:p>
        </w:tc>
        <w:tc>
          <w:tcPr>
            <w:tcW w:w="400" w:type="dxa"/>
            <w:vAlign w:val="bottom"/>
            <w:shd w:val="clear" w:color="auto" w:fill="CF1D4C"/>
          </w:tcPr>
          <w:p>
            <w:pPr>
              <w:spacing w:after="0"/>
              <w:rPr>
                <w:sz w:val="7"/>
                <w:szCs w:val="7"/>
                <w:color w:val="auto"/>
              </w:rPr>
            </w:pPr>
          </w:p>
        </w:tc>
        <w:tc>
          <w:tcPr>
            <w:tcW w:w="900" w:type="dxa"/>
            <w:vAlign w:val="bottom"/>
            <w:vMerge w:val="continue"/>
            <w:shd w:val="clear" w:color="auto" w:fill="CF1D4C"/>
          </w:tcPr>
          <w:p>
            <w:pPr>
              <w:spacing w:after="0"/>
              <w:rPr>
                <w:sz w:val="7"/>
                <w:szCs w:val="7"/>
                <w:color w:val="auto"/>
              </w:rPr>
            </w:pPr>
          </w:p>
        </w:tc>
        <w:tc>
          <w:tcPr>
            <w:tcW w:w="660" w:type="dxa"/>
            <w:vAlign w:val="bottom"/>
            <w:shd w:val="clear" w:color="auto" w:fill="CF1D4C"/>
          </w:tcPr>
          <w:p>
            <w:pPr>
              <w:spacing w:after="0"/>
              <w:rPr>
                <w:sz w:val="7"/>
                <w:szCs w:val="7"/>
                <w:color w:val="auto"/>
              </w:rPr>
            </w:pPr>
          </w:p>
        </w:tc>
        <w:tc>
          <w:tcPr>
            <w:tcW w:w="260" w:type="dxa"/>
            <w:vAlign w:val="bottom"/>
            <w:shd w:val="clear" w:color="auto" w:fill="CF1D4C"/>
          </w:tcPr>
          <w:p>
            <w:pPr>
              <w:spacing w:after="0"/>
              <w:rPr>
                <w:sz w:val="7"/>
                <w:szCs w:val="7"/>
                <w:color w:val="auto"/>
              </w:rPr>
            </w:pPr>
          </w:p>
        </w:tc>
        <w:tc>
          <w:tcPr>
            <w:tcW w:w="1500" w:type="dxa"/>
            <w:vAlign w:val="bottom"/>
            <w:vMerge w:val="continue"/>
            <w:shd w:val="clear" w:color="auto" w:fill="CF1D4C"/>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CF1D4C"/>
          </w:tcPr>
          <w:p>
            <w:pPr>
              <w:spacing w:after="0"/>
              <w:rPr>
                <w:sz w:val="4"/>
                <w:szCs w:val="4"/>
                <w:color w:val="auto"/>
              </w:rPr>
            </w:pPr>
          </w:p>
        </w:tc>
        <w:tc>
          <w:tcPr>
            <w:tcW w:w="440" w:type="dxa"/>
            <w:vAlign w:val="bottom"/>
            <w:vMerge w:val="restart"/>
            <w:shd w:val="clear" w:color="auto" w:fill="CF1D4C"/>
          </w:tcPr>
          <w:p>
            <w:pPr>
              <w:ind w:left="60"/>
              <w:spacing w:after="0" w:line="175" w:lineRule="exact"/>
              <w:rPr>
                <w:sz w:val="20"/>
                <w:szCs w:val="20"/>
                <w:color w:val="auto"/>
              </w:rPr>
            </w:pPr>
            <w:r>
              <w:rPr>
                <w:rFonts w:ascii="Arial" w:cs="Arial" w:eastAsia="Arial" w:hAnsi="Arial"/>
                <w:sz w:val="11"/>
                <w:szCs w:val="11"/>
                <w:b w:val="1"/>
                <w:bCs w:val="1"/>
                <w:color w:val="FFFFFF"/>
                <w:w w:val="97"/>
              </w:rPr>
              <w:t>Year</w:t>
            </w:r>
            <w:r>
              <w:rPr>
                <w:rFonts w:ascii="Arial" w:cs="Arial" w:eastAsia="Arial" w:hAnsi="Arial"/>
                <w:sz w:val="16"/>
                <w:szCs w:val="16"/>
                <w:b w:val="1"/>
                <w:bCs w:val="1"/>
                <w:color w:val="FFFFFF"/>
                <w:w w:val="97"/>
                <w:vertAlign w:val="superscript"/>
              </w:rPr>
              <w:t>(a)</w:t>
            </w:r>
          </w:p>
        </w:tc>
        <w:tc>
          <w:tcPr>
            <w:tcW w:w="940" w:type="dxa"/>
            <w:vAlign w:val="bottom"/>
            <w:vMerge w:val="restart"/>
            <w:shd w:val="clear" w:color="auto" w:fill="CF1D4C"/>
          </w:tcPr>
          <w:p>
            <w:pPr>
              <w:ind w:left="80"/>
              <w:spacing w:after="0"/>
              <w:rPr>
                <w:sz w:val="20"/>
                <w:szCs w:val="20"/>
                <w:color w:val="auto"/>
              </w:rPr>
            </w:pPr>
            <w:r>
              <w:rPr>
                <w:rFonts w:ascii="Arial" w:cs="Arial" w:eastAsia="Arial" w:hAnsi="Arial"/>
                <w:sz w:val="11"/>
                <w:szCs w:val="11"/>
                <w:b w:val="1"/>
                <w:bCs w:val="1"/>
                <w:color w:val="FFFFFF"/>
              </w:rPr>
              <w:t>Compensation</w:t>
            </w:r>
          </w:p>
        </w:tc>
        <w:tc>
          <w:tcPr>
            <w:tcW w:w="1000" w:type="dxa"/>
            <w:vAlign w:val="bottom"/>
            <w:vMerge w:val="continue"/>
            <w:shd w:val="clear" w:color="auto" w:fill="CF1D4C"/>
          </w:tcPr>
          <w:p>
            <w:pPr>
              <w:spacing w:after="0"/>
              <w:rPr>
                <w:sz w:val="4"/>
                <w:szCs w:val="4"/>
                <w:color w:val="auto"/>
              </w:rPr>
            </w:pPr>
          </w:p>
        </w:tc>
        <w:tc>
          <w:tcPr>
            <w:tcW w:w="980" w:type="dxa"/>
            <w:vAlign w:val="bottom"/>
            <w:vMerge w:val="restart"/>
            <w:shd w:val="clear" w:color="auto" w:fill="CF1D4C"/>
          </w:tcPr>
          <w:p>
            <w:pPr>
              <w:ind w:left="40"/>
              <w:spacing w:after="0"/>
              <w:rPr>
                <w:sz w:val="20"/>
                <w:szCs w:val="20"/>
                <w:color w:val="auto"/>
              </w:rPr>
            </w:pPr>
            <w:r>
              <w:rPr>
                <w:rFonts w:ascii="Arial" w:cs="Arial" w:eastAsia="Arial" w:hAnsi="Arial"/>
                <w:sz w:val="11"/>
                <w:szCs w:val="11"/>
                <w:b w:val="1"/>
                <w:bCs w:val="1"/>
                <w:color w:val="FFFFFF"/>
              </w:rPr>
              <w:t>Non-PEO Named</w:t>
            </w:r>
          </w:p>
        </w:tc>
        <w:tc>
          <w:tcPr>
            <w:tcW w:w="180" w:type="dxa"/>
            <w:vAlign w:val="bottom"/>
            <w:shd w:val="clear" w:color="auto" w:fill="CF1D4C"/>
          </w:tcPr>
          <w:p>
            <w:pPr>
              <w:spacing w:after="0"/>
              <w:rPr>
                <w:sz w:val="4"/>
                <w:szCs w:val="4"/>
                <w:color w:val="auto"/>
              </w:rPr>
            </w:pPr>
          </w:p>
        </w:tc>
        <w:tc>
          <w:tcPr>
            <w:tcW w:w="1040" w:type="dxa"/>
            <w:vAlign w:val="bottom"/>
            <w:vMerge w:val="continue"/>
            <w:shd w:val="clear" w:color="auto" w:fill="CF1D4C"/>
          </w:tcPr>
          <w:p>
            <w:pPr>
              <w:spacing w:after="0"/>
              <w:rPr>
                <w:sz w:val="4"/>
                <w:szCs w:val="4"/>
                <w:color w:val="auto"/>
              </w:rPr>
            </w:pPr>
          </w:p>
        </w:tc>
        <w:tc>
          <w:tcPr>
            <w:tcW w:w="360" w:type="dxa"/>
            <w:vAlign w:val="bottom"/>
            <w:vMerge w:val="continue"/>
            <w:shd w:val="clear" w:color="auto" w:fill="CF1D4C"/>
          </w:tcPr>
          <w:p>
            <w:pPr>
              <w:spacing w:after="0"/>
              <w:rPr>
                <w:sz w:val="4"/>
                <w:szCs w:val="4"/>
                <w:color w:val="auto"/>
              </w:rPr>
            </w:pPr>
          </w:p>
        </w:tc>
        <w:tc>
          <w:tcPr>
            <w:tcW w:w="400" w:type="dxa"/>
            <w:vAlign w:val="bottom"/>
            <w:shd w:val="clear" w:color="auto" w:fill="CF1D4C"/>
          </w:tcPr>
          <w:p>
            <w:pPr>
              <w:spacing w:after="0"/>
              <w:rPr>
                <w:sz w:val="4"/>
                <w:szCs w:val="4"/>
                <w:color w:val="auto"/>
              </w:rPr>
            </w:pPr>
          </w:p>
        </w:tc>
        <w:tc>
          <w:tcPr>
            <w:tcW w:w="900" w:type="dxa"/>
            <w:vAlign w:val="bottom"/>
            <w:vMerge w:val="restart"/>
            <w:shd w:val="clear" w:color="auto" w:fill="CF1D4C"/>
          </w:tcPr>
          <w:p>
            <w:pPr>
              <w:ind w:left="120"/>
              <w:spacing w:after="0"/>
              <w:rPr>
                <w:sz w:val="20"/>
                <w:szCs w:val="20"/>
                <w:color w:val="auto"/>
              </w:rPr>
            </w:pPr>
            <w:r>
              <w:rPr>
                <w:rFonts w:ascii="Arial" w:cs="Arial" w:eastAsia="Arial" w:hAnsi="Arial"/>
                <w:sz w:val="11"/>
                <w:szCs w:val="11"/>
                <w:b w:val="1"/>
                <w:bCs w:val="1"/>
                <w:color w:val="FFFFFF"/>
              </w:rPr>
              <w:t>Total</w:t>
            </w:r>
          </w:p>
        </w:tc>
        <w:tc>
          <w:tcPr>
            <w:tcW w:w="66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w w:val="97"/>
              </w:rPr>
              <w:t>Net Income</w:t>
            </w:r>
          </w:p>
        </w:tc>
        <w:tc>
          <w:tcPr>
            <w:tcW w:w="260" w:type="dxa"/>
            <w:vAlign w:val="bottom"/>
            <w:shd w:val="clear" w:color="auto" w:fill="CF1D4C"/>
          </w:tcPr>
          <w:p>
            <w:pPr>
              <w:spacing w:after="0"/>
              <w:rPr>
                <w:sz w:val="4"/>
                <w:szCs w:val="4"/>
                <w:color w:val="auto"/>
              </w:rPr>
            </w:pPr>
          </w:p>
        </w:tc>
        <w:tc>
          <w:tcPr>
            <w:tcW w:w="1500" w:type="dxa"/>
            <w:vAlign w:val="bottom"/>
            <w:vMerge w:val="restart"/>
            <w:shd w:val="clear" w:color="auto" w:fill="CF1D4C"/>
          </w:tcPr>
          <w:p>
            <w:pPr>
              <w:ind w:left="60"/>
              <w:spacing w:after="0"/>
              <w:rPr>
                <w:sz w:val="20"/>
                <w:szCs w:val="20"/>
                <w:color w:val="auto"/>
              </w:rPr>
            </w:pPr>
            <w:r>
              <w:rPr>
                <w:rFonts w:ascii="Arial" w:cs="Arial" w:eastAsia="Arial" w:hAnsi="Arial"/>
                <w:sz w:val="11"/>
                <w:szCs w:val="11"/>
                <w:b w:val="1"/>
                <w:bCs w:val="1"/>
                <w:color w:val="FFFFFF"/>
              </w:rPr>
              <w:t>Selected</w:t>
            </w:r>
          </w:p>
        </w:tc>
        <w:tc>
          <w:tcPr>
            <w:tcW w:w="0" w:type="dxa"/>
            <w:vAlign w:val="bottom"/>
          </w:tcPr>
          <w:p>
            <w:pPr>
              <w:spacing w:after="0"/>
              <w:rPr>
                <w:sz w:val="1"/>
                <w:szCs w:val="1"/>
                <w:color w:val="auto"/>
              </w:rPr>
            </w:pPr>
          </w:p>
        </w:tc>
      </w:tr>
      <w:tr>
        <w:trPr>
          <w:trHeight w:val="122"/>
        </w:trPr>
        <w:tc>
          <w:tcPr>
            <w:tcW w:w="120" w:type="dxa"/>
            <w:vAlign w:val="bottom"/>
            <w:shd w:val="clear" w:color="auto" w:fill="CF1D4C"/>
          </w:tcPr>
          <w:p>
            <w:pPr>
              <w:spacing w:after="0"/>
              <w:rPr>
                <w:sz w:val="10"/>
                <w:szCs w:val="10"/>
                <w:color w:val="auto"/>
              </w:rPr>
            </w:pPr>
          </w:p>
        </w:tc>
        <w:tc>
          <w:tcPr>
            <w:tcW w:w="440" w:type="dxa"/>
            <w:vAlign w:val="bottom"/>
            <w:vMerge w:val="continue"/>
            <w:shd w:val="clear" w:color="auto" w:fill="CF1D4C"/>
          </w:tcPr>
          <w:p>
            <w:pPr>
              <w:spacing w:after="0"/>
              <w:rPr>
                <w:sz w:val="10"/>
                <w:szCs w:val="10"/>
                <w:color w:val="auto"/>
              </w:rPr>
            </w:pPr>
          </w:p>
        </w:tc>
        <w:tc>
          <w:tcPr>
            <w:tcW w:w="940" w:type="dxa"/>
            <w:vAlign w:val="bottom"/>
            <w:vMerge w:val="continue"/>
            <w:shd w:val="clear" w:color="auto" w:fill="CF1D4C"/>
          </w:tcPr>
          <w:p>
            <w:pPr>
              <w:spacing w:after="0"/>
              <w:rPr>
                <w:sz w:val="10"/>
                <w:szCs w:val="10"/>
                <w:color w:val="auto"/>
              </w:rPr>
            </w:pPr>
          </w:p>
        </w:tc>
        <w:tc>
          <w:tcPr>
            <w:tcW w:w="1000" w:type="dxa"/>
            <w:vAlign w:val="bottom"/>
            <w:shd w:val="clear" w:color="auto" w:fill="CF1D4C"/>
          </w:tcPr>
          <w:p>
            <w:pPr>
              <w:ind w:left="80"/>
              <w:spacing w:after="0" w:line="122" w:lineRule="exact"/>
              <w:rPr>
                <w:sz w:val="20"/>
                <w:szCs w:val="20"/>
                <w:color w:val="auto"/>
              </w:rPr>
            </w:pPr>
            <w:r>
              <w:rPr>
                <w:rFonts w:ascii="Arial" w:cs="Arial" w:eastAsia="Arial" w:hAnsi="Arial"/>
                <w:sz w:val="11"/>
                <w:szCs w:val="11"/>
                <w:b w:val="1"/>
                <w:bCs w:val="1"/>
                <w:color w:val="FFFFFF"/>
              </w:rPr>
              <w:t>Actually Paid</w:t>
            </w:r>
          </w:p>
        </w:tc>
        <w:tc>
          <w:tcPr>
            <w:tcW w:w="980" w:type="dxa"/>
            <w:vAlign w:val="bottom"/>
            <w:vMerge w:val="continue"/>
            <w:shd w:val="clear" w:color="auto" w:fill="CF1D4C"/>
          </w:tcPr>
          <w:p>
            <w:pPr>
              <w:spacing w:after="0"/>
              <w:rPr>
                <w:sz w:val="10"/>
                <w:szCs w:val="10"/>
                <w:color w:val="auto"/>
              </w:rPr>
            </w:pPr>
          </w:p>
        </w:tc>
        <w:tc>
          <w:tcPr>
            <w:tcW w:w="180" w:type="dxa"/>
            <w:vAlign w:val="bottom"/>
            <w:shd w:val="clear" w:color="auto" w:fill="CF1D4C"/>
          </w:tcPr>
          <w:p>
            <w:pPr>
              <w:spacing w:after="0"/>
              <w:rPr>
                <w:sz w:val="20"/>
                <w:szCs w:val="20"/>
                <w:color w:val="auto"/>
              </w:rPr>
            </w:pPr>
            <w:r>
              <w:rPr>
                <w:rFonts w:ascii="Arial" w:cs="Arial" w:eastAsia="Arial" w:hAnsi="Arial"/>
                <w:sz w:val="8"/>
                <w:szCs w:val="8"/>
                <w:b w:val="1"/>
                <w:bCs w:val="1"/>
                <w:color w:val="FFFFFF"/>
              </w:rPr>
              <w:t>(d)</w:t>
            </w:r>
          </w:p>
        </w:tc>
        <w:tc>
          <w:tcPr>
            <w:tcW w:w="1040" w:type="dxa"/>
            <w:vAlign w:val="bottom"/>
            <w:shd w:val="clear" w:color="auto" w:fill="CF1D4C"/>
          </w:tcPr>
          <w:p>
            <w:pPr>
              <w:ind w:left="60"/>
              <w:spacing w:after="0" w:line="122" w:lineRule="exact"/>
              <w:rPr>
                <w:sz w:val="20"/>
                <w:szCs w:val="20"/>
                <w:color w:val="auto"/>
              </w:rPr>
            </w:pPr>
            <w:r>
              <w:rPr>
                <w:rFonts w:ascii="Arial" w:cs="Arial" w:eastAsia="Arial" w:hAnsi="Arial"/>
                <w:sz w:val="11"/>
                <w:szCs w:val="11"/>
                <w:b w:val="1"/>
                <w:bCs w:val="1"/>
                <w:color w:val="FFFFFF"/>
              </w:rPr>
              <w:t>Executive</w:t>
            </w:r>
          </w:p>
        </w:tc>
        <w:tc>
          <w:tcPr>
            <w:tcW w:w="760" w:type="dxa"/>
            <w:vAlign w:val="bottom"/>
            <w:gridSpan w:val="2"/>
            <w:shd w:val="clear" w:color="auto" w:fill="CF1D4C"/>
          </w:tcPr>
          <w:p>
            <w:pPr>
              <w:ind w:left="20"/>
              <w:spacing w:after="0" w:line="122" w:lineRule="exact"/>
              <w:rPr>
                <w:sz w:val="20"/>
                <w:szCs w:val="20"/>
                <w:color w:val="auto"/>
              </w:rPr>
            </w:pPr>
            <w:r>
              <w:rPr>
                <w:rFonts w:ascii="Arial" w:cs="Arial" w:eastAsia="Arial" w:hAnsi="Arial"/>
                <w:sz w:val="11"/>
                <w:szCs w:val="11"/>
                <w:b w:val="1"/>
                <w:bCs w:val="1"/>
                <w:color w:val="FFFFFF"/>
              </w:rPr>
              <w:t>Shareholder</w:t>
            </w:r>
          </w:p>
        </w:tc>
        <w:tc>
          <w:tcPr>
            <w:tcW w:w="900" w:type="dxa"/>
            <w:vAlign w:val="bottom"/>
            <w:vMerge w:val="continue"/>
            <w:shd w:val="clear" w:color="auto" w:fill="CF1D4C"/>
          </w:tcPr>
          <w:p>
            <w:pPr>
              <w:spacing w:after="0"/>
              <w:rPr>
                <w:sz w:val="10"/>
                <w:szCs w:val="10"/>
                <w:color w:val="auto"/>
              </w:rPr>
            </w:pPr>
          </w:p>
        </w:tc>
        <w:tc>
          <w:tcPr>
            <w:tcW w:w="660" w:type="dxa"/>
            <w:vAlign w:val="bottom"/>
            <w:vMerge w:val="continue"/>
            <w:shd w:val="clear" w:color="auto" w:fill="CF1D4C"/>
          </w:tcPr>
          <w:p>
            <w:pPr>
              <w:spacing w:after="0"/>
              <w:rPr>
                <w:sz w:val="10"/>
                <w:szCs w:val="10"/>
                <w:color w:val="auto"/>
              </w:rPr>
            </w:pPr>
          </w:p>
        </w:tc>
        <w:tc>
          <w:tcPr>
            <w:tcW w:w="260" w:type="dxa"/>
            <w:vAlign w:val="bottom"/>
            <w:shd w:val="clear" w:color="auto" w:fill="CF1D4C"/>
          </w:tcPr>
          <w:p>
            <w:pPr>
              <w:spacing w:after="0"/>
              <w:rPr>
                <w:sz w:val="20"/>
                <w:szCs w:val="20"/>
                <w:color w:val="auto"/>
              </w:rPr>
            </w:pPr>
            <w:r>
              <w:rPr>
                <w:rFonts w:ascii="Arial" w:cs="Arial" w:eastAsia="Arial" w:hAnsi="Arial"/>
                <w:sz w:val="8"/>
                <w:szCs w:val="8"/>
                <w:b w:val="1"/>
                <w:bCs w:val="1"/>
                <w:color w:val="FFFFFF"/>
              </w:rPr>
              <w:t>(h)(5)</w:t>
            </w:r>
          </w:p>
        </w:tc>
        <w:tc>
          <w:tcPr>
            <w:tcW w:w="1500" w:type="dxa"/>
            <w:vAlign w:val="bottom"/>
            <w:vMerge w:val="continue"/>
            <w:shd w:val="clear" w:color="auto" w:fill="CF1D4C"/>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0" w:type="dxa"/>
            <w:vAlign w:val="bottom"/>
            <w:shd w:val="clear" w:color="auto" w:fill="CF1D4C"/>
          </w:tcPr>
          <w:p>
            <w:pPr>
              <w:spacing w:after="0"/>
              <w:rPr>
                <w:sz w:val="8"/>
                <w:szCs w:val="8"/>
                <w:color w:val="auto"/>
              </w:rPr>
            </w:pPr>
          </w:p>
        </w:tc>
        <w:tc>
          <w:tcPr>
            <w:tcW w:w="440" w:type="dxa"/>
            <w:vAlign w:val="bottom"/>
            <w:shd w:val="clear" w:color="auto" w:fill="CF1D4C"/>
          </w:tcPr>
          <w:p>
            <w:pPr>
              <w:spacing w:after="0"/>
              <w:rPr>
                <w:sz w:val="8"/>
                <w:szCs w:val="8"/>
                <w:color w:val="auto"/>
              </w:rPr>
            </w:pPr>
          </w:p>
        </w:tc>
        <w:tc>
          <w:tcPr>
            <w:tcW w:w="940" w:type="dxa"/>
            <w:vAlign w:val="bottom"/>
            <w:shd w:val="clear" w:color="auto" w:fill="CF1D4C"/>
          </w:tcPr>
          <w:p>
            <w:pPr>
              <w:ind w:left="80"/>
              <w:spacing w:after="0" w:line="95" w:lineRule="exact"/>
              <w:rPr>
                <w:sz w:val="20"/>
                <w:szCs w:val="20"/>
                <w:color w:val="auto"/>
              </w:rPr>
            </w:pPr>
            <w:r>
              <w:rPr>
                <w:rFonts w:ascii="Arial" w:cs="Arial" w:eastAsia="Arial" w:hAnsi="Arial"/>
                <w:sz w:val="10"/>
                <w:szCs w:val="10"/>
                <w:b w:val="1"/>
                <w:bCs w:val="1"/>
                <w:color w:val="FFFFFF"/>
              </w:rPr>
              <w:t>Table (“SCT”)</w:t>
            </w:r>
          </w:p>
        </w:tc>
        <w:tc>
          <w:tcPr>
            <w:tcW w:w="1000" w:type="dxa"/>
            <w:vAlign w:val="bottom"/>
            <w:shd w:val="clear" w:color="auto" w:fill="CF1D4C"/>
          </w:tcPr>
          <w:p>
            <w:pPr>
              <w:ind w:left="440"/>
              <w:spacing w:after="0"/>
              <w:rPr>
                <w:sz w:val="20"/>
                <w:szCs w:val="20"/>
                <w:color w:val="auto"/>
              </w:rPr>
            </w:pPr>
            <w:r>
              <w:rPr>
                <w:rFonts w:ascii="Arial" w:cs="Arial" w:eastAsia="Arial" w:hAnsi="Arial"/>
                <w:sz w:val="8"/>
                <w:szCs w:val="8"/>
                <w:b w:val="1"/>
                <w:bCs w:val="1"/>
                <w:color w:val="FFFFFF"/>
              </w:rPr>
              <w:t>(c)(2)</w:t>
            </w:r>
          </w:p>
        </w:tc>
        <w:tc>
          <w:tcPr>
            <w:tcW w:w="980" w:type="dxa"/>
            <w:vAlign w:val="bottom"/>
            <w:shd w:val="clear" w:color="auto" w:fill="CF1D4C"/>
          </w:tcPr>
          <w:p>
            <w:pPr>
              <w:ind w:left="40"/>
              <w:spacing w:after="0" w:line="95" w:lineRule="exact"/>
              <w:rPr>
                <w:sz w:val="20"/>
                <w:szCs w:val="20"/>
                <w:color w:val="auto"/>
              </w:rPr>
            </w:pPr>
            <w:r>
              <w:rPr>
                <w:rFonts w:ascii="Arial" w:cs="Arial" w:eastAsia="Arial" w:hAnsi="Arial"/>
                <w:sz w:val="10"/>
                <w:szCs w:val="10"/>
                <w:b w:val="1"/>
                <w:bCs w:val="1"/>
                <w:color w:val="FFFFFF"/>
              </w:rPr>
              <w:t>Executive Officers</w:t>
            </w:r>
          </w:p>
        </w:tc>
        <w:tc>
          <w:tcPr>
            <w:tcW w:w="180" w:type="dxa"/>
            <w:vAlign w:val="bottom"/>
            <w:shd w:val="clear" w:color="auto" w:fill="CF1D4C"/>
          </w:tcPr>
          <w:p>
            <w:pPr>
              <w:spacing w:after="0"/>
              <w:rPr>
                <w:sz w:val="8"/>
                <w:szCs w:val="8"/>
                <w:color w:val="auto"/>
              </w:rPr>
            </w:pPr>
          </w:p>
        </w:tc>
        <w:tc>
          <w:tcPr>
            <w:tcW w:w="1040" w:type="dxa"/>
            <w:vAlign w:val="bottom"/>
            <w:shd w:val="clear" w:color="auto" w:fill="CF1D4C"/>
          </w:tcPr>
          <w:p>
            <w:pPr>
              <w:ind w:left="60"/>
              <w:spacing w:after="0" w:line="95" w:lineRule="exact"/>
              <w:rPr>
                <w:sz w:val="20"/>
                <w:szCs w:val="20"/>
                <w:color w:val="auto"/>
              </w:rPr>
            </w:pPr>
            <w:r>
              <w:rPr>
                <w:rFonts w:ascii="Arial" w:cs="Arial" w:eastAsia="Arial" w:hAnsi="Arial"/>
                <w:sz w:val="7"/>
                <w:szCs w:val="7"/>
                <w:b w:val="1"/>
                <w:bCs w:val="1"/>
                <w:color w:val="FFFFFF"/>
              </w:rPr>
              <w:t>Officers</w:t>
            </w:r>
            <w:r>
              <w:rPr>
                <w:rFonts w:ascii="Arial" w:cs="Arial" w:eastAsia="Arial" w:hAnsi="Arial"/>
                <w:sz w:val="10"/>
                <w:szCs w:val="10"/>
                <w:b w:val="1"/>
                <w:bCs w:val="1"/>
                <w:color w:val="FFFFFF"/>
                <w:vertAlign w:val="superscript"/>
              </w:rPr>
              <w:t>(e)(2)</w:t>
            </w:r>
          </w:p>
        </w:tc>
        <w:tc>
          <w:tcPr>
            <w:tcW w:w="360" w:type="dxa"/>
            <w:vAlign w:val="bottom"/>
            <w:vMerge w:val="restart"/>
            <w:shd w:val="clear" w:color="auto" w:fill="CF1D4C"/>
          </w:tcPr>
          <w:p>
            <w:pPr>
              <w:ind w:left="20"/>
              <w:spacing w:after="0"/>
              <w:rPr>
                <w:sz w:val="20"/>
                <w:szCs w:val="20"/>
                <w:color w:val="auto"/>
              </w:rPr>
            </w:pPr>
            <w:r>
              <w:rPr>
                <w:rFonts w:ascii="Arial" w:cs="Arial" w:eastAsia="Arial" w:hAnsi="Arial"/>
                <w:sz w:val="11"/>
                <w:szCs w:val="11"/>
                <w:b w:val="1"/>
                <w:bCs w:val="1"/>
                <w:color w:val="FFFFFF"/>
                <w:w w:val="90"/>
              </w:rPr>
              <w:t>Return</w:t>
            </w:r>
          </w:p>
        </w:tc>
        <w:tc>
          <w:tcPr>
            <w:tcW w:w="400" w:type="dxa"/>
            <w:vAlign w:val="bottom"/>
            <w:shd w:val="clear" w:color="auto" w:fill="CF1D4C"/>
          </w:tcPr>
          <w:p>
            <w:pPr>
              <w:spacing w:after="0"/>
              <w:rPr>
                <w:sz w:val="20"/>
                <w:szCs w:val="20"/>
                <w:color w:val="auto"/>
              </w:rPr>
            </w:pPr>
            <w:r>
              <w:rPr>
                <w:rFonts w:ascii="Arial" w:cs="Arial" w:eastAsia="Arial" w:hAnsi="Arial"/>
                <w:sz w:val="8"/>
                <w:szCs w:val="8"/>
                <w:b w:val="1"/>
                <w:bCs w:val="1"/>
                <w:color w:val="FFFFFF"/>
              </w:rPr>
              <w:t>(f)(3)</w:t>
            </w:r>
          </w:p>
        </w:tc>
        <w:tc>
          <w:tcPr>
            <w:tcW w:w="900" w:type="dxa"/>
            <w:vAlign w:val="bottom"/>
            <w:shd w:val="clear" w:color="auto" w:fill="CF1D4C"/>
          </w:tcPr>
          <w:p>
            <w:pPr>
              <w:ind w:left="120"/>
              <w:spacing w:after="0" w:line="95" w:lineRule="exact"/>
              <w:rPr>
                <w:sz w:val="20"/>
                <w:szCs w:val="20"/>
                <w:color w:val="auto"/>
              </w:rPr>
            </w:pPr>
            <w:r>
              <w:rPr>
                <w:rFonts w:ascii="Arial" w:cs="Arial" w:eastAsia="Arial" w:hAnsi="Arial"/>
                <w:sz w:val="10"/>
                <w:szCs w:val="10"/>
                <w:b w:val="1"/>
                <w:bCs w:val="1"/>
                <w:color w:val="FFFFFF"/>
              </w:rPr>
              <w:t>Shareholder</w:t>
            </w:r>
          </w:p>
        </w:tc>
        <w:tc>
          <w:tcPr>
            <w:tcW w:w="660" w:type="dxa"/>
            <w:vAlign w:val="bottom"/>
            <w:shd w:val="clear" w:color="auto" w:fill="CF1D4C"/>
          </w:tcPr>
          <w:p>
            <w:pPr>
              <w:ind w:left="60"/>
              <w:spacing w:after="0" w:line="95" w:lineRule="exact"/>
              <w:rPr>
                <w:sz w:val="20"/>
                <w:szCs w:val="20"/>
                <w:color w:val="auto"/>
              </w:rPr>
            </w:pPr>
            <w:r>
              <w:rPr>
                <w:rFonts w:ascii="Arial" w:cs="Arial" w:eastAsia="Arial" w:hAnsi="Arial"/>
                <w:sz w:val="10"/>
                <w:szCs w:val="10"/>
                <w:b w:val="1"/>
                <w:bCs w:val="1"/>
                <w:color w:val="FFFFFF"/>
              </w:rPr>
              <w:t>(in millions)</w:t>
            </w:r>
          </w:p>
        </w:tc>
        <w:tc>
          <w:tcPr>
            <w:tcW w:w="260" w:type="dxa"/>
            <w:vAlign w:val="bottom"/>
            <w:shd w:val="clear" w:color="auto" w:fill="CF1D4C"/>
          </w:tcPr>
          <w:p>
            <w:pPr>
              <w:spacing w:after="0"/>
              <w:rPr>
                <w:sz w:val="8"/>
                <w:szCs w:val="8"/>
                <w:color w:val="auto"/>
              </w:rPr>
            </w:pPr>
          </w:p>
        </w:tc>
        <w:tc>
          <w:tcPr>
            <w:tcW w:w="1500" w:type="dxa"/>
            <w:vAlign w:val="bottom"/>
            <w:shd w:val="clear" w:color="auto" w:fill="CF1D4C"/>
          </w:tcPr>
          <w:p>
            <w:pPr>
              <w:ind w:left="60"/>
              <w:spacing w:after="0" w:line="95" w:lineRule="exact"/>
              <w:rPr>
                <w:sz w:val="20"/>
                <w:szCs w:val="20"/>
                <w:color w:val="auto"/>
              </w:rPr>
            </w:pPr>
            <w:r>
              <w:rPr>
                <w:rFonts w:ascii="Arial" w:cs="Arial" w:eastAsia="Arial" w:hAnsi="Arial"/>
                <w:sz w:val="10"/>
                <w:szCs w:val="10"/>
                <w:b w:val="1"/>
                <w:bCs w:val="1"/>
                <w:color w:val="FFFFFF"/>
              </w:rPr>
              <w:t>Measure:</w:t>
            </w:r>
          </w:p>
        </w:tc>
        <w:tc>
          <w:tcPr>
            <w:tcW w:w="0" w:type="dxa"/>
            <w:vAlign w:val="bottom"/>
          </w:tcPr>
          <w:p>
            <w:pPr>
              <w:spacing w:after="0"/>
              <w:rPr>
                <w:sz w:val="1"/>
                <w:szCs w:val="1"/>
                <w:color w:val="auto"/>
              </w:rPr>
            </w:pPr>
          </w:p>
        </w:tc>
      </w:tr>
      <w:tr>
        <w:trPr>
          <w:trHeight w:val="203"/>
        </w:trPr>
        <w:tc>
          <w:tcPr>
            <w:tcW w:w="120" w:type="dxa"/>
            <w:vAlign w:val="bottom"/>
            <w:shd w:val="clear" w:color="auto" w:fill="CF1D4C"/>
          </w:tcPr>
          <w:p>
            <w:pPr>
              <w:spacing w:after="0"/>
              <w:rPr>
                <w:sz w:val="17"/>
                <w:szCs w:val="17"/>
                <w:color w:val="auto"/>
              </w:rPr>
            </w:pPr>
          </w:p>
        </w:tc>
        <w:tc>
          <w:tcPr>
            <w:tcW w:w="440" w:type="dxa"/>
            <w:vAlign w:val="bottom"/>
            <w:shd w:val="clear" w:color="auto" w:fill="CF1D4C"/>
          </w:tcPr>
          <w:p>
            <w:pPr>
              <w:spacing w:after="0"/>
              <w:rPr>
                <w:sz w:val="17"/>
                <w:szCs w:val="17"/>
                <w:color w:val="auto"/>
              </w:rPr>
            </w:pPr>
          </w:p>
        </w:tc>
        <w:tc>
          <w:tcPr>
            <w:tcW w:w="940" w:type="dxa"/>
            <w:vAlign w:val="bottom"/>
            <w:shd w:val="clear" w:color="auto" w:fill="CF1D4C"/>
          </w:tcPr>
          <w:p>
            <w:pPr>
              <w:ind w:left="80"/>
              <w:spacing w:after="0"/>
              <w:rPr>
                <w:sz w:val="20"/>
                <w:szCs w:val="20"/>
                <w:color w:val="auto"/>
              </w:rPr>
            </w:pPr>
            <w:r>
              <w:rPr>
                <w:rFonts w:ascii="Arial" w:cs="Arial" w:eastAsia="Arial" w:hAnsi="Arial"/>
                <w:sz w:val="11"/>
                <w:szCs w:val="11"/>
                <w:b w:val="1"/>
                <w:bCs w:val="1"/>
                <w:color w:val="FFFFFF"/>
              </w:rPr>
              <w:t>Total for PEO</w:t>
            </w:r>
            <w:r>
              <w:rPr>
                <w:rFonts w:ascii="Arial" w:cs="Arial" w:eastAsia="Arial" w:hAnsi="Arial"/>
                <w:sz w:val="16"/>
                <w:szCs w:val="16"/>
                <w:b w:val="1"/>
                <w:bCs w:val="1"/>
                <w:color w:val="FFFFFF"/>
                <w:vertAlign w:val="superscript"/>
              </w:rPr>
              <w:t>(b)</w:t>
            </w:r>
          </w:p>
        </w:tc>
        <w:tc>
          <w:tcPr>
            <w:tcW w:w="1000" w:type="dxa"/>
            <w:vAlign w:val="bottom"/>
            <w:shd w:val="clear" w:color="auto" w:fill="CF1D4C"/>
          </w:tcPr>
          <w:p>
            <w:pPr>
              <w:ind w:left="80"/>
              <w:spacing w:after="0"/>
              <w:rPr>
                <w:sz w:val="20"/>
                <w:szCs w:val="20"/>
                <w:color w:val="auto"/>
              </w:rPr>
            </w:pPr>
            <w:r>
              <w:rPr>
                <w:rFonts w:ascii="Arial" w:cs="Arial" w:eastAsia="Arial" w:hAnsi="Arial"/>
                <w:sz w:val="11"/>
                <w:szCs w:val="11"/>
                <w:b w:val="1"/>
                <w:bCs w:val="1"/>
                <w:color w:val="FFFFFF"/>
              </w:rPr>
              <w:t>to PEO</w:t>
            </w:r>
          </w:p>
        </w:tc>
        <w:tc>
          <w:tcPr>
            <w:tcW w:w="980" w:type="dxa"/>
            <w:vAlign w:val="bottom"/>
            <w:shd w:val="clear" w:color="auto" w:fill="CF1D4C"/>
          </w:tcPr>
          <w:p>
            <w:pPr>
              <w:spacing w:after="0"/>
              <w:rPr>
                <w:sz w:val="17"/>
                <w:szCs w:val="17"/>
                <w:color w:val="auto"/>
              </w:rPr>
            </w:pPr>
          </w:p>
        </w:tc>
        <w:tc>
          <w:tcPr>
            <w:tcW w:w="180" w:type="dxa"/>
            <w:vAlign w:val="bottom"/>
            <w:shd w:val="clear" w:color="auto" w:fill="CF1D4C"/>
          </w:tcPr>
          <w:p>
            <w:pPr>
              <w:spacing w:after="0"/>
              <w:rPr>
                <w:sz w:val="17"/>
                <w:szCs w:val="17"/>
                <w:color w:val="auto"/>
              </w:rPr>
            </w:pPr>
          </w:p>
        </w:tc>
        <w:tc>
          <w:tcPr>
            <w:tcW w:w="1040" w:type="dxa"/>
            <w:vAlign w:val="bottom"/>
            <w:shd w:val="clear" w:color="auto" w:fill="CF1D4C"/>
          </w:tcPr>
          <w:p>
            <w:pPr>
              <w:spacing w:after="0"/>
              <w:rPr>
                <w:sz w:val="17"/>
                <w:szCs w:val="17"/>
                <w:color w:val="auto"/>
              </w:rPr>
            </w:pPr>
          </w:p>
        </w:tc>
        <w:tc>
          <w:tcPr>
            <w:tcW w:w="360" w:type="dxa"/>
            <w:vAlign w:val="bottom"/>
            <w:vMerge w:val="continue"/>
            <w:shd w:val="clear" w:color="auto" w:fill="CF1D4C"/>
          </w:tcPr>
          <w:p>
            <w:pPr>
              <w:spacing w:after="0"/>
              <w:rPr>
                <w:sz w:val="17"/>
                <w:szCs w:val="17"/>
                <w:color w:val="auto"/>
              </w:rPr>
            </w:pPr>
          </w:p>
        </w:tc>
        <w:tc>
          <w:tcPr>
            <w:tcW w:w="400" w:type="dxa"/>
            <w:vAlign w:val="bottom"/>
            <w:shd w:val="clear" w:color="auto" w:fill="CF1D4C"/>
          </w:tcPr>
          <w:p>
            <w:pPr>
              <w:spacing w:after="0"/>
              <w:rPr>
                <w:sz w:val="17"/>
                <w:szCs w:val="17"/>
                <w:color w:val="auto"/>
              </w:rPr>
            </w:pPr>
          </w:p>
        </w:tc>
        <w:tc>
          <w:tcPr>
            <w:tcW w:w="900" w:type="dxa"/>
            <w:vAlign w:val="bottom"/>
            <w:shd w:val="clear" w:color="auto" w:fill="CF1D4C"/>
          </w:tcPr>
          <w:p>
            <w:pPr>
              <w:ind w:left="120"/>
              <w:spacing w:after="0"/>
              <w:rPr>
                <w:sz w:val="20"/>
                <w:szCs w:val="20"/>
                <w:color w:val="auto"/>
              </w:rPr>
            </w:pPr>
            <w:r>
              <w:rPr>
                <w:rFonts w:ascii="Arial" w:cs="Arial" w:eastAsia="Arial" w:hAnsi="Arial"/>
                <w:sz w:val="11"/>
                <w:szCs w:val="11"/>
                <w:b w:val="1"/>
                <w:bCs w:val="1"/>
                <w:color w:val="FFFFFF"/>
              </w:rPr>
              <w:t>Return</w:t>
            </w:r>
            <w:r>
              <w:rPr>
                <w:rFonts w:ascii="Arial" w:cs="Arial" w:eastAsia="Arial" w:hAnsi="Arial"/>
                <w:sz w:val="16"/>
                <w:szCs w:val="16"/>
                <w:b w:val="1"/>
                <w:bCs w:val="1"/>
                <w:color w:val="FFFFFF"/>
                <w:vertAlign w:val="superscript"/>
              </w:rPr>
              <w:t>(g)(4)</w:t>
            </w:r>
          </w:p>
        </w:tc>
        <w:tc>
          <w:tcPr>
            <w:tcW w:w="660" w:type="dxa"/>
            <w:vAlign w:val="bottom"/>
            <w:shd w:val="clear" w:color="auto" w:fill="CF1D4C"/>
          </w:tcPr>
          <w:p>
            <w:pPr>
              <w:spacing w:after="0"/>
              <w:rPr>
                <w:sz w:val="17"/>
                <w:szCs w:val="17"/>
                <w:color w:val="auto"/>
              </w:rPr>
            </w:pPr>
          </w:p>
        </w:tc>
        <w:tc>
          <w:tcPr>
            <w:tcW w:w="260" w:type="dxa"/>
            <w:vAlign w:val="bottom"/>
            <w:shd w:val="clear" w:color="auto" w:fill="CF1D4C"/>
          </w:tcPr>
          <w:p>
            <w:pPr>
              <w:spacing w:after="0"/>
              <w:rPr>
                <w:sz w:val="17"/>
                <w:szCs w:val="17"/>
                <w:color w:val="auto"/>
              </w:rPr>
            </w:pPr>
          </w:p>
        </w:tc>
        <w:tc>
          <w:tcPr>
            <w:tcW w:w="1500" w:type="dxa"/>
            <w:vAlign w:val="bottom"/>
            <w:shd w:val="clear" w:color="auto" w:fill="CF1D4C"/>
          </w:tcPr>
          <w:p>
            <w:pPr>
              <w:ind w:left="60"/>
              <w:spacing w:after="0"/>
              <w:rPr>
                <w:sz w:val="20"/>
                <w:szCs w:val="20"/>
                <w:color w:val="auto"/>
              </w:rPr>
            </w:pPr>
            <w:r>
              <w:rPr>
                <w:rFonts w:ascii="Arial" w:cs="Arial" w:eastAsia="Arial" w:hAnsi="Arial"/>
                <w:sz w:val="11"/>
                <w:szCs w:val="11"/>
                <w:b w:val="1"/>
                <w:bCs w:val="1"/>
                <w:color w:val="FFFFFF"/>
              </w:rPr>
              <w:t>Adjusted EPS-COMP</w:t>
            </w:r>
            <w:r>
              <w:rPr>
                <w:rFonts w:ascii="Arial" w:cs="Arial" w:eastAsia="Arial" w:hAnsi="Arial"/>
                <w:sz w:val="16"/>
                <w:szCs w:val="16"/>
                <w:b w:val="1"/>
                <w:bCs w:val="1"/>
                <w:color w:val="FFFFFF"/>
                <w:vertAlign w:val="superscript"/>
              </w:rPr>
              <w:t>(i)(6)</w:t>
            </w:r>
          </w:p>
        </w:tc>
        <w:tc>
          <w:tcPr>
            <w:tcW w:w="0" w:type="dxa"/>
            <w:vAlign w:val="bottom"/>
          </w:tcPr>
          <w:p>
            <w:pPr>
              <w:spacing w:after="0"/>
              <w:rPr>
                <w:sz w:val="1"/>
                <w:szCs w:val="1"/>
                <w:color w:val="auto"/>
              </w:rPr>
            </w:pPr>
          </w:p>
        </w:tc>
      </w:tr>
      <w:tr>
        <w:trPr>
          <w:trHeight w:val="262"/>
        </w:trPr>
        <w:tc>
          <w:tcPr>
            <w:tcW w:w="560" w:type="dxa"/>
            <w:vAlign w:val="bottom"/>
            <w:gridSpan w:val="2"/>
          </w:tcPr>
          <w:p>
            <w:pPr>
              <w:ind w:left="180"/>
              <w:spacing w:after="0"/>
              <w:rPr>
                <w:sz w:val="20"/>
                <w:szCs w:val="20"/>
                <w:color w:val="auto"/>
              </w:rPr>
            </w:pPr>
            <w:r>
              <w:rPr>
                <w:rFonts w:ascii="Arial" w:cs="Arial" w:eastAsia="Arial" w:hAnsi="Arial"/>
                <w:sz w:val="13"/>
                <w:szCs w:val="13"/>
                <w:color w:val="333333"/>
              </w:rPr>
              <w:t>2023</w:t>
            </w:r>
          </w:p>
        </w:tc>
        <w:tc>
          <w:tcPr>
            <w:tcW w:w="940" w:type="dxa"/>
            <w:vAlign w:val="bottom"/>
          </w:tcPr>
          <w:p>
            <w:pPr>
              <w:ind w:left="80"/>
              <w:spacing w:after="0"/>
              <w:rPr>
                <w:sz w:val="20"/>
                <w:szCs w:val="20"/>
                <w:color w:val="auto"/>
              </w:rPr>
            </w:pPr>
            <w:r>
              <w:rPr>
                <w:rFonts w:ascii="Arial" w:cs="Arial" w:eastAsia="Arial" w:hAnsi="Arial"/>
                <w:sz w:val="14"/>
                <w:szCs w:val="14"/>
                <w:color w:val="333333"/>
              </w:rPr>
              <w:t>$2,669,024</w:t>
            </w:r>
          </w:p>
        </w:tc>
        <w:tc>
          <w:tcPr>
            <w:tcW w:w="1000" w:type="dxa"/>
            <w:vAlign w:val="bottom"/>
          </w:tcPr>
          <w:p>
            <w:pPr>
              <w:ind w:left="80"/>
              <w:spacing w:after="0"/>
              <w:rPr>
                <w:sz w:val="20"/>
                <w:szCs w:val="20"/>
                <w:color w:val="auto"/>
              </w:rPr>
            </w:pPr>
            <w:r>
              <w:rPr>
                <w:rFonts w:ascii="Arial" w:cs="Arial" w:eastAsia="Arial" w:hAnsi="Arial"/>
                <w:sz w:val="14"/>
                <w:szCs w:val="14"/>
                <w:color w:val="333333"/>
              </w:rPr>
              <w:t>$21,140,906</w:t>
            </w:r>
          </w:p>
        </w:tc>
        <w:tc>
          <w:tcPr>
            <w:tcW w:w="980" w:type="dxa"/>
            <w:vAlign w:val="bottom"/>
          </w:tcPr>
          <w:p>
            <w:pPr>
              <w:ind w:left="40"/>
              <w:spacing w:after="0"/>
              <w:rPr>
                <w:sz w:val="20"/>
                <w:szCs w:val="20"/>
                <w:color w:val="auto"/>
              </w:rPr>
            </w:pPr>
            <w:r>
              <w:rPr>
                <w:rFonts w:ascii="Arial" w:cs="Arial" w:eastAsia="Arial" w:hAnsi="Arial"/>
                <w:sz w:val="14"/>
                <w:szCs w:val="14"/>
                <w:color w:val="333333"/>
              </w:rPr>
              <w:t>$3,076,074</w:t>
            </w:r>
          </w:p>
        </w:tc>
        <w:tc>
          <w:tcPr>
            <w:tcW w:w="180" w:type="dxa"/>
            <w:vAlign w:val="bottom"/>
          </w:tcPr>
          <w:p>
            <w:pPr>
              <w:spacing w:after="0"/>
              <w:rPr>
                <w:sz w:val="22"/>
                <w:szCs w:val="22"/>
                <w:color w:val="auto"/>
              </w:rPr>
            </w:pPr>
          </w:p>
        </w:tc>
        <w:tc>
          <w:tcPr>
            <w:tcW w:w="1040" w:type="dxa"/>
            <w:vAlign w:val="bottom"/>
          </w:tcPr>
          <w:p>
            <w:pPr>
              <w:ind w:left="60"/>
              <w:spacing w:after="0"/>
              <w:rPr>
                <w:sz w:val="20"/>
                <w:szCs w:val="20"/>
                <w:color w:val="auto"/>
              </w:rPr>
            </w:pPr>
            <w:r>
              <w:rPr>
                <w:rFonts w:ascii="Arial" w:cs="Arial" w:eastAsia="Arial" w:hAnsi="Arial"/>
                <w:sz w:val="14"/>
                <w:szCs w:val="14"/>
                <w:color w:val="333333"/>
              </w:rPr>
              <w:t>$5,914,216</w:t>
            </w:r>
          </w:p>
        </w:tc>
        <w:tc>
          <w:tcPr>
            <w:tcW w:w="760" w:type="dxa"/>
            <w:vAlign w:val="bottom"/>
            <w:gridSpan w:val="2"/>
          </w:tcPr>
          <w:p>
            <w:pPr>
              <w:ind w:left="20"/>
              <w:spacing w:after="0"/>
              <w:rPr>
                <w:sz w:val="20"/>
                <w:szCs w:val="20"/>
                <w:color w:val="auto"/>
              </w:rPr>
            </w:pPr>
            <w:r>
              <w:rPr>
                <w:rFonts w:ascii="Arial" w:cs="Arial" w:eastAsia="Arial" w:hAnsi="Arial"/>
                <w:sz w:val="14"/>
                <w:szCs w:val="14"/>
                <w:color w:val="333333"/>
              </w:rPr>
              <w:t>$98.22</w:t>
            </w:r>
          </w:p>
        </w:tc>
        <w:tc>
          <w:tcPr>
            <w:tcW w:w="900" w:type="dxa"/>
            <w:vAlign w:val="bottom"/>
          </w:tcPr>
          <w:p>
            <w:pPr>
              <w:ind w:left="120"/>
              <w:spacing w:after="0"/>
              <w:rPr>
                <w:sz w:val="20"/>
                <w:szCs w:val="20"/>
                <w:color w:val="auto"/>
              </w:rPr>
            </w:pPr>
            <w:r>
              <w:rPr>
                <w:rFonts w:ascii="Arial" w:cs="Arial" w:eastAsia="Arial" w:hAnsi="Arial"/>
                <w:sz w:val="14"/>
                <w:szCs w:val="14"/>
                <w:color w:val="333333"/>
              </w:rPr>
              <w:t>$149.36</w:t>
            </w:r>
          </w:p>
        </w:tc>
        <w:tc>
          <w:tcPr>
            <w:tcW w:w="660" w:type="dxa"/>
            <w:vAlign w:val="bottom"/>
          </w:tcPr>
          <w:p>
            <w:pPr>
              <w:ind w:left="60"/>
              <w:spacing w:after="0"/>
              <w:rPr>
                <w:sz w:val="20"/>
                <w:szCs w:val="20"/>
                <w:color w:val="auto"/>
              </w:rPr>
            </w:pPr>
            <w:r>
              <w:rPr>
                <w:rFonts w:ascii="Arial" w:cs="Arial" w:eastAsia="Arial" w:hAnsi="Arial"/>
                <w:sz w:val="14"/>
                <w:szCs w:val="14"/>
                <w:color w:val="333333"/>
              </w:rPr>
              <w:t>$982</w:t>
            </w:r>
          </w:p>
        </w:tc>
        <w:tc>
          <w:tcPr>
            <w:tcW w:w="260" w:type="dxa"/>
            <w:vAlign w:val="bottom"/>
          </w:tcPr>
          <w:p>
            <w:pPr>
              <w:spacing w:after="0"/>
              <w:rPr>
                <w:sz w:val="22"/>
                <w:szCs w:val="22"/>
                <w:color w:val="auto"/>
              </w:rPr>
            </w:pPr>
          </w:p>
        </w:tc>
        <w:tc>
          <w:tcPr>
            <w:tcW w:w="1500" w:type="dxa"/>
            <w:vAlign w:val="bottom"/>
          </w:tcPr>
          <w:p>
            <w:pPr>
              <w:ind w:left="60"/>
              <w:spacing w:after="0"/>
              <w:rPr>
                <w:sz w:val="20"/>
                <w:szCs w:val="20"/>
                <w:color w:val="auto"/>
              </w:rPr>
            </w:pPr>
            <w:r>
              <w:rPr>
                <w:rFonts w:ascii="Arial" w:cs="Arial" w:eastAsia="Arial" w:hAnsi="Arial"/>
                <w:sz w:val="14"/>
                <w:szCs w:val="14"/>
                <w:color w:val="333333"/>
              </w:rPr>
              <w:t>$17.18</w:t>
            </w:r>
          </w:p>
        </w:tc>
        <w:tc>
          <w:tcPr>
            <w:tcW w:w="0" w:type="dxa"/>
            <w:vAlign w:val="bottom"/>
          </w:tcPr>
          <w:p>
            <w:pPr>
              <w:spacing w:after="0"/>
              <w:rPr>
                <w:sz w:val="1"/>
                <w:szCs w:val="1"/>
                <w:color w:val="auto"/>
              </w:rPr>
            </w:pPr>
          </w:p>
        </w:tc>
      </w:tr>
      <w:tr>
        <w:trPr>
          <w:trHeight w:val="62"/>
        </w:trPr>
        <w:tc>
          <w:tcPr>
            <w:tcW w:w="560" w:type="dxa"/>
            <w:vAlign w:val="bottom"/>
            <w:gridSpan w:val="2"/>
          </w:tcPr>
          <w:p>
            <w:pPr>
              <w:spacing w:after="0"/>
              <w:rPr>
                <w:sz w:val="5"/>
                <w:szCs w:val="5"/>
                <w:color w:val="auto"/>
              </w:rPr>
            </w:pPr>
          </w:p>
        </w:tc>
        <w:tc>
          <w:tcPr>
            <w:tcW w:w="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gridSpan w:val="2"/>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560" w:type="dxa"/>
            <w:vAlign w:val="bottom"/>
            <w:gridSpan w:val="2"/>
            <w:shd w:val="clear" w:color="auto" w:fill="D9D9D9"/>
          </w:tcPr>
          <w:p>
            <w:pPr>
              <w:ind w:left="180"/>
              <w:spacing w:after="0"/>
              <w:rPr>
                <w:sz w:val="20"/>
                <w:szCs w:val="20"/>
                <w:color w:val="auto"/>
              </w:rPr>
            </w:pPr>
            <w:r>
              <w:rPr>
                <w:rFonts w:ascii="Arial" w:cs="Arial" w:eastAsia="Arial" w:hAnsi="Arial"/>
                <w:sz w:val="13"/>
                <w:szCs w:val="13"/>
                <w:color w:val="333333"/>
              </w:rPr>
              <w:t>2022</w:t>
            </w:r>
          </w:p>
        </w:tc>
        <w:tc>
          <w:tcPr>
            <w:tcW w:w="940" w:type="dxa"/>
            <w:vAlign w:val="bottom"/>
            <w:shd w:val="clear" w:color="auto" w:fill="D9D9D9"/>
          </w:tcPr>
          <w:p>
            <w:pPr>
              <w:ind w:left="80"/>
              <w:spacing w:after="0"/>
              <w:rPr>
                <w:sz w:val="20"/>
                <w:szCs w:val="20"/>
                <w:color w:val="auto"/>
              </w:rPr>
            </w:pPr>
            <w:r>
              <w:rPr>
                <w:rFonts w:ascii="Arial" w:cs="Arial" w:eastAsia="Arial" w:hAnsi="Arial"/>
                <w:sz w:val="14"/>
                <w:szCs w:val="14"/>
                <w:color w:val="333333"/>
              </w:rPr>
              <w:t>$3,986,998</w:t>
            </w:r>
          </w:p>
        </w:tc>
        <w:tc>
          <w:tcPr>
            <w:tcW w:w="1000" w:type="dxa"/>
            <w:vAlign w:val="bottom"/>
            <w:shd w:val="clear" w:color="auto" w:fill="D9D9D9"/>
          </w:tcPr>
          <w:p>
            <w:pPr>
              <w:ind w:left="80"/>
              <w:spacing w:after="0"/>
              <w:rPr>
                <w:sz w:val="20"/>
                <w:szCs w:val="20"/>
                <w:color w:val="auto"/>
              </w:rPr>
            </w:pPr>
            <w:r>
              <w:rPr>
                <w:rFonts w:ascii="Arial" w:cs="Arial" w:eastAsia="Arial" w:hAnsi="Arial"/>
                <w:sz w:val="14"/>
                <w:szCs w:val="14"/>
                <w:color w:val="333333"/>
              </w:rPr>
              <w:t>($24,347,434)</w:t>
            </w:r>
          </w:p>
        </w:tc>
        <w:tc>
          <w:tcPr>
            <w:tcW w:w="980" w:type="dxa"/>
            <w:vAlign w:val="bottom"/>
            <w:shd w:val="clear" w:color="auto" w:fill="D9D9D9"/>
          </w:tcPr>
          <w:p>
            <w:pPr>
              <w:ind w:left="40"/>
              <w:spacing w:after="0"/>
              <w:rPr>
                <w:sz w:val="20"/>
                <w:szCs w:val="20"/>
                <w:color w:val="auto"/>
              </w:rPr>
            </w:pPr>
            <w:r>
              <w:rPr>
                <w:rFonts w:ascii="Arial" w:cs="Arial" w:eastAsia="Arial" w:hAnsi="Arial"/>
                <w:sz w:val="14"/>
                <w:szCs w:val="14"/>
                <w:color w:val="333333"/>
              </w:rPr>
              <w:t>$3,883,399</w:t>
            </w:r>
          </w:p>
        </w:tc>
        <w:tc>
          <w:tcPr>
            <w:tcW w:w="180" w:type="dxa"/>
            <w:vAlign w:val="bottom"/>
            <w:shd w:val="clear" w:color="auto" w:fill="D9D9D9"/>
          </w:tcPr>
          <w:p>
            <w:pPr>
              <w:spacing w:after="0"/>
              <w:rPr>
                <w:sz w:val="22"/>
                <w:szCs w:val="22"/>
                <w:color w:val="auto"/>
              </w:rPr>
            </w:pPr>
          </w:p>
        </w:tc>
        <w:tc>
          <w:tcPr>
            <w:tcW w:w="1040" w:type="dxa"/>
            <w:vAlign w:val="bottom"/>
            <w:shd w:val="clear" w:color="auto" w:fill="D9D9D9"/>
          </w:tcPr>
          <w:p>
            <w:pPr>
              <w:ind w:left="60"/>
              <w:spacing w:after="0"/>
              <w:rPr>
                <w:sz w:val="20"/>
                <w:szCs w:val="20"/>
                <w:color w:val="auto"/>
              </w:rPr>
            </w:pPr>
            <w:r>
              <w:rPr>
                <w:rFonts w:ascii="Arial" w:cs="Arial" w:eastAsia="Arial" w:hAnsi="Arial"/>
                <w:sz w:val="14"/>
                <w:szCs w:val="14"/>
                <w:color w:val="333333"/>
              </w:rPr>
              <w:t>$208,386</w:t>
            </w:r>
          </w:p>
        </w:tc>
        <w:tc>
          <w:tcPr>
            <w:tcW w:w="760" w:type="dxa"/>
            <w:vAlign w:val="bottom"/>
            <w:gridSpan w:val="2"/>
            <w:shd w:val="clear" w:color="auto" w:fill="D9D9D9"/>
          </w:tcPr>
          <w:p>
            <w:pPr>
              <w:ind w:left="20"/>
              <w:spacing w:after="0"/>
              <w:rPr>
                <w:sz w:val="20"/>
                <w:szCs w:val="20"/>
                <w:color w:val="auto"/>
              </w:rPr>
            </w:pPr>
            <w:r>
              <w:rPr>
                <w:rFonts w:ascii="Arial" w:cs="Arial" w:eastAsia="Arial" w:hAnsi="Arial"/>
                <w:sz w:val="14"/>
                <w:szCs w:val="14"/>
                <w:color w:val="333333"/>
              </w:rPr>
              <w:t>$63.84</w:t>
            </w:r>
          </w:p>
        </w:tc>
        <w:tc>
          <w:tcPr>
            <w:tcW w:w="900" w:type="dxa"/>
            <w:vAlign w:val="bottom"/>
            <w:shd w:val="clear" w:color="auto" w:fill="D9D9D9"/>
          </w:tcPr>
          <w:p>
            <w:pPr>
              <w:ind w:left="120"/>
              <w:spacing w:after="0"/>
              <w:rPr>
                <w:sz w:val="20"/>
                <w:szCs w:val="20"/>
                <w:color w:val="auto"/>
              </w:rPr>
            </w:pPr>
            <w:r>
              <w:rPr>
                <w:rFonts w:ascii="Arial" w:cs="Arial" w:eastAsia="Arial" w:hAnsi="Arial"/>
                <w:sz w:val="14"/>
                <w:szCs w:val="14"/>
                <w:color w:val="333333"/>
              </w:rPr>
              <w:t>$98.20</w:t>
            </w:r>
          </w:p>
        </w:tc>
        <w:tc>
          <w:tcPr>
            <w:tcW w:w="660" w:type="dxa"/>
            <w:vAlign w:val="bottom"/>
            <w:shd w:val="clear" w:color="auto" w:fill="D9D9D9"/>
          </w:tcPr>
          <w:p>
            <w:pPr>
              <w:ind w:left="60"/>
              <w:spacing w:after="0"/>
              <w:rPr>
                <w:sz w:val="20"/>
                <w:szCs w:val="20"/>
                <w:color w:val="auto"/>
              </w:rPr>
            </w:pPr>
            <w:r>
              <w:rPr>
                <w:rFonts w:ascii="Arial" w:cs="Arial" w:eastAsia="Arial" w:hAnsi="Arial"/>
                <w:sz w:val="14"/>
                <w:szCs w:val="14"/>
                <w:color w:val="333333"/>
              </w:rPr>
              <w:t>$954</w:t>
            </w:r>
          </w:p>
        </w:tc>
        <w:tc>
          <w:tcPr>
            <w:tcW w:w="260" w:type="dxa"/>
            <w:vAlign w:val="bottom"/>
            <w:shd w:val="clear" w:color="auto" w:fill="D9D9D9"/>
          </w:tcPr>
          <w:p>
            <w:pPr>
              <w:spacing w:after="0"/>
              <w:rPr>
                <w:sz w:val="22"/>
                <w:szCs w:val="22"/>
                <w:color w:val="auto"/>
              </w:rPr>
            </w:pPr>
          </w:p>
        </w:tc>
        <w:tc>
          <w:tcPr>
            <w:tcW w:w="1500" w:type="dxa"/>
            <w:vAlign w:val="bottom"/>
            <w:shd w:val="clear" w:color="auto" w:fill="D9D9D9"/>
          </w:tcPr>
          <w:p>
            <w:pPr>
              <w:ind w:left="60"/>
              <w:spacing w:after="0"/>
              <w:rPr>
                <w:sz w:val="20"/>
                <w:szCs w:val="20"/>
                <w:color w:val="auto"/>
              </w:rPr>
            </w:pPr>
            <w:r>
              <w:rPr>
                <w:rFonts w:ascii="Arial" w:cs="Arial" w:eastAsia="Arial" w:hAnsi="Arial"/>
                <w:sz w:val="14"/>
                <w:szCs w:val="14"/>
                <w:color w:val="333333"/>
              </w:rPr>
              <w:t>$15.54</w:t>
            </w:r>
          </w:p>
        </w:tc>
        <w:tc>
          <w:tcPr>
            <w:tcW w:w="0" w:type="dxa"/>
            <w:vAlign w:val="bottom"/>
          </w:tcPr>
          <w:p>
            <w:pPr>
              <w:spacing w:after="0"/>
              <w:rPr>
                <w:sz w:val="1"/>
                <w:szCs w:val="1"/>
                <w:color w:val="auto"/>
              </w:rPr>
            </w:pPr>
          </w:p>
        </w:tc>
      </w:tr>
      <w:tr>
        <w:trPr>
          <w:trHeight w:val="62"/>
        </w:trPr>
        <w:tc>
          <w:tcPr>
            <w:tcW w:w="560" w:type="dxa"/>
            <w:vAlign w:val="bottom"/>
            <w:gridSpan w:val="2"/>
            <w:shd w:val="clear" w:color="auto" w:fill="D9D9D9"/>
          </w:tcPr>
          <w:p>
            <w:pPr>
              <w:spacing w:after="0"/>
              <w:rPr>
                <w:sz w:val="5"/>
                <w:szCs w:val="5"/>
                <w:color w:val="auto"/>
              </w:rPr>
            </w:pPr>
          </w:p>
        </w:tc>
        <w:tc>
          <w:tcPr>
            <w:tcW w:w="940" w:type="dxa"/>
            <w:vAlign w:val="bottom"/>
            <w:shd w:val="clear" w:color="auto" w:fill="D9D9D9"/>
          </w:tcPr>
          <w:p>
            <w:pPr>
              <w:spacing w:after="0"/>
              <w:rPr>
                <w:sz w:val="5"/>
                <w:szCs w:val="5"/>
                <w:color w:val="auto"/>
              </w:rPr>
            </w:pPr>
          </w:p>
        </w:tc>
        <w:tc>
          <w:tcPr>
            <w:tcW w:w="1000" w:type="dxa"/>
            <w:vAlign w:val="bottom"/>
            <w:shd w:val="clear" w:color="auto" w:fill="D9D9D9"/>
          </w:tcPr>
          <w:p>
            <w:pPr>
              <w:spacing w:after="0"/>
              <w:rPr>
                <w:sz w:val="5"/>
                <w:szCs w:val="5"/>
                <w:color w:val="auto"/>
              </w:rPr>
            </w:pPr>
          </w:p>
        </w:tc>
        <w:tc>
          <w:tcPr>
            <w:tcW w:w="980" w:type="dxa"/>
            <w:vAlign w:val="bottom"/>
            <w:shd w:val="clear" w:color="auto" w:fill="D9D9D9"/>
          </w:tcPr>
          <w:p>
            <w:pPr>
              <w:spacing w:after="0"/>
              <w:rPr>
                <w:sz w:val="5"/>
                <w:szCs w:val="5"/>
                <w:color w:val="auto"/>
              </w:rPr>
            </w:pPr>
          </w:p>
        </w:tc>
        <w:tc>
          <w:tcPr>
            <w:tcW w:w="180" w:type="dxa"/>
            <w:vAlign w:val="bottom"/>
            <w:shd w:val="clear" w:color="auto" w:fill="D9D9D9"/>
          </w:tcPr>
          <w:p>
            <w:pPr>
              <w:spacing w:after="0"/>
              <w:rPr>
                <w:sz w:val="5"/>
                <w:szCs w:val="5"/>
                <w:color w:val="auto"/>
              </w:rPr>
            </w:pPr>
          </w:p>
        </w:tc>
        <w:tc>
          <w:tcPr>
            <w:tcW w:w="1040" w:type="dxa"/>
            <w:vAlign w:val="bottom"/>
            <w:shd w:val="clear" w:color="auto" w:fill="D9D9D9"/>
          </w:tcPr>
          <w:p>
            <w:pPr>
              <w:spacing w:after="0"/>
              <w:rPr>
                <w:sz w:val="5"/>
                <w:szCs w:val="5"/>
                <w:color w:val="auto"/>
              </w:rPr>
            </w:pPr>
          </w:p>
        </w:tc>
        <w:tc>
          <w:tcPr>
            <w:tcW w:w="760" w:type="dxa"/>
            <w:vAlign w:val="bottom"/>
            <w:gridSpan w:val="2"/>
            <w:shd w:val="clear" w:color="auto" w:fill="D9D9D9"/>
          </w:tcPr>
          <w:p>
            <w:pPr>
              <w:spacing w:after="0"/>
              <w:rPr>
                <w:sz w:val="5"/>
                <w:szCs w:val="5"/>
                <w:color w:val="auto"/>
              </w:rPr>
            </w:pPr>
          </w:p>
        </w:tc>
        <w:tc>
          <w:tcPr>
            <w:tcW w:w="900" w:type="dxa"/>
            <w:vAlign w:val="bottom"/>
            <w:shd w:val="clear" w:color="auto" w:fill="D9D9D9"/>
          </w:tcPr>
          <w:p>
            <w:pPr>
              <w:spacing w:after="0"/>
              <w:rPr>
                <w:sz w:val="5"/>
                <w:szCs w:val="5"/>
                <w:color w:val="auto"/>
              </w:rPr>
            </w:pPr>
          </w:p>
        </w:tc>
        <w:tc>
          <w:tcPr>
            <w:tcW w:w="660" w:type="dxa"/>
            <w:vAlign w:val="bottom"/>
            <w:shd w:val="clear" w:color="auto" w:fill="D9D9D9"/>
          </w:tcPr>
          <w:p>
            <w:pPr>
              <w:spacing w:after="0"/>
              <w:rPr>
                <w:sz w:val="5"/>
                <w:szCs w:val="5"/>
                <w:color w:val="auto"/>
              </w:rPr>
            </w:pPr>
          </w:p>
        </w:tc>
        <w:tc>
          <w:tcPr>
            <w:tcW w:w="260" w:type="dxa"/>
            <w:vAlign w:val="bottom"/>
            <w:shd w:val="clear" w:color="auto" w:fill="D9D9D9"/>
          </w:tcPr>
          <w:p>
            <w:pPr>
              <w:spacing w:after="0"/>
              <w:rPr>
                <w:sz w:val="5"/>
                <w:szCs w:val="5"/>
                <w:color w:val="auto"/>
              </w:rPr>
            </w:pPr>
          </w:p>
        </w:tc>
        <w:tc>
          <w:tcPr>
            <w:tcW w:w="150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560" w:type="dxa"/>
            <w:vAlign w:val="bottom"/>
            <w:gridSpan w:val="2"/>
          </w:tcPr>
          <w:p>
            <w:pPr>
              <w:ind w:left="180"/>
              <w:spacing w:after="0"/>
              <w:rPr>
                <w:sz w:val="20"/>
                <w:szCs w:val="20"/>
                <w:color w:val="auto"/>
              </w:rPr>
            </w:pPr>
            <w:r>
              <w:rPr>
                <w:rFonts w:ascii="Arial" w:cs="Arial" w:eastAsia="Arial" w:hAnsi="Arial"/>
                <w:sz w:val="13"/>
                <w:szCs w:val="13"/>
                <w:color w:val="333333"/>
              </w:rPr>
              <w:t>2021</w:t>
            </w:r>
          </w:p>
        </w:tc>
        <w:tc>
          <w:tcPr>
            <w:tcW w:w="940" w:type="dxa"/>
            <w:vAlign w:val="bottom"/>
          </w:tcPr>
          <w:p>
            <w:pPr>
              <w:ind w:left="80"/>
              <w:spacing w:after="0"/>
              <w:rPr>
                <w:sz w:val="20"/>
                <w:szCs w:val="20"/>
                <w:color w:val="auto"/>
              </w:rPr>
            </w:pPr>
            <w:r>
              <w:rPr>
                <w:rFonts w:ascii="Arial" w:cs="Arial" w:eastAsia="Arial" w:hAnsi="Arial"/>
                <w:sz w:val="14"/>
                <w:szCs w:val="14"/>
                <w:color w:val="333333"/>
              </w:rPr>
              <w:t>$57,923,473</w:t>
            </w:r>
          </w:p>
        </w:tc>
        <w:tc>
          <w:tcPr>
            <w:tcW w:w="1000" w:type="dxa"/>
            <w:vAlign w:val="bottom"/>
          </w:tcPr>
          <w:p>
            <w:pPr>
              <w:ind w:left="80"/>
              <w:spacing w:after="0"/>
              <w:rPr>
                <w:sz w:val="20"/>
                <w:szCs w:val="20"/>
                <w:color w:val="auto"/>
              </w:rPr>
            </w:pPr>
            <w:r>
              <w:rPr>
                <w:rFonts w:ascii="Arial" w:cs="Arial" w:eastAsia="Arial" w:hAnsi="Arial"/>
                <w:sz w:val="14"/>
                <w:szCs w:val="14"/>
                <w:color w:val="333333"/>
              </w:rPr>
              <w:t>$31,186,881</w:t>
            </w:r>
          </w:p>
        </w:tc>
        <w:tc>
          <w:tcPr>
            <w:tcW w:w="980" w:type="dxa"/>
            <w:vAlign w:val="bottom"/>
          </w:tcPr>
          <w:p>
            <w:pPr>
              <w:ind w:left="40"/>
              <w:spacing w:after="0"/>
              <w:rPr>
                <w:sz w:val="20"/>
                <w:szCs w:val="20"/>
                <w:color w:val="auto"/>
              </w:rPr>
            </w:pPr>
            <w:r>
              <w:rPr>
                <w:rFonts w:ascii="Arial" w:cs="Arial" w:eastAsia="Arial" w:hAnsi="Arial"/>
                <w:sz w:val="14"/>
                <w:szCs w:val="14"/>
                <w:color w:val="333333"/>
              </w:rPr>
              <w:t>$4,524,830</w:t>
            </w:r>
          </w:p>
        </w:tc>
        <w:tc>
          <w:tcPr>
            <w:tcW w:w="180" w:type="dxa"/>
            <w:vAlign w:val="bottom"/>
          </w:tcPr>
          <w:p>
            <w:pPr>
              <w:spacing w:after="0"/>
              <w:rPr>
                <w:sz w:val="22"/>
                <w:szCs w:val="22"/>
                <w:color w:val="auto"/>
              </w:rPr>
            </w:pPr>
          </w:p>
        </w:tc>
        <w:tc>
          <w:tcPr>
            <w:tcW w:w="1040" w:type="dxa"/>
            <w:vAlign w:val="bottom"/>
          </w:tcPr>
          <w:p>
            <w:pPr>
              <w:ind w:left="60"/>
              <w:spacing w:after="0"/>
              <w:rPr>
                <w:sz w:val="20"/>
                <w:szCs w:val="20"/>
                <w:color w:val="auto"/>
              </w:rPr>
            </w:pPr>
            <w:r>
              <w:rPr>
                <w:rFonts w:ascii="Arial" w:cs="Arial" w:eastAsia="Arial" w:hAnsi="Arial"/>
                <w:sz w:val="14"/>
                <w:szCs w:val="14"/>
                <w:color w:val="333333"/>
              </w:rPr>
              <w:t>$2,515,971</w:t>
            </w:r>
          </w:p>
        </w:tc>
        <w:tc>
          <w:tcPr>
            <w:tcW w:w="760" w:type="dxa"/>
            <w:vAlign w:val="bottom"/>
            <w:gridSpan w:val="2"/>
          </w:tcPr>
          <w:p>
            <w:pPr>
              <w:ind w:left="20"/>
              <w:spacing w:after="0"/>
              <w:rPr>
                <w:sz w:val="20"/>
                <w:szCs w:val="20"/>
                <w:color w:val="auto"/>
              </w:rPr>
            </w:pPr>
            <w:r>
              <w:rPr>
                <w:rFonts w:ascii="Arial" w:cs="Arial" w:eastAsia="Arial" w:hAnsi="Arial"/>
                <w:sz w:val="14"/>
                <w:szCs w:val="14"/>
                <w:color w:val="333333"/>
              </w:rPr>
              <w:t>$77.80</w:t>
            </w:r>
          </w:p>
        </w:tc>
        <w:tc>
          <w:tcPr>
            <w:tcW w:w="900" w:type="dxa"/>
            <w:vAlign w:val="bottom"/>
          </w:tcPr>
          <w:p>
            <w:pPr>
              <w:ind w:left="120"/>
              <w:spacing w:after="0"/>
              <w:rPr>
                <w:sz w:val="20"/>
                <w:szCs w:val="20"/>
                <w:color w:val="auto"/>
              </w:rPr>
            </w:pPr>
            <w:r>
              <w:rPr>
                <w:rFonts w:ascii="Arial" w:cs="Arial" w:eastAsia="Arial" w:hAnsi="Arial"/>
                <w:sz w:val="14"/>
                <w:szCs w:val="14"/>
                <w:color w:val="333333"/>
              </w:rPr>
              <w:t>$118.74</w:t>
            </w:r>
          </w:p>
        </w:tc>
        <w:tc>
          <w:tcPr>
            <w:tcW w:w="660" w:type="dxa"/>
            <w:vAlign w:val="bottom"/>
          </w:tcPr>
          <w:p>
            <w:pPr>
              <w:ind w:left="60"/>
              <w:spacing w:after="0"/>
              <w:rPr>
                <w:sz w:val="20"/>
                <w:szCs w:val="20"/>
                <w:color w:val="auto"/>
              </w:rPr>
            </w:pPr>
            <w:r>
              <w:rPr>
                <w:rFonts w:ascii="Arial" w:cs="Arial" w:eastAsia="Arial" w:hAnsi="Arial"/>
                <w:sz w:val="14"/>
                <w:szCs w:val="14"/>
                <w:color w:val="333333"/>
              </w:rPr>
              <w:t>$839</w:t>
            </w:r>
          </w:p>
        </w:tc>
        <w:tc>
          <w:tcPr>
            <w:tcW w:w="260" w:type="dxa"/>
            <w:vAlign w:val="bottom"/>
          </w:tcPr>
          <w:p>
            <w:pPr>
              <w:spacing w:after="0"/>
              <w:rPr>
                <w:sz w:val="22"/>
                <w:szCs w:val="22"/>
                <w:color w:val="auto"/>
              </w:rPr>
            </w:pPr>
          </w:p>
        </w:tc>
        <w:tc>
          <w:tcPr>
            <w:tcW w:w="1500" w:type="dxa"/>
            <w:vAlign w:val="bottom"/>
          </w:tcPr>
          <w:p>
            <w:pPr>
              <w:ind w:left="60"/>
              <w:spacing w:after="0"/>
              <w:rPr>
                <w:sz w:val="20"/>
                <w:szCs w:val="20"/>
                <w:color w:val="auto"/>
              </w:rPr>
            </w:pPr>
            <w:r>
              <w:rPr>
                <w:rFonts w:ascii="Arial" w:cs="Arial" w:eastAsia="Arial" w:hAnsi="Arial"/>
                <w:sz w:val="14"/>
                <w:szCs w:val="14"/>
                <w:color w:val="333333"/>
              </w:rPr>
              <w:t>$12.66</w:t>
            </w:r>
          </w:p>
        </w:tc>
        <w:tc>
          <w:tcPr>
            <w:tcW w:w="0" w:type="dxa"/>
            <w:vAlign w:val="bottom"/>
          </w:tcPr>
          <w:p>
            <w:pPr>
              <w:spacing w:after="0"/>
              <w:rPr>
                <w:sz w:val="1"/>
                <w:szCs w:val="1"/>
                <w:color w:val="auto"/>
              </w:rPr>
            </w:pPr>
          </w:p>
        </w:tc>
      </w:tr>
      <w:tr>
        <w:trPr>
          <w:trHeight w:val="62"/>
        </w:trPr>
        <w:tc>
          <w:tcPr>
            <w:tcW w:w="560" w:type="dxa"/>
            <w:vAlign w:val="bottom"/>
            <w:gridSpan w:val="2"/>
          </w:tcPr>
          <w:p>
            <w:pPr>
              <w:spacing w:after="0"/>
              <w:rPr>
                <w:sz w:val="5"/>
                <w:szCs w:val="5"/>
                <w:color w:val="auto"/>
              </w:rPr>
            </w:pPr>
          </w:p>
        </w:tc>
        <w:tc>
          <w:tcPr>
            <w:tcW w:w="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gridSpan w:val="2"/>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560" w:type="dxa"/>
            <w:vAlign w:val="bottom"/>
            <w:gridSpan w:val="2"/>
            <w:shd w:val="clear" w:color="auto" w:fill="D9D9D9"/>
          </w:tcPr>
          <w:p>
            <w:pPr>
              <w:ind w:left="180"/>
              <w:spacing w:after="0"/>
              <w:rPr>
                <w:sz w:val="20"/>
                <w:szCs w:val="20"/>
                <w:color w:val="auto"/>
              </w:rPr>
            </w:pPr>
            <w:r>
              <w:rPr>
                <w:rFonts w:ascii="Arial" w:cs="Arial" w:eastAsia="Arial" w:hAnsi="Arial"/>
                <w:sz w:val="13"/>
                <w:szCs w:val="13"/>
                <w:color w:val="333333"/>
              </w:rPr>
              <w:t>2020</w:t>
            </w:r>
          </w:p>
        </w:tc>
        <w:tc>
          <w:tcPr>
            <w:tcW w:w="940" w:type="dxa"/>
            <w:vAlign w:val="bottom"/>
            <w:shd w:val="clear" w:color="auto" w:fill="D9D9D9"/>
          </w:tcPr>
          <w:p>
            <w:pPr>
              <w:ind w:left="80"/>
              <w:spacing w:after="0"/>
              <w:rPr>
                <w:sz w:val="20"/>
                <w:szCs w:val="20"/>
                <w:color w:val="auto"/>
              </w:rPr>
            </w:pPr>
            <w:r>
              <w:rPr>
                <w:rFonts w:ascii="Arial" w:cs="Arial" w:eastAsia="Arial" w:hAnsi="Arial"/>
                <w:sz w:val="14"/>
                <w:szCs w:val="14"/>
                <w:color w:val="333333"/>
              </w:rPr>
              <w:t>$1,311,225</w:t>
            </w:r>
          </w:p>
        </w:tc>
        <w:tc>
          <w:tcPr>
            <w:tcW w:w="1000" w:type="dxa"/>
            <w:vAlign w:val="bottom"/>
            <w:shd w:val="clear" w:color="auto" w:fill="D9D9D9"/>
          </w:tcPr>
          <w:p>
            <w:pPr>
              <w:ind w:left="80"/>
              <w:spacing w:after="0"/>
              <w:rPr>
                <w:sz w:val="20"/>
                <w:szCs w:val="20"/>
                <w:color w:val="auto"/>
              </w:rPr>
            </w:pPr>
            <w:r>
              <w:rPr>
                <w:rFonts w:ascii="Arial" w:cs="Arial" w:eastAsia="Arial" w:hAnsi="Arial"/>
                <w:sz w:val="14"/>
                <w:szCs w:val="14"/>
                <w:color w:val="333333"/>
              </w:rPr>
              <w:t>($325,275)</w:t>
            </w:r>
          </w:p>
        </w:tc>
        <w:tc>
          <w:tcPr>
            <w:tcW w:w="980" w:type="dxa"/>
            <w:vAlign w:val="bottom"/>
            <w:shd w:val="clear" w:color="auto" w:fill="D9D9D9"/>
          </w:tcPr>
          <w:p>
            <w:pPr>
              <w:ind w:left="40"/>
              <w:spacing w:after="0"/>
              <w:rPr>
                <w:sz w:val="20"/>
                <w:szCs w:val="20"/>
                <w:color w:val="auto"/>
              </w:rPr>
            </w:pPr>
            <w:r>
              <w:rPr>
                <w:rFonts w:ascii="Arial" w:cs="Arial" w:eastAsia="Arial" w:hAnsi="Arial"/>
                <w:sz w:val="14"/>
                <w:szCs w:val="14"/>
                <w:color w:val="333333"/>
              </w:rPr>
              <w:t>$2,179,759</w:t>
            </w:r>
          </w:p>
        </w:tc>
        <w:tc>
          <w:tcPr>
            <w:tcW w:w="180" w:type="dxa"/>
            <w:vAlign w:val="bottom"/>
            <w:shd w:val="clear" w:color="auto" w:fill="D9D9D9"/>
          </w:tcPr>
          <w:p>
            <w:pPr>
              <w:spacing w:after="0"/>
              <w:rPr>
                <w:sz w:val="22"/>
                <w:szCs w:val="22"/>
                <w:color w:val="auto"/>
              </w:rPr>
            </w:pPr>
          </w:p>
        </w:tc>
        <w:tc>
          <w:tcPr>
            <w:tcW w:w="1040" w:type="dxa"/>
            <w:vAlign w:val="bottom"/>
            <w:shd w:val="clear" w:color="auto" w:fill="D9D9D9"/>
          </w:tcPr>
          <w:p>
            <w:pPr>
              <w:ind w:left="60"/>
              <w:spacing w:after="0"/>
              <w:rPr>
                <w:sz w:val="20"/>
                <w:szCs w:val="20"/>
                <w:color w:val="auto"/>
              </w:rPr>
            </w:pPr>
            <w:r>
              <w:rPr>
                <w:rFonts w:ascii="Arial" w:cs="Arial" w:eastAsia="Arial" w:hAnsi="Arial"/>
                <w:sz w:val="14"/>
                <w:szCs w:val="14"/>
                <w:color w:val="333333"/>
              </w:rPr>
              <w:t>$2,244,485</w:t>
            </w:r>
          </w:p>
        </w:tc>
        <w:tc>
          <w:tcPr>
            <w:tcW w:w="760" w:type="dxa"/>
            <w:vAlign w:val="bottom"/>
            <w:gridSpan w:val="2"/>
            <w:shd w:val="clear" w:color="auto" w:fill="D9D9D9"/>
          </w:tcPr>
          <w:p>
            <w:pPr>
              <w:ind w:left="20"/>
              <w:spacing w:after="0"/>
              <w:rPr>
                <w:sz w:val="20"/>
                <w:szCs w:val="20"/>
                <w:color w:val="auto"/>
              </w:rPr>
            </w:pPr>
            <w:r>
              <w:rPr>
                <w:rFonts w:ascii="Arial" w:cs="Arial" w:eastAsia="Arial" w:hAnsi="Arial"/>
                <w:sz w:val="14"/>
                <w:szCs w:val="14"/>
                <w:color w:val="333333"/>
              </w:rPr>
              <w:t>$94.82</w:t>
            </w:r>
          </w:p>
        </w:tc>
        <w:tc>
          <w:tcPr>
            <w:tcW w:w="900" w:type="dxa"/>
            <w:vAlign w:val="bottom"/>
            <w:shd w:val="clear" w:color="auto" w:fill="D9D9D9"/>
          </w:tcPr>
          <w:p>
            <w:pPr>
              <w:ind w:left="120"/>
              <w:spacing w:after="0"/>
              <w:rPr>
                <w:sz w:val="20"/>
                <w:szCs w:val="20"/>
                <w:color w:val="auto"/>
              </w:rPr>
            </w:pPr>
            <w:r>
              <w:rPr>
                <w:rFonts w:ascii="Arial" w:cs="Arial" w:eastAsia="Arial" w:hAnsi="Arial"/>
                <w:sz w:val="14"/>
                <w:szCs w:val="14"/>
                <w:color w:val="333333"/>
              </w:rPr>
              <w:t>$124.60</w:t>
            </w:r>
          </w:p>
        </w:tc>
        <w:tc>
          <w:tcPr>
            <w:tcW w:w="660" w:type="dxa"/>
            <w:vAlign w:val="bottom"/>
            <w:shd w:val="clear" w:color="auto" w:fill="D9D9D9"/>
          </w:tcPr>
          <w:p>
            <w:pPr>
              <w:ind w:left="60"/>
              <w:spacing w:after="0"/>
              <w:rPr>
                <w:sz w:val="20"/>
                <w:szCs w:val="20"/>
                <w:color w:val="auto"/>
              </w:rPr>
            </w:pPr>
            <w:r>
              <w:rPr>
                <w:rFonts w:ascii="Arial" w:cs="Arial" w:eastAsia="Arial" w:hAnsi="Arial"/>
                <w:sz w:val="14"/>
                <w:szCs w:val="14"/>
                <w:color w:val="333333"/>
              </w:rPr>
              <w:t>$704</w:t>
            </w:r>
          </w:p>
        </w:tc>
        <w:tc>
          <w:tcPr>
            <w:tcW w:w="260" w:type="dxa"/>
            <w:vAlign w:val="bottom"/>
            <w:shd w:val="clear" w:color="auto" w:fill="D9D9D9"/>
          </w:tcPr>
          <w:p>
            <w:pPr>
              <w:spacing w:after="0"/>
              <w:rPr>
                <w:sz w:val="22"/>
                <w:szCs w:val="22"/>
                <w:color w:val="auto"/>
              </w:rPr>
            </w:pPr>
          </w:p>
        </w:tc>
        <w:tc>
          <w:tcPr>
            <w:tcW w:w="1500" w:type="dxa"/>
            <w:vAlign w:val="bottom"/>
            <w:shd w:val="clear" w:color="auto" w:fill="D9D9D9"/>
          </w:tcPr>
          <w:p>
            <w:pPr>
              <w:ind w:left="60"/>
              <w:spacing w:after="0"/>
              <w:rPr>
                <w:sz w:val="20"/>
                <w:szCs w:val="20"/>
                <w:color w:val="auto"/>
              </w:rPr>
            </w:pPr>
            <w:r>
              <w:rPr>
                <w:rFonts w:ascii="Arial" w:cs="Arial" w:eastAsia="Arial" w:hAnsi="Arial"/>
                <w:sz w:val="14"/>
                <w:szCs w:val="14"/>
                <w:color w:val="333333"/>
              </w:rPr>
              <w:t>$5.78</w:t>
            </w:r>
          </w:p>
        </w:tc>
        <w:tc>
          <w:tcPr>
            <w:tcW w:w="0" w:type="dxa"/>
            <w:vAlign w:val="bottom"/>
          </w:tcPr>
          <w:p>
            <w:pPr>
              <w:spacing w:after="0"/>
              <w:rPr>
                <w:sz w:val="1"/>
                <w:szCs w:val="1"/>
                <w:color w:val="auto"/>
              </w:rPr>
            </w:pPr>
          </w:p>
        </w:tc>
      </w:tr>
      <w:tr>
        <w:trPr>
          <w:trHeight w:val="35"/>
        </w:trPr>
        <w:tc>
          <w:tcPr>
            <w:tcW w:w="120" w:type="dxa"/>
            <w:vAlign w:val="bottom"/>
            <w:shd w:val="clear" w:color="auto" w:fill="D9D9D9"/>
          </w:tcPr>
          <w:p>
            <w:pPr>
              <w:spacing w:after="0"/>
              <w:rPr>
                <w:sz w:val="3"/>
                <w:szCs w:val="3"/>
                <w:color w:val="auto"/>
              </w:rPr>
            </w:pPr>
          </w:p>
        </w:tc>
        <w:tc>
          <w:tcPr>
            <w:tcW w:w="440" w:type="dxa"/>
            <w:vAlign w:val="bottom"/>
            <w:shd w:val="clear" w:color="auto" w:fill="D9D9D9"/>
          </w:tcPr>
          <w:p>
            <w:pPr>
              <w:spacing w:after="0"/>
              <w:rPr>
                <w:sz w:val="3"/>
                <w:szCs w:val="3"/>
                <w:color w:val="auto"/>
              </w:rPr>
            </w:pPr>
          </w:p>
        </w:tc>
        <w:tc>
          <w:tcPr>
            <w:tcW w:w="940" w:type="dxa"/>
            <w:vAlign w:val="bottom"/>
            <w:shd w:val="clear" w:color="auto" w:fill="D9D9D9"/>
          </w:tcPr>
          <w:p>
            <w:pPr>
              <w:spacing w:after="0"/>
              <w:rPr>
                <w:sz w:val="3"/>
                <w:szCs w:val="3"/>
                <w:color w:val="auto"/>
              </w:rPr>
            </w:pPr>
          </w:p>
        </w:tc>
        <w:tc>
          <w:tcPr>
            <w:tcW w:w="1000" w:type="dxa"/>
            <w:vAlign w:val="bottom"/>
            <w:shd w:val="clear" w:color="auto" w:fill="D9D9D9"/>
          </w:tcPr>
          <w:p>
            <w:pPr>
              <w:spacing w:after="0"/>
              <w:rPr>
                <w:sz w:val="3"/>
                <w:szCs w:val="3"/>
                <w:color w:val="auto"/>
              </w:rPr>
            </w:pPr>
          </w:p>
        </w:tc>
        <w:tc>
          <w:tcPr>
            <w:tcW w:w="980" w:type="dxa"/>
            <w:vAlign w:val="bottom"/>
            <w:shd w:val="clear" w:color="auto" w:fill="D9D9D9"/>
          </w:tcPr>
          <w:p>
            <w:pPr>
              <w:spacing w:after="0"/>
              <w:rPr>
                <w:sz w:val="3"/>
                <w:szCs w:val="3"/>
                <w:color w:val="auto"/>
              </w:rPr>
            </w:pPr>
          </w:p>
        </w:tc>
        <w:tc>
          <w:tcPr>
            <w:tcW w:w="180" w:type="dxa"/>
            <w:vAlign w:val="bottom"/>
            <w:shd w:val="clear" w:color="auto" w:fill="D9D9D9"/>
          </w:tcPr>
          <w:p>
            <w:pPr>
              <w:spacing w:after="0"/>
              <w:rPr>
                <w:sz w:val="3"/>
                <w:szCs w:val="3"/>
                <w:color w:val="auto"/>
              </w:rPr>
            </w:pPr>
          </w:p>
        </w:tc>
        <w:tc>
          <w:tcPr>
            <w:tcW w:w="1040" w:type="dxa"/>
            <w:vAlign w:val="bottom"/>
            <w:shd w:val="clear" w:color="auto" w:fill="D9D9D9"/>
          </w:tcPr>
          <w:p>
            <w:pPr>
              <w:spacing w:after="0"/>
              <w:rPr>
                <w:sz w:val="3"/>
                <w:szCs w:val="3"/>
                <w:color w:val="auto"/>
              </w:rPr>
            </w:pPr>
          </w:p>
        </w:tc>
        <w:tc>
          <w:tcPr>
            <w:tcW w:w="360" w:type="dxa"/>
            <w:vAlign w:val="bottom"/>
            <w:shd w:val="clear" w:color="auto" w:fill="D9D9D9"/>
          </w:tcPr>
          <w:p>
            <w:pPr>
              <w:spacing w:after="0"/>
              <w:rPr>
                <w:sz w:val="3"/>
                <w:szCs w:val="3"/>
                <w:color w:val="auto"/>
              </w:rPr>
            </w:pPr>
          </w:p>
        </w:tc>
        <w:tc>
          <w:tcPr>
            <w:tcW w:w="400" w:type="dxa"/>
            <w:vAlign w:val="bottom"/>
            <w:shd w:val="clear" w:color="auto" w:fill="D9D9D9"/>
          </w:tcPr>
          <w:p>
            <w:pPr>
              <w:spacing w:after="0"/>
              <w:rPr>
                <w:sz w:val="3"/>
                <w:szCs w:val="3"/>
                <w:color w:val="auto"/>
              </w:rPr>
            </w:pPr>
          </w:p>
        </w:tc>
        <w:tc>
          <w:tcPr>
            <w:tcW w:w="900" w:type="dxa"/>
            <w:vAlign w:val="bottom"/>
            <w:shd w:val="clear" w:color="auto" w:fill="D9D9D9"/>
          </w:tcPr>
          <w:p>
            <w:pPr>
              <w:spacing w:after="0"/>
              <w:rPr>
                <w:sz w:val="3"/>
                <w:szCs w:val="3"/>
                <w:color w:val="auto"/>
              </w:rPr>
            </w:pPr>
          </w:p>
        </w:tc>
        <w:tc>
          <w:tcPr>
            <w:tcW w:w="660" w:type="dxa"/>
            <w:vAlign w:val="bottom"/>
            <w:shd w:val="clear" w:color="auto" w:fill="D9D9D9"/>
          </w:tcPr>
          <w:p>
            <w:pPr>
              <w:spacing w:after="0"/>
              <w:rPr>
                <w:sz w:val="3"/>
                <w:szCs w:val="3"/>
                <w:color w:val="auto"/>
              </w:rPr>
            </w:pPr>
          </w:p>
        </w:tc>
        <w:tc>
          <w:tcPr>
            <w:tcW w:w="260" w:type="dxa"/>
            <w:vAlign w:val="bottom"/>
            <w:shd w:val="clear" w:color="auto" w:fill="D9D9D9"/>
          </w:tcPr>
          <w:p>
            <w:pPr>
              <w:spacing w:after="0"/>
              <w:rPr>
                <w:sz w:val="3"/>
                <w:szCs w:val="3"/>
                <w:color w:val="auto"/>
              </w:rPr>
            </w:pPr>
          </w:p>
        </w:tc>
        <w:tc>
          <w:tcPr>
            <w:tcW w:w="1500" w:type="dxa"/>
            <w:vAlign w:val="bottom"/>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-1225550</wp:posOffset>
            </wp:positionV>
            <wp:extent cx="10629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45" w:lineRule="exact"/>
        <w:rPr>
          <w:sz w:val="20"/>
          <w:szCs w:val="20"/>
          <w:color w:val="auto"/>
        </w:rPr>
      </w:pPr>
    </w:p>
    <w:p>
      <w:pPr>
        <w:ind w:left="1140" w:right="1480" w:hanging="10"/>
        <w:spacing w:after="0" w:line="228" w:lineRule="auto"/>
        <w:tabs>
          <w:tab w:leader="none" w:pos="1329" w:val="left"/>
        </w:tabs>
        <w:numPr>
          <w:ilvl w:val="0"/>
          <w:numId w:val="109"/>
        </w:numPr>
        <w:rPr>
          <w:rFonts w:ascii="Arial" w:cs="Arial" w:eastAsia="Arial" w:hAnsi="Arial"/>
          <w:sz w:val="13"/>
          <w:szCs w:val="13"/>
          <w:i w:val="1"/>
          <w:iCs w:val="1"/>
          <w:color w:val="333333"/>
        </w:rPr>
      </w:pPr>
      <w:r>
        <w:rPr>
          <w:rFonts w:ascii="Arial" w:cs="Arial" w:eastAsia="Arial" w:hAnsi="Arial"/>
          <w:sz w:val="13"/>
          <w:szCs w:val="13"/>
          <w:i w:val="1"/>
          <w:iCs w:val="1"/>
          <w:color w:val="333333"/>
        </w:rPr>
        <w:t>Mr. Clarke was our principal executive officer (“PEO”) for the full year for each of 2023, 2022, 2021 and 2020. For 2023, our non-PEO NEOs were Mr. Panther, Ms. Vickery, Mr. Netto, and Mr. King. For 2022, our non-PEO NEOs were Ms. Vickery, Charles R. Freund, Mr. Netto, Mr. King, Alexey Gavrilenya and John S. Coughlin. For 2021, our non-PEO NEOs were Mr. Freund, Mr. Coughlin, Mr. Gavrilenya, and Mr. Netto. For 2020, our non-PEO NEOs were Mr. Freund, Eric R. Dey, Mr. Coughlin, Mr. Gavrilenya, and Mr. Netto.</w:t>
      </w:r>
    </w:p>
    <w:p>
      <w:pPr>
        <w:ind w:left="1140" w:right="1200" w:hanging="10"/>
        <w:spacing w:after="0" w:line="276" w:lineRule="auto"/>
        <w:tabs>
          <w:tab w:leader="none" w:pos="1329" w:val="left"/>
        </w:tabs>
        <w:numPr>
          <w:ilvl w:val="0"/>
          <w:numId w:val="109"/>
        </w:numPr>
        <w:rPr>
          <w:rFonts w:ascii="Arial" w:cs="Arial" w:eastAsia="Arial" w:hAnsi="Arial"/>
          <w:sz w:val="12"/>
          <w:szCs w:val="12"/>
          <w:i w:val="1"/>
          <w:iCs w:val="1"/>
          <w:color w:val="333333"/>
        </w:rPr>
      </w:pPr>
      <w:r>
        <w:rPr>
          <w:rFonts w:ascii="Arial" w:cs="Arial" w:eastAsia="Arial" w:hAnsi="Arial"/>
          <w:sz w:val="12"/>
          <w:szCs w:val="12"/>
          <w:i w:val="1"/>
          <w:iCs w:val="1"/>
          <w:color w:val="333333"/>
        </w:rPr>
        <w:t>In determining both the CAP to our PEO and the average CAP to our non-PEO NEOs for 2023 for purposes of this Pay Versus Performance Table (“PVP Table”), we deducted from or added back to the total amounts of compensation reported in column (b) or column (d) (as applicable) the following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1120" w:type="dxa"/>
            <w:vAlign w:val="bottom"/>
          </w:tcPr>
          <w:p>
            <w:pPr>
              <w:spacing w:after="0"/>
              <w:rPr>
                <w:sz w:val="24"/>
                <w:szCs w:val="24"/>
                <w:color w:val="auto"/>
              </w:rPr>
            </w:pPr>
          </w:p>
        </w:tc>
        <w:tc>
          <w:tcPr>
            <w:tcW w:w="120" w:type="dxa"/>
            <w:vAlign w:val="bottom"/>
            <w:shd w:val="clear" w:color="auto" w:fill="CF1D4C"/>
          </w:tcPr>
          <w:p>
            <w:pPr>
              <w:spacing w:after="0"/>
              <w:rPr>
                <w:sz w:val="24"/>
                <w:szCs w:val="24"/>
                <w:color w:val="auto"/>
              </w:rPr>
            </w:pPr>
          </w:p>
        </w:tc>
        <w:tc>
          <w:tcPr>
            <w:tcW w:w="5080" w:type="dxa"/>
            <w:vAlign w:val="bottom"/>
            <w:shd w:val="clear" w:color="auto" w:fill="CF1D4C"/>
          </w:tcPr>
          <w:p>
            <w:pPr>
              <w:ind w:left="60"/>
              <w:spacing w:after="0"/>
              <w:rPr>
                <w:sz w:val="20"/>
                <w:szCs w:val="20"/>
                <w:color w:val="auto"/>
              </w:rPr>
            </w:pPr>
            <w:r>
              <w:rPr>
                <w:rFonts w:ascii="Arial" w:cs="Arial" w:eastAsia="Arial" w:hAnsi="Arial"/>
                <w:sz w:val="13"/>
                <w:szCs w:val="13"/>
                <w:b w:val="1"/>
                <w:bCs w:val="1"/>
                <w:color w:val="FFFFFF"/>
              </w:rPr>
              <w:t>Item and Value Added (Deducted)</w:t>
            </w:r>
          </w:p>
        </w:tc>
        <w:tc>
          <w:tcPr>
            <w:tcW w:w="3560" w:type="dxa"/>
            <w:vAlign w:val="bottom"/>
            <w:gridSpan w:val="2"/>
            <w:shd w:val="clear" w:color="auto" w:fill="CF1D4C"/>
          </w:tcPr>
          <w:p>
            <w:pPr>
              <w:ind w:left="2380"/>
              <w:spacing w:after="0"/>
              <w:rPr>
                <w:sz w:val="20"/>
                <w:szCs w:val="20"/>
                <w:color w:val="auto"/>
              </w:rPr>
            </w:pPr>
            <w:r>
              <w:rPr>
                <w:rFonts w:ascii="Arial" w:cs="Arial" w:eastAsia="Arial" w:hAnsi="Arial"/>
                <w:sz w:val="13"/>
                <w:szCs w:val="13"/>
                <w:b w:val="1"/>
                <w:bCs w:val="1"/>
                <w:color w:val="FFFFFF"/>
              </w:rPr>
              <w:t>2023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120" w:type="dxa"/>
            <w:vAlign w:val="bottom"/>
          </w:tcPr>
          <w:p>
            <w:pPr>
              <w:spacing w:after="0"/>
              <w:rPr>
                <w:sz w:val="23"/>
                <w:szCs w:val="23"/>
                <w:color w:val="auto"/>
              </w:rPr>
            </w:pPr>
          </w:p>
        </w:tc>
        <w:tc>
          <w:tcPr>
            <w:tcW w:w="120" w:type="dxa"/>
            <w:vAlign w:val="bottom"/>
            <w:shd w:val="clear" w:color="auto" w:fill="CF1D4C"/>
          </w:tcPr>
          <w:p>
            <w:pPr>
              <w:spacing w:after="0"/>
              <w:rPr>
                <w:sz w:val="23"/>
                <w:szCs w:val="23"/>
                <w:color w:val="auto"/>
              </w:rPr>
            </w:pPr>
          </w:p>
        </w:tc>
        <w:tc>
          <w:tcPr>
            <w:tcW w:w="5080" w:type="dxa"/>
            <w:vAlign w:val="bottom"/>
            <w:shd w:val="clear" w:color="auto" w:fill="CF1D4C"/>
          </w:tcPr>
          <w:p>
            <w:pPr>
              <w:ind w:left="60"/>
              <w:spacing w:after="0"/>
              <w:rPr>
                <w:sz w:val="20"/>
                <w:szCs w:val="20"/>
                <w:color w:val="auto"/>
              </w:rPr>
            </w:pPr>
            <w:r>
              <w:rPr>
                <w:rFonts w:ascii="Arial" w:cs="Arial" w:eastAsia="Arial" w:hAnsi="Arial"/>
                <w:sz w:val="13"/>
                <w:szCs w:val="13"/>
                <w:b w:val="1"/>
                <w:bCs w:val="1"/>
                <w:color w:val="FFFFFF"/>
              </w:rPr>
              <w:t>For Mr. Clarke:</w:t>
            </w:r>
          </w:p>
        </w:tc>
        <w:tc>
          <w:tcPr>
            <w:tcW w:w="3560" w:type="dxa"/>
            <w:vAlign w:val="bottom"/>
            <w:gridSpan w:val="2"/>
            <w:vMerge w:val="restart"/>
            <w:shd w:val="clear" w:color="auto" w:fill="CF1D4C"/>
          </w:tcPr>
          <w:p>
            <w:pPr>
              <w:ind w:left="2380"/>
              <w:spacing w:after="0"/>
              <w:rPr>
                <w:sz w:val="20"/>
                <w:szCs w:val="20"/>
                <w:color w:val="auto"/>
              </w:rPr>
            </w:pPr>
            <w:r>
              <w:rPr>
                <w:rFonts w:ascii="Arial" w:cs="Arial" w:eastAsia="Arial" w:hAnsi="Arial"/>
                <w:sz w:val="13"/>
                <w:szCs w:val="13"/>
                <w:b w:val="1"/>
                <w:bCs w:val="1"/>
                <w:color w:val="FFFFFF"/>
              </w:rPr>
              <w:t>$2,669,024</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120" w:type="dxa"/>
            <w:vAlign w:val="bottom"/>
            <w:shd w:val="clear" w:color="auto" w:fill="CF1D4C"/>
          </w:tcPr>
          <w:p>
            <w:pPr>
              <w:spacing w:after="0"/>
              <w:rPr>
                <w:sz w:val="14"/>
                <w:szCs w:val="14"/>
                <w:color w:val="auto"/>
              </w:rPr>
            </w:pPr>
          </w:p>
        </w:tc>
        <w:tc>
          <w:tcPr>
            <w:tcW w:w="5080" w:type="dxa"/>
            <w:vAlign w:val="bottom"/>
            <w:shd w:val="clear" w:color="auto" w:fill="CF1D4C"/>
          </w:tcPr>
          <w:p>
            <w:pPr>
              <w:ind w:left="60"/>
              <w:spacing w:after="0"/>
              <w:rPr>
                <w:sz w:val="20"/>
                <w:szCs w:val="20"/>
                <w:color w:val="auto"/>
              </w:rPr>
            </w:pPr>
            <w:r>
              <w:rPr>
                <w:rFonts w:ascii="Arial" w:cs="Arial" w:eastAsia="Arial" w:hAnsi="Arial"/>
                <w:sz w:val="13"/>
                <w:szCs w:val="13"/>
                <w:b w:val="1"/>
                <w:bCs w:val="1"/>
                <w:color w:val="FFFFFF"/>
              </w:rPr>
              <w:t>Summary Compensation Table Total:</w:t>
            </w:r>
          </w:p>
        </w:tc>
        <w:tc>
          <w:tcPr>
            <w:tcW w:w="3560" w:type="dxa"/>
            <w:vAlign w:val="bottom"/>
            <w:gridSpan w:val="2"/>
            <w:vMerge w:val="continue"/>
            <w:shd w:val="clear" w:color="auto" w:fill="CF1D4C"/>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120" w:type="dxa"/>
            <w:vAlign w:val="bottom"/>
          </w:tcPr>
          <w:p>
            <w:pPr>
              <w:spacing w:after="0"/>
              <w:rPr>
                <w:sz w:val="5"/>
                <w:szCs w:val="5"/>
                <w:color w:val="auto"/>
              </w:rPr>
            </w:pPr>
          </w:p>
        </w:tc>
        <w:tc>
          <w:tcPr>
            <w:tcW w:w="120" w:type="dxa"/>
            <w:vAlign w:val="bottom"/>
            <w:shd w:val="clear" w:color="auto" w:fill="CF1D4C"/>
          </w:tcPr>
          <w:p>
            <w:pPr>
              <w:spacing w:after="0"/>
              <w:rPr>
                <w:sz w:val="5"/>
                <w:szCs w:val="5"/>
                <w:color w:val="auto"/>
              </w:rPr>
            </w:pPr>
          </w:p>
        </w:tc>
        <w:tc>
          <w:tcPr>
            <w:tcW w:w="5080" w:type="dxa"/>
            <w:vAlign w:val="bottom"/>
            <w:shd w:val="clear" w:color="auto" w:fill="CF1D4C"/>
          </w:tcPr>
          <w:p>
            <w:pPr>
              <w:spacing w:after="0"/>
              <w:rPr>
                <w:sz w:val="5"/>
                <w:szCs w:val="5"/>
                <w:color w:val="auto"/>
              </w:rPr>
            </w:pPr>
          </w:p>
        </w:tc>
        <w:tc>
          <w:tcPr>
            <w:tcW w:w="1200" w:type="dxa"/>
            <w:vAlign w:val="bottom"/>
            <w:shd w:val="clear" w:color="auto" w:fill="CF1D4C"/>
          </w:tcPr>
          <w:p>
            <w:pPr>
              <w:spacing w:after="0"/>
              <w:rPr>
                <w:sz w:val="5"/>
                <w:szCs w:val="5"/>
                <w:color w:val="auto"/>
              </w:rPr>
            </w:pPr>
          </w:p>
        </w:tc>
        <w:tc>
          <w:tcPr>
            <w:tcW w:w="2360" w:type="dxa"/>
            <w:vAlign w:val="bottom"/>
            <w:shd w:val="clear" w:color="auto" w:fill="CF1D4C"/>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tcPr>
          <w:p>
            <w:pPr>
              <w:ind w:left="60"/>
              <w:spacing w:after="0"/>
              <w:rPr>
                <w:sz w:val="20"/>
                <w:szCs w:val="20"/>
                <w:color w:val="auto"/>
              </w:rPr>
            </w:pPr>
            <w:r>
              <w:rPr>
                <w:rFonts w:ascii="Arial" w:cs="Arial" w:eastAsia="Arial" w:hAnsi="Arial"/>
                <w:sz w:val="14"/>
                <w:szCs w:val="14"/>
                <w:color w:val="333333"/>
              </w:rPr>
              <w:t>- change in actuarial present value of pension benefits</w:t>
            </w:r>
          </w:p>
        </w:tc>
        <w:tc>
          <w:tcPr>
            <w:tcW w:w="1200" w:type="dxa"/>
            <w:vAlign w:val="bottom"/>
          </w:tcPr>
          <w:p>
            <w:pPr>
              <w:spacing w:after="0"/>
              <w:rPr>
                <w:sz w:val="24"/>
                <w:szCs w:val="24"/>
                <w:color w:val="auto"/>
              </w:rPr>
            </w:pPr>
          </w:p>
        </w:tc>
        <w:tc>
          <w:tcPr>
            <w:tcW w:w="3500" w:type="dxa"/>
            <w:vAlign w:val="bottom"/>
            <w:gridSpan w:val="2"/>
          </w:tcPr>
          <w:p>
            <w:pPr>
              <w:ind w:left="118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5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1120" w:type="dxa"/>
            <w:vAlign w:val="bottom"/>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080" w:type="dxa"/>
            <w:vAlign w:val="bottom"/>
            <w:shd w:val="clear" w:color="auto" w:fill="D9D9D9"/>
          </w:tcPr>
          <w:p>
            <w:pPr>
              <w:ind w:left="60"/>
              <w:spacing w:after="0"/>
              <w:rPr>
                <w:sz w:val="20"/>
                <w:szCs w:val="20"/>
                <w:color w:val="auto"/>
              </w:rPr>
            </w:pPr>
            <w:r>
              <w:rPr>
                <w:rFonts w:ascii="Arial" w:cs="Arial" w:eastAsia="Arial" w:hAnsi="Arial"/>
                <w:sz w:val="14"/>
                <w:szCs w:val="14"/>
                <w:color w:val="333333"/>
              </w:rPr>
              <w:t>+ service cost of pension benefits</w:t>
            </w:r>
          </w:p>
        </w:tc>
        <w:tc>
          <w:tcPr>
            <w:tcW w:w="1200" w:type="dxa"/>
            <w:vAlign w:val="bottom"/>
            <w:shd w:val="clear" w:color="auto" w:fill="D9D9D9"/>
          </w:tcPr>
          <w:p>
            <w:pPr>
              <w:spacing w:after="0"/>
              <w:rPr>
                <w:sz w:val="24"/>
                <w:szCs w:val="24"/>
                <w:color w:val="auto"/>
              </w:rPr>
            </w:pPr>
          </w:p>
        </w:tc>
        <w:tc>
          <w:tcPr>
            <w:tcW w:w="2360" w:type="dxa"/>
            <w:vAlign w:val="bottom"/>
            <w:shd w:val="clear" w:color="auto" w:fill="D9D9D9"/>
          </w:tcPr>
          <w:p>
            <w:pPr>
              <w:ind w:left="1180"/>
              <w:spacing w:after="0"/>
              <w:rPr>
                <w:sz w:val="20"/>
                <w:szCs w:val="20"/>
                <w:color w:val="auto"/>
              </w:rPr>
            </w:pPr>
            <w:r>
              <w:rPr>
                <w:rFonts w:ascii="Arial" w:cs="Arial" w:eastAsia="Arial" w:hAnsi="Arial"/>
                <w:sz w:val="16"/>
                <w:szCs w:val="16"/>
                <w:color w:val="333333"/>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120" w:type="dxa"/>
            <w:vAlign w:val="bottom"/>
            <w:shd w:val="clear" w:color="auto" w:fill="D9D9D9"/>
          </w:tcPr>
          <w:p>
            <w:pPr>
              <w:spacing w:after="0"/>
              <w:rPr>
                <w:sz w:val="6"/>
                <w:szCs w:val="6"/>
                <w:color w:val="auto"/>
              </w:rPr>
            </w:pPr>
          </w:p>
        </w:tc>
        <w:tc>
          <w:tcPr>
            <w:tcW w:w="5080" w:type="dxa"/>
            <w:vAlign w:val="bottom"/>
            <w:shd w:val="clear" w:color="auto" w:fill="D9D9D9"/>
          </w:tcPr>
          <w:p>
            <w:pPr>
              <w:spacing w:after="0"/>
              <w:rPr>
                <w:sz w:val="6"/>
                <w:szCs w:val="6"/>
                <w:color w:val="auto"/>
              </w:rPr>
            </w:pPr>
          </w:p>
        </w:tc>
        <w:tc>
          <w:tcPr>
            <w:tcW w:w="1200" w:type="dxa"/>
            <w:vAlign w:val="bottom"/>
            <w:shd w:val="clear" w:color="auto" w:fill="D9D9D9"/>
          </w:tcPr>
          <w:p>
            <w:pPr>
              <w:spacing w:after="0"/>
              <w:rPr>
                <w:sz w:val="6"/>
                <w:szCs w:val="6"/>
                <w:color w:val="auto"/>
              </w:rPr>
            </w:pPr>
          </w:p>
        </w:tc>
        <w:tc>
          <w:tcPr>
            <w:tcW w:w="2360" w:type="dxa"/>
            <w:vAlign w:val="bottom"/>
            <w:shd w:val="clear" w:color="auto" w:fill="D9D9D9"/>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tcPr>
          <w:p>
            <w:pPr>
              <w:ind w:left="60"/>
              <w:spacing w:after="0"/>
              <w:rPr>
                <w:sz w:val="20"/>
                <w:szCs w:val="20"/>
                <w:color w:val="auto"/>
              </w:rPr>
            </w:pPr>
            <w:r>
              <w:rPr>
                <w:rFonts w:ascii="Arial" w:cs="Arial" w:eastAsia="Arial" w:hAnsi="Arial"/>
                <w:sz w:val="14"/>
                <w:szCs w:val="14"/>
                <w:color w:val="333333"/>
              </w:rPr>
              <w:t>+ prior service cost of pension benefits</w:t>
            </w:r>
          </w:p>
        </w:tc>
        <w:tc>
          <w:tcPr>
            <w:tcW w:w="1200" w:type="dxa"/>
            <w:vAlign w:val="bottom"/>
          </w:tcPr>
          <w:p>
            <w:pPr>
              <w:spacing w:after="0"/>
              <w:rPr>
                <w:sz w:val="24"/>
                <w:szCs w:val="24"/>
                <w:color w:val="auto"/>
              </w:rPr>
            </w:pPr>
          </w:p>
        </w:tc>
        <w:tc>
          <w:tcPr>
            <w:tcW w:w="3500" w:type="dxa"/>
            <w:vAlign w:val="bottom"/>
            <w:gridSpan w:val="2"/>
          </w:tcPr>
          <w:p>
            <w:pPr>
              <w:ind w:left="118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1120" w:type="dxa"/>
            <w:vAlign w:val="bottom"/>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080" w:type="dxa"/>
            <w:vAlign w:val="bottom"/>
            <w:shd w:val="clear" w:color="auto" w:fill="D9D9D9"/>
          </w:tcPr>
          <w:p>
            <w:pPr>
              <w:ind w:left="60"/>
              <w:spacing w:after="0"/>
              <w:rPr>
                <w:sz w:val="20"/>
                <w:szCs w:val="20"/>
                <w:color w:val="auto"/>
              </w:rPr>
            </w:pPr>
            <w:r>
              <w:rPr>
                <w:rFonts w:ascii="Arial" w:cs="Arial" w:eastAsia="Arial" w:hAnsi="Arial"/>
                <w:sz w:val="14"/>
                <w:szCs w:val="14"/>
                <w:color w:val="333333"/>
              </w:rPr>
              <w:t>- SCT “Stock Awards” column value</w:t>
            </w:r>
          </w:p>
        </w:tc>
        <w:tc>
          <w:tcPr>
            <w:tcW w:w="3560" w:type="dxa"/>
            <w:vAlign w:val="bottom"/>
            <w:gridSpan w:val="2"/>
            <w:shd w:val="clear" w:color="auto" w:fill="D9D9D9"/>
          </w:tcPr>
          <w:p>
            <w:pPr>
              <w:ind w:left="2380"/>
              <w:spacing w:after="0"/>
              <w:rPr>
                <w:sz w:val="20"/>
                <w:szCs w:val="20"/>
                <w:color w:val="auto"/>
              </w:rPr>
            </w:pPr>
            <w:r>
              <w:rPr>
                <w:rFonts w:ascii="Arial" w:cs="Arial" w:eastAsia="Arial" w:hAnsi="Arial"/>
                <w:sz w:val="16"/>
                <w:szCs w:val="16"/>
                <w:color w:val="333333"/>
              </w:rPr>
              <w:t>($1,440,058)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120" w:type="dxa"/>
            <w:vAlign w:val="bottom"/>
            <w:shd w:val="clear" w:color="auto" w:fill="D9D9D9"/>
          </w:tcPr>
          <w:p>
            <w:pPr>
              <w:spacing w:after="0"/>
              <w:rPr>
                <w:sz w:val="6"/>
                <w:szCs w:val="6"/>
                <w:color w:val="auto"/>
              </w:rPr>
            </w:pPr>
          </w:p>
        </w:tc>
        <w:tc>
          <w:tcPr>
            <w:tcW w:w="5080" w:type="dxa"/>
            <w:vAlign w:val="bottom"/>
            <w:shd w:val="clear" w:color="auto" w:fill="D9D9D9"/>
          </w:tcPr>
          <w:p>
            <w:pPr>
              <w:spacing w:after="0"/>
              <w:rPr>
                <w:sz w:val="6"/>
                <w:szCs w:val="6"/>
                <w:color w:val="auto"/>
              </w:rPr>
            </w:pPr>
          </w:p>
        </w:tc>
        <w:tc>
          <w:tcPr>
            <w:tcW w:w="1200" w:type="dxa"/>
            <w:vAlign w:val="bottom"/>
            <w:shd w:val="clear" w:color="auto" w:fill="D9D9D9"/>
          </w:tcPr>
          <w:p>
            <w:pPr>
              <w:spacing w:after="0"/>
              <w:rPr>
                <w:sz w:val="6"/>
                <w:szCs w:val="6"/>
                <w:color w:val="auto"/>
              </w:rPr>
            </w:pPr>
          </w:p>
        </w:tc>
        <w:tc>
          <w:tcPr>
            <w:tcW w:w="2360" w:type="dxa"/>
            <w:vAlign w:val="bottom"/>
            <w:shd w:val="clear" w:color="auto" w:fill="D9D9D9"/>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tcPr>
          <w:p>
            <w:pPr>
              <w:ind w:left="60"/>
              <w:spacing w:after="0"/>
              <w:rPr>
                <w:sz w:val="20"/>
                <w:szCs w:val="20"/>
                <w:color w:val="auto"/>
              </w:rPr>
            </w:pPr>
            <w:r>
              <w:rPr>
                <w:rFonts w:ascii="Arial" w:cs="Arial" w:eastAsia="Arial" w:hAnsi="Arial"/>
                <w:sz w:val="14"/>
                <w:szCs w:val="14"/>
                <w:color w:val="333333"/>
              </w:rPr>
              <w:t>- SCT “Option Awards” column value</w:t>
            </w:r>
          </w:p>
        </w:tc>
        <w:tc>
          <w:tcPr>
            <w:tcW w:w="1200" w:type="dxa"/>
            <w:vAlign w:val="bottom"/>
          </w:tcPr>
          <w:p>
            <w:pPr>
              <w:spacing w:after="0"/>
              <w:rPr>
                <w:sz w:val="24"/>
                <w:szCs w:val="24"/>
                <w:color w:val="auto"/>
              </w:rPr>
            </w:pPr>
          </w:p>
        </w:tc>
        <w:tc>
          <w:tcPr>
            <w:tcW w:w="3500" w:type="dxa"/>
            <w:vAlign w:val="bottom"/>
            <w:gridSpan w:val="2"/>
          </w:tcPr>
          <w:p>
            <w:pPr>
              <w:ind w:left="118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69"/>
        </w:trPr>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5080" w:type="dxa"/>
            <w:vAlign w:val="bottom"/>
            <w:shd w:val="clear" w:color="auto" w:fill="D9D9D9"/>
          </w:tcPr>
          <w:p>
            <w:pPr>
              <w:ind w:left="60"/>
              <w:spacing w:after="0"/>
              <w:rPr>
                <w:sz w:val="20"/>
                <w:szCs w:val="20"/>
                <w:color w:val="auto"/>
              </w:rPr>
            </w:pPr>
            <w:r>
              <w:rPr>
                <w:rFonts w:ascii="Arial" w:cs="Arial" w:eastAsia="Arial" w:hAnsi="Arial"/>
                <w:sz w:val="14"/>
                <w:szCs w:val="14"/>
                <w:color w:val="333333"/>
              </w:rPr>
              <w:t>+ year-end fair value of outstanding equity awards granted in Covered Year</w:t>
            </w:r>
          </w:p>
        </w:tc>
        <w:tc>
          <w:tcPr>
            <w:tcW w:w="3560" w:type="dxa"/>
            <w:vAlign w:val="bottom"/>
            <w:gridSpan w:val="2"/>
            <w:vMerge w:val="restart"/>
            <w:shd w:val="clear" w:color="auto" w:fill="D9D9D9"/>
          </w:tcPr>
          <w:p>
            <w:pPr>
              <w:ind w:left="2380"/>
              <w:spacing w:after="0"/>
              <w:rPr>
                <w:sz w:val="20"/>
                <w:szCs w:val="20"/>
                <w:color w:val="auto"/>
              </w:rPr>
            </w:pPr>
            <w:r>
              <w:rPr>
                <w:rFonts w:ascii="Arial" w:cs="Arial" w:eastAsia="Arial" w:hAnsi="Arial"/>
                <w:sz w:val="16"/>
                <w:szCs w:val="16"/>
                <w:color w:val="333333"/>
              </w:rPr>
              <w:t>$1,906,204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1120" w:type="dxa"/>
            <w:vAlign w:val="bottom"/>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5080" w:type="dxa"/>
            <w:vAlign w:val="bottom"/>
            <w:vMerge w:val="restart"/>
            <w:shd w:val="clear" w:color="auto" w:fill="D9D9D9"/>
          </w:tcPr>
          <w:p>
            <w:pPr>
              <w:ind w:left="60"/>
              <w:spacing w:after="0"/>
              <w:rPr>
                <w:sz w:val="20"/>
                <w:szCs w:val="20"/>
                <w:color w:val="auto"/>
              </w:rPr>
            </w:pPr>
            <w:r>
              <w:rPr>
                <w:rFonts w:ascii="Arial" w:cs="Arial" w:eastAsia="Arial" w:hAnsi="Arial"/>
                <w:sz w:val="14"/>
                <w:szCs w:val="14"/>
                <w:color w:val="333333"/>
              </w:rPr>
              <w:t>that were outstanding as of Covered Year-end</w:t>
            </w:r>
          </w:p>
        </w:tc>
        <w:tc>
          <w:tcPr>
            <w:tcW w:w="3560" w:type="dxa"/>
            <w:vAlign w:val="bottom"/>
            <w:gridSpan w:val="2"/>
            <w:vMerge w:val="continue"/>
            <w:shd w:val="clear" w:color="auto" w:fill="D9D9D9"/>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120" w:type="dxa"/>
            <w:vAlign w:val="bottom"/>
          </w:tcPr>
          <w:p>
            <w:pPr>
              <w:spacing w:after="0"/>
              <w:rPr>
                <w:sz w:val="6"/>
                <w:szCs w:val="6"/>
                <w:color w:val="auto"/>
              </w:rPr>
            </w:pPr>
          </w:p>
        </w:tc>
        <w:tc>
          <w:tcPr>
            <w:tcW w:w="120" w:type="dxa"/>
            <w:vAlign w:val="bottom"/>
            <w:shd w:val="clear" w:color="auto" w:fill="D9D9D9"/>
          </w:tcPr>
          <w:p>
            <w:pPr>
              <w:spacing w:after="0"/>
              <w:rPr>
                <w:sz w:val="6"/>
                <w:szCs w:val="6"/>
                <w:color w:val="auto"/>
              </w:rPr>
            </w:pPr>
          </w:p>
        </w:tc>
        <w:tc>
          <w:tcPr>
            <w:tcW w:w="5080" w:type="dxa"/>
            <w:vAlign w:val="bottom"/>
            <w:vMerge w:val="continue"/>
            <w:shd w:val="clear" w:color="auto" w:fill="D9D9D9"/>
          </w:tcPr>
          <w:p>
            <w:pPr>
              <w:spacing w:after="0"/>
              <w:rPr>
                <w:sz w:val="6"/>
                <w:szCs w:val="6"/>
                <w:color w:val="auto"/>
              </w:rPr>
            </w:pPr>
          </w:p>
        </w:tc>
        <w:tc>
          <w:tcPr>
            <w:tcW w:w="1200" w:type="dxa"/>
            <w:vAlign w:val="bottom"/>
            <w:shd w:val="clear" w:color="auto" w:fill="D9D9D9"/>
          </w:tcPr>
          <w:p>
            <w:pPr>
              <w:spacing w:after="0"/>
              <w:rPr>
                <w:sz w:val="6"/>
                <w:szCs w:val="6"/>
                <w:color w:val="auto"/>
              </w:rPr>
            </w:pPr>
          </w:p>
        </w:tc>
        <w:tc>
          <w:tcPr>
            <w:tcW w:w="2360" w:type="dxa"/>
            <w:vAlign w:val="bottom"/>
            <w:shd w:val="clear" w:color="auto" w:fill="D9D9D9"/>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20" w:type="dxa"/>
            <w:vAlign w:val="bottom"/>
          </w:tcPr>
          <w:p>
            <w:pPr>
              <w:spacing w:after="0"/>
              <w:rPr>
                <w:sz w:val="5"/>
                <w:szCs w:val="5"/>
                <w:color w:val="auto"/>
              </w:rPr>
            </w:pPr>
          </w:p>
        </w:tc>
        <w:tc>
          <w:tcPr>
            <w:tcW w:w="120" w:type="dxa"/>
            <w:vAlign w:val="bottom"/>
            <w:shd w:val="clear" w:color="auto" w:fill="D9D9D9"/>
          </w:tcPr>
          <w:p>
            <w:pPr>
              <w:spacing w:after="0"/>
              <w:rPr>
                <w:sz w:val="5"/>
                <w:szCs w:val="5"/>
                <w:color w:val="auto"/>
              </w:rPr>
            </w:pPr>
          </w:p>
        </w:tc>
        <w:tc>
          <w:tcPr>
            <w:tcW w:w="5080" w:type="dxa"/>
            <w:vAlign w:val="bottom"/>
            <w:shd w:val="clear" w:color="auto" w:fill="D9D9D9"/>
          </w:tcPr>
          <w:p>
            <w:pPr>
              <w:spacing w:after="0"/>
              <w:rPr>
                <w:sz w:val="5"/>
                <w:szCs w:val="5"/>
                <w:color w:val="auto"/>
              </w:rPr>
            </w:pPr>
          </w:p>
        </w:tc>
        <w:tc>
          <w:tcPr>
            <w:tcW w:w="1200" w:type="dxa"/>
            <w:vAlign w:val="bottom"/>
            <w:shd w:val="clear" w:color="auto" w:fill="D9D9D9"/>
          </w:tcPr>
          <w:p>
            <w:pPr>
              <w:spacing w:after="0"/>
              <w:rPr>
                <w:sz w:val="5"/>
                <w:szCs w:val="5"/>
                <w:color w:val="auto"/>
              </w:rPr>
            </w:pPr>
          </w:p>
        </w:tc>
        <w:tc>
          <w:tcPr>
            <w:tcW w:w="2360" w:type="dxa"/>
            <w:vAlign w:val="bottom"/>
            <w:shd w:val="clear" w:color="auto" w:fill="D9D9D9"/>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ind w:left="60"/>
              <w:spacing w:after="0"/>
              <w:rPr>
                <w:sz w:val="20"/>
                <w:szCs w:val="20"/>
                <w:color w:val="auto"/>
              </w:rPr>
            </w:pPr>
            <w:r>
              <w:rPr>
                <w:rFonts w:ascii="Arial" w:cs="Arial" w:eastAsia="Arial" w:hAnsi="Arial"/>
                <w:sz w:val="14"/>
                <w:szCs w:val="14"/>
                <w:color w:val="333333"/>
              </w:rPr>
              <w:t>+/- change in fair value (from prior year-end to Covered Year-end) of</w:t>
            </w:r>
          </w:p>
        </w:tc>
        <w:tc>
          <w:tcPr>
            <w:tcW w:w="3560" w:type="dxa"/>
            <w:vAlign w:val="bottom"/>
            <w:gridSpan w:val="2"/>
            <w:vMerge w:val="restart"/>
          </w:tcPr>
          <w:p>
            <w:pPr>
              <w:ind w:left="2380"/>
              <w:spacing w:after="0"/>
              <w:rPr>
                <w:sz w:val="20"/>
                <w:szCs w:val="20"/>
                <w:color w:val="auto"/>
              </w:rPr>
            </w:pPr>
            <w:r>
              <w:rPr>
                <w:rFonts w:ascii="Arial" w:cs="Arial" w:eastAsia="Arial" w:hAnsi="Arial"/>
                <w:sz w:val="16"/>
                <w:szCs w:val="16"/>
                <w:color w:val="333333"/>
              </w:rPr>
              <w:t>$18,005,736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tcPr>
          <w:p>
            <w:pPr>
              <w:ind w:left="60"/>
              <w:spacing w:after="0"/>
              <w:rPr>
                <w:sz w:val="20"/>
                <w:szCs w:val="20"/>
                <w:color w:val="auto"/>
              </w:rPr>
            </w:pPr>
            <w:r>
              <w:rPr>
                <w:rFonts w:ascii="Arial" w:cs="Arial" w:eastAsia="Arial" w:hAnsi="Arial"/>
                <w:sz w:val="14"/>
                <w:szCs w:val="14"/>
                <w:color w:val="333333"/>
              </w:rPr>
              <w:t>outstanding equity awards granted in prior years that were outstanding as of</w:t>
            </w:r>
          </w:p>
        </w:tc>
        <w:tc>
          <w:tcPr>
            <w:tcW w:w="3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80" w:type="dxa"/>
            <w:vAlign w:val="bottom"/>
          </w:tcPr>
          <w:p>
            <w:pPr>
              <w:ind w:left="60"/>
              <w:spacing w:after="0"/>
              <w:rPr>
                <w:sz w:val="20"/>
                <w:szCs w:val="20"/>
                <w:color w:val="auto"/>
              </w:rPr>
            </w:pPr>
            <w:r>
              <w:rPr>
                <w:rFonts w:ascii="Arial" w:cs="Arial" w:eastAsia="Arial" w:hAnsi="Arial"/>
                <w:sz w:val="14"/>
                <w:szCs w:val="14"/>
                <w:color w:val="333333"/>
              </w:rPr>
              <w:t>Covered Year-end</w:t>
            </w:r>
          </w:p>
        </w:tc>
        <w:tc>
          <w:tcPr>
            <w:tcW w:w="1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5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120" w:type="dxa"/>
            <w:vAlign w:val="bottom"/>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080" w:type="dxa"/>
            <w:vAlign w:val="bottom"/>
            <w:shd w:val="clear" w:color="auto" w:fill="D9D9D9"/>
          </w:tcPr>
          <w:p>
            <w:pPr>
              <w:ind w:left="60"/>
              <w:spacing w:after="0"/>
              <w:rPr>
                <w:sz w:val="20"/>
                <w:szCs w:val="20"/>
                <w:color w:val="auto"/>
              </w:rPr>
            </w:pPr>
            <w:r>
              <w:rPr>
                <w:rFonts w:ascii="Arial" w:cs="Arial" w:eastAsia="Arial" w:hAnsi="Arial"/>
                <w:sz w:val="14"/>
                <w:szCs w:val="14"/>
                <w:color w:val="333333"/>
              </w:rPr>
              <w:t>+ vesting date fair value of equity awards granted and vested in Covered Year</w:t>
            </w:r>
          </w:p>
        </w:tc>
        <w:tc>
          <w:tcPr>
            <w:tcW w:w="1200" w:type="dxa"/>
            <w:vAlign w:val="bottom"/>
            <w:shd w:val="clear" w:color="auto" w:fill="D9D9D9"/>
          </w:tcPr>
          <w:p>
            <w:pPr>
              <w:spacing w:after="0"/>
              <w:rPr>
                <w:sz w:val="24"/>
                <w:szCs w:val="24"/>
                <w:color w:val="auto"/>
              </w:rPr>
            </w:pPr>
          </w:p>
        </w:tc>
        <w:tc>
          <w:tcPr>
            <w:tcW w:w="2360" w:type="dxa"/>
            <w:vAlign w:val="bottom"/>
            <w:shd w:val="clear" w:color="auto" w:fill="D9D9D9"/>
          </w:tcPr>
          <w:p>
            <w:pPr>
              <w:ind w:left="1180"/>
              <w:spacing w:after="0"/>
              <w:rPr>
                <w:sz w:val="20"/>
                <w:szCs w:val="20"/>
                <w:color w:val="auto"/>
              </w:rPr>
            </w:pPr>
            <w:r>
              <w:rPr>
                <w:rFonts w:ascii="Arial" w:cs="Arial" w:eastAsia="Arial" w:hAnsi="Arial"/>
                <w:sz w:val="16"/>
                <w:szCs w:val="16"/>
                <w:color w:val="333333"/>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120" w:type="dxa"/>
            <w:vAlign w:val="bottom"/>
            <w:shd w:val="clear" w:color="auto" w:fill="D9D9D9"/>
          </w:tcPr>
          <w:p>
            <w:pPr>
              <w:spacing w:after="0"/>
              <w:rPr>
                <w:sz w:val="6"/>
                <w:szCs w:val="6"/>
                <w:color w:val="auto"/>
              </w:rPr>
            </w:pPr>
          </w:p>
        </w:tc>
        <w:tc>
          <w:tcPr>
            <w:tcW w:w="5080" w:type="dxa"/>
            <w:vAlign w:val="bottom"/>
            <w:shd w:val="clear" w:color="auto" w:fill="D9D9D9"/>
          </w:tcPr>
          <w:p>
            <w:pPr>
              <w:spacing w:after="0"/>
              <w:rPr>
                <w:sz w:val="6"/>
                <w:szCs w:val="6"/>
                <w:color w:val="auto"/>
              </w:rPr>
            </w:pPr>
          </w:p>
        </w:tc>
        <w:tc>
          <w:tcPr>
            <w:tcW w:w="1200" w:type="dxa"/>
            <w:vAlign w:val="bottom"/>
            <w:shd w:val="clear" w:color="auto" w:fill="D9D9D9"/>
          </w:tcPr>
          <w:p>
            <w:pPr>
              <w:spacing w:after="0"/>
              <w:rPr>
                <w:sz w:val="6"/>
                <w:szCs w:val="6"/>
                <w:color w:val="auto"/>
              </w:rPr>
            </w:pPr>
          </w:p>
        </w:tc>
        <w:tc>
          <w:tcPr>
            <w:tcW w:w="2360" w:type="dxa"/>
            <w:vAlign w:val="bottom"/>
            <w:shd w:val="clear" w:color="auto" w:fill="D9D9D9"/>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ind w:left="60"/>
              <w:spacing w:after="0"/>
              <w:rPr>
                <w:sz w:val="20"/>
                <w:szCs w:val="20"/>
                <w:color w:val="auto"/>
              </w:rPr>
            </w:pPr>
            <w:r>
              <w:rPr>
                <w:rFonts w:ascii="Arial" w:cs="Arial" w:eastAsia="Arial" w:hAnsi="Arial"/>
                <w:sz w:val="14"/>
                <w:szCs w:val="14"/>
                <w:color w:val="333333"/>
              </w:rPr>
              <w:t>+/- change in fair value (from prior year-end to vesting date) of prior-year</w:t>
            </w:r>
          </w:p>
        </w:tc>
        <w:tc>
          <w:tcPr>
            <w:tcW w:w="1200" w:type="dxa"/>
            <w:vAlign w:val="bottom"/>
          </w:tcPr>
          <w:p>
            <w:pPr>
              <w:spacing w:after="0"/>
              <w:rPr>
                <w:sz w:val="20"/>
                <w:szCs w:val="20"/>
                <w:color w:val="auto"/>
              </w:rPr>
            </w:pPr>
          </w:p>
        </w:tc>
        <w:tc>
          <w:tcPr>
            <w:tcW w:w="3500" w:type="dxa"/>
            <w:vAlign w:val="bottom"/>
            <w:gridSpan w:val="2"/>
            <w:vMerge w:val="restart"/>
          </w:tcPr>
          <w:p>
            <w:pPr>
              <w:ind w:left="118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115"/>
        </w:trPr>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80" w:type="dxa"/>
            <w:vAlign w:val="bottom"/>
            <w:vMerge w:val="restart"/>
          </w:tcPr>
          <w:p>
            <w:pPr>
              <w:ind w:left="60"/>
              <w:spacing w:after="0"/>
              <w:rPr>
                <w:sz w:val="20"/>
                <w:szCs w:val="20"/>
                <w:color w:val="auto"/>
              </w:rPr>
            </w:pPr>
            <w:r>
              <w:rPr>
                <w:rFonts w:ascii="Arial" w:cs="Arial" w:eastAsia="Arial" w:hAnsi="Arial"/>
                <w:sz w:val="14"/>
                <w:szCs w:val="14"/>
                <w:color w:val="333333"/>
              </w:rPr>
              <w:t>equity awards vested in Covered Year</w:t>
            </w:r>
          </w:p>
        </w:tc>
        <w:tc>
          <w:tcPr>
            <w:tcW w:w="120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5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080" w:type="dxa"/>
            <w:vAlign w:val="bottom"/>
            <w:shd w:val="clear" w:color="auto" w:fill="D9D9D9"/>
          </w:tcPr>
          <w:p>
            <w:pPr>
              <w:ind w:left="60"/>
              <w:spacing w:after="0"/>
              <w:rPr>
                <w:sz w:val="20"/>
                <w:szCs w:val="20"/>
                <w:color w:val="auto"/>
              </w:rPr>
            </w:pPr>
            <w:r>
              <w:rPr>
                <w:rFonts w:ascii="Arial" w:cs="Arial" w:eastAsia="Arial" w:hAnsi="Arial"/>
                <w:sz w:val="14"/>
                <w:szCs w:val="14"/>
                <w:color w:val="333333"/>
              </w:rPr>
              <w:t>- prior year-end fair value of prior-year equity awards forfeited in Covered Year</w:t>
            </w:r>
          </w:p>
        </w:tc>
        <w:tc>
          <w:tcPr>
            <w:tcW w:w="1200" w:type="dxa"/>
            <w:vAlign w:val="bottom"/>
            <w:shd w:val="clear" w:color="auto" w:fill="D9D9D9"/>
          </w:tcPr>
          <w:p>
            <w:pPr>
              <w:spacing w:after="0"/>
              <w:rPr>
                <w:sz w:val="24"/>
                <w:szCs w:val="24"/>
                <w:color w:val="auto"/>
              </w:rPr>
            </w:pPr>
          </w:p>
        </w:tc>
        <w:tc>
          <w:tcPr>
            <w:tcW w:w="2360" w:type="dxa"/>
            <w:vAlign w:val="bottom"/>
            <w:shd w:val="clear" w:color="auto" w:fill="D9D9D9"/>
          </w:tcPr>
          <w:p>
            <w:pPr>
              <w:ind w:left="1180"/>
              <w:spacing w:after="0"/>
              <w:rPr>
                <w:sz w:val="20"/>
                <w:szCs w:val="20"/>
                <w:color w:val="auto"/>
              </w:rPr>
            </w:pPr>
            <w:r>
              <w:rPr>
                <w:rFonts w:ascii="Arial" w:cs="Arial" w:eastAsia="Arial" w:hAnsi="Arial"/>
                <w:sz w:val="16"/>
                <w:szCs w:val="16"/>
                <w:color w:val="333333"/>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120" w:type="dxa"/>
            <w:vAlign w:val="bottom"/>
            <w:shd w:val="clear" w:color="auto" w:fill="D9D9D9"/>
          </w:tcPr>
          <w:p>
            <w:pPr>
              <w:spacing w:after="0"/>
              <w:rPr>
                <w:sz w:val="6"/>
                <w:szCs w:val="6"/>
                <w:color w:val="auto"/>
              </w:rPr>
            </w:pPr>
          </w:p>
        </w:tc>
        <w:tc>
          <w:tcPr>
            <w:tcW w:w="5080" w:type="dxa"/>
            <w:vAlign w:val="bottom"/>
            <w:shd w:val="clear" w:color="auto" w:fill="D9D9D9"/>
          </w:tcPr>
          <w:p>
            <w:pPr>
              <w:spacing w:after="0"/>
              <w:rPr>
                <w:sz w:val="6"/>
                <w:szCs w:val="6"/>
                <w:color w:val="auto"/>
              </w:rPr>
            </w:pPr>
          </w:p>
        </w:tc>
        <w:tc>
          <w:tcPr>
            <w:tcW w:w="1200" w:type="dxa"/>
            <w:vAlign w:val="bottom"/>
            <w:shd w:val="clear" w:color="auto" w:fill="D9D9D9"/>
          </w:tcPr>
          <w:p>
            <w:pPr>
              <w:spacing w:after="0"/>
              <w:rPr>
                <w:sz w:val="6"/>
                <w:szCs w:val="6"/>
                <w:color w:val="auto"/>
              </w:rPr>
            </w:pPr>
          </w:p>
        </w:tc>
        <w:tc>
          <w:tcPr>
            <w:tcW w:w="2360" w:type="dxa"/>
            <w:vAlign w:val="bottom"/>
            <w:shd w:val="clear" w:color="auto" w:fill="D9D9D9"/>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tcPr>
          <w:p>
            <w:pPr>
              <w:ind w:left="60"/>
              <w:spacing w:after="0"/>
              <w:rPr>
                <w:sz w:val="20"/>
                <w:szCs w:val="20"/>
                <w:color w:val="auto"/>
              </w:rPr>
            </w:pPr>
            <w:r>
              <w:rPr>
                <w:rFonts w:ascii="Arial" w:cs="Arial" w:eastAsia="Arial" w:hAnsi="Arial"/>
                <w:sz w:val="14"/>
                <w:szCs w:val="14"/>
                <w:color w:val="333333"/>
              </w:rPr>
              <w:t>+ includable dividends/earnings on equity awards during Covered Year</w:t>
            </w:r>
          </w:p>
        </w:tc>
        <w:tc>
          <w:tcPr>
            <w:tcW w:w="1200" w:type="dxa"/>
            <w:vAlign w:val="bottom"/>
          </w:tcPr>
          <w:p>
            <w:pPr>
              <w:spacing w:after="0"/>
              <w:rPr>
                <w:sz w:val="24"/>
                <w:szCs w:val="24"/>
                <w:color w:val="auto"/>
              </w:rPr>
            </w:pPr>
          </w:p>
        </w:tc>
        <w:tc>
          <w:tcPr>
            <w:tcW w:w="3500" w:type="dxa"/>
            <w:vAlign w:val="bottom"/>
            <w:gridSpan w:val="2"/>
          </w:tcPr>
          <w:p>
            <w:pPr>
              <w:ind w:left="118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120" w:type="dxa"/>
            <w:vAlign w:val="bottom"/>
            <w:tcBorders>
              <w:bottom w:val="single" w:sz="8" w:color="808080"/>
            </w:tcBorders>
            <w:shd w:val="clear" w:color="auto" w:fill="808080"/>
          </w:tcPr>
          <w:p>
            <w:pPr>
              <w:spacing w:after="0"/>
              <w:rPr>
                <w:sz w:val="21"/>
                <w:szCs w:val="21"/>
                <w:color w:val="auto"/>
              </w:rPr>
            </w:pPr>
          </w:p>
        </w:tc>
        <w:tc>
          <w:tcPr>
            <w:tcW w:w="5080" w:type="dxa"/>
            <w:vAlign w:val="bottom"/>
            <w:tcBorders>
              <w:bottom w:val="single" w:sz="8" w:color="808080"/>
            </w:tcBorders>
            <w:shd w:val="clear" w:color="auto" w:fill="808080"/>
          </w:tcPr>
          <w:p>
            <w:pPr>
              <w:ind w:left="60"/>
              <w:spacing w:after="0"/>
              <w:rPr>
                <w:sz w:val="20"/>
                <w:szCs w:val="20"/>
                <w:color w:val="auto"/>
              </w:rPr>
            </w:pPr>
            <w:r>
              <w:rPr>
                <w:rFonts w:ascii="Arial" w:cs="Arial" w:eastAsia="Arial" w:hAnsi="Arial"/>
                <w:sz w:val="13"/>
                <w:szCs w:val="13"/>
                <w:b w:val="1"/>
                <w:bCs w:val="1"/>
                <w:color w:val="FFFFFF"/>
              </w:rPr>
              <w:t>Compensation Actually Paid:</w:t>
            </w:r>
          </w:p>
        </w:tc>
        <w:tc>
          <w:tcPr>
            <w:tcW w:w="3560" w:type="dxa"/>
            <w:vAlign w:val="bottom"/>
            <w:tcBorders>
              <w:bottom w:val="single" w:sz="8" w:color="808080"/>
            </w:tcBorders>
            <w:gridSpan w:val="2"/>
            <w:shd w:val="clear" w:color="auto" w:fill="808080"/>
          </w:tcPr>
          <w:p>
            <w:pPr>
              <w:ind w:left="2380"/>
              <w:spacing w:after="0"/>
              <w:rPr>
                <w:sz w:val="20"/>
                <w:szCs w:val="20"/>
                <w:color w:val="auto"/>
              </w:rPr>
            </w:pPr>
            <w:r>
              <w:rPr>
                <w:rFonts w:ascii="Arial" w:cs="Arial" w:eastAsia="Arial" w:hAnsi="Arial"/>
                <w:sz w:val="13"/>
                <w:szCs w:val="13"/>
                <w:b w:val="1"/>
                <w:bCs w:val="1"/>
                <w:color w:val="FFFFFF"/>
              </w:rPr>
              <w:t>$21,140,906</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0"/>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00" w:type="dxa"/>
            <w:vAlign w:val="bottom"/>
            <w:gridSpan w:val="2"/>
          </w:tcPr>
          <w:p>
            <w:pPr>
              <w:ind w:left="260"/>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61</w:t>
            </w:r>
          </w:p>
        </w:tc>
        <w:tc>
          <w:tcPr>
            <w:tcW w:w="0" w:type="dxa"/>
            <w:vAlign w:val="bottom"/>
          </w:tcPr>
          <w:p>
            <w:pPr>
              <w:spacing w:after="0"/>
              <w:rPr>
                <w:sz w:val="1"/>
                <w:szCs w:val="1"/>
                <w:color w:val="auto"/>
              </w:rPr>
            </w:pPr>
          </w:p>
        </w:tc>
      </w:tr>
      <w:tr>
        <w:trPr>
          <w:trHeight w:val="170"/>
        </w:trPr>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-3608070</wp:posOffset>
            </wp:positionV>
            <wp:extent cx="32232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CF1D4C"/>
        </w:rPr>
        <w:t>PAY VERSUS PERFORMANCE DISCLOSURE</w:t>
      </w:r>
    </w:p>
    <w:p>
      <w:pPr>
        <w:spacing w:after="0" w:line="365" w:lineRule="exact"/>
        <w:rPr>
          <w:sz w:val="20"/>
          <w:szCs w:val="20"/>
          <w:color w:val="auto"/>
        </w:rPr>
      </w:pPr>
    </w:p>
    <w:tbl>
      <w:tblPr>
        <w:tblLayout w:type="fixed"/>
        <w:tblInd w:w="640" w:type="dxa"/>
        <w:tblCellMar>
          <w:top w:w="0" w:type="dxa"/>
          <w:left w:w="0" w:type="dxa"/>
          <w:bottom w:w="0" w:type="dxa"/>
          <w:right w:w="0" w:type="dxa"/>
        </w:tblCellMar>
      </w:tblPr>
      <w:tr>
        <w:trPr>
          <w:trHeight w:val="252"/>
        </w:trPr>
        <w:tc>
          <w:tcPr>
            <w:tcW w:w="6360" w:type="dxa"/>
            <w:vAlign w:val="bottom"/>
            <w:shd w:val="clear" w:color="auto" w:fill="CF1D4C"/>
          </w:tcPr>
          <w:p>
            <w:pPr>
              <w:ind w:left="160"/>
              <w:spacing w:after="0"/>
              <w:rPr>
                <w:sz w:val="20"/>
                <w:szCs w:val="20"/>
                <w:color w:val="auto"/>
              </w:rPr>
            </w:pPr>
            <w:r>
              <w:rPr>
                <w:rFonts w:ascii="Arial" w:cs="Arial" w:eastAsia="Arial" w:hAnsi="Arial"/>
                <w:sz w:val="13"/>
                <w:szCs w:val="13"/>
                <w:b w:val="1"/>
                <w:bCs w:val="1"/>
                <w:color w:val="FFFFFF"/>
              </w:rPr>
              <w:t>For Non-PEO NEOs (Average):</w:t>
            </w:r>
          </w:p>
        </w:tc>
        <w:tc>
          <w:tcPr>
            <w:tcW w:w="2400" w:type="dxa"/>
            <w:vAlign w:val="bottom"/>
            <w:vMerge w:val="restart"/>
            <w:shd w:val="clear" w:color="auto" w:fill="CF1D4C"/>
          </w:tcPr>
          <w:p>
            <w:pPr>
              <w:ind w:left="1220"/>
              <w:spacing w:after="0"/>
              <w:rPr>
                <w:sz w:val="20"/>
                <w:szCs w:val="20"/>
                <w:color w:val="auto"/>
              </w:rPr>
            </w:pPr>
            <w:r>
              <w:rPr>
                <w:rFonts w:ascii="Arial" w:cs="Arial" w:eastAsia="Arial" w:hAnsi="Arial"/>
                <w:sz w:val="13"/>
                <w:szCs w:val="13"/>
                <w:b w:val="1"/>
                <w:bCs w:val="1"/>
                <w:color w:val="FFFFFF"/>
              </w:rPr>
              <w:t>$3,076,074</w:t>
            </w:r>
          </w:p>
        </w:tc>
        <w:tc>
          <w:tcPr>
            <w:tcW w:w="0" w:type="dxa"/>
            <w:vAlign w:val="bottom"/>
          </w:tcPr>
          <w:p>
            <w:pPr>
              <w:spacing w:after="0"/>
              <w:rPr>
                <w:sz w:val="1"/>
                <w:szCs w:val="1"/>
                <w:color w:val="auto"/>
              </w:rPr>
            </w:pPr>
          </w:p>
        </w:tc>
      </w:tr>
      <w:tr>
        <w:trPr>
          <w:trHeight w:val="172"/>
        </w:trPr>
        <w:tc>
          <w:tcPr>
            <w:tcW w:w="6360" w:type="dxa"/>
            <w:vAlign w:val="bottom"/>
            <w:shd w:val="clear" w:color="auto" w:fill="CF1D4C"/>
          </w:tcPr>
          <w:p>
            <w:pPr>
              <w:ind w:left="160"/>
              <w:spacing w:after="0"/>
              <w:rPr>
                <w:sz w:val="20"/>
                <w:szCs w:val="20"/>
                <w:color w:val="auto"/>
              </w:rPr>
            </w:pPr>
            <w:r>
              <w:rPr>
                <w:rFonts w:ascii="Arial" w:cs="Arial" w:eastAsia="Arial" w:hAnsi="Arial"/>
                <w:sz w:val="13"/>
                <w:szCs w:val="13"/>
                <w:b w:val="1"/>
                <w:bCs w:val="1"/>
                <w:color w:val="FFFFFF"/>
              </w:rPr>
              <w:t>Summary Compensation Table Total:</w:t>
            </w:r>
          </w:p>
        </w:tc>
        <w:tc>
          <w:tcPr>
            <w:tcW w:w="2400" w:type="dxa"/>
            <w:vAlign w:val="bottom"/>
            <w:vMerge w:val="continue"/>
            <w:shd w:val="clear" w:color="auto" w:fill="CF1D4C"/>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6360" w:type="dxa"/>
            <w:vAlign w:val="bottom"/>
            <w:shd w:val="clear" w:color="auto" w:fill="CF1D4C"/>
          </w:tcPr>
          <w:p>
            <w:pPr>
              <w:spacing w:after="0"/>
              <w:rPr>
                <w:sz w:val="5"/>
                <w:szCs w:val="5"/>
                <w:color w:val="auto"/>
              </w:rPr>
            </w:pPr>
          </w:p>
        </w:tc>
        <w:tc>
          <w:tcPr>
            <w:tcW w:w="2400" w:type="dxa"/>
            <w:vAlign w:val="bottom"/>
            <w:shd w:val="clear" w:color="auto" w:fill="CF1D4C"/>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6360" w:type="dxa"/>
            <w:vAlign w:val="bottom"/>
          </w:tcPr>
          <w:p>
            <w:pPr>
              <w:ind w:left="160"/>
              <w:spacing w:after="0"/>
              <w:rPr>
                <w:sz w:val="20"/>
                <w:szCs w:val="20"/>
                <w:color w:val="auto"/>
              </w:rPr>
            </w:pPr>
            <w:r>
              <w:rPr>
                <w:rFonts w:ascii="Arial" w:cs="Arial" w:eastAsia="Arial" w:hAnsi="Arial"/>
                <w:sz w:val="14"/>
                <w:szCs w:val="14"/>
                <w:color w:val="333333"/>
              </w:rPr>
              <w:t>- change in actuarial present value of pension benefits</w:t>
            </w:r>
          </w:p>
        </w:tc>
        <w:tc>
          <w:tcPr>
            <w:tcW w:w="2400" w:type="dxa"/>
            <w:vAlign w:val="bottom"/>
          </w:tcPr>
          <w:p>
            <w:pPr>
              <w:ind w:left="122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70"/>
        </w:trPr>
        <w:tc>
          <w:tcPr>
            <w:tcW w:w="636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6360" w:type="dxa"/>
            <w:vAlign w:val="bottom"/>
            <w:shd w:val="clear" w:color="auto" w:fill="D9D9D9"/>
          </w:tcPr>
          <w:p>
            <w:pPr>
              <w:ind w:left="160"/>
              <w:spacing w:after="0"/>
              <w:rPr>
                <w:sz w:val="20"/>
                <w:szCs w:val="20"/>
                <w:color w:val="auto"/>
              </w:rPr>
            </w:pPr>
            <w:r>
              <w:rPr>
                <w:rFonts w:ascii="Arial" w:cs="Arial" w:eastAsia="Arial" w:hAnsi="Arial"/>
                <w:sz w:val="14"/>
                <w:szCs w:val="14"/>
                <w:color w:val="333333"/>
              </w:rPr>
              <w:t>+ service cost of pension benefits</w:t>
            </w:r>
          </w:p>
        </w:tc>
        <w:tc>
          <w:tcPr>
            <w:tcW w:w="2400" w:type="dxa"/>
            <w:vAlign w:val="bottom"/>
            <w:shd w:val="clear" w:color="auto" w:fill="D9D9D9"/>
          </w:tcPr>
          <w:p>
            <w:pPr>
              <w:ind w:left="122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69"/>
        </w:trPr>
        <w:tc>
          <w:tcPr>
            <w:tcW w:w="6360" w:type="dxa"/>
            <w:vAlign w:val="bottom"/>
            <w:shd w:val="clear" w:color="auto" w:fill="D9D9D9"/>
          </w:tcPr>
          <w:p>
            <w:pPr>
              <w:spacing w:after="0"/>
              <w:rPr>
                <w:sz w:val="6"/>
                <w:szCs w:val="6"/>
                <w:color w:val="auto"/>
              </w:rPr>
            </w:pPr>
          </w:p>
        </w:tc>
        <w:tc>
          <w:tcPr>
            <w:tcW w:w="240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6360" w:type="dxa"/>
            <w:vAlign w:val="bottom"/>
          </w:tcPr>
          <w:p>
            <w:pPr>
              <w:ind w:left="160"/>
              <w:spacing w:after="0"/>
              <w:rPr>
                <w:sz w:val="20"/>
                <w:szCs w:val="20"/>
                <w:color w:val="auto"/>
              </w:rPr>
            </w:pPr>
            <w:r>
              <w:rPr>
                <w:rFonts w:ascii="Arial" w:cs="Arial" w:eastAsia="Arial" w:hAnsi="Arial"/>
                <w:sz w:val="14"/>
                <w:szCs w:val="14"/>
                <w:color w:val="333333"/>
              </w:rPr>
              <w:t>+ prior service cost of pension benefits</w:t>
            </w:r>
          </w:p>
        </w:tc>
        <w:tc>
          <w:tcPr>
            <w:tcW w:w="2400" w:type="dxa"/>
            <w:vAlign w:val="bottom"/>
          </w:tcPr>
          <w:p>
            <w:pPr>
              <w:ind w:left="122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70"/>
        </w:trPr>
        <w:tc>
          <w:tcPr>
            <w:tcW w:w="636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6360" w:type="dxa"/>
            <w:vAlign w:val="bottom"/>
            <w:shd w:val="clear" w:color="auto" w:fill="D9D9D9"/>
          </w:tcPr>
          <w:p>
            <w:pPr>
              <w:ind w:left="160"/>
              <w:spacing w:after="0"/>
              <w:rPr>
                <w:sz w:val="20"/>
                <w:szCs w:val="20"/>
                <w:color w:val="auto"/>
              </w:rPr>
            </w:pPr>
            <w:r>
              <w:rPr>
                <w:rFonts w:ascii="Arial" w:cs="Arial" w:eastAsia="Arial" w:hAnsi="Arial"/>
                <w:sz w:val="14"/>
                <w:szCs w:val="14"/>
                <w:color w:val="333333"/>
              </w:rPr>
              <w:t>- SCT “Stock Awards” column value</w:t>
            </w:r>
          </w:p>
        </w:tc>
        <w:tc>
          <w:tcPr>
            <w:tcW w:w="2400" w:type="dxa"/>
            <w:vAlign w:val="bottom"/>
            <w:shd w:val="clear" w:color="auto" w:fill="D9D9D9"/>
          </w:tcPr>
          <w:p>
            <w:pPr>
              <w:ind w:left="1220"/>
              <w:spacing w:after="0"/>
              <w:rPr>
                <w:sz w:val="20"/>
                <w:szCs w:val="20"/>
                <w:color w:val="auto"/>
              </w:rPr>
            </w:pPr>
            <w:r>
              <w:rPr>
                <w:rFonts w:ascii="Arial" w:cs="Arial" w:eastAsia="Arial" w:hAnsi="Arial"/>
                <w:sz w:val="16"/>
                <w:szCs w:val="16"/>
                <w:color w:val="333333"/>
              </w:rPr>
              <w:t>($1,682,023)</w:t>
            </w:r>
          </w:p>
        </w:tc>
        <w:tc>
          <w:tcPr>
            <w:tcW w:w="0" w:type="dxa"/>
            <w:vAlign w:val="bottom"/>
          </w:tcPr>
          <w:p>
            <w:pPr>
              <w:spacing w:after="0"/>
              <w:rPr>
                <w:sz w:val="1"/>
                <w:szCs w:val="1"/>
                <w:color w:val="auto"/>
              </w:rPr>
            </w:pPr>
          </w:p>
        </w:tc>
      </w:tr>
      <w:tr>
        <w:trPr>
          <w:trHeight w:val="70"/>
        </w:trPr>
        <w:tc>
          <w:tcPr>
            <w:tcW w:w="6360" w:type="dxa"/>
            <w:vAlign w:val="bottom"/>
            <w:shd w:val="clear" w:color="auto" w:fill="D9D9D9"/>
          </w:tcPr>
          <w:p>
            <w:pPr>
              <w:spacing w:after="0"/>
              <w:rPr>
                <w:sz w:val="6"/>
                <w:szCs w:val="6"/>
                <w:color w:val="auto"/>
              </w:rPr>
            </w:pPr>
          </w:p>
        </w:tc>
        <w:tc>
          <w:tcPr>
            <w:tcW w:w="240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6360" w:type="dxa"/>
            <w:vAlign w:val="bottom"/>
          </w:tcPr>
          <w:p>
            <w:pPr>
              <w:ind w:left="160"/>
              <w:spacing w:after="0"/>
              <w:rPr>
                <w:sz w:val="20"/>
                <w:szCs w:val="20"/>
                <w:color w:val="auto"/>
              </w:rPr>
            </w:pPr>
            <w:r>
              <w:rPr>
                <w:rFonts w:ascii="Arial" w:cs="Arial" w:eastAsia="Arial" w:hAnsi="Arial"/>
                <w:sz w:val="14"/>
                <w:szCs w:val="14"/>
                <w:color w:val="333333"/>
              </w:rPr>
              <w:t>- SCT “Option Awards” column value</w:t>
            </w:r>
          </w:p>
        </w:tc>
        <w:tc>
          <w:tcPr>
            <w:tcW w:w="2400" w:type="dxa"/>
            <w:vAlign w:val="bottom"/>
          </w:tcPr>
          <w:p>
            <w:pPr>
              <w:ind w:left="1220"/>
              <w:spacing w:after="0"/>
              <w:rPr>
                <w:sz w:val="20"/>
                <w:szCs w:val="20"/>
                <w:color w:val="auto"/>
              </w:rPr>
            </w:pPr>
            <w:r>
              <w:rPr>
                <w:rFonts w:ascii="Arial" w:cs="Arial" w:eastAsia="Arial" w:hAnsi="Arial"/>
                <w:sz w:val="16"/>
                <w:szCs w:val="16"/>
                <w:color w:val="333333"/>
              </w:rPr>
              <w:t>($900,026)</w:t>
            </w:r>
          </w:p>
        </w:tc>
        <w:tc>
          <w:tcPr>
            <w:tcW w:w="0" w:type="dxa"/>
            <w:vAlign w:val="bottom"/>
          </w:tcPr>
          <w:p>
            <w:pPr>
              <w:spacing w:after="0"/>
              <w:rPr>
                <w:sz w:val="1"/>
                <w:szCs w:val="1"/>
                <w:color w:val="auto"/>
              </w:rPr>
            </w:pPr>
          </w:p>
        </w:tc>
      </w:tr>
      <w:tr>
        <w:trPr>
          <w:trHeight w:val="70"/>
        </w:trPr>
        <w:tc>
          <w:tcPr>
            <w:tcW w:w="636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6360" w:type="dxa"/>
            <w:vAlign w:val="bottom"/>
            <w:shd w:val="clear" w:color="auto" w:fill="D9D9D9"/>
          </w:tcPr>
          <w:p>
            <w:pPr>
              <w:ind w:left="160"/>
              <w:spacing w:after="0"/>
              <w:rPr>
                <w:sz w:val="20"/>
                <w:szCs w:val="20"/>
                <w:color w:val="auto"/>
              </w:rPr>
            </w:pPr>
            <w:r>
              <w:rPr>
                <w:rFonts w:ascii="Arial" w:cs="Arial" w:eastAsia="Arial" w:hAnsi="Arial"/>
                <w:sz w:val="14"/>
                <w:szCs w:val="14"/>
                <w:color w:val="333333"/>
              </w:rPr>
              <w:t>+ year-end fair value of outstanding equity awards granted in Covered Year</w:t>
            </w:r>
          </w:p>
        </w:tc>
        <w:tc>
          <w:tcPr>
            <w:tcW w:w="2400" w:type="dxa"/>
            <w:vAlign w:val="bottom"/>
            <w:vMerge w:val="restart"/>
            <w:shd w:val="clear" w:color="auto" w:fill="D9D9D9"/>
          </w:tcPr>
          <w:p>
            <w:pPr>
              <w:ind w:left="1220"/>
              <w:spacing w:after="0"/>
              <w:rPr>
                <w:sz w:val="20"/>
                <w:szCs w:val="20"/>
                <w:color w:val="auto"/>
              </w:rPr>
            </w:pPr>
            <w:r>
              <w:rPr>
                <w:rFonts w:ascii="Arial" w:cs="Arial" w:eastAsia="Arial" w:hAnsi="Arial"/>
                <w:sz w:val="16"/>
                <w:szCs w:val="16"/>
                <w:color w:val="333333"/>
              </w:rPr>
              <w:t>$3,761,198</w:t>
            </w:r>
          </w:p>
        </w:tc>
        <w:tc>
          <w:tcPr>
            <w:tcW w:w="0" w:type="dxa"/>
            <w:vAlign w:val="bottom"/>
          </w:tcPr>
          <w:p>
            <w:pPr>
              <w:spacing w:after="0"/>
              <w:rPr>
                <w:sz w:val="1"/>
                <w:szCs w:val="1"/>
                <w:color w:val="auto"/>
              </w:rPr>
            </w:pPr>
          </w:p>
        </w:tc>
      </w:tr>
      <w:tr>
        <w:trPr>
          <w:trHeight w:val="115"/>
        </w:trPr>
        <w:tc>
          <w:tcPr>
            <w:tcW w:w="6360" w:type="dxa"/>
            <w:vAlign w:val="bottom"/>
            <w:vMerge w:val="restart"/>
            <w:shd w:val="clear" w:color="auto" w:fill="D9D9D9"/>
          </w:tcPr>
          <w:p>
            <w:pPr>
              <w:ind w:left="160"/>
              <w:spacing w:after="0"/>
              <w:rPr>
                <w:sz w:val="20"/>
                <w:szCs w:val="20"/>
                <w:color w:val="auto"/>
              </w:rPr>
            </w:pPr>
            <w:r>
              <w:rPr>
                <w:rFonts w:ascii="Arial" w:cs="Arial" w:eastAsia="Arial" w:hAnsi="Arial"/>
                <w:sz w:val="14"/>
                <w:szCs w:val="14"/>
                <w:color w:val="333333"/>
              </w:rPr>
              <w:t>that were outstanding as of Covered Year-end</w:t>
            </w:r>
          </w:p>
        </w:tc>
        <w:tc>
          <w:tcPr>
            <w:tcW w:w="2400" w:type="dxa"/>
            <w:vAlign w:val="bottom"/>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6360" w:type="dxa"/>
            <w:vAlign w:val="bottom"/>
            <w:vMerge w:val="continue"/>
            <w:shd w:val="clear" w:color="auto" w:fill="D9D9D9"/>
          </w:tcPr>
          <w:p>
            <w:pPr>
              <w:spacing w:after="0"/>
              <w:rPr>
                <w:sz w:val="6"/>
                <w:szCs w:val="6"/>
                <w:color w:val="auto"/>
              </w:rPr>
            </w:pPr>
          </w:p>
        </w:tc>
        <w:tc>
          <w:tcPr>
            <w:tcW w:w="240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360" w:type="dxa"/>
            <w:vAlign w:val="bottom"/>
            <w:shd w:val="clear" w:color="auto" w:fill="D9D9D9"/>
          </w:tcPr>
          <w:p>
            <w:pPr>
              <w:spacing w:after="0"/>
              <w:rPr>
                <w:sz w:val="5"/>
                <w:szCs w:val="5"/>
                <w:color w:val="auto"/>
              </w:rPr>
            </w:pPr>
          </w:p>
        </w:tc>
        <w:tc>
          <w:tcPr>
            <w:tcW w:w="240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160"/>
              <w:spacing w:after="0"/>
              <w:rPr>
                <w:sz w:val="20"/>
                <w:szCs w:val="20"/>
                <w:color w:val="auto"/>
              </w:rPr>
            </w:pPr>
            <w:r>
              <w:rPr>
                <w:rFonts w:ascii="Arial" w:cs="Arial" w:eastAsia="Arial" w:hAnsi="Arial"/>
                <w:sz w:val="14"/>
                <w:szCs w:val="14"/>
                <w:color w:val="333333"/>
              </w:rPr>
              <w:t>+/- change in fair value (from prior year-end to Covered Year-end) of</w:t>
            </w:r>
          </w:p>
        </w:tc>
        <w:tc>
          <w:tcPr>
            <w:tcW w:w="2400" w:type="dxa"/>
            <w:vAlign w:val="bottom"/>
            <w:vMerge w:val="restart"/>
          </w:tcPr>
          <w:p>
            <w:pPr>
              <w:ind w:left="1220"/>
              <w:spacing w:after="0"/>
              <w:rPr>
                <w:sz w:val="20"/>
                <w:szCs w:val="20"/>
                <w:color w:val="auto"/>
              </w:rPr>
            </w:pPr>
            <w:r>
              <w:rPr>
                <w:rFonts w:ascii="Arial" w:cs="Arial" w:eastAsia="Arial" w:hAnsi="Arial"/>
                <w:sz w:val="16"/>
                <w:szCs w:val="16"/>
                <w:color w:val="333333"/>
              </w:rPr>
              <w:t>$1,491,552</w:t>
            </w:r>
          </w:p>
        </w:tc>
        <w:tc>
          <w:tcPr>
            <w:tcW w:w="0" w:type="dxa"/>
            <w:vAlign w:val="bottom"/>
          </w:tcPr>
          <w:p>
            <w:pPr>
              <w:spacing w:after="0"/>
              <w:rPr>
                <w:sz w:val="1"/>
                <w:szCs w:val="1"/>
                <w:color w:val="auto"/>
              </w:rPr>
            </w:pPr>
          </w:p>
        </w:tc>
      </w:tr>
      <w:tr>
        <w:trPr>
          <w:trHeight w:val="162"/>
        </w:trPr>
        <w:tc>
          <w:tcPr>
            <w:tcW w:w="6360" w:type="dxa"/>
            <w:vAlign w:val="bottom"/>
          </w:tcPr>
          <w:p>
            <w:pPr>
              <w:ind w:left="160"/>
              <w:spacing w:after="0"/>
              <w:rPr>
                <w:sz w:val="20"/>
                <w:szCs w:val="20"/>
                <w:color w:val="auto"/>
              </w:rPr>
            </w:pPr>
            <w:r>
              <w:rPr>
                <w:rFonts w:ascii="Arial" w:cs="Arial" w:eastAsia="Arial" w:hAnsi="Arial"/>
                <w:sz w:val="14"/>
                <w:szCs w:val="14"/>
                <w:color w:val="333333"/>
              </w:rPr>
              <w:t>outstanding equity awards granted in prior years that were outstanding as of</w:t>
            </w: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360" w:type="dxa"/>
            <w:vAlign w:val="bottom"/>
          </w:tcPr>
          <w:p>
            <w:pPr>
              <w:ind w:left="160"/>
              <w:spacing w:after="0"/>
              <w:rPr>
                <w:sz w:val="20"/>
                <w:szCs w:val="20"/>
                <w:color w:val="auto"/>
              </w:rPr>
            </w:pPr>
            <w:r>
              <w:rPr>
                <w:rFonts w:ascii="Arial" w:cs="Arial" w:eastAsia="Arial" w:hAnsi="Arial"/>
                <w:sz w:val="14"/>
                <w:szCs w:val="14"/>
                <w:color w:val="333333"/>
              </w:rPr>
              <w:t>Covered Year-end</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6360" w:type="dxa"/>
            <w:vAlign w:val="bottom"/>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6360" w:type="dxa"/>
            <w:vAlign w:val="bottom"/>
            <w:shd w:val="clear" w:color="auto" w:fill="D9D9D9"/>
          </w:tcPr>
          <w:p>
            <w:pPr>
              <w:ind w:left="160"/>
              <w:spacing w:after="0"/>
              <w:rPr>
                <w:sz w:val="20"/>
                <w:szCs w:val="20"/>
                <w:color w:val="auto"/>
              </w:rPr>
            </w:pPr>
            <w:r>
              <w:rPr>
                <w:rFonts w:ascii="Arial" w:cs="Arial" w:eastAsia="Arial" w:hAnsi="Arial"/>
                <w:sz w:val="14"/>
                <w:szCs w:val="14"/>
                <w:color w:val="333333"/>
              </w:rPr>
              <w:t>+ vesting date fair value of equity awards granted and vested in Covered Year</w:t>
            </w:r>
          </w:p>
        </w:tc>
        <w:tc>
          <w:tcPr>
            <w:tcW w:w="2400" w:type="dxa"/>
            <w:vAlign w:val="bottom"/>
            <w:shd w:val="clear" w:color="auto" w:fill="D9D9D9"/>
          </w:tcPr>
          <w:p>
            <w:pPr>
              <w:ind w:left="1220"/>
              <w:spacing w:after="0"/>
              <w:rPr>
                <w:sz w:val="20"/>
                <w:szCs w:val="20"/>
                <w:color w:val="auto"/>
              </w:rPr>
            </w:pPr>
            <w:r>
              <w:rPr>
                <w:rFonts w:ascii="Arial" w:cs="Arial" w:eastAsia="Arial" w:hAnsi="Arial"/>
                <w:sz w:val="16"/>
                <w:szCs w:val="16"/>
                <w:color w:val="333333"/>
              </w:rPr>
              <w:t>$19,851</w:t>
            </w:r>
          </w:p>
        </w:tc>
        <w:tc>
          <w:tcPr>
            <w:tcW w:w="0" w:type="dxa"/>
            <w:vAlign w:val="bottom"/>
          </w:tcPr>
          <w:p>
            <w:pPr>
              <w:spacing w:after="0"/>
              <w:rPr>
                <w:sz w:val="1"/>
                <w:szCs w:val="1"/>
                <w:color w:val="auto"/>
              </w:rPr>
            </w:pPr>
          </w:p>
        </w:tc>
      </w:tr>
      <w:tr>
        <w:trPr>
          <w:trHeight w:val="70"/>
        </w:trPr>
        <w:tc>
          <w:tcPr>
            <w:tcW w:w="6360" w:type="dxa"/>
            <w:vAlign w:val="bottom"/>
            <w:shd w:val="clear" w:color="auto" w:fill="D9D9D9"/>
          </w:tcPr>
          <w:p>
            <w:pPr>
              <w:spacing w:after="0"/>
              <w:rPr>
                <w:sz w:val="6"/>
                <w:szCs w:val="6"/>
                <w:color w:val="auto"/>
              </w:rPr>
            </w:pPr>
          </w:p>
        </w:tc>
        <w:tc>
          <w:tcPr>
            <w:tcW w:w="240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160"/>
              <w:spacing w:after="0"/>
              <w:rPr>
                <w:sz w:val="20"/>
                <w:szCs w:val="20"/>
                <w:color w:val="auto"/>
              </w:rPr>
            </w:pPr>
            <w:r>
              <w:rPr>
                <w:rFonts w:ascii="Arial" w:cs="Arial" w:eastAsia="Arial" w:hAnsi="Arial"/>
                <w:sz w:val="14"/>
                <w:szCs w:val="14"/>
                <w:color w:val="333333"/>
              </w:rPr>
              <w:t>+/- change in fair value (from prior year-end to vesting date) of prior-year</w:t>
            </w:r>
          </w:p>
        </w:tc>
        <w:tc>
          <w:tcPr>
            <w:tcW w:w="2400" w:type="dxa"/>
            <w:vAlign w:val="bottom"/>
            <w:vMerge w:val="restart"/>
          </w:tcPr>
          <w:p>
            <w:pPr>
              <w:ind w:left="1220"/>
              <w:spacing w:after="0"/>
              <w:rPr>
                <w:sz w:val="20"/>
                <w:szCs w:val="20"/>
                <w:color w:val="auto"/>
              </w:rPr>
            </w:pPr>
            <w:r>
              <w:rPr>
                <w:rFonts w:ascii="Arial" w:cs="Arial" w:eastAsia="Arial" w:hAnsi="Arial"/>
                <w:sz w:val="16"/>
                <w:szCs w:val="16"/>
                <w:color w:val="333333"/>
              </w:rPr>
              <w:t>$207,101</w:t>
            </w:r>
          </w:p>
        </w:tc>
        <w:tc>
          <w:tcPr>
            <w:tcW w:w="0" w:type="dxa"/>
            <w:vAlign w:val="bottom"/>
          </w:tcPr>
          <w:p>
            <w:pPr>
              <w:spacing w:after="0"/>
              <w:rPr>
                <w:sz w:val="1"/>
                <w:szCs w:val="1"/>
                <w:color w:val="auto"/>
              </w:rPr>
            </w:pPr>
          </w:p>
        </w:tc>
      </w:tr>
      <w:tr>
        <w:trPr>
          <w:trHeight w:val="115"/>
        </w:trPr>
        <w:tc>
          <w:tcPr>
            <w:tcW w:w="6360" w:type="dxa"/>
            <w:vAlign w:val="bottom"/>
            <w:vMerge w:val="restart"/>
          </w:tcPr>
          <w:p>
            <w:pPr>
              <w:ind w:left="160"/>
              <w:spacing w:after="0"/>
              <w:rPr>
                <w:sz w:val="20"/>
                <w:szCs w:val="20"/>
                <w:color w:val="auto"/>
              </w:rPr>
            </w:pPr>
            <w:r>
              <w:rPr>
                <w:rFonts w:ascii="Arial" w:cs="Arial" w:eastAsia="Arial" w:hAnsi="Arial"/>
                <w:sz w:val="14"/>
                <w:szCs w:val="14"/>
                <w:color w:val="333333"/>
              </w:rPr>
              <w:t>equity awards vested in Covered Year</w:t>
            </w: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6360" w:type="dxa"/>
            <w:vAlign w:val="bottom"/>
            <w:vMerge w:val="continue"/>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360" w:type="dxa"/>
            <w:vAlign w:val="bottom"/>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6360" w:type="dxa"/>
            <w:vAlign w:val="bottom"/>
            <w:shd w:val="clear" w:color="auto" w:fill="D9D9D9"/>
          </w:tcPr>
          <w:p>
            <w:pPr>
              <w:ind w:left="160"/>
              <w:spacing w:after="0"/>
              <w:rPr>
                <w:sz w:val="20"/>
                <w:szCs w:val="20"/>
                <w:color w:val="auto"/>
              </w:rPr>
            </w:pPr>
            <w:r>
              <w:rPr>
                <w:rFonts w:ascii="Arial" w:cs="Arial" w:eastAsia="Arial" w:hAnsi="Arial"/>
                <w:sz w:val="14"/>
                <w:szCs w:val="14"/>
                <w:color w:val="333333"/>
              </w:rPr>
              <w:t>- prior year-end fair value of prior-year equity awards forfeited in Covered Year</w:t>
            </w:r>
          </w:p>
        </w:tc>
        <w:tc>
          <w:tcPr>
            <w:tcW w:w="2400" w:type="dxa"/>
            <w:vAlign w:val="bottom"/>
            <w:shd w:val="clear" w:color="auto" w:fill="D9D9D9"/>
          </w:tcPr>
          <w:p>
            <w:pPr>
              <w:ind w:left="1220"/>
              <w:spacing w:after="0"/>
              <w:rPr>
                <w:sz w:val="20"/>
                <w:szCs w:val="20"/>
                <w:color w:val="auto"/>
              </w:rPr>
            </w:pPr>
            <w:r>
              <w:rPr>
                <w:rFonts w:ascii="Arial" w:cs="Arial" w:eastAsia="Arial" w:hAnsi="Arial"/>
                <w:sz w:val="16"/>
                <w:szCs w:val="16"/>
                <w:color w:val="333333"/>
              </w:rPr>
              <w:t>($59,510)</w:t>
            </w:r>
          </w:p>
        </w:tc>
        <w:tc>
          <w:tcPr>
            <w:tcW w:w="0" w:type="dxa"/>
            <w:vAlign w:val="bottom"/>
          </w:tcPr>
          <w:p>
            <w:pPr>
              <w:spacing w:after="0"/>
              <w:rPr>
                <w:sz w:val="1"/>
                <w:szCs w:val="1"/>
                <w:color w:val="auto"/>
              </w:rPr>
            </w:pPr>
          </w:p>
        </w:tc>
      </w:tr>
      <w:tr>
        <w:trPr>
          <w:trHeight w:val="70"/>
        </w:trPr>
        <w:tc>
          <w:tcPr>
            <w:tcW w:w="6360" w:type="dxa"/>
            <w:vAlign w:val="bottom"/>
            <w:shd w:val="clear" w:color="auto" w:fill="D9D9D9"/>
          </w:tcPr>
          <w:p>
            <w:pPr>
              <w:spacing w:after="0"/>
              <w:rPr>
                <w:sz w:val="6"/>
                <w:szCs w:val="6"/>
                <w:color w:val="auto"/>
              </w:rPr>
            </w:pPr>
          </w:p>
        </w:tc>
        <w:tc>
          <w:tcPr>
            <w:tcW w:w="240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6360" w:type="dxa"/>
            <w:vAlign w:val="bottom"/>
          </w:tcPr>
          <w:p>
            <w:pPr>
              <w:ind w:left="160"/>
              <w:spacing w:after="0"/>
              <w:rPr>
                <w:sz w:val="20"/>
                <w:szCs w:val="20"/>
                <w:color w:val="auto"/>
              </w:rPr>
            </w:pPr>
            <w:r>
              <w:rPr>
                <w:rFonts w:ascii="Arial" w:cs="Arial" w:eastAsia="Arial" w:hAnsi="Arial"/>
                <w:sz w:val="14"/>
                <w:szCs w:val="14"/>
                <w:color w:val="333333"/>
              </w:rPr>
              <w:t>+ includable dividends/earnings on equity awards during Covered Year</w:t>
            </w:r>
          </w:p>
        </w:tc>
        <w:tc>
          <w:tcPr>
            <w:tcW w:w="2400" w:type="dxa"/>
            <w:vAlign w:val="bottom"/>
          </w:tcPr>
          <w:p>
            <w:pPr>
              <w:ind w:left="1220"/>
              <w:spacing w:after="0"/>
              <w:rPr>
                <w:sz w:val="20"/>
                <w:szCs w:val="20"/>
                <w:color w:val="auto"/>
              </w:rPr>
            </w:pPr>
            <w:r>
              <w:rPr>
                <w:rFonts w:ascii="Arial" w:cs="Arial" w:eastAsia="Arial" w:hAnsi="Arial"/>
                <w:sz w:val="16"/>
                <w:szCs w:val="16"/>
                <w:color w:val="333333"/>
              </w:rPr>
              <w:t>—</w:t>
            </w:r>
          </w:p>
        </w:tc>
        <w:tc>
          <w:tcPr>
            <w:tcW w:w="0" w:type="dxa"/>
            <w:vAlign w:val="bottom"/>
          </w:tcPr>
          <w:p>
            <w:pPr>
              <w:spacing w:after="0"/>
              <w:rPr>
                <w:sz w:val="1"/>
                <w:szCs w:val="1"/>
                <w:color w:val="auto"/>
              </w:rPr>
            </w:pPr>
          </w:p>
        </w:tc>
      </w:tr>
      <w:tr>
        <w:trPr>
          <w:trHeight w:val="70"/>
        </w:trPr>
        <w:tc>
          <w:tcPr>
            <w:tcW w:w="636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6360" w:type="dxa"/>
            <w:vAlign w:val="bottom"/>
            <w:shd w:val="clear" w:color="auto" w:fill="808080"/>
          </w:tcPr>
          <w:p>
            <w:pPr>
              <w:ind w:left="160"/>
              <w:spacing w:after="0"/>
              <w:rPr>
                <w:sz w:val="20"/>
                <w:szCs w:val="20"/>
                <w:color w:val="auto"/>
              </w:rPr>
            </w:pPr>
            <w:r>
              <w:rPr>
                <w:rFonts w:ascii="Arial" w:cs="Arial" w:eastAsia="Arial" w:hAnsi="Arial"/>
                <w:sz w:val="13"/>
                <w:szCs w:val="13"/>
                <w:b w:val="1"/>
                <w:bCs w:val="1"/>
                <w:color w:val="FFFFFF"/>
              </w:rPr>
              <w:t>Compensation Actually Paid:</w:t>
            </w:r>
          </w:p>
        </w:tc>
        <w:tc>
          <w:tcPr>
            <w:tcW w:w="2400" w:type="dxa"/>
            <w:vAlign w:val="bottom"/>
            <w:shd w:val="clear" w:color="auto" w:fill="808080"/>
          </w:tcPr>
          <w:p>
            <w:pPr>
              <w:ind w:left="1220"/>
              <w:spacing w:after="0"/>
              <w:rPr>
                <w:sz w:val="20"/>
                <w:szCs w:val="20"/>
                <w:color w:val="auto"/>
              </w:rPr>
            </w:pPr>
            <w:r>
              <w:rPr>
                <w:rFonts w:ascii="Arial" w:cs="Arial" w:eastAsia="Arial" w:hAnsi="Arial"/>
                <w:sz w:val="13"/>
                <w:szCs w:val="13"/>
                <w:b w:val="1"/>
                <w:bCs w:val="1"/>
                <w:color w:val="FFFFFF"/>
              </w:rPr>
              <w:t>$5,914,216</w:t>
            </w:r>
          </w:p>
        </w:tc>
        <w:tc>
          <w:tcPr>
            <w:tcW w:w="0" w:type="dxa"/>
            <w:vAlign w:val="bottom"/>
          </w:tcPr>
          <w:p>
            <w:pPr>
              <w:spacing w:after="0"/>
              <w:rPr>
                <w:sz w:val="1"/>
                <w:szCs w:val="1"/>
                <w:color w:val="auto"/>
              </w:rPr>
            </w:pPr>
          </w:p>
        </w:tc>
      </w:tr>
      <w:tr>
        <w:trPr>
          <w:trHeight w:val="35"/>
        </w:trPr>
        <w:tc>
          <w:tcPr>
            <w:tcW w:w="6360" w:type="dxa"/>
            <w:vAlign w:val="bottom"/>
            <w:shd w:val="clear" w:color="auto" w:fill="808080"/>
          </w:tcPr>
          <w:p>
            <w:pPr>
              <w:spacing w:after="0"/>
              <w:rPr>
                <w:sz w:val="3"/>
                <w:szCs w:val="3"/>
                <w:color w:val="auto"/>
              </w:rPr>
            </w:pPr>
          </w:p>
        </w:tc>
        <w:tc>
          <w:tcPr>
            <w:tcW w:w="2400" w:type="dxa"/>
            <w:vAlign w:val="bottom"/>
            <w:shd w:val="clear" w:color="auto" w:fill="80808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660" w:right="159" w:hanging="10"/>
        <w:spacing w:after="0" w:line="241" w:lineRule="auto"/>
        <w:tabs>
          <w:tab w:leader="none" w:pos="849" w:val="left"/>
        </w:tabs>
        <w:numPr>
          <w:ilvl w:val="0"/>
          <w:numId w:val="110"/>
        </w:numPr>
        <w:rPr>
          <w:rFonts w:ascii="Arial" w:cs="Arial" w:eastAsia="Arial" w:hAnsi="Arial"/>
          <w:sz w:val="12"/>
          <w:szCs w:val="12"/>
          <w:i w:val="1"/>
          <w:iCs w:val="1"/>
          <w:color w:val="333333"/>
        </w:rPr>
      </w:pPr>
      <w:r>
        <w:rPr>
          <w:rFonts w:ascii="Arial" w:cs="Arial" w:eastAsia="Arial" w:hAnsi="Arial"/>
          <w:sz w:val="12"/>
          <w:szCs w:val="12"/>
          <w:i w:val="1"/>
          <w:iCs w:val="1"/>
          <w:color w:val="333333"/>
        </w:rPr>
        <w:t>For each Covered Year, our TSR was calculated as the yearly percentage change in our cumulative total shareholder return on our common stock, par value $0.001 per share, measured as the quotient of (a) the sum of (i) the cumulative amount of dividends for a period beginning with our closing price on the NYSE on December 31, 2019 through and including the last day of the fiscal year covered (each one-year, two-year, three-year, and four-year period, the “Measurement Period”), assuming dividend reinvestment, plus (ii) the difference between our closing stock price at the end versus the beginning of the Measurement Period, divided by (b) our closing share price at the beginning of the Measurement Period. Each of these yearly percentage changes was then applied to a deemed fixed investment of $100 at the beginning of the Measurement Period to produce the Covered Year-end values of such investment as of the end of 2023, 2022, 2021 and 2020, as applicable. Because Covered Years are presented in the table in reverse chronological order (from top to bottom), the table should be read from bottom to top for purposes of understanding cumulative returns over time.</w:t>
      </w:r>
    </w:p>
    <w:p>
      <w:pPr>
        <w:ind w:left="660" w:right="239" w:hanging="10"/>
        <w:spacing w:after="0" w:line="231" w:lineRule="auto"/>
        <w:tabs>
          <w:tab w:leader="none" w:pos="849" w:val="left"/>
        </w:tabs>
        <w:numPr>
          <w:ilvl w:val="0"/>
          <w:numId w:val="110"/>
        </w:numPr>
        <w:rPr>
          <w:rFonts w:ascii="Arial" w:cs="Arial" w:eastAsia="Arial" w:hAnsi="Arial"/>
          <w:sz w:val="13"/>
          <w:szCs w:val="13"/>
          <w:i w:val="1"/>
          <w:iCs w:val="1"/>
          <w:color w:val="333333"/>
        </w:rPr>
      </w:pPr>
      <w:r>
        <w:rPr>
          <w:rFonts w:ascii="Arial" w:cs="Arial" w:eastAsia="Arial" w:hAnsi="Arial"/>
          <w:sz w:val="13"/>
          <w:szCs w:val="13"/>
          <w:i w:val="1"/>
          <w:iCs w:val="1"/>
          <w:color w:val="333333"/>
        </w:rPr>
        <w:t>For purposes of this pay versus performance disclosure, our peer group is the S&amp;P 500® Data Processing &amp; Outsourced Services Sub Industry Index (the “PVP Peer Group”). For each Covered Year, our peer group cumulative total shareholder return was calculated based on a deemed fixed investment of $100 through the Measurement Period, assuming dividend reinvestment, in the PVP Peer Group.</w:t>
      </w:r>
    </w:p>
    <w:p>
      <w:pPr>
        <w:ind w:left="840" w:hanging="190"/>
        <w:spacing w:after="0"/>
        <w:tabs>
          <w:tab w:leader="none" w:pos="840" w:val="left"/>
        </w:tabs>
        <w:numPr>
          <w:ilvl w:val="0"/>
          <w:numId w:val="110"/>
        </w:numPr>
        <w:rPr>
          <w:rFonts w:ascii="Arial" w:cs="Arial" w:eastAsia="Arial" w:hAnsi="Arial"/>
          <w:sz w:val="13"/>
          <w:szCs w:val="13"/>
          <w:i w:val="1"/>
          <w:iCs w:val="1"/>
          <w:color w:val="333333"/>
        </w:rPr>
      </w:pPr>
      <w:r>
        <w:rPr>
          <w:rFonts w:ascii="Arial" w:cs="Arial" w:eastAsia="Arial" w:hAnsi="Arial"/>
          <w:sz w:val="13"/>
          <w:szCs w:val="13"/>
          <w:i w:val="1"/>
          <w:iCs w:val="1"/>
          <w:color w:val="333333"/>
        </w:rPr>
        <w:t>Net income is calculated in accordance with United States Generally Accepted Accounting Principles.</w:t>
      </w:r>
    </w:p>
    <w:p>
      <w:pPr>
        <w:spacing w:after="0" w:line="12" w:lineRule="exact"/>
        <w:rPr>
          <w:rFonts w:ascii="Arial" w:cs="Arial" w:eastAsia="Arial" w:hAnsi="Arial"/>
          <w:sz w:val="13"/>
          <w:szCs w:val="13"/>
          <w:i w:val="1"/>
          <w:iCs w:val="1"/>
          <w:color w:val="333333"/>
        </w:rPr>
      </w:pPr>
    </w:p>
    <w:p>
      <w:pPr>
        <w:ind w:left="660" w:right="279" w:hanging="10"/>
        <w:spacing w:after="0" w:line="231" w:lineRule="auto"/>
        <w:tabs>
          <w:tab w:leader="none" w:pos="849" w:val="left"/>
        </w:tabs>
        <w:numPr>
          <w:ilvl w:val="0"/>
          <w:numId w:val="110"/>
        </w:numPr>
        <w:rPr>
          <w:rFonts w:ascii="Arial" w:cs="Arial" w:eastAsia="Arial" w:hAnsi="Arial"/>
          <w:sz w:val="13"/>
          <w:szCs w:val="13"/>
          <w:i w:val="1"/>
          <w:iCs w:val="1"/>
          <w:color w:val="333333"/>
        </w:rPr>
      </w:pPr>
      <w:r>
        <w:rPr>
          <w:rFonts w:ascii="Arial" w:cs="Arial" w:eastAsia="Arial" w:hAnsi="Arial"/>
          <w:sz w:val="13"/>
          <w:szCs w:val="13"/>
          <w:i w:val="1"/>
          <w:iCs w:val="1"/>
          <w:color w:val="333333"/>
        </w:rPr>
        <w:t>Adjusted EPS-COMP is Adjusted EPS (or adjusted net income per diluted share), calculated as set forth on Appendix A, further adjusted to exclude the impact of (a) the macro-environment (including foreign exchange rates, fuel prices, tax rates, fuel price spreads and interest rate fluctuations), and (b) acquisitions and divestitures.</w:t>
      </w:r>
    </w:p>
    <w:p>
      <w:pPr>
        <w:spacing w:after="0" w:line="190"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62 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40" w:hanging="290"/>
        <w:spacing w:after="0"/>
        <w:tabs>
          <w:tab w:leader="none" w:pos="94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CF1D4C"/>
        </w:rPr>
        <w:t>PAY VERSUS PERFORMANCE DISCLOSURE</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charts to the right provide, across the Covered Years,</w:t>
      </w:r>
    </w:p>
    <w:p>
      <w:pPr>
        <w:spacing w:after="0" w:line="21" w:lineRule="exact"/>
        <w:rPr>
          <w:sz w:val="20"/>
          <w:szCs w:val="20"/>
          <w:color w:val="auto"/>
        </w:rPr>
      </w:pPr>
    </w:p>
    <w:p>
      <w:pPr>
        <w:ind w:left="660" w:right="20" w:hanging="10"/>
        <w:spacing w:after="0" w:line="258" w:lineRule="auto"/>
        <w:tabs>
          <w:tab w:leader="none" w:pos="90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comparison between our cumulative TSR and the cumulative TSR of the PVP Peer Group, and (2) illustrations of the relationships between (A) the CAP to the PEO and the average CAP to our non-PEO NEOs (in each case as set forth in the PVP Table above) and (B) each of the performance measures set forth in columns (f), (h) and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(i) of the PVP Table above.</w:t>
      </w:r>
    </w:p>
    <w:p>
      <w:pPr>
        <w:spacing w:after="0" w:line="178" w:lineRule="exact"/>
        <w:rPr>
          <w:sz w:val="20"/>
          <w:szCs w:val="20"/>
          <w:color w:val="auto"/>
        </w:rPr>
      </w:pPr>
    </w:p>
    <w:p>
      <w:pPr>
        <w:ind w:left="660" w:right="180"/>
        <w:spacing w:after="0" w:line="264" w:lineRule="auto"/>
        <w:rPr>
          <w:sz w:val="20"/>
          <w:szCs w:val="20"/>
          <w:color w:val="auto"/>
        </w:rPr>
      </w:pPr>
      <w:r>
        <w:rPr>
          <w:rFonts w:ascii="Arial" w:cs="Arial" w:eastAsia="Arial" w:hAnsi="Arial"/>
          <w:sz w:val="16"/>
          <w:szCs w:val="16"/>
          <w:color w:val="auto"/>
        </w:rPr>
        <w:t>For a discussion of how our compensation committee assessed “pay-for-performance” and how our executive compensation program is designed to link executive compensation with the achievement of our financial and strategic objectives as well as stockholder value creation each year, see the “Compensation Discussion and Analysis” in this Proxy Statement.</w:t>
      </w:r>
    </w:p>
    <w:p>
      <w:pPr>
        <w:spacing w:after="0" w:line="149"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color w:val="auto"/>
        </w:rPr>
        <w:t>The following table lists the three financial performance measures that we believe represent the most important financial performance measures we used to link compensation actually paid to our named executive officers for fiscal 2023 to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28575</wp:posOffset>
            </wp:positionV>
            <wp:extent cx="2691765" cy="4800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691765" cy="480060"/>
                    </a:xfrm>
                    <a:prstGeom prst="rect">
                      <a:avLst/>
                    </a:prstGeom>
                    <a:noFill/>
                  </pic:spPr>
                </pic:pic>
              </a:graphicData>
            </a:graphic>
          </wp:anchor>
        </w:drawing>
      </w:r>
    </w:p>
    <w:p>
      <w:pPr>
        <w:spacing w:after="0" w:line="227" w:lineRule="exact"/>
        <w:rPr>
          <w:sz w:val="20"/>
          <w:szCs w:val="20"/>
          <w:color w:val="auto"/>
        </w:rPr>
      </w:pPr>
    </w:p>
    <w:p>
      <w:pPr>
        <w:jc w:val="right"/>
        <w:ind w:right="1180"/>
        <w:spacing w:after="0"/>
        <w:rPr>
          <w:sz w:val="20"/>
          <w:szCs w:val="20"/>
          <w:color w:val="auto"/>
        </w:rPr>
      </w:pPr>
      <w:r>
        <w:rPr>
          <w:rFonts w:ascii="Arial" w:cs="Arial" w:eastAsia="Arial" w:hAnsi="Arial"/>
          <w:sz w:val="16"/>
          <w:szCs w:val="16"/>
          <w:b w:val="1"/>
          <w:bCs w:val="1"/>
          <w:color w:val="FFFFFF"/>
        </w:rPr>
        <w:t>Most Important Financial</w:t>
      </w:r>
    </w:p>
    <w:p>
      <w:pPr>
        <w:spacing w:after="0" w:line="21" w:lineRule="exact"/>
        <w:rPr>
          <w:sz w:val="20"/>
          <w:szCs w:val="20"/>
          <w:color w:val="auto"/>
        </w:rPr>
      </w:pPr>
    </w:p>
    <w:p>
      <w:pPr>
        <w:jc w:val="right"/>
        <w:ind w:right="1240"/>
        <w:spacing w:after="0"/>
        <w:rPr>
          <w:sz w:val="20"/>
          <w:szCs w:val="20"/>
          <w:color w:val="auto"/>
        </w:rPr>
      </w:pPr>
      <w:r>
        <w:rPr>
          <w:rFonts w:ascii="Arial" w:cs="Arial" w:eastAsia="Arial" w:hAnsi="Arial"/>
          <w:sz w:val="16"/>
          <w:szCs w:val="16"/>
          <w:b w:val="1"/>
          <w:bCs w:val="1"/>
          <w:color w:val="FFFFFF"/>
        </w:rPr>
        <w:t>Performance Measures</w:t>
      </w:r>
    </w:p>
    <w:p>
      <w:pPr>
        <w:spacing w:after="0" w:line="313" w:lineRule="exact"/>
        <w:rPr>
          <w:sz w:val="20"/>
          <w:szCs w:val="20"/>
          <w:color w:val="auto"/>
        </w:rPr>
      </w:pPr>
    </w:p>
    <w:p>
      <w:pPr>
        <w:ind w:left="2000"/>
        <w:spacing w:after="0"/>
        <w:rPr>
          <w:sz w:val="20"/>
          <w:szCs w:val="20"/>
          <w:color w:val="auto"/>
        </w:rPr>
      </w:pPr>
      <w:r>
        <w:rPr>
          <w:rFonts w:ascii="Arial" w:cs="Arial" w:eastAsia="Arial" w:hAnsi="Arial"/>
          <w:sz w:val="16"/>
          <w:szCs w:val="16"/>
          <w:color w:val="333333"/>
        </w:rPr>
        <w:t>Adjusted EPS-COMP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114935</wp:posOffset>
            </wp:positionV>
            <wp:extent cx="2691765" cy="3257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691765" cy="325755"/>
                    </a:xfrm>
                    <a:prstGeom prst="rect">
                      <a:avLst/>
                    </a:prstGeom>
                    <a:noFill/>
                  </pic:spPr>
                </pic:pic>
              </a:graphicData>
            </a:graphic>
          </wp:anchor>
        </w:drawing>
      </w:r>
    </w:p>
    <w:p>
      <w:pPr>
        <w:spacing w:after="0" w:line="309" w:lineRule="exact"/>
        <w:rPr>
          <w:sz w:val="20"/>
          <w:szCs w:val="20"/>
          <w:color w:val="auto"/>
        </w:rPr>
      </w:pPr>
    </w:p>
    <w:p>
      <w:pPr>
        <w:ind w:left="1740"/>
        <w:spacing w:after="0"/>
        <w:rPr>
          <w:sz w:val="20"/>
          <w:szCs w:val="20"/>
          <w:color w:val="auto"/>
        </w:rPr>
      </w:pPr>
      <w:r>
        <w:rPr>
          <w:rFonts w:ascii="Arial" w:cs="Arial" w:eastAsia="Arial" w:hAnsi="Arial"/>
          <w:sz w:val="16"/>
          <w:szCs w:val="16"/>
          <w:color w:val="333333"/>
        </w:rPr>
        <w:t>GAAP Revenue, as adjusted</w:t>
      </w:r>
    </w:p>
    <w:p>
      <w:pPr>
        <w:spacing w:after="0" w:line="329" w:lineRule="exact"/>
        <w:rPr>
          <w:sz w:val="20"/>
          <w:szCs w:val="20"/>
          <w:color w:val="auto"/>
        </w:rPr>
      </w:pPr>
    </w:p>
    <w:p>
      <w:pPr>
        <w:ind w:left="2360"/>
        <w:spacing w:after="0"/>
        <w:rPr>
          <w:sz w:val="20"/>
          <w:szCs w:val="20"/>
          <w:color w:val="auto"/>
        </w:rPr>
      </w:pPr>
      <w:r>
        <w:rPr>
          <w:rFonts w:ascii="Arial" w:cs="Arial" w:eastAsia="Arial" w:hAnsi="Arial"/>
          <w:sz w:val="16"/>
          <w:szCs w:val="16"/>
          <w:color w:val="333333"/>
        </w:rPr>
        <w:t>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-2027555</wp:posOffset>
            </wp:positionV>
            <wp:extent cx="2597150" cy="42087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97150" cy="420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2708910" cy="19456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70891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125095</wp:posOffset>
            </wp:positionV>
            <wp:extent cx="69951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900" w:space="240"/>
            <w:col w:w="4900"/>
          </w:cols>
          <w:pgMar w:left="920" w:top="114" w:right="9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660" w:right="280" w:hanging="10"/>
        <w:spacing w:after="0" w:line="271" w:lineRule="auto"/>
        <w:tabs>
          <w:tab w:leader="none" w:pos="96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CF1D4C"/>
        </w:rPr>
        <w:t>CERTAIN RELATIONSHIPS AND RELATED-PARTY TRANSACTIONS</w:t>
      </w:r>
    </w:p>
    <w:p>
      <w:pPr>
        <w:spacing w:after="0" w:line="200" w:lineRule="exact"/>
        <w:rPr>
          <w:sz w:val="20"/>
          <w:szCs w:val="20"/>
          <w:color w:val="auto"/>
        </w:rPr>
      </w:pPr>
    </w:p>
    <w:p>
      <w:pPr>
        <w:spacing w:after="0" w:line="201"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333333"/>
        </w:rPr>
        <w:t>Our audit committee is responsible for reviewing and approving transactions with the Company involving $120,000 or more in any calendar year, and in which certain related persons have a direct or indirect material interest. A related person is: (1) any of our directors, nominees for director or executive officers, (2) any immediate family member of a director, nominee for director or executive officer, and (3) any person, and his or her immediate family members, or entity that was a beneficial owner of 5% or more of any of our outstanding equity securities at the time the transaction occurred or existed. The policy does not apply to compensation and benefits subject to compensation committee approval, transactions below certain dollar thresholds in which the related party’s interest is indirect and other specified transactions. Our policy is published on our website at https://investor.corpay.com.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left="300" w:hanging="290"/>
        <w:spacing w:after="0"/>
        <w:tabs>
          <w:tab w:leader="none" w:pos="300"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CF1D4C"/>
        </w:rPr>
        <w:t>FIVE YEAR STOCK PERFORMANCE GRAPH</w:t>
      </w:r>
    </w:p>
    <w:p>
      <w:pPr>
        <w:spacing w:after="0" w:line="200" w:lineRule="exact"/>
        <w:rPr>
          <w:sz w:val="20"/>
          <w:szCs w:val="20"/>
          <w:color w:val="auto"/>
        </w:rPr>
      </w:pPr>
    </w:p>
    <w:p>
      <w:pPr>
        <w:spacing w:after="0" w:line="219" w:lineRule="exact"/>
        <w:rPr>
          <w:sz w:val="20"/>
          <w:szCs w:val="20"/>
          <w:color w:val="auto"/>
        </w:rPr>
      </w:pPr>
    </w:p>
    <w:p>
      <w:pPr>
        <w:ind w:right="159"/>
        <w:spacing w:after="0" w:line="250" w:lineRule="auto"/>
        <w:rPr>
          <w:sz w:val="20"/>
          <w:szCs w:val="20"/>
          <w:color w:val="auto"/>
        </w:rPr>
      </w:pPr>
      <w:r>
        <w:rPr>
          <w:rFonts w:ascii="Arial" w:cs="Arial" w:eastAsia="Arial" w:hAnsi="Arial"/>
          <w:sz w:val="16"/>
          <w:szCs w:val="16"/>
          <w:color w:val="333333"/>
        </w:rPr>
        <w:t>The graph assumes $100 invested on December 31, 2018, at the closing per share price of our common shares on that day ($185.72) through December 31, 2023, and compares (a) the percentage change of our cumulative total shareholder return on the common shares (as measured by dividing (i) the difference between our share price at the end and the beginning of the period presented by (ii) the share price at the beginning of the periods presented) with (b) (i) the S&amp;P 500® Data Processing &amp; Outsourced Services index and (ii) the S&amp;P 500®.</w:t>
      </w:r>
    </w:p>
    <w:p>
      <w:pPr>
        <w:spacing w:after="0" w:line="1609" w:lineRule="exact"/>
        <w:rPr>
          <w:sz w:val="20"/>
          <w:szCs w:val="20"/>
          <w:color w:val="auto"/>
        </w:rPr>
      </w:pPr>
    </w:p>
    <w:p>
      <w:pPr>
        <w:sectPr>
          <w:pgSz w:w="11900" w:h="16838" w:orient="portrait"/>
          <w:cols w:equalWidth="0" w:num="2">
            <w:col w:w="4840" w:space="300"/>
            <w:col w:w="4399"/>
          </w:cols>
          <w:pgMar w:left="920" w:top="114"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960" w:hanging="310"/>
        <w:spacing w:after="0"/>
        <w:tabs>
          <w:tab w:leader="none" w:pos="96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CF1D4C"/>
        </w:rPr>
        <w:t>DELINQUENT SECTION 16(A) REPORTS</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Section 16(a) of the Exchange Act of 1934 requires our</w:t>
      </w:r>
    </w:p>
    <w:p>
      <w:pPr>
        <w:ind w:left="660"/>
        <w:spacing w:after="0" w:line="182" w:lineRule="auto"/>
        <w:tabs>
          <w:tab w:leader="none" w:pos="5120" w:val="left"/>
        </w:tabs>
        <w:rPr>
          <w:sz w:val="20"/>
          <w:szCs w:val="20"/>
          <w:color w:val="auto"/>
        </w:rPr>
      </w:pPr>
      <w:r>
        <w:rPr>
          <w:rFonts w:ascii="Arial" w:cs="Arial" w:eastAsia="Arial" w:hAnsi="Arial"/>
          <w:sz w:val="16"/>
          <w:szCs w:val="16"/>
          <w:color w:val="333333"/>
        </w:rPr>
        <w:t>directors, executive officers, and persons who own more</w:t>
      </w:r>
      <w:r>
        <w:rPr>
          <w:sz w:val="20"/>
          <w:szCs w:val="20"/>
          <w:color w:val="auto"/>
        </w:rPr>
        <w:tab/>
      </w:r>
      <w:r>
        <w:rPr>
          <w:rFonts w:ascii="Arial" w:cs="Arial" w:eastAsia="Arial" w:hAnsi="Arial"/>
          <w:sz w:val="24"/>
          <w:szCs w:val="24"/>
          <w:color w:val="333333"/>
          <w:vertAlign w:val="subscript"/>
        </w:rPr>
        <w:t> </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than 10% of our common shares to file reports of their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ownership and changes in ownership of our common</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shares with the SEC. Our employees prepare these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reports for our directors and executive officers who request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it on the basis of information obtained from them and from</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our records. Based on information available to us during</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fiscal year 2023, and representations made to us by the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reporting persons, we believe that all reports were made in</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a timely manner other than one report for Messrs. Clarke,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Throop, Gupta, Panther, Buckman, Farrelly, Jones,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Macchia, Stull and Hagerty and Ms. Bexiga, two reports for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Messrs. Sloan and Netto and Mses. Vickery and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Moddelmog, and three reports for Mr. King, all of which</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were filed late due to administrative error.</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64 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CF1D4C"/>
        </w:rPr>
        <w:t>AUDIT COMMITTEE REPORT</w:t>
      </w:r>
    </w:p>
    <w:p>
      <w:pPr>
        <w:spacing w:after="0" w:line="200" w:lineRule="exact"/>
        <w:rPr>
          <w:sz w:val="20"/>
          <w:szCs w:val="20"/>
          <w:color w:val="auto"/>
        </w:rPr>
      </w:pPr>
    </w:p>
    <w:p>
      <w:pPr>
        <w:spacing w:after="0" w:line="259" w:lineRule="exact"/>
        <w:rPr>
          <w:sz w:val="20"/>
          <w:szCs w:val="20"/>
          <w:color w:val="auto"/>
        </w:rPr>
      </w:pPr>
    </w:p>
    <w:p>
      <w:pPr>
        <w:ind w:left="660" w:right="120"/>
        <w:spacing w:after="0" w:line="259" w:lineRule="auto"/>
        <w:rPr>
          <w:sz w:val="20"/>
          <w:szCs w:val="20"/>
          <w:color w:val="auto"/>
        </w:rPr>
      </w:pPr>
      <w:r>
        <w:rPr>
          <w:rFonts w:ascii="Arial" w:cs="Arial" w:eastAsia="Arial" w:hAnsi="Arial"/>
          <w:sz w:val="16"/>
          <w:szCs w:val="16"/>
          <w:color w:val="333333"/>
        </w:rPr>
        <w:t>Our audit committee operates under a written charter adopted by the Board. It is available on our website at https://investor.corpay.com under Corporate Governance. The audit committee reviews the charter annually.</w:t>
      </w:r>
    </w:p>
    <w:p>
      <w:pPr>
        <w:spacing w:after="0" w:line="151"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333333"/>
        </w:rPr>
        <w:t>The Board reviews annually the NYSE’s listing standards definition of independence for audit committee members to determine that each member of the audit committee meets the standards. The Board has determined that Mr. Macchia and Mr. Throop are “audit committee financial experts” as defined by SEC rules.</w:t>
      </w:r>
    </w:p>
    <w:p>
      <w:pPr>
        <w:spacing w:after="0" w:line="141"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333333"/>
        </w:rPr>
        <w:t>The Board has the ultimate authority for effective corporate governance, including oversight of management. The audit committee assists the Board in fulfilling its responsibilities by overseeing the Company’s accounting and financial reporting processes, the audits of the Company’s consolidated financial statements and internal control over financial reporting, the qualifications and performance of the independent registered public accounting firm engaged as the Company’s independent auditor, and the performance of the Company’s internal audit function.</w:t>
      </w:r>
    </w:p>
    <w:p>
      <w:pPr>
        <w:spacing w:after="0" w:line="149"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333333"/>
        </w:rPr>
        <w:t>The audit committee relies on the expertise and knowledge of management, the internal audit function and the independent auditor in carrying out its oversight responsibilities. Management is responsible for the preparation, presentation, and integrity of the Company’s consolidated financial statements, accounting and financial reporting principles, internal control over financial reporting, and disclosure controls and procedures designed to ensure compliance with accounting standards, applicable laws and regulations. Management is responsible for objectively reviewing and evaluating the adequacy, effectiveness and quality of the Company’s system of internal control. Ernst &amp; Young LLP, our independent auditor, is responsible for performing an independent audit of the consolidated financial statements and expressing an opinion on the conformity of those financial statements with GAAP. The independent auditor also is responsible for expressing an opinion on the effectiveness of our internal control over financial reporting.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960"/>
        <w:spacing w:after="0" w:line="259" w:lineRule="auto"/>
        <w:rPr>
          <w:sz w:val="20"/>
          <w:szCs w:val="20"/>
          <w:color w:val="auto"/>
        </w:rPr>
      </w:pPr>
      <w:r>
        <w:rPr>
          <w:rFonts w:ascii="Arial" w:cs="Arial" w:eastAsia="Arial" w:hAnsi="Arial"/>
          <w:sz w:val="16"/>
          <w:szCs w:val="16"/>
          <w:color w:val="auto"/>
        </w:rPr>
        <w:t>The audit committee met six times during 2023. In connection with the audit of our consolidated financial statements for the year ended December 31, 2023, the audit committee, among other actions:</w:t>
      </w:r>
    </w:p>
    <w:p>
      <w:pPr>
        <w:spacing w:after="0" w:line="164" w:lineRule="exact"/>
        <w:rPr>
          <w:sz w:val="20"/>
          <w:szCs w:val="20"/>
          <w:color w:val="auto"/>
        </w:rPr>
      </w:pPr>
    </w:p>
    <w:p>
      <w:pPr>
        <w:ind w:left="240" w:right="680" w:hanging="233"/>
        <w:spacing w:after="0"/>
        <w:rPr>
          <w:sz w:val="20"/>
          <w:szCs w:val="20"/>
          <w:color w:val="auto"/>
        </w:rPr>
      </w:pPr>
      <w:r>
        <w:rPr>
          <w:sz w:val="1"/>
          <w:szCs w:val="1"/>
          <w:color w:val="auto"/>
        </w:rPr>
        <w:drawing>
          <wp:inline distT="0" distB="0" distL="0" distR="0">
            <wp:extent cx="77470" cy="9398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Reviewed and discussed the Company’s earnings press release, consolidated financial statements and its annual report on Form 10-K, with management and the independent auditor</w:t>
      </w:r>
    </w:p>
    <w:p>
      <w:pPr>
        <w:spacing w:after="0" w:line="177" w:lineRule="exact"/>
        <w:rPr>
          <w:sz w:val="20"/>
          <w:szCs w:val="20"/>
          <w:color w:val="auto"/>
        </w:rPr>
      </w:pPr>
    </w:p>
    <w:p>
      <w:pPr>
        <w:ind w:left="240" w:right="720" w:hanging="233"/>
        <w:spacing w:after="0"/>
        <w:rPr>
          <w:sz w:val="20"/>
          <w:szCs w:val="20"/>
          <w:color w:val="auto"/>
        </w:rPr>
      </w:pPr>
      <w:r>
        <w:rPr>
          <w:sz w:val="1"/>
          <w:szCs w:val="1"/>
          <w:color w:val="auto"/>
        </w:rPr>
        <w:drawing>
          <wp:inline distT="0" distB="0" distL="0" distR="0">
            <wp:extent cx="77470" cy="94615"/>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auto"/>
        </w:rPr>
        <w:t>  Reviewed with management and the independent auditor management’s assessment of the effectiveness of our internal control over financial reporting</w:t>
      </w:r>
    </w:p>
    <w:p>
      <w:pPr>
        <w:spacing w:after="0" w:line="163" w:lineRule="exact"/>
        <w:rPr>
          <w:sz w:val="20"/>
          <w:szCs w:val="20"/>
          <w:color w:val="auto"/>
        </w:rPr>
      </w:pPr>
    </w:p>
    <w:p>
      <w:pPr>
        <w:ind w:left="240" w:right="1140" w:hanging="233"/>
        <w:spacing w:after="0"/>
        <w:rPr>
          <w:sz w:val="20"/>
          <w:szCs w:val="20"/>
          <w:color w:val="auto"/>
        </w:rPr>
      </w:pPr>
      <w:r>
        <w:rPr>
          <w:sz w:val="1"/>
          <w:szCs w:val="1"/>
          <w:color w:val="auto"/>
        </w:rPr>
        <w:drawing>
          <wp:inline distT="0" distB="0" distL="0" distR="0">
            <wp:extent cx="77470" cy="9398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Reviewed with the independent auditor and management, the audit scope of the independent auditor</w:t>
      </w:r>
    </w:p>
    <w:p>
      <w:pPr>
        <w:spacing w:after="0" w:line="177" w:lineRule="exact"/>
        <w:rPr>
          <w:sz w:val="20"/>
          <w:szCs w:val="20"/>
          <w:color w:val="auto"/>
        </w:rPr>
      </w:pPr>
    </w:p>
    <w:p>
      <w:pPr>
        <w:ind w:left="240" w:right="820" w:hanging="233"/>
        <w:spacing w:after="0"/>
        <w:rPr>
          <w:sz w:val="20"/>
          <w:szCs w:val="20"/>
          <w:color w:val="auto"/>
        </w:rPr>
      </w:pPr>
      <w:r>
        <w:rPr>
          <w:sz w:val="1"/>
          <w:szCs w:val="1"/>
          <w:color w:val="auto"/>
        </w:rPr>
        <w:drawing>
          <wp:inline distT="0" distB="0" distL="0" distR="0">
            <wp:extent cx="77470" cy="9398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Inquired about significant risks, reviewed the Company’s policies for risk assessment and risk management and assessed the steps management is taking to control these risks, and</w:t>
      </w:r>
    </w:p>
    <w:p>
      <w:pPr>
        <w:spacing w:after="0" w:line="177"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Met in executive session with the independent auditor</w:t>
      </w:r>
    </w:p>
    <w:p>
      <w:pPr>
        <w:spacing w:after="0" w:line="181" w:lineRule="exact"/>
        <w:rPr>
          <w:sz w:val="20"/>
          <w:szCs w:val="20"/>
          <w:color w:val="auto"/>
        </w:rPr>
      </w:pPr>
    </w:p>
    <w:p>
      <w:pPr>
        <w:ind w:right="680"/>
        <w:spacing w:after="0" w:line="248" w:lineRule="auto"/>
        <w:rPr>
          <w:sz w:val="20"/>
          <w:szCs w:val="20"/>
          <w:color w:val="auto"/>
        </w:rPr>
      </w:pPr>
      <w:r>
        <w:rPr>
          <w:rFonts w:ascii="Arial" w:cs="Arial" w:eastAsia="Arial" w:hAnsi="Arial"/>
          <w:sz w:val="16"/>
          <w:szCs w:val="16"/>
          <w:color w:val="auto"/>
        </w:rPr>
        <w:t>The audit committee has reviewed and discussed with management and the independent auditor our 2023 audited consolidated financial statements, and the independent auditor’s report on those financial statements. Management represented to the audit committee that the Company’s financial statements were prepared in accordance with GAAP. Ernst &amp; Young LLP presented the matters required to be discussed with the audit committee by Public Company Accounting Oversight Board (United States) Audit Standard AU Section 380 Communications with Audit Committees and Rule 2-07 of SEC Regulation S-X. This review included a discussion with management and the independent auditor of the quality (not merely the acceptability) of the Company’s accounting principles, the reasonableness of significant estimates and judgments and the disclosures in the Company’s consolidated financial statements and related footnotes, including the disclosures relating to critical accounting policies.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116840</wp:posOffset>
            </wp:positionV>
            <wp:extent cx="699516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880" w:space="260"/>
            <w:col w:w="4900"/>
          </w:cols>
          <w:pgMar w:left="920" w:top="114" w:right="9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CF1D4C"/>
        </w:rPr>
        <w:t>AUDIT COMMITTEE REPORT</w:t>
      </w:r>
    </w:p>
    <w:p>
      <w:pPr>
        <w:spacing w:after="0" w:line="200" w:lineRule="exact"/>
        <w:rPr>
          <w:sz w:val="20"/>
          <w:szCs w:val="20"/>
          <w:color w:val="auto"/>
        </w:rPr>
      </w:pPr>
    </w:p>
    <w:p>
      <w:pPr>
        <w:spacing w:after="0" w:line="259"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audit committee recognizes the importance of maintaining the independence of the Company’s independent auditor, both in fact and appearance. Ernst &amp; Young LLP has audited the Company’s consolidated financial statements annually since it was first appointed in 2002. Consistent with its charter, the audit committee, along with the Company management and internal auditors, reviewed EY’s performance as part of the audit committee’s consideration of whether to reappoint the firm as our independent auditors. As part of this review of EY, the audit committee considered independence and objectivity, quality of service, evaluations by our management and internal auditors, the quality and candor of communications with the audit committee and management, (v) the length of time the audit firm has served as our independent auditors, the fees for audit and non-audit services, capability and expertise in the financial services industry and in handling the breadth and complexity of our worldwide operations, the audit approach, and size and reputation. As part of its auditor engagement process, the audit committee considers whether to rotate the independent audit firm, and periodically solicits competitive bids for the independent auditor engagement to help ensure the competitiveness of the independent auditor with respect to each of the factors set forth above.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66 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39"/>
        <w:spacing w:after="0" w:line="251" w:lineRule="auto"/>
        <w:rPr>
          <w:sz w:val="20"/>
          <w:szCs w:val="20"/>
          <w:color w:val="auto"/>
        </w:rPr>
      </w:pPr>
      <w:r>
        <w:rPr>
          <w:rFonts w:ascii="Arial" w:cs="Arial" w:eastAsia="Arial" w:hAnsi="Arial"/>
          <w:sz w:val="16"/>
          <w:szCs w:val="16"/>
          <w:color w:val="auto"/>
        </w:rPr>
        <w:t>The audit committee also evaluates the selection of the lead audit partner, including their qualifications and performance. In 2023, the audit committee spent considerable time in selecting a new lead audit partner for 2024 due to mandatory 5-year term rotation policies. The process involved consultation with EY and meetings with several candidates, and facilitated involvement of the incoming lead partner in various 2023 meetings to provide an orderly transition in 2024.</w:t>
      </w:r>
    </w:p>
    <w:p>
      <w:pPr>
        <w:spacing w:after="0" w:line="158" w:lineRule="exact"/>
        <w:rPr>
          <w:sz w:val="20"/>
          <w:szCs w:val="20"/>
          <w:color w:val="auto"/>
        </w:rPr>
      </w:pPr>
    </w:p>
    <w:p>
      <w:pPr>
        <w:ind w:right="159"/>
        <w:spacing w:after="0" w:line="250" w:lineRule="auto"/>
        <w:rPr>
          <w:sz w:val="20"/>
          <w:szCs w:val="20"/>
          <w:color w:val="auto"/>
        </w:rPr>
      </w:pPr>
      <w:r>
        <w:rPr>
          <w:rFonts w:ascii="Arial" w:cs="Arial" w:eastAsia="Arial" w:hAnsi="Arial"/>
          <w:sz w:val="16"/>
          <w:szCs w:val="16"/>
          <w:color w:val="auto"/>
        </w:rPr>
        <w:t>Based on the criteria described above, the audit committee recommended to the Board that the audited consolidated financial statements be included in the Company’s Annual Report on Form 10-K for the year ended December 31, 2023, for filing with the SEC. Also, based on the criteria described above, the audit committee has selected Ernst &amp; Young LLP as the independent registered public accounting firm for fiscal year 2024 subject to shareholder ratification. The Board is recommending that shareholders ratify this selection at the annual meeting.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248"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Richard Macchia (Chair)</w:t>
      </w:r>
    </w:p>
    <w:p>
      <w:pPr>
        <w:spacing w:after="0" w:line="19"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Archie Jones, Jr.</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77470" cy="9398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333333"/>
        </w:rPr>
        <w:t>  Gerald Throop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337820</wp:posOffset>
            </wp:positionV>
            <wp:extent cx="699516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840" w:space="300"/>
            <w:col w:w="4399"/>
          </w:cols>
          <w:pgMar w:left="920" w:top="114"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CF1D4C"/>
        </w:rPr>
        <w:t>AUDIT MATTERS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Fees Billed by Ernst &amp; Young LLP</w:t>
      </w:r>
    </w:p>
    <w:p>
      <w:pPr>
        <w:spacing w:after="0" w:line="216" w:lineRule="exact"/>
        <w:rPr>
          <w:sz w:val="20"/>
          <w:szCs w:val="20"/>
          <w:color w:val="auto"/>
        </w:rPr>
      </w:pPr>
    </w:p>
    <w:p>
      <w:pPr>
        <w:ind w:left="660" w:right="240"/>
        <w:spacing w:after="0" w:line="254" w:lineRule="auto"/>
        <w:rPr>
          <w:sz w:val="20"/>
          <w:szCs w:val="20"/>
          <w:color w:val="auto"/>
        </w:rPr>
      </w:pPr>
      <w:r>
        <w:rPr>
          <w:rFonts w:ascii="Arial" w:cs="Arial" w:eastAsia="Arial" w:hAnsi="Arial"/>
          <w:sz w:val="16"/>
          <w:szCs w:val="16"/>
          <w:color w:val="333333"/>
        </w:rPr>
        <w:t>The following table presents fees for professional audit services rendered by Ernst &amp; Young LLP for the audit of our annual financial statements for the years ended December 31, 2023 and 2022, and fees billed for other services rendered by Ernst &amp; Young LLP during those periods.</w:t>
      </w:r>
    </w:p>
    <w:p>
      <w:pPr>
        <w:spacing w:after="0" w:line="61" w:lineRule="exact"/>
        <w:rPr>
          <w:sz w:val="20"/>
          <w:szCs w:val="20"/>
          <w:color w:val="auto"/>
        </w:rPr>
      </w:pPr>
    </w:p>
    <w:tbl>
      <w:tblPr>
        <w:tblLayout w:type="fixed"/>
        <w:tblInd w:w="640" w:type="dxa"/>
        <w:tblCellMar>
          <w:top w:w="0" w:type="dxa"/>
          <w:left w:w="0" w:type="dxa"/>
          <w:bottom w:w="0" w:type="dxa"/>
          <w:right w:w="0" w:type="dxa"/>
        </w:tblCellMar>
      </w:tblPr>
      <w:tr>
        <w:trPr>
          <w:trHeight w:val="307"/>
        </w:trPr>
        <w:tc>
          <w:tcPr>
            <w:tcW w:w="100" w:type="dxa"/>
            <w:vAlign w:val="bottom"/>
            <w:shd w:val="clear" w:color="auto" w:fill="CF1D4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820" w:type="dxa"/>
            <w:vAlign w:val="bottom"/>
            <w:gridSpan w:val="5"/>
            <w:shd w:val="clear" w:color="auto" w:fill="CF1D4C"/>
          </w:tcPr>
          <w:p>
            <w:pPr>
              <w:jc w:val="right"/>
              <w:spacing w:after="0"/>
              <w:rPr>
                <w:sz w:val="20"/>
                <w:szCs w:val="20"/>
                <w:color w:val="auto"/>
              </w:rPr>
            </w:pPr>
            <w:r>
              <w:rPr>
                <w:rFonts w:ascii="Arial" w:cs="Arial" w:eastAsia="Arial" w:hAnsi="Arial"/>
                <w:sz w:val="14"/>
                <w:szCs w:val="14"/>
                <w:b w:val="1"/>
                <w:bCs w:val="1"/>
                <w:color w:val="FFFFFF"/>
              </w:rPr>
              <w:t>Year Ended December 31</w:t>
            </w:r>
          </w:p>
        </w:tc>
        <w:tc>
          <w:tcPr>
            <w:tcW w:w="80" w:type="dxa"/>
            <w:vAlign w:val="bottom"/>
            <w:shd w:val="clear" w:color="auto" w:fill="CF1D4C"/>
          </w:tcPr>
          <w:p>
            <w:pPr>
              <w:spacing w:after="0"/>
              <w:rPr>
                <w:sz w:val="24"/>
                <w:szCs w:val="24"/>
                <w:color w:val="auto"/>
              </w:rPr>
            </w:pPr>
          </w:p>
        </w:tc>
        <w:tc>
          <w:tcPr>
            <w:tcW w:w="920" w:type="dxa"/>
            <w:vAlign w:val="bottom"/>
            <w:shd w:val="clear" w:color="auto" w:fill="CF1D4C"/>
          </w:tcPr>
          <w:p>
            <w:pPr>
              <w:spacing w:after="0"/>
              <w:rPr>
                <w:sz w:val="24"/>
                <w:szCs w:val="24"/>
                <w:color w:val="auto"/>
              </w:rPr>
            </w:pPr>
          </w:p>
        </w:tc>
        <w:tc>
          <w:tcPr>
            <w:tcW w:w="320" w:type="dxa"/>
            <w:vAlign w:val="bottom"/>
            <w:shd w:val="clear" w:color="auto" w:fill="CF1D4C"/>
          </w:tcPr>
          <w:p>
            <w:pPr>
              <w:jc w:val="right"/>
              <w:ind w:right="222"/>
              <w:spacing w:after="0"/>
              <w:rPr>
                <w:sz w:val="20"/>
                <w:szCs w:val="20"/>
                <w:color w:val="auto"/>
              </w:rPr>
            </w:pPr>
            <w:r>
              <w:rPr>
                <w:rFonts w:ascii="Times New Roman" w:cs="Times New Roman" w:eastAsia="Times New Roman" w:hAnsi="Times New Roman"/>
                <w:sz w:val="4"/>
                <w:szCs w:val="4"/>
                <w:color w:val="auto"/>
              </w:rPr>
              <w:t>​</w:t>
            </w:r>
          </w:p>
        </w:tc>
      </w:tr>
      <w:tr>
        <w:trPr>
          <w:trHeight w:val="206"/>
        </w:trPr>
        <w:tc>
          <w:tcPr>
            <w:tcW w:w="100" w:type="dxa"/>
            <w:vAlign w:val="bottom"/>
            <w:shd w:val="clear" w:color="auto" w:fill="CF1D4C"/>
          </w:tcPr>
          <w:p>
            <w:pPr>
              <w:spacing w:after="0"/>
              <w:rPr>
                <w:sz w:val="17"/>
                <w:szCs w:val="17"/>
                <w:color w:val="auto"/>
              </w:rPr>
            </w:pPr>
          </w:p>
        </w:tc>
        <w:tc>
          <w:tcPr>
            <w:tcW w:w="1480" w:type="dxa"/>
            <w:vAlign w:val="bottom"/>
            <w:shd w:val="clear" w:color="auto" w:fill="CF1D4C"/>
          </w:tcPr>
          <w:p>
            <w:pPr>
              <w:spacing w:after="0"/>
              <w:rPr>
                <w:sz w:val="17"/>
                <w:szCs w:val="17"/>
                <w:color w:val="auto"/>
              </w:rPr>
            </w:pPr>
          </w:p>
        </w:tc>
        <w:tc>
          <w:tcPr>
            <w:tcW w:w="180" w:type="dxa"/>
            <w:vAlign w:val="bottom"/>
            <w:shd w:val="clear" w:color="auto" w:fill="CF1D4C"/>
          </w:tcPr>
          <w:p>
            <w:pPr>
              <w:spacing w:after="0"/>
              <w:rPr>
                <w:sz w:val="17"/>
                <w:szCs w:val="17"/>
                <w:color w:val="auto"/>
              </w:rPr>
            </w:pPr>
          </w:p>
        </w:tc>
        <w:tc>
          <w:tcPr>
            <w:tcW w:w="60" w:type="dxa"/>
            <w:vAlign w:val="bottom"/>
            <w:shd w:val="clear" w:color="auto" w:fill="CF1D4C"/>
          </w:tcPr>
          <w:p>
            <w:pPr>
              <w:spacing w:after="0"/>
              <w:rPr>
                <w:sz w:val="17"/>
                <w:szCs w:val="17"/>
                <w:color w:val="auto"/>
              </w:rPr>
            </w:pPr>
          </w:p>
        </w:tc>
        <w:tc>
          <w:tcPr>
            <w:tcW w:w="920" w:type="dxa"/>
            <w:vAlign w:val="bottom"/>
            <w:shd w:val="clear" w:color="auto" w:fill="CF1D4C"/>
          </w:tcPr>
          <w:p>
            <w:pPr>
              <w:spacing w:after="0"/>
              <w:rPr>
                <w:sz w:val="17"/>
                <w:szCs w:val="17"/>
                <w:color w:val="auto"/>
              </w:rPr>
            </w:pPr>
          </w:p>
        </w:tc>
        <w:tc>
          <w:tcPr>
            <w:tcW w:w="180" w:type="dxa"/>
            <w:vAlign w:val="bottom"/>
            <w:shd w:val="clear" w:color="auto" w:fill="CF1D4C"/>
          </w:tcPr>
          <w:p>
            <w:pPr>
              <w:spacing w:after="0"/>
              <w:rPr>
                <w:sz w:val="17"/>
                <w:szCs w:val="17"/>
                <w:color w:val="auto"/>
              </w:rPr>
            </w:pPr>
          </w:p>
        </w:tc>
        <w:tc>
          <w:tcPr>
            <w:tcW w:w="80" w:type="dxa"/>
            <w:vAlign w:val="bottom"/>
            <w:shd w:val="clear" w:color="auto" w:fill="CF1D4C"/>
          </w:tcPr>
          <w:p>
            <w:pPr>
              <w:spacing w:after="0"/>
              <w:rPr>
                <w:sz w:val="17"/>
                <w:szCs w:val="17"/>
                <w:color w:val="auto"/>
              </w:rPr>
            </w:pPr>
          </w:p>
        </w:tc>
        <w:tc>
          <w:tcPr>
            <w:tcW w:w="920" w:type="dxa"/>
            <w:vAlign w:val="bottom"/>
            <w:shd w:val="clear" w:color="auto" w:fill="CF1D4C"/>
          </w:tcPr>
          <w:p>
            <w:pPr>
              <w:spacing w:after="0"/>
              <w:rPr>
                <w:sz w:val="17"/>
                <w:szCs w:val="17"/>
                <w:color w:val="auto"/>
              </w:rPr>
            </w:pPr>
          </w:p>
        </w:tc>
        <w:tc>
          <w:tcPr>
            <w:tcW w:w="320" w:type="dxa"/>
            <w:vAlign w:val="bottom"/>
            <w:shd w:val="clear" w:color="auto" w:fill="CF1D4C"/>
          </w:tcPr>
          <w:p>
            <w:pPr>
              <w:spacing w:after="0"/>
              <w:rPr>
                <w:sz w:val="17"/>
                <w:szCs w:val="17"/>
                <w:color w:val="auto"/>
              </w:rPr>
            </w:pPr>
          </w:p>
        </w:tc>
      </w:tr>
      <w:tr>
        <w:trPr>
          <w:trHeight w:val="336"/>
        </w:trPr>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8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ind w:left="60"/>
              <w:spacing w:after="0"/>
              <w:rPr>
                <w:sz w:val="20"/>
                <w:szCs w:val="20"/>
                <w:color w:val="auto"/>
              </w:rPr>
            </w:pPr>
            <w:r>
              <w:rPr>
                <w:rFonts w:ascii="Arial" w:cs="Arial" w:eastAsia="Arial" w:hAnsi="Arial"/>
                <w:sz w:val="16"/>
                <w:szCs w:val="16"/>
                <w:color w:val="333333"/>
              </w:rPr>
              <w:t>2023</w:t>
            </w:r>
          </w:p>
        </w:tc>
        <w:tc>
          <w:tcPr>
            <w:tcW w:w="18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ind w:left="60"/>
              <w:spacing w:after="0"/>
              <w:rPr>
                <w:sz w:val="20"/>
                <w:szCs w:val="20"/>
                <w:color w:val="auto"/>
              </w:rPr>
            </w:pPr>
            <w:r>
              <w:rPr>
                <w:rFonts w:ascii="Arial" w:cs="Arial" w:eastAsia="Arial" w:hAnsi="Arial"/>
                <w:sz w:val="16"/>
                <w:szCs w:val="16"/>
                <w:color w:val="333333"/>
              </w:rPr>
              <w:t>2022</w:t>
            </w:r>
          </w:p>
        </w:tc>
        <w:tc>
          <w:tcPr>
            <w:tcW w:w="320" w:type="dxa"/>
            <w:vAlign w:val="bottom"/>
          </w:tcPr>
          <w:p>
            <w:pPr>
              <w:jc w:val="right"/>
              <w:ind w:right="222"/>
              <w:spacing w:after="0"/>
              <w:rPr>
                <w:sz w:val="20"/>
                <w:szCs w:val="20"/>
                <w:color w:val="auto"/>
              </w:rPr>
            </w:pPr>
            <w:r>
              <w:rPr>
                <w:rFonts w:ascii="Times New Roman" w:cs="Times New Roman" w:eastAsia="Times New Roman" w:hAnsi="Times New Roman"/>
                <w:sz w:val="4"/>
                <w:szCs w:val="4"/>
                <w:color w:val="auto"/>
              </w:rPr>
              <w:t>​</w:t>
            </w:r>
          </w:p>
        </w:tc>
      </w:tr>
      <w:tr>
        <w:trPr>
          <w:trHeight w:val="97"/>
        </w:trPr>
        <w:tc>
          <w:tcPr>
            <w:tcW w:w="100" w:type="dxa"/>
            <w:vAlign w:val="bottom"/>
            <w:tcBorders>
              <w:bottom w:val="single" w:sz="8" w:color="D9D9D9"/>
            </w:tcBorders>
          </w:tcPr>
          <w:p>
            <w:pPr>
              <w:spacing w:after="0"/>
              <w:rPr>
                <w:sz w:val="8"/>
                <w:szCs w:val="8"/>
                <w:color w:val="auto"/>
              </w:rPr>
            </w:pPr>
          </w:p>
        </w:tc>
        <w:tc>
          <w:tcPr>
            <w:tcW w:w="1480" w:type="dxa"/>
            <w:vAlign w:val="bottom"/>
            <w:tcBorders>
              <w:bottom w:val="single" w:sz="8" w:color="D9D9D9"/>
            </w:tcBorders>
          </w:tcPr>
          <w:p>
            <w:pPr>
              <w:spacing w:after="0"/>
              <w:rPr>
                <w:sz w:val="8"/>
                <w:szCs w:val="8"/>
                <w:color w:val="auto"/>
              </w:rPr>
            </w:pPr>
          </w:p>
        </w:tc>
        <w:tc>
          <w:tcPr>
            <w:tcW w:w="180" w:type="dxa"/>
            <w:vAlign w:val="bottom"/>
            <w:tcBorders>
              <w:bottom w:val="single" w:sz="8" w:color="D9D9D9"/>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302"/>
        </w:trPr>
        <w:tc>
          <w:tcPr>
            <w:tcW w:w="1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80" w:type="dxa"/>
            <w:vAlign w:val="bottom"/>
            <w:shd w:val="clear" w:color="auto" w:fill="D9D9D9"/>
          </w:tcPr>
          <w:p>
            <w:pPr>
              <w:ind w:left="60"/>
              <w:spacing w:after="0"/>
              <w:rPr>
                <w:sz w:val="20"/>
                <w:szCs w:val="20"/>
                <w:color w:val="auto"/>
              </w:rPr>
            </w:pPr>
            <w:r>
              <w:rPr>
                <w:rFonts w:ascii="Arial" w:cs="Arial" w:eastAsia="Arial" w:hAnsi="Arial"/>
                <w:sz w:val="16"/>
                <w:szCs w:val="16"/>
                <w:color w:val="333333"/>
              </w:rPr>
              <w:t>Audit Fees</w:t>
            </w:r>
          </w:p>
        </w:tc>
        <w:tc>
          <w:tcPr>
            <w:tcW w:w="180" w:type="dxa"/>
            <w:vAlign w:val="bottom"/>
            <w:shd w:val="clear" w:color="auto" w:fill="D9D9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D9D9D9"/>
          </w:tcPr>
          <w:p>
            <w:pPr>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gridSpan w:val="2"/>
            <w:shd w:val="clear" w:color="auto" w:fill="D9D9D9"/>
          </w:tcPr>
          <w:p>
            <w:pPr>
              <w:jc w:val="right"/>
              <w:ind w:right="82"/>
              <w:spacing w:after="0"/>
              <w:rPr>
                <w:sz w:val="20"/>
                <w:szCs w:val="20"/>
                <w:color w:val="auto"/>
              </w:rPr>
            </w:pPr>
            <w:r>
              <w:rPr>
                <w:rFonts w:ascii="Arial" w:cs="Arial" w:eastAsia="Arial" w:hAnsi="Arial"/>
                <w:sz w:val="16"/>
                <w:szCs w:val="16"/>
                <w:color w:val="333333"/>
              </w:rPr>
              <w:t xml:space="preserve">$11,272,000 </w:t>
            </w:r>
            <w:r>
              <w:rPr>
                <w:rFonts w:ascii="Times New Roman" w:cs="Times New Roman" w:eastAsia="Times New Roman" w:hAnsi="Times New Roman"/>
                <w:sz w:val="3"/>
                <w:szCs w:val="3"/>
                <w:color w:val="000000"/>
              </w:rPr>
              <w:t>​</w:t>
            </w:r>
          </w:p>
        </w:tc>
        <w:tc>
          <w:tcPr>
            <w:tcW w:w="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shd w:val="clear" w:color="auto" w:fill="D9D9D9"/>
          </w:tcPr>
          <w:p>
            <w:pPr>
              <w:ind w:left="60"/>
              <w:spacing w:after="0"/>
              <w:rPr>
                <w:sz w:val="20"/>
                <w:szCs w:val="20"/>
                <w:color w:val="auto"/>
              </w:rPr>
            </w:pPr>
            <w:r>
              <w:rPr>
                <w:rFonts w:ascii="Arial" w:cs="Arial" w:eastAsia="Arial" w:hAnsi="Arial"/>
                <w:sz w:val="16"/>
                <w:szCs w:val="16"/>
                <w:color w:val="333333"/>
              </w:rPr>
              <w:t>$9,289,000</w:t>
            </w:r>
          </w:p>
        </w:tc>
        <w:tc>
          <w:tcPr>
            <w:tcW w:w="320" w:type="dxa"/>
            <w:vAlign w:val="bottom"/>
            <w:shd w:val="clear" w:color="auto" w:fill="D9D9D9"/>
          </w:tcPr>
          <w:p>
            <w:pPr>
              <w:jc w:val="right"/>
              <w:ind w:right="222"/>
              <w:spacing w:after="0"/>
              <w:rPr>
                <w:sz w:val="20"/>
                <w:szCs w:val="20"/>
                <w:color w:val="auto"/>
              </w:rPr>
            </w:pPr>
            <w:r>
              <w:rPr>
                <w:rFonts w:ascii="Times New Roman" w:cs="Times New Roman" w:eastAsia="Times New Roman" w:hAnsi="Times New Roman"/>
                <w:sz w:val="4"/>
                <w:szCs w:val="4"/>
                <w:color w:val="auto"/>
              </w:rPr>
              <w:t>​</w:t>
            </w:r>
          </w:p>
        </w:tc>
      </w:tr>
      <w:tr>
        <w:trPr>
          <w:trHeight w:val="97"/>
        </w:trPr>
        <w:tc>
          <w:tcPr>
            <w:tcW w:w="100" w:type="dxa"/>
            <w:vAlign w:val="bottom"/>
            <w:shd w:val="clear" w:color="auto" w:fill="D9D9D9"/>
          </w:tcPr>
          <w:p>
            <w:pPr>
              <w:spacing w:after="0"/>
              <w:rPr>
                <w:sz w:val="8"/>
                <w:szCs w:val="8"/>
                <w:color w:val="auto"/>
              </w:rPr>
            </w:pPr>
          </w:p>
        </w:tc>
        <w:tc>
          <w:tcPr>
            <w:tcW w:w="1480" w:type="dxa"/>
            <w:vAlign w:val="bottom"/>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60" w:type="dxa"/>
            <w:vAlign w:val="bottom"/>
            <w:shd w:val="clear" w:color="auto" w:fill="D9D9D9"/>
          </w:tcPr>
          <w:p>
            <w:pPr>
              <w:spacing w:after="0"/>
              <w:rPr>
                <w:sz w:val="8"/>
                <w:szCs w:val="8"/>
                <w:color w:val="auto"/>
              </w:rPr>
            </w:pPr>
          </w:p>
        </w:tc>
        <w:tc>
          <w:tcPr>
            <w:tcW w:w="920" w:type="dxa"/>
            <w:vAlign w:val="bottom"/>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80" w:type="dxa"/>
            <w:vAlign w:val="bottom"/>
            <w:shd w:val="clear" w:color="auto" w:fill="D9D9D9"/>
          </w:tcPr>
          <w:p>
            <w:pPr>
              <w:spacing w:after="0"/>
              <w:rPr>
                <w:sz w:val="8"/>
                <w:szCs w:val="8"/>
                <w:color w:val="auto"/>
              </w:rPr>
            </w:pPr>
          </w:p>
        </w:tc>
        <w:tc>
          <w:tcPr>
            <w:tcW w:w="920" w:type="dxa"/>
            <w:vAlign w:val="bottom"/>
            <w:shd w:val="clear" w:color="auto" w:fill="D9D9D9"/>
          </w:tcPr>
          <w:p>
            <w:pPr>
              <w:spacing w:after="0"/>
              <w:rPr>
                <w:sz w:val="8"/>
                <w:szCs w:val="8"/>
                <w:color w:val="auto"/>
              </w:rPr>
            </w:pPr>
          </w:p>
        </w:tc>
        <w:tc>
          <w:tcPr>
            <w:tcW w:w="320" w:type="dxa"/>
            <w:vAlign w:val="bottom"/>
            <w:shd w:val="clear" w:color="auto" w:fill="D9D9D9"/>
          </w:tcPr>
          <w:p>
            <w:pPr>
              <w:spacing w:after="0"/>
              <w:rPr>
                <w:sz w:val="8"/>
                <w:szCs w:val="8"/>
                <w:color w:val="auto"/>
              </w:rPr>
            </w:pPr>
          </w:p>
        </w:tc>
      </w:tr>
      <w:tr>
        <w:trPr>
          <w:trHeight w:val="308"/>
        </w:trPr>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80" w:type="dxa"/>
            <w:vAlign w:val="bottom"/>
          </w:tcPr>
          <w:p>
            <w:pPr>
              <w:ind w:left="60"/>
              <w:spacing w:after="0"/>
              <w:rPr>
                <w:sz w:val="20"/>
                <w:szCs w:val="20"/>
                <w:color w:val="auto"/>
              </w:rPr>
            </w:pPr>
            <w:r>
              <w:rPr>
                <w:rFonts w:ascii="Arial" w:cs="Arial" w:eastAsia="Arial" w:hAnsi="Arial"/>
                <w:sz w:val="16"/>
                <w:szCs w:val="16"/>
                <w:color w:val="333333"/>
              </w:rPr>
              <w:t>Audit Related Fees</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ind w:left="60"/>
              <w:spacing w:after="0"/>
              <w:rPr>
                <w:sz w:val="20"/>
                <w:szCs w:val="20"/>
                <w:color w:val="auto"/>
              </w:rPr>
            </w:pPr>
            <w:r>
              <w:rPr>
                <w:rFonts w:ascii="Arial" w:cs="Arial" w:eastAsia="Arial" w:hAnsi="Arial"/>
                <w:sz w:val="16"/>
                <w:szCs w:val="16"/>
                <w:color w:val="333333"/>
              </w:rPr>
              <w:t>$1,082,000</w:t>
            </w:r>
          </w:p>
        </w:tc>
        <w:tc>
          <w:tcPr>
            <w:tcW w:w="18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ind w:left="60"/>
              <w:spacing w:after="0"/>
              <w:rPr>
                <w:sz w:val="20"/>
                <w:szCs w:val="20"/>
                <w:color w:val="auto"/>
              </w:rPr>
            </w:pPr>
            <w:r>
              <w:rPr>
                <w:rFonts w:ascii="Arial" w:cs="Arial" w:eastAsia="Arial" w:hAnsi="Arial"/>
                <w:sz w:val="16"/>
                <w:szCs w:val="16"/>
                <w:color w:val="333333"/>
              </w:rPr>
              <w:t>$712,000</w:t>
            </w:r>
          </w:p>
        </w:tc>
        <w:tc>
          <w:tcPr>
            <w:tcW w:w="320" w:type="dxa"/>
            <w:vAlign w:val="bottom"/>
          </w:tcPr>
          <w:p>
            <w:pPr>
              <w:jc w:val="right"/>
              <w:ind w:right="222"/>
              <w:spacing w:after="0"/>
              <w:rPr>
                <w:sz w:val="20"/>
                <w:szCs w:val="20"/>
                <w:color w:val="auto"/>
              </w:rPr>
            </w:pPr>
            <w:r>
              <w:rPr>
                <w:rFonts w:ascii="Times New Roman" w:cs="Times New Roman" w:eastAsia="Times New Roman" w:hAnsi="Times New Roman"/>
                <w:sz w:val="4"/>
                <w:szCs w:val="4"/>
                <w:color w:val="auto"/>
              </w:rPr>
              <w:t>​</w:t>
            </w:r>
          </w:p>
        </w:tc>
      </w:tr>
      <w:tr>
        <w:trPr>
          <w:trHeight w:val="97"/>
        </w:trPr>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308"/>
        </w:trPr>
        <w:tc>
          <w:tcPr>
            <w:tcW w:w="1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80" w:type="dxa"/>
            <w:vAlign w:val="bottom"/>
            <w:shd w:val="clear" w:color="auto" w:fill="D9D9D9"/>
          </w:tcPr>
          <w:p>
            <w:pPr>
              <w:ind w:left="60"/>
              <w:spacing w:after="0"/>
              <w:rPr>
                <w:sz w:val="20"/>
                <w:szCs w:val="20"/>
                <w:color w:val="auto"/>
              </w:rPr>
            </w:pPr>
            <w:r>
              <w:rPr>
                <w:rFonts w:ascii="Arial" w:cs="Arial" w:eastAsia="Arial" w:hAnsi="Arial"/>
                <w:sz w:val="16"/>
                <w:szCs w:val="16"/>
                <w:color w:val="333333"/>
              </w:rPr>
              <w:t>Tax Fees</w:t>
            </w:r>
          </w:p>
        </w:tc>
        <w:tc>
          <w:tcPr>
            <w:tcW w:w="180" w:type="dxa"/>
            <w:vAlign w:val="bottom"/>
            <w:shd w:val="clear" w:color="auto" w:fill="D9D9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D9D9D9"/>
          </w:tcPr>
          <w:p>
            <w:pPr>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shd w:val="clear" w:color="auto" w:fill="D9D9D9"/>
          </w:tcPr>
          <w:p>
            <w:pPr>
              <w:ind w:left="60"/>
              <w:spacing w:after="0"/>
              <w:rPr>
                <w:sz w:val="20"/>
                <w:szCs w:val="20"/>
                <w:color w:val="auto"/>
              </w:rPr>
            </w:pPr>
            <w:r>
              <w:rPr>
                <w:rFonts w:ascii="Arial" w:cs="Arial" w:eastAsia="Arial" w:hAnsi="Arial"/>
                <w:sz w:val="16"/>
                <w:szCs w:val="16"/>
                <w:color w:val="333333"/>
              </w:rPr>
              <w:t>$860,000</w:t>
            </w:r>
          </w:p>
        </w:tc>
        <w:tc>
          <w:tcPr>
            <w:tcW w:w="180" w:type="dxa"/>
            <w:vAlign w:val="bottom"/>
            <w:shd w:val="clear" w:color="auto" w:fill="D9D9D9"/>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shd w:val="clear" w:color="auto" w:fill="D9D9D9"/>
          </w:tcPr>
          <w:p>
            <w:pPr>
              <w:ind w:left="60"/>
              <w:spacing w:after="0"/>
              <w:rPr>
                <w:sz w:val="20"/>
                <w:szCs w:val="20"/>
                <w:color w:val="auto"/>
              </w:rPr>
            </w:pPr>
            <w:r>
              <w:rPr>
                <w:rFonts w:ascii="Arial" w:cs="Arial" w:eastAsia="Arial" w:hAnsi="Arial"/>
                <w:sz w:val="16"/>
                <w:szCs w:val="16"/>
                <w:color w:val="333333"/>
              </w:rPr>
              <w:t>$1,155,000</w:t>
            </w:r>
          </w:p>
        </w:tc>
        <w:tc>
          <w:tcPr>
            <w:tcW w:w="320" w:type="dxa"/>
            <w:vAlign w:val="bottom"/>
            <w:shd w:val="clear" w:color="auto" w:fill="D9D9D9"/>
          </w:tcPr>
          <w:p>
            <w:pPr>
              <w:jc w:val="right"/>
              <w:ind w:right="222"/>
              <w:spacing w:after="0"/>
              <w:rPr>
                <w:sz w:val="20"/>
                <w:szCs w:val="20"/>
                <w:color w:val="auto"/>
              </w:rPr>
            </w:pPr>
            <w:r>
              <w:rPr>
                <w:rFonts w:ascii="Times New Roman" w:cs="Times New Roman" w:eastAsia="Times New Roman" w:hAnsi="Times New Roman"/>
                <w:sz w:val="4"/>
                <w:szCs w:val="4"/>
                <w:color w:val="auto"/>
              </w:rPr>
              <w:t>​</w:t>
            </w:r>
          </w:p>
        </w:tc>
      </w:tr>
      <w:tr>
        <w:trPr>
          <w:trHeight w:val="97"/>
        </w:trPr>
        <w:tc>
          <w:tcPr>
            <w:tcW w:w="100" w:type="dxa"/>
            <w:vAlign w:val="bottom"/>
            <w:shd w:val="clear" w:color="auto" w:fill="D9D9D9"/>
          </w:tcPr>
          <w:p>
            <w:pPr>
              <w:spacing w:after="0"/>
              <w:rPr>
                <w:sz w:val="8"/>
                <w:szCs w:val="8"/>
                <w:color w:val="auto"/>
              </w:rPr>
            </w:pPr>
          </w:p>
        </w:tc>
        <w:tc>
          <w:tcPr>
            <w:tcW w:w="1480" w:type="dxa"/>
            <w:vAlign w:val="bottom"/>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60" w:type="dxa"/>
            <w:vAlign w:val="bottom"/>
            <w:shd w:val="clear" w:color="auto" w:fill="D9D9D9"/>
          </w:tcPr>
          <w:p>
            <w:pPr>
              <w:spacing w:after="0"/>
              <w:rPr>
                <w:sz w:val="8"/>
                <w:szCs w:val="8"/>
                <w:color w:val="auto"/>
              </w:rPr>
            </w:pPr>
          </w:p>
        </w:tc>
        <w:tc>
          <w:tcPr>
            <w:tcW w:w="920" w:type="dxa"/>
            <w:vAlign w:val="bottom"/>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80" w:type="dxa"/>
            <w:vAlign w:val="bottom"/>
            <w:shd w:val="clear" w:color="auto" w:fill="D9D9D9"/>
          </w:tcPr>
          <w:p>
            <w:pPr>
              <w:spacing w:after="0"/>
              <w:rPr>
                <w:sz w:val="8"/>
                <w:szCs w:val="8"/>
                <w:color w:val="auto"/>
              </w:rPr>
            </w:pPr>
          </w:p>
        </w:tc>
        <w:tc>
          <w:tcPr>
            <w:tcW w:w="920" w:type="dxa"/>
            <w:vAlign w:val="bottom"/>
            <w:shd w:val="clear" w:color="auto" w:fill="D9D9D9"/>
          </w:tcPr>
          <w:p>
            <w:pPr>
              <w:spacing w:after="0"/>
              <w:rPr>
                <w:sz w:val="8"/>
                <w:szCs w:val="8"/>
                <w:color w:val="auto"/>
              </w:rPr>
            </w:pPr>
          </w:p>
        </w:tc>
        <w:tc>
          <w:tcPr>
            <w:tcW w:w="320" w:type="dxa"/>
            <w:vAlign w:val="bottom"/>
            <w:shd w:val="clear" w:color="auto" w:fill="D9D9D9"/>
          </w:tcPr>
          <w:p>
            <w:pPr>
              <w:spacing w:after="0"/>
              <w:rPr>
                <w:sz w:val="8"/>
                <w:szCs w:val="8"/>
                <w:color w:val="auto"/>
              </w:rPr>
            </w:pPr>
          </w:p>
        </w:tc>
      </w:tr>
      <w:tr>
        <w:trPr>
          <w:trHeight w:val="308"/>
        </w:trPr>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80" w:type="dxa"/>
            <w:vAlign w:val="bottom"/>
          </w:tcPr>
          <w:p>
            <w:pPr>
              <w:ind w:left="60"/>
              <w:spacing w:after="0"/>
              <w:rPr>
                <w:sz w:val="20"/>
                <w:szCs w:val="20"/>
                <w:color w:val="auto"/>
              </w:rPr>
            </w:pPr>
            <w:r>
              <w:rPr>
                <w:rFonts w:ascii="Arial" w:cs="Arial" w:eastAsia="Arial" w:hAnsi="Arial"/>
                <w:sz w:val="16"/>
                <w:szCs w:val="16"/>
                <w:color w:val="333333"/>
              </w:rPr>
              <w:t>All Other Fees</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ind w:left="60"/>
              <w:spacing w:after="0"/>
              <w:rPr>
                <w:sz w:val="20"/>
                <w:szCs w:val="20"/>
                <w:color w:val="auto"/>
              </w:rPr>
            </w:pPr>
            <w:r>
              <w:rPr>
                <w:rFonts w:ascii="Arial" w:cs="Arial" w:eastAsia="Arial" w:hAnsi="Arial"/>
                <w:sz w:val="16"/>
                <w:szCs w:val="16"/>
                <w:color w:val="333333"/>
              </w:rPr>
              <w:t>$4,000</w:t>
            </w:r>
          </w:p>
        </w:tc>
        <w:tc>
          <w:tcPr>
            <w:tcW w:w="18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ind w:left="60"/>
              <w:spacing w:after="0"/>
              <w:rPr>
                <w:sz w:val="20"/>
                <w:szCs w:val="20"/>
                <w:color w:val="auto"/>
              </w:rPr>
            </w:pPr>
            <w:r>
              <w:rPr>
                <w:rFonts w:ascii="Arial" w:cs="Arial" w:eastAsia="Arial" w:hAnsi="Arial"/>
                <w:sz w:val="16"/>
                <w:szCs w:val="16"/>
                <w:color w:val="333333"/>
              </w:rPr>
              <w:t>$4,000</w:t>
            </w:r>
          </w:p>
        </w:tc>
        <w:tc>
          <w:tcPr>
            <w:tcW w:w="320" w:type="dxa"/>
            <w:vAlign w:val="bottom"/>
          </w:tcPr>
          <w:p>
            <w:pPr>
              <w:jc w:val="right"/>
              <w:ind w:right="222"/>
              <w:spacing w:after="0"/>
              <w:rPr>
                <w:sz w:val="20"/>
                <w:szCs w:val="20"/>
                <w:color w:val="auto"/>
              </w:rPr>
            </w:pPr>
            <w:r>
              <w:rPr>
                <w:rFonts w:ascii="Times New Roman" w:cs="Times New Roman" w:eastAsia="Times New Roman" w:hAnsi="Times New Roman"/>
                <w:sz w:val="4"/>
                <w:szCs w:val="4"/>
                <w:color w:val="auto"/>
              </w:rPr>
              <w:t>​</w:t>
            </w:r>
          </w:p>
        </w:tc>
      </w:tr>
      <w:tr>
        <w:trPr>
          <w:trHeight w:val="97"/>
        </w:trPr>
        <w:tc>
          <w:tcPr>
            <w:tcW w:w="100" w:type="dxa"/>
            <w:vAlign w:val="bottom"/>
            <w:tcBorders>
              <w:bottom w:val="single" w:sz="8" w:color="D9D9D9"/>
            </w:tcBorders>
          </w:tcPr>
          <w:p>
            <w:pPr>
              <w:spacing w:after="0"/>
              <w:rPr>
                <w:sz w:val="8"/>
                <w:szCs w:val="8"/>
                <w:color w:val="auto"/>
              </w:rPr>
            </w:pPr>
          </w:p>
        </w:tc>
        <w:tc>
          <w:tcPr>
            <w:tcW w:w="1480" w:type="dxa"/>
            <w:vAlign w:val="bottom"/>
            <w:tcBorders>
              <w:bottom w:val="single" w:sz="8" w:color="D9D9D9"/>
            </w:tcBorders>
          </w:tcPr>
          <w:p>
            <w:pPr>
              <w:spacing w:after="0"/>
              <w:rPr>
                <w:sz w:val="8"/>
                <w:szCs w:val="8"/>
                <w:color w:val="auto"/>
              </w:rPr>
            </w:pPr>
          </w:p>
        </w:tc>
        <w:tc>
          <w:tcPr>
            <w:tcW w:w="180" w:type="dxa"/>
            <w:vAlign w:val="bottom"/>
            <w:tcBorders>
              <w:bottom w:val="single" w:sz="8" w:color="D9D9D9"/>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gridSpan w:val="2"/>
          </w:tcPr>
          <w:p>
            <w:pPr>
              <w:spacing w:after="0"/>
              <w:rPr>
                <w:sz w:val="8"/>
                <w:szCs w:val="8"/>
                <w:color w:val="auto"/>
              </w:rPr>
            </w:pPr>
          </w:p>
        </w:tc>
      </w:tr>
      <w:tr>
        <w:trPr>
          <w:trHeight w:val="302"/>
        </w:trPr>
        <w:tc>
          <w:tcPr>
            <w:tcW w:w="1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80" w:type="dxa"/>
            <w:vAlign w:val="bottom"/>
            <w:shd w:val="clear" w:color="auto" w:fill="D9D9D9"/>
          </w:tcPr>
          <w:p>
            <w:pPr>
              <w:ind w:left="60"/>
              <w:spacing w:after="0"/>
              <w:rPr>
                <w:sz w:val="20"/>
                <w:szCs w:val="20"/>
                <w:color w:val="auto"/>
              </w:rPr>
            </w:pPr>
            <w:r>
              <w:rPr>
                <w:rFonts w:ascii="Arial" w:cs="Arial" w:eastAsia="Arial" w:hAnsi="Arial"/>
                <w:sz w:val="16"/>
                <w:szCs w:val="16"/>
                <w:color w:val="333333"/>
              </w:rPr>
              <w:t>Total</w:t>
            </w:r>
          </w:p>
        </w:tc>
        <w:tc>
          <w:tcPr>
            <w:tcW w:w="180" w:type="dxa"/>
            <w:vAlign w:val="bottom"/>
            <w:shd w:val="clear" w:color="auto" w:fill="D9D9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D9D9D9"/>
          </w:tcPr>
          <w:p>
            <w:pPr>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gridSpan w:val="2"/>
            <w:shd w:val="clear" w:color="auto" w:fill="D9D9D9"/>
          </w:tcPr>
          <w:p>
            <w:pPr>
              <w:jc w:val="right"/>
              <w:ind w:right="82"/>
              <w:spacing w:after="0"/>
              <w:rPr>
                <w:sz w:val="20"/>
                <w:szCs w:val="20"/>
                <w:color w:val="auto"/>
              </w:rPr>
            </w:pPr>
            <w:r>
              <w:rPr>
                <w:rFonts w:ascii="Arial" w:cs="Arial" w:eastAsia="Arial" w:hAnsi="Arial"/>
                <w:sz w:val="16"/>
                <w:szCs w:val="16"/>
                <w:color w:val="333333"/>
              </w:rPr>
              <w:t xml:space="preserve">$13,218,000 </w:t>
            </w:r>
            <w:r>
              <w:rPr>
                <w:rFonts w:ascii="Times New Roman" w:cs="Times New Roman" w:eastAsia="Times New Roman" w:hAnsi="Times New Roman"/>
                <w:sz w:val="3"/>
                <w:szCs w:val="3"/>
                <w:color w:val="000000"/>
              </w:rPr>
              <w:t>​</w:t>
            </w:r>
          </w:p>
        </w:tc>
        <w:tc>
          <w:tcPr>
            <w:tcW w:w="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gridSpan w:val="2"/>
            <w:shd w:val="clear" w:color="auto" w:fill="D9D9D9"/>
          </w:tcPr>
          <w:p>
            <w:pPr>
              <w:jc w:val="right"/>
              <w:ind w:right="222"/>
              <w:spacing w:after="0"/>
              <w:rPr>
                <w:sz w:val="20"/>
                <w:szCs w:val="20"/>
                <w:color w:val="auto"/>
              </w:rPr>
            </w:pPr>
            <w:r>
              <w:rPr>
                <w:rFonts w:ascii="Arial" w:cs="Arial" w:eastAsia="Arial" w:hAnsi="Arial"/>
                <w:sz w:val="16"/>
                <w:szCs w:val="16"/>
                <w:color w:val="333333"/>
              </w:rPr>
              <w:t xml:space="preserve">$11,159,000 </w:t>
            </w:r>
            <w:r>
              <w:rPr>
                <w:rFonts w:ascii="Times New Roman" w:cs="Times New Roman" w:eastAsia="Times New Roman" w:hAnsi="Times New Roman"/>
                <w:sz w:val="3"/>
                <w:szCs w:val="3"/>
                <w:color w:val="000000"/>
              </w:rPr>
              <w:t>​</w:t>
            </w:r>
          </w:p>
        </w:tc>
      </w:tr>
      <w:tr>
        <w:trPr>
          <w:trHeight w:val="43"/>
        </w:trPr>
        <w:tc>
          <w:tcPr>
            <w:tcW w:w="100" w:type="dxa"/>
            <w:vAlign w:val="bottom"/>
            <w:shd w:val="clear" w:color="auto" w:fill="D9D9D9"/>
          </w:tcPr>
          <w:p>
            <w:pPr>
              <w:spacing w:after="0"/>
              <w:rPr>
                <w:sz w:val="3"/>
                <w:szCs w:val="3"/>
                <w:color w:val="auto"/>
              </w:rPr>
            </w:pPr>
          </w:p>
        </w:tc>
        <w:tc>
          <w:tcPr>
            <w:tcW w:w="1480" w:type="dxa"/>
            <w:vAlign w:val="bottom"/>
            <w:shd w:val="clear" w:color="auto" w:fill="D9D9D9"/>
          </w:tcPr>
          <w:p>
            <w:pPr>
              <w:spacing w:after="0"/>
              <w:rPr>
                <w:sz w:val="3"/>
                <w:szCs w:val="3"/>
                <w:color w:val="auto"/>
              </w:rPr>
            </w:pPr>
          </w:p>
        </w:tc>
        <w:tc>
          <w:tcPr>
            <w:tcW w:w="180" w:type="dxa"/>
            <w:vAlign w:val="bottom"/>
            <w:shd w:val="clear" w:color="auto" w:fill="D9D9D9"/>
          </w:tcPr>
          <w:p>
            <w:pPr>
              <w:spacing w:after="0"/>
              <w:rPr>
                <w:sz w:val="3"/>
                <w:szCs w:val="3"/>
                <w:color w:val="auto"/>
              </w:rPr>
            </w:pPr>
          </w:p>
        </w:tc>
        <w:tc>
          <w:tcPr>
            <w:tcW w:w="60" w:type="dxa"/>
            <w:vAlign w:val="bottom"/>
            <w:shd w:val="clear" w:color="auto" w:fill="D9D9D9"/>
          </w:tcPr>
          <w:p>
            <w:pPr>
              <w:spacing w:after="0"/>
              <w:rPr>
                <w:sz w:val="3"/>
                <w:szCs w:val="3"/>
                <w:color w:val="auto"/>
              </w:rPr>
            </w:pPr>
          </w:p>
        </w:tc>
        <w:tc>
          <w:tcPr>
            <w:tcW w:w="920" w:type="dxa"/>
            <w:vAlign w:val="bottom"/>
            <w:shd w:val="clear" w:color="auto" w:fill="D9D9D9"/>
          </w:tcPr>
          <w:p>
            <w:pPr>
              <w:spacing w:after="0"/>
              <w:rPr>
                <w:sz w:val="3"/>
                <w:szCs w:val="3"/>
                <w:color w:val="auto"/>
              </w:rPr>
            </w:pPr>
          </w:p>
        </w:tc>
        <w:tc>
          <w:tcPr>
            <w:tcW w:w="180" w:type="dxa"/>
            <w:vAlign w:val="bottom"/>
            <w:shd w:val="clear" w:color="auto" w:fill="D9D9D9"/>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920" w:type="dxa"/>
            <w:vAlign w:val="bottom"/>
            <w:shd w:val="clear" w:color="auto" w:fill="D9D9D9"/>
          </w:tcPr>
          <w:p>
            <w:pPr>
              <w:spacing w:after="0"/>
              <w:rPr>
                <w:sz w:val="3"/>
                <w:szCs w:val="3"/>
                <w:color w:val="auto"/>
              </w:rPr>
            </w:pPr>
          </w:p>
        </w:tc>
        <w:tc>
          <w:tcPr>
            <w:tcW w:w="320" w:type="dxa"/>
            <w:vAlign w:val="bottom"/>
            <w:shd w:val="clear" w:color="auto" w:fill="D9D9D9"/>
          </w:tcPr>
          <w:p>
            <w:pPr>
              <w:spacing w:after="0"/>
              <w:rPr>
                <w:sz w:val="3"/>
                <w:szCs w:val="3"/>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Audit Fees</w:t>
      </w:r>
    </w:p>
    <w:p>
      <w:pPr>
        <w:spacing w:after="0" w:line="248"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color w:val="333333"/>
        </w:rPr>
        <w:t>These amounts represent fees for professional services for the audit of our annual consolidated financial statements and the services that an independent auditor would customarily provide in connection with subsidiary audits, statutory requirements, regulatory filings and similar engagements for the fiscal year, such as comfort letters, attest services, consents and assistance with review of documents filed with the SEC, as applicable.</w:t>
      </w:r>
    </w:p>
    <w:p>
      <w:pPr>
        <w:spacing w:after="0" w:line="142" w:lineRule="exact"/>
        <w:rPr>
          <w:sz w:val="20"/>
          <w:szCs w:val="20"/>
          <w:color w:val="auto"/>
        </w:rPr>
      </w:pPr>
    </w:p>
    <w:p>
      <w:pPr>
        <w:ind w:left="660" w:right="80"/>
        <w:spacing w:after="0" w:line="259" w:lineRule="auto"/>
        <w:rPr>
          <w:sz w:val="20"/>
          <w:szCs w:val="20"/>
          <w:color w:val="auto"/>
        </w:rPr>
      </w:pPr>
      <w:r>
        <w:rPr>
          <w:rFonts w:ascii="Arial" w:cs="Arial" w:eastAsia="Arial" w:hAnsi="Arial"/>
          <w:sz w:val="16"/>
          <w:szCs w:val="16"/>
          <w:color w:val="333333"/>
        </w:rPr>
        <w:t>Audit Fees also include advice on accounting matters that arose in connection with or as a result of the audit or the review of periodic consolidated financial statements and statutory audits that non-U.S. jurisdictions require.</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Audit Related Fees</w:t>
      </w:r>
    </w:p>
    <w:p>
      <w:pPr>
        <w:spacing w:after="0" w:line="235" w:lineRule="exact"/>
        <w:rPr>
          <w:sz w:val="20"/>
          <w:szCs w:val="20"/>
          <w:color w:val="auto"/>
        </w:rPr>
      </w:pPr>
    </w:p>
    <w:p>
      <w:pPr>
        <w:ind w:left="660" w:right="20"/>
        <w:spacing w:after="0" w:line="250" w:lineRule="auto"/>
        <w:rPr>
          <w:sz w:val="20"/>
          <w:szCs w:val="20"/>
          <w:color w:val="auto"/>
        </w:rPr>
      </w:pPr>
      <w:r>
        <w:rPr>
          <w:rFonts w:ascii="Arial" w:cs="Arial" w:eastAsia="Arial" w:hAnsi="Arial"/>
          <w:sz w:val="16"/>
          <w:szCs w:val="16"/>
          <w:color w:val="333333"/>
        </w:rPr>
        <w:t>Audit related fees consist of assurance and related services that are reasonably related to the performance of the audit or review of our consolidated financial statements. This category may include fees related to the performance of audits and attest services not required by statute or regulations, audits of our employee benefit plans, due diligence related to mergers, acquisitions, and investments, additional revenue and license compliance procedures related to performance of the review or audit of our financial statements, and accounting consultations about the application of GAAP to proposed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Fees and All Other Fees</w:t>
      </w:r>
    </w:p>
    <w:p>
      <w:pPr>
        <w:spacing w:after="0" w:line="248" w:lineRule="exact"/>
        <w:rPr>
          <w:sz w:val="20"/>
          <w:szCs w:val="20"/>
          <w:color w:val="auto"/>
        </w:rPr>
      </w:pPr>
    </w:p>
    <w:p>
      <w:pPr>
        <w:ind w:right="660"/>
        <w:spacing w:after="0" w:line="253" w:lineRule="auto"/>
        <w:rPr>
          <w:sz w:val="20"/>
          <w:szCs w:val="20"/>
          <w:color w:val="auto"/>
        </w:rPr>
      </w:pPr>
      <w:r>
        <w:rPr>
          <w:rFonts w:ascii="Arial" w:cs="Arial" w:eastAsia="Arial" w:hAnsi="Arial"/>
          <w:sz w:val="16"/>
          <w:szCs w:val="16"/>
          <w:color w:val="333333"/>
        </w:rPr>
        <w:t>Fees and expenses paid to our Ernst &amp; Young LLP for tax compliance, planning and advice. The audit committee has concluded the provision of the non-audit services listed above is compatible with maintaining the independence of Ernst &amp; Young LLP. None of the services related to the fees described above was approved pursuant to the waiver of pre-approval provisions set forth in the SEC rules.</w:t>
      </w:r>
    </w:p>
    <w:p>
      <w:pPr>
        <w:spacing w:after="0" w:line="366" w:lineRule="exact"/>
        <w:rPr>
          <w:sz w:val="20"/>
          <w:szCs w:val="20"/>
          <w:color w:val="auto"/>
        </w:rPr>
      </w:pPr>
    </w:p>
    <w:p>
      <w:pPr>
        <w:ind w:right="700"/>
        <w:spacing w:after="0" w:line="257" w:lineRule="auto"/>
        <w:rPr>
          <w:sz w:val="20"/>
          <w:szCs w:val="20"/>
          <w:color w:val="auto"/>
        </w:rPr>
      </w:pPr>
      <w:r>
        <w:rPr>
          <w:rFonts w:ascii="Arial" w:cs="Arial" w:eastAsia="Arial" w:hAnsi="Arial"/>
          <w:sz w:val="18"/>
          <w:szCs w:val="18"/>
          <w:b w:val="1"/>
          <w:bCs w:val="1"/>
          <w:color w:val="CF1D4C"/>
        </w:rPr>
        <w:t>Policy on Audit Committee Pre-Approval of Audit and Permissible Non-Audit Services of Independent Auditor</w:t>
      </w:r>
    </w:p>
    <w:p>
      <w:pPr>
        <w:spacing w:after="0" w:line="163" w:lineRule="exact"/>
        <w:rPr>
          <w:sz w:val="20"/>
          <w:szCs w:val="20"/>
          <w:color w:val="auto"/>
        </w:rPr>
      </w:pPr>
    </w:p>
    <w:p>
      <w:pPr>
        <w:ind w:right="660"/>
        <w:spacing w:after="0" w:line="248" w:lineRule="auto"/>
        <w:rPr>
          <w:sz w:val="20"/>
          <w:szCs w:val="20"/>
          <w:color w:val="auto"/>
        </w:rPr>
      </w:pPr>
      <w:r>
        <w:rPr>
          <w:rFonts w:ascii="Arial" w:cs="Arial" w:eastAsia="Arial" w:hAnsi="Arial"/>
          <w:sz w:val="16"/>
          <w:szCs w:val="16"/>
          <w:color w:val="333333"/>
        </w:rPr>
        <w:t>The audit committee has established a policy for pre-approval of audit and permissible non-audit services provided by the independent auditor and is responsible for fee negotiations with the independent auditor. Each year, the audit committee approves the terms on which the independent auditor is engaged for the ensuing fiscal year. At least quarterly, the committee will review and, if appropriate, pre-approve services to be performed by the independent auditor, review a report summarizing fiscal year-to-date services provided by the independent auditor, and review an updated projection of the fiscal year’s estimated fees. The audit committee, as permitted by its pre-approval policy, from time to time delegates the approval of certain permitted services or classes of services to a member of the committee. The committee will then review the delegate’s approval decisions each quarter. Independent auditor fees are evaluated based on the scope of the proposed work, the overall hours and fees and a reconciliation of overall hours and fees from one year to the next, reasonable and customary fees in the industry, periodic competitive bids, expected increases and decreases based on changes in the Company’s business and other changes such as new acquisitions, expected decrease in hours in the second and subsequent years of ownership of an acquired company, and expected impact of any new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125095</wp:posOffset>
            </wp:positionV>
            <wp:extent cx="699516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880" w:space="260"/>
            <w:col w:w="4900"/>
          </w:cols>
          <w:pgMar w:left="920" w:top="114" w:right="9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960" w:hanging="310"/>
        <w:spacing w:after="0"/>
        <w:tabs>
          <w:tab w:leader="none" w:pos="96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CF1D4C"/>
        </w:rPr>
        <w:t>PROPOSAL 1: ELECTION OF DIRECTORS</w:t>
      </w:r>
    </w:p>
    <w:p>
      <w:pPr>
        <w:spacing w:after="0" w:line="200" w:lineRule="exact"/>
        <w:rPr>
          <w:sz w:val="20"/>
          <w:szCs w:val="20"/>
          <w:color w:val="auto"/>
        </w:rPr>
      </w:pPr>
    </w:p>
    <w:p>
      <w:pPr>
        <w:spacing w:after="0" w:line="259" w:lineRule="exact"/>
        <w:rPr>
          <w:sz w:val="20"/>
          <w:szCs w:val="20"/>
          <w:color w:val="auto"/>
        </w:rPr>
      </w:pPr>
    </w:p>
    <w:p>
      <w:pPr>
        <w:ind w:left="660" w:right="420"/>
        <w:spacing w:after="0" w:line="266" w:lineRule="auto"/>
        <w:rPr>
          <w:sz w:val="20"/>
          <w:szCs w:val="20"/>
          <w:color w:val="auto"/>
        </w:rPr>
      </w:pPr>
      <w:r>
        <w:rPr>
          <w:rFonts w:ascii="Arial" w:cs="Arial" w:eastAsia="Arial" w:hAnsi="Arial"/>
          <w:sz w:val="16"/>
          <w:szCs w:val="16"/>
          <w:color w:val="333333"/>
        </w:rPr>
        <w:t>Our Board of Directors currently consists of eleven members. Except for our CEO, all of our directors are independent under the NYSE rules.</w:t>
      </w:r>
    </w:p>
    <w:p>
      <w:pPr>
        <w:spacing w:after="0" w:line="144" w:lineRule="exact"/>
        <w:rPr>
          <w:sz w:val="20"/>
          <w:szCs w:val="20"/>
          <w:color w:val="auto"/>
        </w:rPr>
      </w:pPr>
    </w:p>
    <w:p>
      <w:pPr>
        <w:ind w:left="660" w:right="80"/>
        <w:spacing w:after="0" w:line="251" w:lineRule="auto"/>
        <w:rPr>
          <w:sz w:val="20"/>
          <w:szCs w:val="20"/>
          <w:color w:val="auto"/>
        </w:rPr>
      </w:pPr>
      <w:r>
        <w:rPr>
          <w:rFonts w:ascii="Arial" w:cs="Arial" w:eastAsia="Arial" w:hAnsi="Arial"/>
          <w:sz w:val="16"/>
          <w:szCs w:val="16"/>
          <w:color w:val="333333"/>
        </w:rPr>
        <w:t>Each of our directors — Steven T. Stull, Annabelle Bexiga, Ronald F. Clarke, Joseph W. Farrelly, Rahul Gupta, Thomas M. Hagerty, Archie L. Jones, Richard Macchia, Hala G. Moddelmog, Jeffrey S. Sloan and Gerald Throop</w:t>
      </w:r>
    </w:p>
    <w:p>
      <w:pPr>
        <w:spacing w:after="0" w:line="2"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color w:val="333333"/>
        </w:rPr>
        <w:t>— will stand for election to the Board for a one-year term. If elected, each director nominee will hold office until the next annual meeting and until his or her successor is elected and qualified, or until their earlier resignation,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59"/>
        <w:spacing w:after="0" w:line="252" w:lineRule="auto"/>
        <w:rPr>
          <w:sz w:val="20"/>
          <w:szCs w:val="20"/>
          <w:color w:val="auto"/>
        </w:rPr>
      </w:pPr>
      <w:r>
        <w:rPr>
          <w:rFonts w:ascii="Arial" w:cs="Arial" w:eastAsia="Arial" w:hAnsi="Arial"/>
          <w:sz w:val="16"/>
          <w:szCs w:val="16"/>
          <w:color w:val="auto"/>
        </w:rPr>
        <w:t>removal or other termination of service. The accompanying proxy will be voted in favor of each individual to serve as a director unless the shareholder indicates to the contrary on the proxy. The Board expects that each of the nominees will be available to serve, but if any of them is unable to serve at the time the election occurs, the Board may, by resolution, provide for a lesser number of directors or designate a substitute nominee.</w:t>
      </w:r>
    </w:p>
    <w:p>
      <w:pPr>
        <w:spacing w:after="0" w:line="156" w:lineRule="exact"/>
        <w:rPr>
          <w:sz w:val="20"/>
          <w:szCs w:val="20"/>
          <w:color w:val="auto"/>
        </w:rPr>
      </w:pPr>
    </w:p>
    <w:p>
      <w:pPr>
        <w:ind w:right="419"/>
        <w:spacing w:after="0" w:line="296" w:lineRule="auto"/>
        <w:rPr>
          <w:sz w:val="20"/>
          <w:szCs w:val="20"/>
          <w:color w:val="auto"/>
        </w:rPr>
      </w:pPr>
      <w:r>
        <w:rPr>
          <w:rFonts w:ascii="Arial" w:cs="Arial" w:eastAsia="Arial" w:hAnsi="Arial"/>
          <w:sz w:val="16"/>
          <w:szCs w:val="16"/>
          <w:b w:val="1"/>
          <w:bCs w:val="1"/>
          <w:color w:val="333333"/>
        </w:rPr>
        <w:t>Our Board of Directors recommends that you vote “FOR” each of the director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192405</wp:posOffset>
            </wp:positionV>
            <wp:extent cx="55549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345" w:lineRule="exact"/>
        <w:rPr>
          <w:sz w:val="20"/>
          <w:szCs w:val="20"/>
          <w:color w:val="auto"/>
        </w:rPr>
      </w:pPr>
    </w:p>
    <w:p>
      <w:pPr>
        <w:sectPr>
          <w:pgSz w:w="11900" w:h="16838" w:orient="portrait"/>
          <w:cols w:equalWidth="0" w:num="2">
            <w:col w:w="4900" w:space="240"/>
            <w:col w:w="4399"/>
          </w:cols>
          <w:pgMar w:left="920" w:top="114"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660" w:right="520" w:hanging="10"/>
        <w:spacing w:after="0" w:line="266" w:lineRule="auto"/>
        <w:tabs>
          <w:tab w:leader="none" w:pos="960" w:val="left"/>
        </w:tabs>
        <w:numPr>
          <w:ilvl w:val="0"/>
          <w:numId w:val="121"/>
        </w:numPr>
        <w:rPr>
          <w:rFonts w:ascii="Arial" w:cs="Arial" w:eastAsia="Arial" w:hAnsi="Arial"/>
          <w:sz w:val="17"/>
          <w:szCs w:val="17"/>
          <w:b w:val="1"/>
          <w:bCs w:val="1"/>
          <w:color w:val="auto"/>
        </w:rPr>
      </w:pPr>
      <w:r>
        <w:rPr>
          <w:rFonts w:ascii="Arial" w:cs="Arial" w:eastAsia="Arial" w:hAnsi="Arial"/>
          <w:sz w:val="17"/>
          <w:szCs w:val="17"/>
          <w:color w:val="CF1D4C"/>
        </w:rPr>
        <w:t>PROPOSAL 2: RATIFICATION OF ERNST &amp; YOUNG LLP AS OUR INDEPENDENT REGISTERED PUBLIC ACCOUNTING FIRM FOR FISCAL YEAR 2024</w:t>
      </w:r>
    </w:p>
    <w:p>
      <w:pPr>
        <w:spacing w:after="0" w:line="200" w:lineRule="exact"/>
        <w:rPr>
          <w:sz w:val="20"/>
          <w:szCs w:val="20"/>
          <w:color w:val="auto"/>
        </w:rPr>
      </w:pPr>
    </w:p>
    <w:p>
      <w:pPr>
        <w:spacing w:after="0" w:line="221"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333333"/>
        </w:rPr>
        <w:t>The audit committee of the Board has selected Ernst &amp; Young LLP as the independent registered public accounting firm for fiscal year 2024. Shareholder ratification of the appointment is not legally required but the audit committee has decided to request that the shareholders ratify the appointment. A representative of Ernst &amp; Young LLP will be present at the annual meeting to answer appropriate questions from shareholders and will have the opportunity to make a statement on behalf of the firm, if desired.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68 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39"/>
        <w:spacing w:after="0" w:line="252" w:lineRule="auto"/>
        <w:rPr>
          <w:sz w:val="20"/>
          <w:szCs w:val="20"/>
          <w:color w:val="auto"/>
        </w:rPr>
      </w:pPr>
      <w:r>
        <w:rPr>
          <w:rFonts w:ascii="Arial" w:cs="Arial" w:eastAsia="Arial" w:hAnsi="Arial"/>
          <w:sz w:val="16"/>
          <w:szCs w:val="16"/>
          <w:color w:val="auto"/>
        </w:rPr>
        <w:t>If this proposal is not approved by our shareholders at the annual meeting, the audit committee will reconsider its selection of Ernst &amp; Young LLP. Even if the selection is ratified, the audit committee may, in its discretion, select a different registered public accounting firm at any point during the year if it determines that making a change would be in the best interests of the Company and our shareholders.</w:t>
      </w:r>
    </w:p>
    <w:p>
      <w:pPr>
        <w:spacing w:after="0" w:line="142" w:lineRule="exact"/>
        <w:rPr>
          <w:sz w:val="20"/>
          <w:szCs w:val="20"/>
          <w:color w:val="auto"/>
        </w:rPr>
      </w:pPr>
    </w:p>
    <w:p>
      <w:pPr>
        <w:jc w:val="both"/>
        <w:ind w:right="479"/>
        <w:spacing w:after="0" w:line="263" w:lineRule="auto"/>
        <w:rPr>
          <w:sz w:val="20"/>
          <w:szCs w:val="20"/>
          <w:color w:val="auto"/>
        </w:rPr>
      </w:pPr>
      <w:r>
        <w:rPr>
          <w:rFonts w:ascii="Arial" w:cs="Arial" w:eastAsia="Arial" w:hAnsi="Arial"/>
          <w:sz w:val="16"/>
          <w:szCs w:val="16"/>
          <w:b w:val="1"/>
          <w:bCs w:val="1"/>
          <w:color w:val="333333"/>
        </w:rPr>
        <w:t>Our Board of Directors recommends that you vote “FOR” the ratification of Ernst &amp; Young LLP as our independent registered public accounting firm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302895</wp:posOffset>
            </wp:positionV>
            <wp:extent cx="699516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900" w:space="240"/>
            <w:col w:w="4399"/>
          </w:cols>
          <w:pgMar w:left="920" w:top="114" w:right="1440"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ind w:left="660" w:right="920" w:hanging="10"/>
        <w:spacing w:after="0" w:line="253" w:lineRule="auto"/>
        <w:tabs>
          <w:tab w:leader="none" w:pos="960"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CF1D4C"/>
        </w:rPr>
        <w:t>PROPOSAL 3: ADVISORY VOTE TO APPROVE NAMED EXECUTIVE OFFICER COMPENSATION</w:t>
      </w:r>
    </w:p>
    <w:p>
      <w:pPr>
        <w:spacing w:after="0" w:line="363" w:lineRule="exact"/>
        <w:rPr>
          <w:sz w:val="20"/>
          <w:szCs w:val="20"/>
          <w:color w:val="auto"/>
        </w:rPr>
      </w:pPr>
    </w:p>
    <w:p>
      <w:pPr>
        <w:jc w:val="both"/>
        <w:ind w:left="660" w:right="120"/>
        <w:spacing w:after="0" w:line="253" w:lineRule="auto"/>
        <w:rPr>
          <w:sz w:val="20"/>
          <w:szCs w:val="20"/>
          <w:color w:val="auto"/>
        </w:rPr>
      </w:pPr>
      <w:r>
        <w:rPr>
          <w:rFonts w:ascii="Arial" w:cs="Arial" w:eastAsia="Arial" w:hAnsi="Arial"/>
          <w:sz w:val="16"/>
          <w:szCs w:val="16"/>
          <w:color w:val="333333"/>
        </w:rPr>
        <w:t>Our Board and our shareholders have determined to hold an advisory vote on executive compensation, as required pursuant to Section 14A of the Exchange Act, every year.</w:t>
      </w:r>
    </w:p>
    <w:p>
      <w:pPr>
        <w:spacing w:after="0" w:line="1"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333333"/>
        </w:rPr>
        <w:t>Accordingly, we are asking shareholders to vote to approve the 2023 compensation of our named executive officers as such compensation is disclosed pursuant to Item 402 of the SEC’s Regulation S-K, including the Compensation Discussion and Analysis, the compensation tables, and other narrative compensation disclosures required by Item 402. This Proxy Statement contains all of these required disclosures. The following resolution is submitted:</w:t>
      </w:r>
    </w:p>
    <w:p>
      <w:pPr>
        <w:spacing w:after="0" w:line="158" w:lineRule="exact"/>
        <w:rPr>
          <w:sz w:val="20"/>
          <w:szCs w:val="20"/>
          <w:color w:val="auto"/>
        </w:rPr>
      </w:pPr>
    </w:p>
    <w:p>
      <w:pPr>
        <w:ind w:left="1000" w:right="160"/>
        <w:spacing w:after="0" w:line="253" w:lineRule="auto"/>
        <w:rPr>
          <w:sz w:val="20"/>
          <w:szCs w:val="20"/>
          <w:color w:val="auto"/>
        </w:rPr>
      </w:pPr>
      <w:r>
        <w:rPr>
          <w:rFonts w:ascii="Arial" w:cs="Arial" w:eastAsia="Arial" w:hAnsi="Arial"/>
          <w:sz w:val="16"/>
          <w:szCs w:val="16"/>
          <w:color w:val="333333"/>
        </w:rPr>
        <w:t>RESOLVED, that the compensation paid to our named executive officers, as disclosed pursuant to Item 402 of the SEC’s Regulation S-K, including the Compensation Discussion and Analysis, compensation tables and other narrative compensation disclosure set forth in this Proxy Statement is hereby APPROVED.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00"/>
        <w:spacing w:after="0" w:line="252" w:lineRule="auto"/>
        <w:rPr>
          <w:sz w:val="20"/>
          <w:szCs w:val="20"/>
          <w:color w:val="auto"/>
        </w:rPr>
      </w:pPr>
      <w:r>
        <w:rPr>
          <w:rFonts w:ascii="Arial" w:cs="Arial" w:eastAsia="Arial" w:hAnsi="Arial"/>
          <w:sz w:val="16"/>
          <w:szCs w:val="16"/>
          <w:color w:val="auto"/>
        </w:rPr>
        <w:t>Because the vote on this proposal is advisory, it will not affect compensation already paid or awarded to any named executive officer and will not be binding on the Company, the Board, or the compensation committee. The Board and compensation committee, however, will review the voting results and take into account the outcome in determining future annual compensation for the named executive officers.</w:t>
      </w:r>
    </w:p>
    <w:p>
      <w:pPr>
        <w:spacing w:after="0" w:line="156" w:lineRule="exact"/>
        <w:rPr>
          <w:sz w:val="20"/>
          <w:szCs w:val="20"/>
          <w:color w:val="auto"/>
        </w:rPr>
      </w:pPr>
    </w:p>
    <w:p>
      <w:pPr>
        <w:ind w:right="700"/>
        <w:spacing w:after="0" w:line="266" w:lineRule="auto"/>
        <w:rPr>
          <w:sz w:val="20"/>
          <w:szCs w:val="20"/>
          <w:color w:val="auto"/>
        </w:rPr>
      </w:pPr>
      <w:r>
        <w:rPr>
          <w:rFonts w:ascii="Arial" w:cs="Arial" w:eastAsia="Arial" w:hAnsi="Arial"/>
          <w:sz w:val="16"/>
          <w:szCs w:val="16"/>
          <w:color w:val="auto"/>
        </w:rPr>
        <w:t>We currently conduct a say-on-pay vote annually. Our next say-on-pay vote is expected to occur at the 2025 annual meeting of shareholders.</w:t>
      </w:r>
    </w:p>
    <w:p>
      <w:pPr>
        <w:spacing w:after="0" w:line="131" w:lineRule="exact"/>
        <w:rPr>
          <w:sz w:val="20"/>
          <w:szCs w:val="20"/>
          <w:color w:val="auto"/>
        </w:rPr>
      </w:pPr>
    </w:p>
    <w:p>
      <w:pPr>
        <w:ind w:right="1020"/>
        <w:spacing w:after="0" w:line="271" w:lineRule="auto"/>
        <w:rPr>
          <w:sz w:val="20"/>
          <w:szCs w:val="20"/>
          <w:color w:val="auto"/>
        </w:rPr>
      </w:pPr>
      <w:r>
        <w:rPr>
          <w:rFonts w:ascii="Arial" w:cs="Arial" w:eastAsia="Arial" w:hAnsi="Arial"/>
          <w:sz w:val="16"/>
          <w:szCs w:val="16"/>
          <w:b w:val="1"/>
          <w:bCs w:val="1"/>
          <w:color w:val="333333"/>
        </w:rPr>
        <w:t>Our Board of Directors recommends that you vote “FOR” the approval of named executive officer compensation as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470535</wp:posOffset>
            </wp:positionV>
            <wp:extent cx="55549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785" w:lineRule="exact"/>
        <w:rPr>
          <w:sz w:val="20"/>
          <w:szCs w:val="20"/>
          <w:color w:val="auto"/>
        </w:rPr>
      </w:pPr>
    </w:p>
    <w:p>
      <w:pPr>
        <w:sectPr>
          <w:pgSz w:w="11900" w:h="16838" w:orient="portrait"/>
          <w:cols w:equalWidth="0" w:num="2">
            <w:col w:w="4880" w:space="260"/>
            <w:col w:w="4900"/>
          </w:cols>
          <w:pgMar w:left="920" w:top="114" w:right="939" w:bottom="1440" w:gutter="0" w:footer="0" w:header="0"/>
        </w:sectPr>
      </w:pPr>
    </w:p>
    <w:p>
      <w:pPr>
        <w:spacing w:after="0" w:line="355" w:lineRule="exact"/>
        <w:rPr>
          <w:sz w:val="20"/>
          <w:szCs w:val="20"/>
          <w:color w:val="auto"/>
        </w:rPr>
      </w:pPr>
    </w:p>
    <w:p>
      <w:pPr>
        <w:ind w:left="660" w:hanging="10"/>
        <w:spacing w:after="0" w:line="271" w:lineRule="auto"/>
        <w:tabs>
          <w:tab w:leader="none" w:pos="9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CF1D4C"/>
        </w:rPr>
        <w:t>PROPOSAL 4: SHAREHOLDER PROPOSAL FOR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194945</wp:posOffset>
            </wp:positionV>
            <wp:extent cx="1414145" cy="2825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41414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 </w:t>
      </w:r>
    </w:p>
    <w:p>
      <w:pPr>
        <w:spacing w:after="0" w:line="200" w:lineRule="exact"/>
        <w:rPr>
          <w:sz w:val="20"/>
          <w:szCs w:val="20"/>
          <w:color w:val="auto"/>
        </w:rPr>
      </w:pPr>
    </w:p>
    <w:p>
      <w:pPr>
        <w:spacing w:after="0" w:line="264" w:lineRule="exact"/>
        <w:rPr>
          <w:sz w:val="20"/>
          <w:szCs w:val="20"/>
          <w:color w:val="auto"/>
        </w:rPr>
      </w:pPr>
    </w:p>
    <w:p>
      <w:pPr>
        <w:ind w:left="660" w:right="140"/>
        <w:spacing w:after="0" w:line="259" w:lineRule="auto"/>
        <w:rPr>
          <w:sz w:val="20"/>
          <w:szCs w:val="20"/>
          <w:color w:val="auto"/>
        </w:rPr>
      </w:pPr>
      <w:r>
        <w:rPr>
          <w:rFonts w:ascii="Arial" w:cs="Arial" w:eastAsia="Arial" w:hAnsi="Arial"/>
          <w:sz w:val="16"/>
          <w:szCs w:val="16"/>
          <w:color w:val="auto"/>
        </w:rPr>
        <w:t>Shareholders request that the Board of Directors adopt an enduring policy, and amend the governing documents as necessary in order that 2 separate people hold the office of the Chairman and the office of the CEO.</w:t>
      </w:r>
    </w:p>
    <w:p>
      <w:pPr>
        <w:spacing w:after="0" w:line="151" w:lineRule="exact"/>
        <w:rPr>
          <w:sz w:val="20"/>
          <w:szCs w:val="20"/>
          <w:color w:val="auto"/>
        </w:rPr>
      </w:pPr>
    </w:p>
    <w:p>
      <w:pPr>
        <w:ind w:left="660" w:right="180"/>
        <w:spacing w:after="0" w:line="286" w:lineRule="auto"/>
        <w:rPr>
          <w:sz w:val="20"/>
          <w:szCs w:val="20"/>
          <w:color w:val="auto"/>
        </w:rPr>
      </w:pPr>
      <w:r>
        <w:rPr>
          <w:rFonts w:ascii="Arial" w:cs="Arial" w:eastAsia="Arial" w:hAnsi="Arial"/>
          <w:sz w:val="16"/>
          <w:szCs w:val="16"/>
          <w:color w:val="auto"/>
        </w:rPr>
        <w:t>Whenever possible, the Chairman of the Board shall be an Independent Director.</w:t>
      </w:r>
    </w:p>
    <w:p>
      <w:pPr>
        <w:spacing w:after="0" w:line="115" w:lineRule="exact"/>
        <w:rPr>
          <w:sz w:val="20"/>
          <w:szCs w:val="20"/>
          <w:color w:val="auto"/>
        </w:rPr>
      </w:pPr>
    </w:p>
    <w:p>
      <w:pPr>
        <w:ind w:left="660" w:right="180"/>
        <w:spacing w:after="0" w:line="259" w:lineRule="auto"/>
        <w:rPr>
          <w:sz w:val="20"/>
          <w:szCs w:val="20"/>
          <w:color w:val="auto"/>
        </w:rPr>
      </w:pPr>
      <w:r>
        <w:rPr>
          <w:rFonts w:ascii="Arial" w:cs="Arial" w:eastAsia="Arial" w:hAnsi="Arial"/>
          <w:sz w:val="16"/>
          <w:szCs w:val="16"/>
          <w:color w:val="auto"/>
        </w:rPr>
        <w:t>The Board has the discretion to select a Temporary Chairman of the Board who is not an Independent Director to serve while the Board is seeking an Independent Chairman of the Board on an accelerated basis.</w:t>
      </w:r>
    </w:p>
    <w:p>
      <w:pPr>
        <w:spacing w:after="0" w:line="137" w:lineRule="exact"/>
        <w:rPr>
          <w:sz w:val="20"/>
          <w:szCs w:val="20"/>
          <w:color w:val="auto"/>
        </w:rPr>
      </w:pPr>
    </w:p>
    <w:p>
      <w:pPr>
        <w:jc w:val="both"/>
        <w:ind w:left="660" w:right="180"/>
        <w:spacing w:after="0" w:line="266" w:lineRule="auto"/>
        <w:rPr>
          <w:sz w:val="20"/>
          <w:szCs w:val="20"/>
          <w:color w:val="auto"/>
        </w:rPr>
      </w:pPr>
      <w:r>
        <w:rPr>
          <w:rFonts w:ascii="Arial" w:cs="Arial" w:eastAsia="Arial" w:hAnsi="Arial"/>
          <w:sz w:val="16"/>
          <w:szCs w:val="16"/>
          <w:color w:val="auto"/>
        </w:rPr>
        <w:t>It is a best practice to adopt this policy soon. However this policy could be phased in when there is a contract renewal for our current CEO or for the next CEO transition.</w:t>
      </w:r>
    </w:p>
    <w:p>
      <w:pPr>
        <w:spacing w:after="0" w:line="144" w:lineRule="exact"/>
        <w:rPr>
          <w:sz w:val="20"/>
          <w:szCs w:val="20"/>
          <w:color w:val="auto"/>
        </w:rPr>
      </w:pPr>
    </w:p>
    <w:p>
      <w:pPr>
        <w:ind w:left="660" w:right="320"/>
        <w:spacing w:after="0" w:line="266" w:lineRule="auto"/>
        <w:rPr>
          <w:sz w:val="20"/>
          <w:szCs w:val="20"/>
          <w:color w:val="auto"/>
        </w:rPr>
      </w:pPr>
      <w:r>
        <w:rPr>
          <w:rFonts w:ascii="Arial" w:cs="Arial" w:eastAsia="Arial" w:hAnsi="Arial"/>
          <w:sz w:val="16"/>
          <w:szCs w:val="16"/>
          <w:color w:val="auto"/>
        </w:rPr>
        <w:t>The roles of Chairman and CEO are fundamentally different and should be held by 2 directors, a CEO and a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800"/>
        <w:spacing w:after="0" w:line="266" w:lineRule="auto"/>
        <w:rPr>
          <w:sz w:val="20"/>
          <w:szCs w:val="20"/>
          <w:color w:val="auto"/>
        </w:rPr>
      </w:pPr>
      <w:r>
        <w:rPr>
          <w:rFonts w:ascii="Arial" w:cs="Arial" w:eastAsia="Arial" w:hAnsi="Arial"/>
          <w:sz w:val="16"/>
          <w:szCs w:val="16"/>
          <w:color w:val="auto"/>
        </w:rPr>
        <w:t>who is completely independent of the CEO and our company. The job of the CEO is to manage the company. The job of the Chairman is to oversee the CEO.</w:t>
      </w:r>
    </w:p>
    <w:p>
      <w:pPr>
        <w:spacing w:after="0" w:line="144" w:lineRule="exact"/>
        <w:rPr>
          <w:sz w:val="20"/>
          <w:szCs w:val="20"/>
          <w:color w:val="auto"/>
        </w:rPr>
      </w:pPr>
    </w:p>
    <w:p>
      <w:pPr>
        <w:ind w:right="720"/>
        <w:spacing w:after="0" w:line="266" w:lineRule="auto"/>
        <w:rPr>
          <w:sz w:val="20"/>
          <w:szCs w:val="20"/>
          <w:color w:val="auto"/>
        </w:rPr>
      </w:pPr>
      <w:r>
        <w:rPr>
          <w:rFonts w:ascii="Arial" w:cs="Arial" w:eastAsia="Arial" w:hAnsi="Arial"/>
          <w:sz w:val="16"/>
          <w:szCs w:val="16"/>
          <w:color w:val="auto"/>
        </w:rPr>
        <w:t>This proposal is important to FleetCor because FleetCor has given the 2 most important jobs in the Company, CEO and Chairman, to one person.</w:t>
      </w:r>
    </w:p>
    <w:p>
      <w:pPr>
        <w:spacing w:after="0" w:line="131" w:lineRule="exact"/>
        <w:rPr>
          <w:sz w:val="20"/>
          <w:szCs w:val="20"/>
          <w:color w:val="auto"/>
        </w:rPr>
      </w:pPr>
    </w:p>
    <w:p>
      <w:pPr>
        <w:ind w:right="780"/>
        <w:spacing w:after="0" w:line="253" w:lineRule="auto"/>
        <w:rPr>
          <w:sz w:val="20"/>
          <w:szCs w:val="20"/>
          <w:color w:val="auto"/>
        </w:rPr>
      </w:pPr>
      <w:r>
        <w:rPr>
          <w:rFonts w:ascii="Arial" w:cs="Arial" w:eastAsia="Arial" w:hAnsi="Arial"/>
          <w:sz w:val="16"/>
          <w:szCs w:val="16"/>
          <w:color w:val="auto"/>
        </w:rPr>
        <w:t>It is especially important to have an independent Board Chairman because FleetCor has a poorly qualified lead director. Lead director Steve Stull's main qualifications for</w:t>
      </w:r>
    </w:p>
    <w:p>
      <w:pPr>
        <w:spacing w:after="0" w:line="1" w:lineRule="exact"/>
        <w:rPr>
          <w:sz w:val="20"/>
          <w:szCs w:val="20"/>
          <w:color w:val="auto"/>
        </w:rPr>
      </w:pPr>
    </w:p>
    <w:p>
      <w:pPr>
        <w:ind w:right="660"/>
        <w:spacing w:after="0" w:line="250" w:lineRule="auto"/>
        <w:rPr>
          <w:sz w:val="20"/>
          <w:szCs w:val="20"/>
          <w:color w:val="auto"/>
        </w:rPr>
      </w:pPr>
      <w:r>
        <w:rPr>
          <w:rFonts w:ascii="Arial" w:cs="Arial" w:eastAsia="Arial" w:hAnsi="Arial"/>
          <w:sz w:val="16"/>
          <w:szCs w:val="16"/>
          <w:color w:val="auto"/>
        </w:rPr>
        <w:t>3-decades is involvement with a firm that has $16 million in annual revenue compared to the market cap of $18 Billion for FleetCor. Mr. Stull has 24-years excessive tenure on the FleetCor board. As director tenure goes up director independence goes down. Independence is the most import attribute of a lead director.</w:t>
      </w:r>
    </w:p>
    <w:p>
      <w:pPr>
        <w:spacing w:after="0" w:line="144" w:lineRule="exact"/>
        <w:rPr>
          <w:sz w:val="20"/>
          <w:szCs w:val="20"/>
          <w:color w:val="auto"/>
        </w:rPr>
      </w:pPr>
    </w:p>
    <w:p>
      <w:pPr>
        <w:ind w:right="640"/>
        <w:spacing w:after="0" w:line="266" w:lineRule="auto"/>
        <w:rPr>
          <w:sz w:val="20"/>
          <w:szCs w:val="20"/>
          <w:color w:val="auto"/>
        </w:rPr>
      </w:pPr>
      <w:r>
        <w:rPr>
          <w:rFonts w:ascii="Arial" w:cs="Arial" w:eastAsia="Arial" w:hAnsi="Arial"/>
          <w:sz w:val="16"/>
          <w:szCs w:val="16"/>
          <w:color w:val="auto"/>
        </w:rPr>
        <w:t>Mr. Stull was one of 4 FleetCor directors who received between 15 million and 30 million against votes at the 2023 annual meeting. The other directors receiving</w:t>
      </w:r>
    </w:p>
    <w:p>
      <w:pPr>
        <w:spacing w:after="0" w:line="172" w:lineRule="exact"/>
        <w:rPr>
          <w:sz w:val="20"/>
          <w:szCs w:val="20"/>
          <w:color w:val="auto"/>
        </w:rPr>
      </w:pPr>
    </w:p>
    <w:p>
      <w:pPr>
        <w:sectPr>
          <w:pgSz w:w="11900" w:h="16838" w:orient="portrait"/>
          <w:cols w:equalWidth="0" w:num="2">
            <w:col w:w="5020" w:space="120"/>
            <w:col w:w="4900"/>
          </w:cols>
          <w:pgMar w:left="920" w:top="114" w:right="939" w:bottom="1440" w:gutter="0" w:footer="0" w:header="0"/>
          <w:type w:val="continuous"/>
        </w:sectPr>
      </w:pPr>
    </w:p>
    <w:p>
      <w:pPr>
        <w:ind w:left="7300"/>
        <w:spacing w:after="0"/>
        <w:rPr>
          <w:sz w:val="20"/>
          <w:szCs w:val="20"/>
          <w:color w:val="auto"/>
        </w:rPr>
      </w:pPr>
      <w:r>
        <w:rPr>
          <w:rFonts w:ascii="Arial" w:cs="Arial" w:eastAsia="Arial" w:hAnsi="Arial"/>
          <w:sz w:val="10"/>
          <w:szCs w:val="10"/>
          <w:color w:val="333333"/>
        </w:rPr>
        <w:t xml:space="preserve">2024 Notice of Annual Meeting &amp; Proxy Statement      </w:t>
      </w:r>
      <w:r>
        <w:rPr>
          <w:rFonts w:ascii="Arial" w:cs="Arial" w:eastAsia="Arial" w:hAnsi="Arial"/>
          <w:sz w:val="10"/>
          <w:szCs w:val="10"/>
          <w:b w:val="1"/>
          <w:bCs w:val="1"/>
          <w:color w:val="333333"/>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132715</wp:posOffset>
            </wp:positionV>
            <wp:extent cx="699516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660" w:right="180"/>
        <w:spacing w:after="0" w:line="259" w:lineRule="auto"/>
        <w:rPr>
          <w:sz w:val="20"/>
          <w:szCs w:val="20"/>
          <w:color w:val="auto"/>
        </w:rPr>
      </w:pPr>
      <w:r>
        <w:rPr>
          <w:rFonts w:ascii="Arial" w:cs="Arial" w:eastAsia="Arial" w:hAnsi="Arial"/>
          <w:sz w:val="16"/>
          <w:szCs w:val="16"/>
          <w:color w:val="auto"/>
        </w:rPr>
        <w:t>between 15 million and 30 million against votes were Joseph Farrelly, Thomas Hagerty and Hala Moddelmog. This poor showing compares to 3 FleetCor directors who each received less than 0.5 million against votes.</w:t>
      </w:r>
    </w:p>
    <w:p>
      <w:pPr>
        <w:spacing w:after="0" w:line="137" w:lineRule="exact"/>
        <w:rPr>
          <w:sz w:val="20"/>
          <w:szCs w:val="20"/>
          <w:color w:val="auto"/>
        </w:rPr>
      </w:pPr>
    </w:p>
    <w:p>
      <w:pPr>
        <w:ind w:left="660" w:right="140"/>
        <w:spacing w:after="0" w:line="253" w:lineRule="auto"/>
        <w:rPr>
          <w:sz w:val="20"/>
          <w:szCs w:val="20"/>
          <w:color w:val="auto"/>
        </w:rPr>
      </w:pPr>
      <w:r>
        <w:rPr>
          <w:rFonts w:ascii="Arial" w:cs="Arial" w:eastAsia="Arial" w:hAnsi="Arial"/>
          <w:sz w:val="16"/>
          <w:szCs w:val="16"/>
          <w:color w:val="auto"/>
        </w:rPr>
        <w:t>Executive pay was rejected by 40% of FleetCor shares in 2023 when a 5% rejection is often the norm at well performing companies. Plus it takes much more shareholder conviction to vote against executive pay than to simply follow the FleetCor Board's recommendation. And FleetCor stock is a disappointment since its $315 price in January 2020.</w:t>
      </w:r>
    </w:p>
    <w:p>
      <w:pPr>
        <w:spacing w:after="0" w:line="141" w:lineRule="exact"/>
        <w:rPr>
          <w:sz w:val="20"/>
          <w:szCs w:val="20"/>
          <w:color w:val="auto"/>
        </w:rPr>
      </w:pPr>
    </w:p>
    <w:p>
      <w:pPr>
        <w:ind w:left="660" w:right="580"/>
        <w:spacing w:after="0" w:line="296" w:lineRule="auto"/>
        <w:rPr>
          <w:sz w:val="20"/>
          <w:szCs w:val="20"/>
          <w:color w:val="auto"/>
        </w:rPr>
      </w:pPr>
      <w:r>
        <w:rPr>
          <w:rFonts w:ascii="Arial" w:cs="Arial" w:eastAsia="Arial" w:hAnsi="Arial"/>
          <w:sz w:val="16"/>
          <w:szCs w:val="16"/>
          <w:b w:val="1"/>
          <w:bCs w:val="1"/>
          <w:color w:val="333333"/>
        </w:rPr>
        <w:t>Please vote yes: Independent Board Chairman - Proposal 4</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Board of Directors Statement of Opposition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333333"/>
        </w:rPr>
        <w:t>The Board recommends a vote AGAINST this proposal</w:t>
      </w:r>
    </w:p>
    <w:p>
      <w:pPr>
        <w:spacing w:after="0" w:line="181" w:lineRule="exact"/>
        <w:rPr>
          <w:sz w:val="20"/>
          <w:szCs w:val="20"/>
          <w:color w:val="auto"/>
        </w:rPr>
      </w:pPr>
    </w:p>
    <w:p>
      <w:pPr>
        <w:ind w:left="660" w:right="180"/>
        <w:spacing w:after="0" w:line="256" w:lineRule="auto"/>
        <w:rPr>
          <w:sz w:val="20"/>
          <w:szCs w:val="20"/>
          <w:color w:val="auto"/>
        </w:rPr>
      </w:pPr>
      <w:r>
        <w:rPr>
          <w:rFonts w:ascii="Arial" w:cs="Arial" w:eastAsia="Arial" w:hAnsi="Arial"/>
          <w:sz w:val="16"/>
          <w:szCs w:val="16"/>
          <w:color w:val="333333"/>
        </w:rPr>
        <w:t>The Board has carefully considered the shareholder proposal and believes that permanently prescribing a leadership structure for the Company and requiring the appointment of an independent Board Chairman is not in the best interests of the Company or its shareholders.</w:t>
      </w:r>
    </w:p>
    <w:p>
      <w:pPr>
        <w:spacing w:after="0" w:line="139"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333333"/>
        </w:rPr>
        <w:t>The Board believes that it should have the flexibility to consider all relevant factors and select the most appropriate leadership structure for the Company’s circumstances, at any given time. The current Board leadership structure, together with the Board’s other practices described below and elsewhere in this Proxy Statement, already provides effective independent oversight of management, promotes Board accountability and responsiveness to shareholders, and facilitates our execution on strategic priorities. The appointment of a Lead Independent Director precludes the need to permanently separate the role of CEO and Chairman of the Board. Currently, Mr. Stull, an independent Director, is the Lead Independent Director.</w:t>
      </w:r>
    </w:p>
    <w:p>
      <w:pPr>
        <w:spacing w:after="0" w:line="353" w:lineRule="exact"/>
        <w:rPr>
          <w:sz w:val="20"/>
          <w:szCs w:val="20"/>
          <w:color w:val="auto"/>
        </w:rPr>
      </w:pPr>
    </w:p>
    <w:p>
      <w:pPr>
        <w:ind w:left="660" w:right="40"/>
        <w:spacing w:after="0" w:line="250" w:lineRule="auto"/>
        <w:rPr>
          <w:sz w:val="20"/>
          <w:szCs w:val="20"/>
          <w:color w:val="auto"/>
        </w:rPr>
      </w:pPr>
      <w:r>
        <w:rPr>
          <w:rFonts w:ascii="Arial" w:cs="Arial" w:eastAsia="Arial" w:hAnsi="Arial"/>
          <w:sz w:val="16"/>
          <w:szCs w:val="16"/>
          <w:color w:val="333333"/>
        </w:rPr>
        <w:t>Our Corporate Governance Guidelines provide the Board with the flexibility to determine the optimal leadership structure, including separating the positions of Chair and CEO if circumstances warrant. The Board believes that the Directors are best positioned to lead this evaluation given their knowledge of the Company’s leadership team, strategic goals, opportunities and challenges. When the Board established the position of a Lead Independent Director, it assigned the following powers and responsibilities:</w:t>
      </w:r>
    </w:p>
    <w:p>
      <w:pPr>
        <w:spacing w:after="0" w:line="162" w:lineRule="exact"/>
        <w:rPr>
          <w:sz w:val="20"/>
          <w:szCs w:val="20"/>
          <w:color w:val="auto"/>
        </w:rPr>
      </w:pPr>
    </w:p>
    <w:p>
      <w:pPr>
        <w:ind w:left="880" w:right="360" w:hanging="228"/>
        <w:spacing w:after="0"/>
        <w:rPr>
          <w:sz w:val="20"/>
          <w:szCs w:val="20"/>
          <w:color w:val="auto"/>
        </w:rPr>
      </w:pPr>
      <w:r>
        <w:rPr>
          <w:sz w:val="1"/>
          <w:szCs w:val="1"/>
          <w:color w:val="auto"/>
        </w:rPr>
        <w:drawing>
          <wp:inline distT="0" distB="0" distL="0" distR="0">
            <wp:extent cx="76835" cy="9398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Preside at all meetings of the Board at which the Chairman or any Vice Chairman of the Board is not present;</w:t>
      </w:r>
    </w:p>
    <w:p>
      <w:pPr>
        <w:spacing w:after="0" w:line="191"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70 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40" w:right="319" w:hanging="233"/>
        <w:spacing w:after="0"/>
        <w:rPr>
          <w:sz w:val="20"/>
          <w:szCs w:val="20"/>
          <w:color w:val="auto"/>
        </w:rPr>
      </w:pPr>
      <w:r>
        <w:rPr>
          <w:sz w:val="1"/>
          <w:szCs w:val="1"/>
          <w:color w:val="auto"/>
        </w:rPr>
        <w:drawing>
          <wp:inline distT="0" distB="0" distL="0" distR="0">
            <wp:extent cx="77470" cy="93980"/>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Preside over executive sessions of the non-employee directors;</w:t>
      </w:r>
    </w:p>
    <w:p>
      <w:pPr>
        <w:ind w:left="240" w:right="359" w:hanging="233"/>
        <w:spacing w:after="0"/>
        <w:rPr>
          <w:sz w:val="20"/>
          <w:szCs w:val="20"/>
          <w:color w:val="auto"/>
        </w:rPr>
      </w:pPr>
      <w:r>
        <w:rPr>
          <w:sz w:val="1"/>
          <w:szCs w:val="1"/>
          <w:color w:val="auto"/>
        </w:rPr>
        <w:drawing>
          <wp:inline distT="0" distB="0" distL="0" distR="0">
            <wp:extent cx="77470" cy="94615"/>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auto"/>
        </w:rPr>
        <w:t>  Serve as liaison between the non-employee directors and the Chairman and the CEO;</w:t>
      </w:r>
    </w:p>
    <w:p>
      <w:pPr>
        <w:ind w:left="240" w:right="879" w:hanging="233"/>
        <w:spacing w:after="0"/>
        <w:rPr>
          <w:sz w:val="20"/>
          <w:szCs w:val="20"/>
          <w:color w:val="auto"/>
        </w:rPr>
      </w:pPr>
      <w:r>
        <w:rPr>
          <w:sz w:val="1"/>
          <w:szCs w:val="1"/>
          <w:color w:val="auto"/>
        </w:rPr>
        <w:drawing>
          <wp:inline distT="0" distB="0" distL="0" distR="0">
            <wp:extent cx="77470" cy="93980"/>
            <wp:effectExtent l="0" t="0" r="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Call meetings of non-employee directors, with appropriate notice;</w:t>
      </w:r>
    </w:p>
    <w:p>
      <w:pPr>
        <w:jc w:val="both"/>
        <w:ind w:left="240" w:right="439" w:hanging="233"/>
        <w:spacing w:after="0"/>
        <w:rPr>
          <w:sz w:val="20"/>
          <w:szCs w:val="20"/>
          <w:color w:val="auto"/>
        </w:rPr>
      </w:pPr>
      <w:r>
        <w:rPr>
          <w:sz w:val="1"/>
          <w:szCs w:val="1"/>
          <w:color w:val="auto"/>
        </w:rPr>
        <w:drawing>
          <wp:inline distT="0" distB="0" distL="0" distR="0">
            <wp:extent cx="77470" cy="94615"/>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auto"/>
        </w:rPr>
        <w:t>  Coordinate with the Chairman and CEO on meeting schedules, agendas and information provided to the Board;</w:t>
      </w:r>
    </w:p>
    <w:p>
      <w:pPr>
        <w:ind w:left="240" w:right="1039" w:hanging="233"/>
        <w:spacing w:after="0"/>
        <w:rPr>
          <w:sz w:val="20"/>
          <w:szCs w:val="20"/>
          <w:color w:val="auto"/>
        </w:rPr>
      </w:pPr>
      <w:r>
        <w:rPr>
          <w:sz w:val="1"/>
          <w:szCs w:val="1"/>
          <w:color w:val="auto"/>
        </w:rPr>
        <w:drawing>
          <wp:inline distT="0" distB="0" distL="0" distR="0">
            <wp:extent cx="77470" cy="93980"/>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Be available for consultation with significant stockholders if so requested; and</w:t>
      </w:r>
    </w:p>
    <w:p>
      <w:pPr>
        <w:jc w:val="both"/>
        <w:ind w:left="240" w:right="239" w:hanging="233"/>
        <w:spacing w:after="0"/>
        <w:rPr>
          <w:sz w:val="20"/>
          <w:szCs w:val="20"/>
          <w:color w:val="auto"/>
        </w:rPr>
      </w:pPr>
      <w:r>
        <w:rPr>
          <w:sz w:val="1"/>
          <w:szCs w:val="1"/>
          <w:color w:val="auto"/>
        </w:rPr>
        <w:drawing>
          <wp:inline distT="0" distB="0" distL="0" distR="0">
            <wp:extent cx="77470" cy="94615"/>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auto"/>
        </w:rPr>
        <w:t>  Exercise and perform such other powers and duties as may be assigned to the Lead Independent Director by the Board from time to time.</w:t>
      </w:r>
    </w:p>
    <w:p>
      <w:pPr>
        <w:spacing w:after="0" w:line="150" w:lineRule="exact"/>
        <w:rPr>
          <w:sz w:val="20"/>
          <w:szCs w:val="20"/>
          <w:color w:val="auto"/>
        </w:rPr>
      </w:pPr>
    </w:p>
    <w:p>
      <w:pPr>
        <w:ind w:right="179"/>
        <w:spacing w:after="0" w:line="249" w:lineRule="auto"/>
        <w:rPr>
          <w:sz w:val="20"/>
          <w:szCs w:val="20"/>
          <w:color w:val="auto"/>
        </w:rPr>
      </w:pPr>
      <w:r>
        <w:rPr>
          <w:rFonts w:ascii="Arial" w:cs="Arial" w:eastAsia="Arial" w:hAnsi="Arial"/>
          <w:sz w:val="16"/>
          <w:szCs w:val="16"/>
          <w:color w:val="auto"/>
        </w:rPr>
        <w:t>Most companies in the S&amp;P 500 do not take a rigid approach to Board leadership structure. According to a 2023 report on Board Leadership and Structure by the Conference Board, 76% of companies in the S&amp;P 500 provide their boards with flexibility to determine its leadership structure and only 17% state that the CEO and Chair role should be separated. In addition, there is no evidence supporting the claim that an independent Chair would improve the Company’s or the Board’s effectiveness. Instead, the Board believes that the current Board leadership structure leads to certain efficiencies and allows the Company to speak with one, clear, unified voice as it tackles the many challenges and opportunities it faces.</w:t>
      </w:r>
    </w:p>
    <w:p>
      <w:pPr>
        <w:spacing w:after="0" w:line="340" w:lineRule="exact"/>
        <w:rPr>
          <w:sz w:val="20"/>
          <w:szCs w:val="20"/>
          <w:color w:val="auto"/>
        </w:rPr>
      </w:pPr>
    </w:p>
    <w:p>
      <w:pPr>
        <w:ind w:right="259"/>
        <w:spacing w:after="0" w:line="253" w:lineRule="auto"/>
        <w:rPr>
          <w:sz w:val="20"/>
          <w:szCs w:val="20"/>
          <w:color w:val="auto"/>
        </w:rPr>
      </w:pPr>
      <w:r>
        <w:rPr>
          <w:rFonts w:ascii="Arial" w:cs="Arial" w:eastAsia="Arial" w:hAnsi="Arial"/>
          <w:sz w:val="16"/>
          <w:szCs w:val="16"/>
          <w:color w:val="auto"/>
        </w:rPr>
        <w:t xml:space="preserve">Moreover, Corpay utilizes robust corporate governance practices, as described in more detail in the </w:t>
      </w:r>
      <w:r>
        <w:rPr>
          <w:rFonts w:ascii="Arial" w:cs="Arial" w:eastAsia="Arial" w:hAnsi="Arial"/>
          <w:sz w:val="16"/>
          <w:szCs w:val="16"/>
          <w:i w:val="1"/>
          <w:iCs w:val="1"/>
          <w:color w:val="auto"/>
        </w:rPr>
        <w:t>Corpay, Inc.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Corporate Governance Guidelines </w:t>
      </w:r>
      <w:r>
        <w:rPr>
          <w:rFonts w:ascii="Arial" w:cs="Arial" w:eastAsia="Arial" w:hAnsi="Arial"/>
          <w:sz w:val="16"/>
          <w:szCs w:val="16"/>
          <w:color w:val="auto"/>
        </w:rPr>
        <w:t>at</w:t>
      </w:r>
      <w:r>
        <w:rPr>
          <w:rFonts w:ascii="Arial" w:cs="Arial" w:eastAsia="Arial" w:hAnsi="Arial"/>
          <w:sz w:val="16"/>
          <w:szCs w:val="16"/>
          <w:i w:val="1"/>
          <w:iCs w:val="1"/>
          <w:color w:val="auto"/>
        </w:rPr>
        <w:t xml:space="preserve"> </w:t>
      </w:r>
      <w:r>
        <w:rPr>
          <w:rFonts w:ascii="Arial" w:cs="Arial" w:eastAsia="Arial" w:hAnsi="Arial"/>
          <w:sz w:val="16"/>
          <w:szCs w:val="16"/>
          <w:color w:val="auto"/>
        </w:rPr>
        <w:t>https://investor.corpay.com, including maintaining strong, independent oversight on behalf of stockholders and consistently ensuring that each Board committee is led by and composed of independent Directors.</w:t>
      </w:r>
    </w:p>
    <w:p>
      <w:pPr>
        <w:spacing w:after="0" w:line="154" w:lineRule="exact"/>
        <w:rPr>
          <w:sz w:val="20"/>
          <w:szCs w:val="20"/>
          <w:color w:val="auto"/>
        </w:rPr>
      </w:pPr>
    </w:p>
    <w:p>
      <w:pPr>
        <w:ind w:right="159"/>
        <w:spacing w:after="0" w:line="253" w:lineRule="auto"/>
        <w:rPr>
          <w:sz w:val="20"/>
          <w:szCs w:val="20"/>
          <w:color w:val="auto"/>
        </w:rPr>
      </w:pPr>
      <w:r>
        <w:rPr>
          <w:rFonts w:ascii="Arial" w:cs="Arial" w:eastAsia="Arial" w:hAnsi="Arial"/>
          <w:sz w:val="16"/>
          <w:szCs w:val="16"/>
          <w:color w:val="auto"/>
        </w:rPr>
        <w:t>Given the demonstrated successes of the Company’s Chairman and CEO, the robust role and responsibilities of our Lead Independent Director and Corpay’s strong Board and corporate governance practices, the Board believes it is in the best interests of the Company and its stockholders to maintain the flexibility to determine the appropriate leadership structure for the Company.</w:t>
      </w:r>
    </w:p>
    <w:p>
      <w:pPr>
        <w:spacing w:after="0" w:line="141" w:lineRule="exact"/>
        <w:rPr>
          <w:sz w:val="20"/>
          <w:szCs w:val="20"/>
          <w:color w:val="auto"/>
        </w:rPr>
      </w:pPr>
    </w:p>
    <w:p>
      <w:pPr>
        <w:ind w:right="279"/>
        <w:spacing w:after="0" w:line="263" w:lineRule="auto"/>
        <w:rPr>
          <w:sz w:val="20"/>
          <w:szCs w:val="20"/>
          <w:color w:val="auto"/>
        </w:rPr>
      </w:pPr>
      <w:r>
        <w:rPr>
          <w:rFonts w:ascii="Arial" w:cs="Arial" w:eastAsia="Arial" w:hAnsi="Arial"/>
          <w:sz w:val="16"/>
          <w:szCs w:val="16"/>
          <w:b w:val="1"/>
          <w:bCs w:val="1"/>
          <w:color w:val="auto"/>
        </w:rPr>
        <w:t>The Board of Directors believes that this proposal is not in the best interests of the Company or our stockholders and unanimously recommends that you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1116965</wp:posOffset>
            </wp:positionV>
            <wp:extent cx="699516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900" w:space="240"/>
            <w:col w:w="4399"/>
          </w:cols>
          <w:pgMar w:left="920" w:top="114"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960" w:hanging="310"/>
        <w:spacing w:after="0"/>
        <w:tabs>
          <w:tab w:leader="none" w:pos="96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CF1D4C"/>
        </w:rPr>
        <w:t>OTHER BUSINESS</w:t>
      </w:r>
    </w:p>
    <w:p>
      <w:pPr>
        <w:spacing w:after="0" w:line="270" w:lineRule="exact"/>
        <w:rPr>
          <w:sz w:val="20"/>
          <w:szCs w:val="20"/>
          <w:color w:val="auto"/>
        </w:rPr>
      </w:pPr>
    </w:p>
    <w:p>
      <w:pPr>
        <w:ind w:left="660" w:right="220"/>
        <w:spacing w:after="0" w:line="259" w:lineRule="auto"/>
        <w:rPr>
          <w:sz w:val="20"/>
          <w:szCs w:val="20"/>
          <w:color w:val="auto"/>
        </w:rPr>
      </w:pPr>
      <w:r>
        <w:rPr>
          <w:rFonts w:ascii="Arial" w:cs="Arial" w:eastAsia="Arial" w:hAnsi="Arial"/>
          <w:sz w:val="16"/>
          <w:szCs w:val="16"/>
          <w:color w:val="333333"/>
        </w:rPr>
        <w:t>We know of no other business to be considered at the meeting and the deadline for shareholders to submit proposals or nominations has passed. However, if other matters are properly presented at the meeting, or at any</w:t>
      </w:r>
    </w:p>
    <w:p>
      <w:pPr>
        <w:spacing w:after="0" w:line="79" w:lineRule="exact"/>
        <w:rPr>
          <w:sz w:val="20"/>
          <w:szCs w:val="20"/>
          <w:color w:val="auto"/>
        </w:rPr>
      </w:pPr>
    </w:p>
    <w:p>
      <w:pPr>
        <w:ind w:left="960" w:hanging="310"/>
        <w:spacing w:after="0"/>
        <w:tabs>
          <w:tab w:leader="none" w:pos="960"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CF1D4C"/>
        </w:rPr>
        <w:t>BOARD LEADERSHIP</w:t>
      </w:r>
    </w:p>
    <w:p>
      <w:pPr>
        <w:spacing w:after="0" w:line="200" w:lineRule="exact"/>
        <w:rPr>
          <w:sz w:val="20"/>
          <w:szCs w:val="20"/>
          <w:color w:val="auto"/>
        </w:rPr>
      </w:pPr>
    </w:p>
    <w:p>
      <w:pPr>
        <w:spacing w:after="0" w:line="367"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333333"/>
        </w:rPr>
        <w:t>Our corporate governance guidelines provide that our Board will include a majority of independent directors. Our CEO serves as the Chairman of the Board and has served as such since 2003. While we believe this leadership structure has been effective, since 2020 a Lead Independent Director has served as a representative of the independent, non-employee directors of the Board and exercises additional powers and responsibilities in connection with Board meetings. The Lead Independent Director will serve a one-year term, which expires at each annual meeting of shareholders. Mr. Stull has served as Lead Independent Director since 2020, with his term ending at the annual meeting. The Board expects that, if elected at the annual meeting, Mr. Stull will be appointed to serve another term as Lead Independent Director until the 2025 annual meeting.</w:t>
      </w:r>
    </w:p>
    <w:p>
      <w:pPr>
        <w:spacing w:after="0" w:line="159" w:lineRule="exact"/>
        <w:rPr>
          <w:sz w:val="20"/>
          <w:szCs w:val="20"/>
          <w:color w:val="auto"/>
        </w:rPr>
      </w:pPr>
    </w:p>
    <w:p>
      <w:pPr>
        <w:ind w:left="660" w:right="20"/>
        <w:spacing w:after="0" w:line="250" w:lineRule="auto"/>
        <w:rPr>
          <w:sz w:val="20"/>
          <w:szCs w:val="20"/>
          <w:color w:val="auto"/>
        </w:rPr>
      </w:pPr>
      <w:r>
        <w:rPr>
          <w:rFonts w:ascii="Arial" w:cs="Arial" w:eastAsia="Arial" w:hAnsi="Arial"/>
          <w:sz w:val="16"/>
          <w:szCs w:val="16"/>
          <w:color w:val="333333"/>
        </w:rPr>
        <w:t>Mr. Stull is the Founder and CEO of Advantage Capital Partners, a private equity firm, which, since formation, has invested $4.1 billion in over 900 companies, spanning a diverse array of industry sectors. Prior to founding Advantage Capital Partners, Mr. Stull served for nine years as an executive in the investment department of General American Life Insurance Company, heading its securities division and personally managing its high yield, convertible, and preferred stock portfolios. Mr. Stull has served as a director for public and private companies, including serving as member of audit and compensation committees.</w:t>
      </w:r>
    </w:p>
    <w:p>
      <w:pPr>
        <w:spacing w:after="0" w:line="335"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333333"/>
        </w:rPr>
        <w:t>Mr. Stull is nationally recognized for his leadership efforts in small business capital formation, particularly for businesses located in distressed or underserved communities. He was recognized by Ernst &amp; Young as Entrepreneur of the Year for his sponsorship of entrepreneurship in Louisiana. Because of Mr. Stull’s extensive experience serving customers similar to the Company, his guidance and advice as a member of the Board has been instrumental in the achievement of 20% CAGR Adjusted EPS growth since going public in 2010. As a highly accomplished executive, his intimate knowledge of the Company’s business experienced through many business cycles has made him a highly effective Company director and an extraordinarily qualified Lead Independent Director. Also, he holds an MBA and bachelor’s degree in finance and economics from Washington University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80"/>
        <w:spacing w:after="0" w:line="259" w:lineRule="auto"/>
        <w:rPr>
          <w:sz w:val="20"/>
          <w:szCs w:val="20"/>
          <w:color w:val="auto"/>
        </w:rPr>
      </w:pPr>
      <w:r>
        <w:rPr>
          <w:rFonts w:ascii="Arial" w:cs="Arial" w:eastAsia="Arial" w:hAnsi="Arial"/>
          <w:sz w:val="16"/>
          <w:szCs w:val="16"/>
          <w:color w:val="auto"/>
        </w:rPr>
        <w:t>adjournment or postponement of the meeting, and you have properly submitted your proxy, then the named proxies will vote your shares on those matters according to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20"/>
        <w:spacing w:after="0" w:line="266" w:lineRule="auto"/>
        <w:rPr>
          <w:sz w:val="20"/>
          <w:szCs w:val="20"/>
          <w:color w:val="auto"/>
        </w:rPr>
      </w:pPr>
      <w:r>
        <w:rPr>
          <w:rFonts w:ascii="Arial" w:cs="Arial" w:eastAsia="Arial" w:hAnsi="Arial"/>
          <w:sz w:val="16"/>
          <w:szCs w:val="16"/>
          <w:color w:val="auto"/>
        </w:rPr>
        <w:t>St. Louis. He has earned the Fellow Life Management Institute/Master designation and the right to use the Chartered Financial Analyst designation.</w:t>
      </w:r>
    </w:p>
    <w:p>
      <w:pPr>
        <w:spacing w:after="0" w:line="144" w:lineRule="exact"/>
        <w:rPr>
          <w:sz w:val="20"/>
          <w:szCs w:val="20"/>
          <w:color w:val="auto"/>
        </w:rPr>
      </w:pPr>
    </w:p>
    <w:p>
      <w:pPr>
        <w:ind w:right="820"/>
        <w:spacing w:after="0" w:line="255" w:lineRule="auto"/>
        <w:rPr>
          <w:sz w:val="20"/>
          <w:szCs w:val="20"/>
          <w:color w:val="auto"/>
        </w:rPr>
      </w:pPr>
      <w:r>
        <w:rPr>
          <w:rFonts w:ascii="Arial" w:cs="Arial" w:eastAsia="Arial" w:hAnsi="Arial"/>
          <w:sz w:val="16"/>
          <w:szCs w:val="16"/>
          <w:color w:val="auto"/>
        </w:rPr>
        <w:t>The Lead Independent Director has the following powers and responsibilities:</w:t>
      </w:r>
    </w:p>
    <w:p>
      <w:pPr>
        <w:spacing w:after="0" w:line="1" w:lineRule="exact"/>
        <w:rPr>
          <w:sz w:val="20"/>
          <w:szCs w:val="20"/>
          <w:color w:val="auto"/>
        </w:rPr>
      </w:pPr>
    </w:p>
    <w:p>
      <w:pPr>
        <w:ind w:left="240" w:right="1200" w:hanging="233"/>
        <w:spacing w:after="0"/>
        <w:rPr>
          <w:sz w:val="20"/>
          <w:szCs w:val="20"/>
          <w:color w:val="auto"/>
        </w:rPr>
      </w:pPr>
      <w:r>
        <w:rPr>
          <w:sz w:val="1"/>
          <w:szCs w:val="1"/>
          <w:color w:val="auto"/>
        </w:rPr>
        <w:drawing>
          <wp:inline distT="0" distB="0" distL="0" distR="0">
            <wp:extent cx="77470" cy="93980"/>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preside at all meetings of the Board at which the Chairman of the Board is not present</w:t>
      </w:r>
    </w:p>
    <w:p>
      <w:pPr>
        <w:ind w:left="240" w:right="840" w:hanging="233"/>
        <w:spacing w:after="0"/>
        <w:rPr>
          <w:sz w:val="20"/>
          <w:szCs w:val="20"/>
          <w:color w:val="auto"/>
        </w:rPr>
      </w:pPr>
      <w:r>
        <w:rPr>
          <w:sz w:val="1"/>
          <w:szCs w:val="1"/>
          <w:color w:val="auto"/>
        </w:rPr>
        <w:drawing>
          <wp:inline distT="0" distB="0" distL="0" distR="0">
            <wp:extent cx="77470" cy="9398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preside over executive sessions of the non-employee directors</w:t>
      </w:r>
    </w:p>
    <w:p>
      <w:pPr>
        <w:ind w:left="240" w:right="880" w:hanging="233"/>
        <w:spacing w:after="0"/>
        <w:rPr>
          <w:sz w:val="20"/>
          <w:szCs w:val="20"/>
          <w:color w:val="auto"/>
        </w:rPr>
      </w:pPr>
      <w:r>
        <w:rPr>
          <w:sz w:val="1"/>
          <w:szCs w:val="1"/>
          <w:color w:val="auto"/>
        </w:rPr>
        <w:drawing>
          <wp:inline distT="0" distB="0" distL="0" distR="0">
            <wp:extent cx="77470" cy="93980"/>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serve as liaison between the non-employee directors and the Chairman and the CEO</w:t>
      </w:r>
    </w:p>
    <w:p>
      <w:pPr>
        <w:ind w:left="240" w:right="1420" w:hanging="233"/>
        <w:spacing w:after="0"/>
        <w:rPr>
          <w:sz w:val="20"/>
          <w:szCs w:val="20"/>
          <w:color w:val="auto"/>
        </w:rPr>
      </w:pPr>
      <w:r>
        <w:rPr>
          <w:sz w:val="1"/>
          <w:szCs w:val="1"/>
          <w:color w:val="auto"/>
        </w:rPr>
        <w:drawing>
          <wp:inline distT="0" distB="0" distL="0" distR="0">
            <wp:extent cx="77470" cy="93980"/>
            <wp:effectExtent l="0" t="0" r="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call meetings of non-employee directors, with appropriate notice</w:t>
      </w:r>
    </w:p>
    <w:p>
      <w:pPr>
        <w:jc w:val="both"/>
        <w:ind w:left="240" w:right="940" w:hanging="233"/>
        <w:spacing w:after="0"/>
        <w:rPr>
          <w:sz w:val="20"/>
          <w:szCs w:val="20"/>
          <w:color w:val="auto"/>
        </w:rPr>
      </w:pPr>
      <w:r>
        <w:rPr>
          <w:sz w:val="1"/>
          <w:szCs w:val="1"/>
          <w:color w:val="auto"/>
        </w:rPr>
        <w:drawing>
          <wp:inline distT="0" distB="0" distL="0" distR="0">
            <wp:extent cx="77470" cy="94615"/>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auto"/>
        </w:rPr>
        <w:t>  coordinate with the Chairman and CEO on meeting schedules, agendas and information provided to the Board</w:t>
      </w:r>
    </w:p>
    <w:p>
      <w:pPr>
        <w:ind w:left="240" w:right="660" w:hanging="233"/>
        <w:spacing w:after="0"/>
        <w:rPr>
          <w:sz w:val="20"/>
          <w:szCs w:val="20"/>
          <w:color w:val="auto"/>
        </w:rPr>
      </w:pPr>
      <w:r>
        <w:rPr>
          <w:sz w:val="1"/>
          <w:szCs w:val="1"/>
          <w:color w:val="auto"/>
        </w:rPr>
        <w:drawing>
          <wp:inline distT="0" distB="0" distL="0" distR="0">
            <wp:extent cx="77470" cy="93980"/>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6"/>
          <w:szCs w:val="16"/>
          <w:color w:val="auto"/>
        </w:rPr>
        <w:t>  be available for consultation with significant shareholder if so requested and</w:t>
      </w:r>
    </w:p>
    <w:p>
      <w:pPr>
        <w:jc w:val="both"/>
        <w:ind w:left="240" w:right="760" w:hanging="233"/>
        <w:spacing w:after="0"/>
        <w:rPr>
          <w:sz w:val="20"/>
          <w:szCs w:val="20"/>
          <w:color w:val="auto"/>
        </w:rPr>
      </w:pPr>
      <w:r>
        <w:rPr>
          <w:sz w:val="1"/>
          <w:szCs w:val="1"/>
          <w:color w:val="auto"/>
        </w:rPr>
        <w:drawing>
          <wp:inline distT="0" distB="0" distL="0" distR="0">
            <wp:extent cx="77470" cy="94615"/>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470" cy="94615"/>
                    </a:xfrm>
                    <a:prstGeom prst="rect">
                      <a:avLst/>
                    </a:prstGeom>
                    <a:noFill/>
                    <a:ln>
                      <a:noFill/>
                    </a:ln>
                  </pic:spPr>
                </pic:pic>
              </a:graphicData>
            </a:graphic>
          </wp:inline>
        </w:drawing>
      </w:r>
      <w:r>
        <w:rPr>
          <w:rFonts w:ascii="Arial" w:cs="Arial" w:eastAsia="Arial" w:hAnsi="Arial"/>
          <w:sz w:val="16"/>
          <w:szCs w:val="16"/>
          <w:color w:val="auto"/>
        </w:rPr>
        <w:t>  exercise and perform such other powers and duties as may be assigned to the Lead Independent Director by the Board from time to time</w:t>
      </w:r>
    </w:p>
    <w:p>
      <w:pPr>
        <w:spacing w:after="0" w:line="150" w:lineRule="exact"/>
        <w:rPr>
          <w:sz w:val="20"/>
          <w:szCs w:val="20"/>
          <w:color w:val="auto"/>
        </w:rPr>
      </w:pPr>
    </w:p>
    <w:p>
      <w:pPr>
        <w:ind w:right="660"/>
        <w:spacing w:after="0" w:line="251" w:lineRule="auto"/>
        <w:rPr>
          <w:sz w:val="20"/>
          <w:szCs w:val="20"/>
          <w:color w:val="auto"/>
        </w:rPr>
      </w:pPr>
      <w:r>
        <w:rPr>
          <w:rFonts w:ascii="Arial" w:cs="Arial" w:eastAsia="Arial" w:hAnsi="Arial"/>
          <w:sz w:val="16"/>
          <w:szCs w:val="16"/>
          <w:color w:val="auto"/>
        </w:rPr>
        <w:t>Our corporate governance guidelines provide that our non-management directors will meet in executive session, without management present, as frequently as they deem appropriate, and they typically meet in executive session at the time of each regular Board meeting. The Lead Independent Director presides during the meeting of independent directors, and acts as a liaison between the non-management directors and the Chairman and CEO in connection with each regular meeting.</w:t>
      </w:r>
    </w:p>
    <w:p>
      <w:pPr>
        <w:spacing w:after="0" w:line="145" w:lineRule="exact"/>
        <w:rPr>
          <w:sz w:val="20"/>
          <w:szCs w:val="20"/>
          <w:color w:val="auto"/>
        </w:rPr>
      </w:pPr>
    </w:p>
    <w:p>
      <w:pPr>
        <w:ind w:right="680"/>
        <w:spacing w:after="0" w:line="249" w:lineRule="auto"/>
        <w:rPr>
          <w:sz w:val="20"/>
          <w:szCs w:val="20"/>
          <w:color w:val="auto"/>
        </w:rPr>
      </w:pPr>
      <w:r>
        <w:rPr>
          <w:rFonts w:ascii="Arial" w:cs="Arial" w:eastAsia="Arial" w:hAnsi="Arial"/>
          <w:sz w:val="16"/>
          <w:szCs w:val="16"/>
          <w:color w:val="auto"/>
        </w:rPr>
        <w:t>We believe that having a combined Chairman and CEO, balanced with a Lead Independent Director, as well as a Board otherwise comprised solely of independent directors who meet regularly in executive session and independent chairs for the Board’s audit committee, compensation committee and governance committee and information technology and security committee provides an effective form of Board leadership and an appropriate balance between strategy development and independent oversight. The Board believes that having our CEO serve as Chairman of the Board facilitates the Board’s decision-making processes because Mr. Clarke possesses detailed and in-depth knowledge of the issues, opportunities and</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116840</wp:posOffset>
            </wp:positionV>
            <wp:extent cx="699516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880" w:space="260"/>
            <w:col w:w="4900"/>
          </w:cols>
          <w:pgMar w:left="920" w:top="114" w:right="9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660"/>
        <w:spacing w:after="0" w:line="259" w:lineRule="auto"/>
        <w:rPr>
          <w:sz w:val="20"/>
          <w:szCs w:val="20"/>
          <w:color w:val="auto"/>
        </w:rPr>
      </w:pPr>
      <w:r>
        <w:rPr>
          <w:rFonts w:ascii="Arial" w:cs="Arial" w:eastAsia="Arial" w:hAnsi="Arial"/>
          <w:sz w:val="16"/>
          <w:szCs w:val="16"/>
          <w:color w:val="auto"/>
        </w:rPr>
        <w:t>challenges facing the Company and its business. Accordingly, he is best positioned to develop agendas that ensure the Board’s time and attention is focused on the most critical matters. The combined role enables decisive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39"/>
        <w:spacing w:after="0" w:line="259" w:lineRule="auto"/>
        <w:rPr>
          <w:sz w:val="20"/>
          <w:szCs w:val="20"/>
          <w:color w:val="auto"/>
        </w:rPr>
      </w:pPr>
      <w:r>
        <w:rPr>
          <w:rFonts w:ascii="Arial" w:cs="Arial" w:eastAsia="Arial" w:hAnsi="Arial"/>
          <w:sz w:val="16"/>
          <w:szCs w:val="16"/>
          <w:color w:val="auto"/>
        </w:rPr>
        <w:t>leadership, ensures accountability and enhances our ability to communicate our message and strategy clearly and consistently to our shareholders, employees and customers.</w:t>
      </w:r>
    </w:p>
    <w:p>
      <w:pPr>
        <w:spacing w:after="0" w:line="200" w:lineRule="exact"/>
        <w:rPr>
          <w:sz w:val="20"/>
          <w:szCs w:val="20"/>
          <w:color w:val="auto"/>
        </w:rPr>
      </w:pPr>
    </w:p>
    <w:p>
      <w:pPr>
        <w:sectPr>
          <w:pgSz w:w="11900" w:h="16838" w:orient="portrait"/>
          <w:cols w:equalWidth="0" w:num="2">
            <w:col w:w="4820" w:space="320"/>
            <w:col w:w="4399"/>
          </w:cols>
          <w:pgMar w:left="920" w:top="114" w:right="1440" w:bottom="1440" w:gutter="0" w:footer="0" w:header="0"/>
        </w:sectPr>
      </w:pPr>
    </w:p>
    <w:p>
      <w:pPr>
        <w:spacing w:after="0" w:line="54" w:lineRule="exact"/>
        <w:rPr>
          <w:sz w:val="20"/>
          <w:szCs w:val="20"/>
          <w:color w:val="auto"/>
        </w:rPr>
      </w:pPr>
    </w:p>
    <w:p>
      <w:pPr>
        <w:ind w:left="960" w:hanging="310"/>
        <w:spacing w:after="0"/>
        <w:tabs>
          <w:tab w:leader="none" w:pos="96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CF1D4C"/>
        </w:rPr>
        <w:t>ADDITIONAL INFORMATION</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Shareholder Proposals</w:t>
      </w:r>
    </w:p>
    <w:p>
      <w:pPr>
        <w:spacing w:after="0" w:line="200" w:lineRule="exact"/>
        <w:rPr>
          <w:sz w:val="20"/>
          <w:szCs w:val="20"/>
          <w:color w:val="auto"/>
        </w:rPr>
      </w:pPr>
    </w:p>
    <w:p>
      <w:pPr>
        <w:spacing w:after="0" w:line="273" w:lineRule="exact"/>
        <w:rPr>
          <w:sz w:val="20"/>
          <w:szCs w:val="20"/>
          <w:color w:val="auto"/>
        </w:rPr>
      </w:pPr>
    </w:p>
    <w:p>
      <w:pPr>
        <w:ind w:left="660" w:right="20"/>
        <w:spacing w:after="0" w:line="252" w:lineRule="auto"/>
        <w:rPr>
          <w:sz w:val="20"/>
          <w:szCs w:val="20"/>
          <w:color w:val="auto"/>
        </w:rPr>
      </w:pPr>
      <w:r>
        <w:rPr>
          <w:rFonts w:ascii="Arial" w:cs="Arial" w:eastAsia="Arial" w:hAnsi="Arial"/>
          <w:sz w:val="16"/>
          <w:szCs w:val="16"/>
          <w:color w:val="333333"/>
        </w:rPr>
        <w:t>Any proposal that a shareholder wishes to be considered for inclusion in our proxy statement and proxy card for the 2025 annual meeting of shareholders must comply with the requirements of Rule 14a-8 under the Exchange Act and be received no later than December 27, 2024 at the following address, Corpay, Inc., Attention: Corporate Secretary, 3280 Peachtree Road, Suite 2400, Atlanta, Georgia 30305.</w:t>
      </w:r>
    </w:p>
    <w:p>
      <w:pPr>
        <w:spacing w:after="0" w:line="142" w:lineRule="exact"/>
        <w:rPr>
          <w:sz w:val="20"/>
          <w:szCs w:val="20"/>
          <w:color w:val="auto"/>
        </w:rPr>
      </w:pPr>
    </w:p>
    <w:p>
      <w:pPr>
        <w:ind w:left="660" w:right="80"/>
        <w:spacing w:after="0" w:line="256" w:lineRule="auto"/>
        <w:rPr>
          <w:sz w:val="20"/>
          <w:szCs w:val="20"/>
          <w:color w:val="auto"/>
        </w:rPr>
      </w:pPr>
      <w:r>
        <w:rPr>
          <w:rFonts w:ascii="Arial" w:cs="Arial" w:eastAsia="Arial" w:hAnsi="Arial"/>
          <w:sz w:val="16"/>
          <w:szCs w:val="16"/>
          <w:color w:val="333333"/>
        </w:rPr>
        <w:t>However, in the event that the annual meeting is called for a date that is not within 30 days before or after June 6, 2025, notice must be received a reasonable time before we begin to print and mail our proxy materials for the 2025 annual meeting of shareholders.</w:t>
      </w:r>
    </w:p>
    <w:p>
      <w:pPr>
        <w:spacing w:after="0" w:line="153"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333333"/>
        </w:rPr>
        <w:t>If a shareholder wishes to present a proposal before the 2025 annual meeting but does not wish to have a proposal considered for inclusion in our proxy statement and proxy in accordance with Rule 14a-8 or to nominate someone for election as a director, the shareholder must give written notice to our Corporate Secretary at the address noted above. To be timely, a shareholder’s notice to the Corporate Secretary must be received no earlier than February 6, 2025, which is 120 days prior to the anniversary of this year’s annual meeting, and no later than March 8, 2025, which is 90 days prior to the anniversary of this year’s annual meeting. However, in the event that the annual meeting is called for a date that is not within thirty days before or after June 6, 2025, notice by the shareholder must be received by the later of the tenth day</w:t>
      </w:r>
    </w:p>
    <w:p>
      <w:pPr>
        <w:spacing w:after="0" w:line="378"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72 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39"/>
        <w:spacing w:after="0" w:line="253" w:lineRule="auto"/>
        <w:rPr>
          <w:sz w:val="20"/>
          <w:szCs w:val="20"/>
          <w:color w:val="auto"/>
        </w:rPr>
      </w:pPr>
      <w:r>
        <w:rPr>
          <w:rFonts w:ascii="Arial" w:cs="Arial" w:eastAsia="Arial" w:hAnsi="Arial"/>
          <w:sz w:val="16"/>
          <w:szCs w:val="16"/>
          <w:color w:val="auto"/>
        </w:rPr>
        <w:t>following the date of the public announcement and the 90th day prior to the annual meeting. Our Bylaws contain specific procedural requirements regarding a shareholder’s ability to nominate a director or submit a proposal to be considered at a meeting of shareholders. The Bylaws are available on our website at https://investor.corpay.com under Corporate Governance.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Universal Proxy Rules</w:t>
      </w:r>
    </w:p>
    <w:p>
      <w:pPr>
        <w:spacing w:after="0" w:line="216" w:lineRule="exact"/>
        <w:rPr>
          <w:sz w:val="20"/>
          <w:szCs w:val="20"/>
          <w:color w:val="auto"/>
        </w:rPr>
      </w:pPr>
    </w:p>
    <w:p>
      <w:pPr>
        <w:ind w:right="139"/>
        <w:spacing w:after="0" w:line="248" w:lineRule="auto"/>
        <w:rPr>
          <w:sz w:val="20"/>
          <w:szCs w:val="20"/>
          <w:color w:val="auto"/>
        </w:rPr>
      </w:pPr>
      <w:r>
        <w:rPr>
          <w:rFonts w:ascii="Arial" w:cs="Arial" w:eastAsia="Arial" w:hAnsi="Arial"/>
          <w:sz w:val="16"/>
          <w:szCs w:val="16"/>
          <w:color w:val="333333"/>
        </w:rPr>
        <w:t>In addition to satisfying the requirements under our Bylaws, if a shareholder intends to comply with the universal proxy rules and to solicit proxies in support of director nominees other than the Company’s nominees, the shareholder must provide notice that sets forth the information required by Rule 14a-19 under the Exchange Act, which notice must be postmarked or transmitted electronically to our Corporate Secretary at the address noted above no later than 60 calendar days prior to the one-year anniversary of this year’s annual meeting (for the 2025 annual meeting, no later than April 7, 2025). If the date of the 2025 annual meeting is changed by more than 30 calendar days from such anniversary date, however, then the shareholder must provide notice by the later of 60 calendar days prior to the date of the 2025 annual meeting and the 10th calendar day following the date on which public announcement of the date of the 2025 annual meeting is first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588645</wp:posOffset>
            </wp:positionV>
            <wp:extent cx="699516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900" w:space="240"/>
            <w:col w:w="4399"/>
          </w:cols>
          <w:pgMar w:left="920" w:top="114" w:right="1440"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10040"/>
          </w:cols>
          <w:pgMar w:left="920" w:top="114" w:right="939" w:bottom="1440" w:gutter="0" w:footer="0" w:header="0"/>
        </w:sectPr>
      </w:pPr>
    </w:p>
    <w:p>
      <w:pPr>
        <w:spacing w:after="0" w:line="170" w:lineRule="exact"/>
        <w:rPr>
          <w:sz w:val="20"/>
          <w:szCs w:val="20"/>
          <w:color w:val="auto"/>
        </w:rPr>
      </w:pPr>
    </w:p>
    <w:p>
      <w:pPr>
        <w:ind w:left="960" w:hanging="310"/>
        <w:spacing w:after="0"/>
        <w:tabs>
          <w:tab w:leader="none" w:pos="96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CF1D4C"/>
        </w:rPr>
        <w:t>ADDITIONAL INFORMATION</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CF1D4C"/>
        </w:rPr>
        <w:t>Solicitation of Proxies</w:t>
      </w:r>
    </w:p>
    <w:p>
      <w:pPr>
        <w:spacing w:after="0" w:line="216" w:lineRule="exact"/>
        <w:rPr>
          <w:sz w:val="20"/>
          <w:szCs w:val="20"/>
          <w:color w:val="auto"/>
        </w:rPr>
      </w:pPr>
    </w:p>
    <w:p>
      <w:pPr>
        <w:ind w:left="660" w:right="80"/>
        <w:spacing w:after="0" w:line="254" w:lineRule="auto"/>
        <w:rPr>
          <w:sz w:val="20"/>
          <w:szCs w:val="20"/>
          <w:color w:val="auto"/>
        </w:rPr>
      </w:pPr>
      <w:r>
        <w:rPr>
          <w:rFonts w:ascii="Arial" w:cs="Arial" w:eastAsia="Arial" w:hAnsi="Arial"/>
          <w:sz w:val="16"/>
          <w:szCs w:val="16"/>
          <w:color w:val="333333"/>
        </w:rPr>
        <w:t>The Company is paying the costs of the solicitation of proxies. We have retained DF King &amp; Co., Inc. to assist in the solicitation of proxies from beneficial owners of shares for the annual meeting. We have agreed to pay DF King a fee of approximately $20,000 per year plus out-of-pocket expenses. You may contact DF King at (888) 548-6498.</w:t>
      </w:r>
    </w:p>
    <w:p>
      <w:pPr>
        <w:spacing w:after="0" w:line="155"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333333"/>
        </w:rPr>
        <w:t>Proxies may be solicited by officers, directors and regular supervisory and executive employees of the Company, none of whom will receive any additional compensation for their services. These solicitations may be made personally or by mail, facsimile, telephone, messenger, or via the Internet. The Company will pay persons holding common shares in their names or in the names of nominees, but not owning such shares beneficially, such as brokerage houses, banks, and other fiduciaries, in accordance with NYSE Rule 451 for the expense of forwarding solicitation materials to their principals. The Company will pay all proxy solicitation costs in accordance with NYSE Rule 451.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Voting Procedures</w:t>
      </w:r>
    </w:p>
    <w:p>
      <w:pPr>
        <w:spacing w:after="0" w:line="216" w:lineRule="exact"/>
        <w:rPr>
          <w:sz w:val="20"/>
          <w:szCs w:val="20"/>
          <w:color w:val="auto"/>
        </w:rPr>
      </w:pPr>
    </w:p>
    <w:p>
      <w:pPr>
        <w:ind w:right="640"/>
        <w:spacing w:after="0" w:line="256" w:lineRule="auto"/>
        <w:rPr>
          <w:sz w:val="20"/>
          <w:szCs w:val="20"/>
          <w:color w:val="auto"/>
        </w:rPr>
      </w:pPr>
      <w:r>
        <w:rPr>
          <w:rFonts w:ascii="Arial" w:cs="Arial" w:eastAsia="Arial" w:hAnsi="Arial"/>
          <w:sz w:val="16"/>
          <w:szCs w:val="16"/>
          <w:color w:val="333333"/>
        </w:rPr>
        <w:t>Tabulation of Votes: Broadridge Investor Communication Solutions, Inc. will tabulate votes cast by proxy or in person at the meeting. We will report the results in a Form 8-K filed with the SEC within four business days of the annual meeting.</w:t>
      </w:r>
    </w:p>
    <w:p>
      <w:pPr>
        <w:spacing w:after="0" w:line="153" w:lineRule="exact"/>
        <w:rPr>
          <w:sz w:val="20"/>
          <w:szCs w:val="20"/>
          <w:color w:val="auto"/>
        </w:rPr>
      </w:pPr>
    </w:p>
    <w:p>
      <w:pPr>
        <w:ind w:right="640"/>
        <w:spacing w:after="0" w:line="249" w:lineRule="auto"/>
        <w:rPr>
          <w:sz w:val="20"/>
          <w:szCs w:val="20"/>
          <w:color w:val="auto"/>
        </w:rPr>
      </w:pPr>
      <w:r>
        <w:rPr>
          <w:rFonts w:ascii="Arial" w:cs="Arial" w:eastAsia="Arial" w:hAnsi="Arial"/>
          <w:sz w:val="16"/>
          <w:szCs w:val="16"/>
          <w:color w:val="333333"/>
        </w:rPr>
        <w:t>Vote Required; Effect of an Abstention and Broker Non-Votes: The shares of a holder whose ballot on any or all proposals is marked as “abstain” will be included in the number of shares present at the annual meeting for the purpose of determining the presence of a quorum. If you are the beneficial owner of shares held by a broker or other custodian, you may instruct your broker how you would like your shares voted. If you wish to vote the shares you own beneficially at the meeting, you must first request and obtain a proxy from your broker or other custodian. If you choose not to provide instructions or a legal proxy, your shares are referred to as uninstructed shares. Whether your broker or custodian has the discretion to vote these shares on your behalf depends on the ballot item. The following table summarizes the vote threshold required for passage of each proposal and the effect of abstentions and uninstructed shares held by brokers.</w:t>
      </w:r>
    </w:p>
    <w:p>
      <w:pPr>
        <w:spacing w:after="0" w:line="50" w:lineRule="exact"/>
        <w:rPr>
          <w:sz w:val="20"/>
          <w:szCs w:val="20"/>
          <w:color w:val="auto"/>
        </w:rPr>
      </w:pPr>
    </w:p>
    <w:p>
      <w:pPr>
        <w:sectPr>
          <w:pgSz w:w="11900" w:h="16838" w:orient="portrait"/>
          <w:cols w:equalWidth="0" w:num="2">
            <w:col w:w="4880" w:space="260"/>
            <w:col w:w="4900"/>
          </w:cols>
          <w:pgMar w:left="920" w:top="114" w:right="939" w:bottom="1440" w:gutter="0" w:footer="0" w:header="0"/>
          <w:type w:val="continuous"/>
        </w:sectPr>
      </w:pPr>
    </w:p>
    <w:tbl>
      <w:tblPr>
        <w:tblLayout w:type="fixed"/>
        <w:tblInd w:w="640" w:type="dxa"/>
        <w:tblCellMar>
          <w:top w:w="0" w:type="dxa"/>
          <w:left w:w="0" w:type="dxa"/>
          <w:bottom w:w="0" w:type="dxa"/>
          <w:right w:w="0" w:type="dxa"/>
        </w:tblCellMar>
      </w:tblPr>
      <w:tr>
        <w:trPr>
          <w:trHeight w:val="252"/>
        </w:trPr>
        <w:tc>
          <w:tcPr>
            <w:tcW w:w="920" w:type="dxa"/>
            <w:vAlign w:val="bottom"/>
            <w:vMerge w:val="restart"/>
            <w:shd w:val="clear" w:color="auto" w:fill="CF1D4C"/>
          </w:tcPr>
          <w:p>
            <w:pPr>
              <w:ind w:left="280"/>
              <w:spacing w:after="0"/>
              <w:rPr>
                <w:sz w:val="20"/>
                <w:szCs w:val="20"/>
                <w:color w:val="auto"/>
              </w:rPr>
            </w:pPr>
            <w:r>
              <w:rPr>
                <w:rFonts w:ascii="Arial" w:cs="Arial" w:eastAsia="Arial" w:hAnsi="Arial"/>
                <w:sz w:val="13"/>
                <w:szCs w:val="13"/>
                <w:b w:val="1"/>
                <w:bCs w:val="1"/>
                <w:color w:val="FFFFFF"/>
              </w:rPr>
              <w:t>Proposal</w:t>
            </w:r>
          </w:p>
        </w:tc>
        <w:tc>
          <w:tcPr>
            <w:tcW w:w="1660" w:type="dxa"/>
            <w:vAlign w:val="bottom"/>
            <w:shd w:val="clear" w:color="auto" w:fill="CF1D4C"/>
          </w:tcPr>
          <w:p>
            <w:pPr>
              <w:spacing w:after="0"/>
              <w:rPr>
                <w:sz w:val="21"/>
                <w:szCs w:val="21"/>
                <w:color w:val="auto"/>
              </w:rPr>
            </w:pPr>
          </w:p>
        </w:tc>
        <w:tc>
          <w:tcPr>
            <w:tcW w:w="2200" w:type="dxa"/>
            <w:vAlign w:val="bottom"/>
            <w:shd w:val="clear" w:color="auto" w:fill="CF1D4C"/>
          </w:tcPr>
          <w:p>
            <w:pPr>
              <w:ind w:left="1320"/>
              <w:spacing w:after="0"/>
              <w:rPr>
                <w:sz w:val="20"/>
                <w:szCs w:val="20"/>
                <w:color w:val="auto"/>
              </w:rPr>
            </w:pPr>
            <w:r>
              <w:rPr>
                <w:rFonts w:ascii="Arial" w:cs="Arial" w:eastAsia="Arial" w:hAnsi="Arial"/>
                <w:sz w:val="13"/>
                <w:szCs w:val="13"/>
                <w:b w:val="1"/>
                <w:bCs w:val="1"/>
                <w:color w:val="FFFFFF"/>
              </w:rPr>
              <w:t>Vote</w:t>
            </w:r>
          </w:p>
        </w:tc>
        <w:tc>
          <w:tcPr>
            <w:tcW w:w="980" w:type="dxa"/>
            <w:vAlign w:val="bottom"/>
            <w:shd w:val="clear" w:color="auto" w:fill="CF1D4C"/>
          </w:tcPr>
          <w:p>
            <w:pPr>
              <w:spacing w:after="0"/>
              <w:rPr>
                <w:sz w:val="21"/>
                <w:szCs w:val="21"/>
                <w:color w:val="auto"/>
              </w:rPr>
            </w:pPr>
          </w:p>
        </w:tc>
        <w:tc>
          <w:tcPr>
            <w:tcW w:w="1200" w:type="dxa"/>
            <w:vAlign w:val="bottom"/>
            <w:vMerge w:val="restart"/>
            <w:shd w:val="clear" w:color="auto" w:fill="CF1D4C"/>
          </w:tcPr>
          <w:p>
            <w:pPr>
              <w:ind w:left="140"/>
              <w:spacing w:after="0"/>
              <w:rPr>
                <w:sz w:val="20"/>
                <w:szCs w:val="20"/>
                <w:color w:val="auto"/>
              </w:rPr>
            </w:pPr>
            <w:r>
              <w:rPr>
                <w:rFonts w:ascii="Arial" w:cs="Arial" w:eastAsia="Arial" w:hAnsi="Arial"/>
                <w:sz w:val="13"/>
                <w:szCs w:val="13"/>
                <w:b w:val="1"/>
                <w:bCs w:val="1"/>
                <w:color w:val="FFFFFF"/>
              </w:rPr>
              <w:t>Uninstructed</w:t>
            </w:r>
          </w:p>
        </w:tc>
        <w:tc>
          <w:tcPr>
            <w:tcW w:w="1800" w:type="dxa"/>
            <w:vAlign w:val="bottom"/>
            <w:vMerge w:val="restart"/>
            <w:shd w:val="clear" w:color="auto" w:fill="CF1D4C"/>
          </w:tcPr>
          <w:p>
            <w:pPr>
              <w:ind w:left="300"/>
              <w:spacing w:after="0"/>
              <w:rPr>
                <w:sz w:val="20"/>
                <w:szCs w:val="20"/>
                <w:color w:val="auto"/>
              </w:rPr>
            </w:pPr>
            <w:r>
              <w:rPr>
                <w:rFonts w:ascii="Arial" w:cs="Arial" w:eastAsia="Arial" w:hAnsi="Arial"/>
                <w:sz w:val="13"/>
                <w:szCs w:val="13"/>
                <w:b w:val="1"/>
                <w:bCs w:val="1"/>
                <w:color w:val="FFFFFF"/>
              </w:rPr>
              <w:t>Board Voting</w:t>
            </w:r>
          </w:p>
        </w:tc>
        <w:tc>
          <w:tcPr>
            <w:tcW w:w="0" w:type="dxa"/>
            <w:vAlign w:val="bottom"/>
          </w:tcPr>
          <w:p>
            <w:pPr>
              <w:spacing w:after="0"/>
              <w:rPr>
                <w:sz w:val="1"/>
                <w:szCs w:val="1"/>
                <w:color w:val="auto"/>
              </w:rPr>
            </w:pPr>
          </w:p>
        </w:tc>
      </w:tr>
      <w:tr>
        <w:trPr>
          <w:trHeight w:val="135"/>
        </w:trPr>
        <w:tc>
          <w:tcPr>
            <w:tcW w:w="920" w:type="dxa"/>
            <w:vAlign w:val="bottom"/>
            <w:vMerge w:val="continue"/>
            <w:shd w:val="clear" w:color="auto" w:fill="CF1D4C"/>
          </w:tcPr>
          <w:p>
            <w:pPr>
              <w:spacing w:after="0"/>
              <w:rPr>
                <w:sz w:val="11"/>
                <w:szCs w:val="11"/>
                <w:color w:val="auto"/>
              </w:rPr>
            </w:pPr>
          </w:p>
        </w:tc>
        <w:tc>
          <w:tcPr>
            <w:tcW w:w="1660" w:type="dxa"/>
            <w:vAlign w:val="bottom"/>
            <w:vMerge w:val="restart"/>
            <w:shd w:val="clear" w:color="auto" w:fill="CF1D4C"/>
          </w:tcPr>
          <w:p>
            <w:pPr>
              <w:ind w:left="100"/>
              <w:spacing w:after="0"/>
              <w:rPr>
                <w:sz w:val="20"/>
                <w:szCs w:val="20"/>
                <w:color w:val="auto"/>
              </w:rPr>
            </w:pPr>
            <w:r>
              <w:rPr>
                <w:rFonts w:ascii="Arial" w:cs="Arial" w:eastAsia="Arial" w:hAnsi="Arial"/>
                <w:sz w:val="13"/>
                <w:szCs w:val="13"/>
                <w:b w:val="1"/>
                <w:bCs w:val="1"/>
                <w:color w:val="FFFFFF"/>
              </w:rPr>
              <w:t>Item</w:t>
            </w:r>
          </w:p>
        </w:tc>
        <w:tc>
          <w:tcPr>
            <w:tcW w:w="2200" w:type="dxa"/>
            <w:vAlign w:val="bottom"/>
            <w:shd w:val="clear" w:color="auto" w:fill="CF1D4C"/>
          </w:tcPr>
          <w:p>
            <w:pPr>
              <w:ind w:left="1320"/>
              <w:spacing w:after="0" w:line="135" w:lineRule="exact"/>
              <w:rPr>
                <w:sz w:val="20"/>
                <w:szCs w:val="20"/>
                <w:color w:val="auto"/>
              </w:rPr>
            </w:pPr>
            <w:r>
              <w:rPr>
                <w:rFonts w:ascii="Arial" w:cs="Arial" w:eastAsia="Arial" w:hAnsi="Arial"/>
                <w:sz w:val="13"/>
                <w:szCs w:val="13"/>
                <w:b w:val="1"/>
                <w:bCs w:val="1"/>
                <w:color w:val="FFFFFF"/>
              </w:rPr>
              <w:t>Required for</w:t>
            </w:r>
          </w:p>
        </w:tc>
        <w:tc>
          <w:tcPr>
            <w:tcW w:w="980" w:type="dxa"/>
            <w:vAlign w:val="bottom"/>
            <w:vMerge w:val="restart"/>
            <w:shd w:val="clear" w:color="auto" w:fill="CF1D4C"/>
          </w:tcPr>
          <w:p>
            <w:pPr>
              <w:ind w:left="140"/>
              <w:spacing w:after="0"/>
              <w:rPr>
                <w:sz w:val="20"/>
                <w:szCs w:val="20"/>
                <w:color w:val="auto"/>
              </w:rPr>
            </w:pPr>
            <w:r>
              <w:rPr>
                <w:rFonts w:ascii="Arial" w:cs="Arial" w:eastAsia="Arial" w:hAnsi="Arial"/>
                <w:sz w:val="13"/>
                <w:szCs w:val="13"/>
                <w:b w:val="1"/>
                <w:bCs w:val="1"/>
                <w:color w:val="FFFFFF"/>
              </w:rPr>
              <w:t>Abstentions</w:t>
            </w:r>
          </w:p>
        </w:tc>
        <w:tc>
          <w:tcPr>
            <w:tcW w:w="1200" w:type="dxa"/>
            <w:vAlign w:val="bottom"/>
            <w:vMerge w:val="continue"/>
            <w:shd w:val="clear" w:color="auto" w:fill="CF1D4C"/>
          </w:tcPr>
          <w:p>
            <w:pPr>
              <w:spacing w:after="0"/>
              <w:rPr>
                <w:sz w:val="11"/>
                <w:szCs w:val="11"/>
                <w:color w:val="auto"/>
              </w:rPr>
            </w:pPr>
          </w:p>
        </w:tc>
        <w:tc>
          <w:tcPr>
            <w:tcW w:w="1800" w:type="dxa"/>
            <w:vAlign w:val="bottom"/>
            <w:vMerge w:val="continue"/>
            <w:shd w:val="clear" w:color="auto" w:fill="CF1D4C"/>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20" w:type="dxa"/>
            <w:vAlign w:val="bottom"/>
            <w:shd w:val="clear" w:color="auto" w:fill="CF1D4C"/>
          </w:tcPr>
          <w:p>
            <w:pPr>
              <w:ind w:left="260"/>
              <w:spacing w:after="0"/>
              <w:rPr>
                <w:sz w:val="20"/>
                <w:szCs w:val="20"/>
                <w:color w:val="auto"/>
              </w:rPr>
            </w:pPr>
            <w:r>
              <w:rPr>
                <w:rFonts w:ascii="Arial" w:cs="Arial" w:eastAsia="Arial" w:hAnsi="Arial"/>
                <w:sz w:val="13"/>
                <w:szCs w:val="13"/>
                <w:b w:val="1"/>
                <w:bCs w:val="1"/>
                <w:color w:val="FFFFFF"/>
              </w:rPr>
              <w:t>Number</w:t>
            </w:r>
          </w:p>
        </w:tc>
        <w:tc>
          <w:tcPr>
            <w:tcW w:w="1660" w:type="dxa"/>
            <w:vAlign w:val="bottom"/>
            <w:vMerge w:val="continue"/>
            <w:shd w:val="clear" w:color="auto" w:fill="CF1D4C"/>
          </w:tcPr>
          <w:p>
            <w:pPr>
              <w:spacing w:after="0"/>
              <w:rPr>
                <w:sz w:val="14"/>
                <w:szCs w:val="14"/>
                <w:color w:val="auto"/>
              </w:rPr>
            </w:pPr>
          </w:p>
        </w:tc>
        <w:tc>
          <w:tcPr>
            <w:tcW w:w="2200" w:type="dxa"/>
            <w:vAlign w:val="bottom"/>
            <w:shd w:val="clear" w:color="auto" w:fill="CF1D4C"/>
          </w:tcPr>
          <w:p>
            <w:pPr>
              <w:ind w:left="1320"/>
              <w:spacing w:after="0"/>
              <w:rPr>
                <w:sz w:val="20"/>
                <w:szCs w:val="20"/>
                <w:color w:val="auto"/>
              </w:rPr>
            </w:pPr>
            <w:r>
              <w:rPr>
                <w:rFonts w:ascii="Arial" w:cs="Arial" w:eastAsia="Arial" w:hAnsi="Arial"/>
                <w:sz w:val="13"/>
                <w:szCs w:val="13"/>
                <w:b w:val="1"/>
                <w:bCs w:val="1"/>
                <w:color w:val="FFFFFF"/>
              </w:rPr>
              <w:t>Approval</w:t>
            </w:r>
          </w:p>
        </w:tc>
        <w:tc>
          <w:tcPr>
            <w:tcW w:w="980" w:type="dxa"/>
            <w:vAlign w:val="bottom"/>
            <w:vMerge w:val="continue"/>
            <w:shd w:val="clear" w:color="auto" w:fill="CF1D4C"/>
          </w:tcPr>
          <w:p>
            <w:pPr>
              <w:spacing w:after="0"/>
              <w:rPr>
                <w:sz w:val="14"/>
                <w:szCs w:val="14"/>
                <w:color w:val="auto"/>
              </w:rPr>
            </w:pPr>
          </w:p>
        </w:tc>
        <w:tc>
          <w:tcPr>
            <w:tcW w:w="1200" w:type="dxa"/>
            <w:vAlign w:val="bottom"/>
            <w:shd w:val="clear" w:color="auto" w:fill="CF1D4C"/>
          </w:tcPr>
          <w:p>
            <w:pPr>
              <w:ind w:left="140"/>
              <w:spacing w:after="0"/>
              <w:rPr>
                <w:sz w:val="20"/>
                <w:szCs w:val="20"/>
                <w:color w:val="auto"/>
              </w:rPr>
            </w:pPr>
            <w:r>
              <w:rPr>
                <w:rFonts w:ascii="Arial" w:cs="Arial" w:eastAsia="Arial" w:hAnsi="Arial"/>
                <w:sz w:val="13"/>
                <w:szCs w:val="13"/>
                <w:b w:val="1"/>
                <w:bCs w:val="1"/>
                <w:color w:val="FFFFFF"/>
              </w:rPr>
              <w:t>Shares</w:t>
            </w:r>
          </w:p>
        </w:tc>
        <w:tc>
          <w:tcPr>
            <w:tcW w:w="1800" w:type="dxa"/>
            <w:vAlign w:val="bottom"/>
            <w:shd w:val="clear" w:color="auto" w:fill="CF1D4C"/>
          </w:tcPr>
          <w:p>
            <w:pPr>
              <w:ind w:left="300"/>
              <w:spacing w:after="0"/>
              <w:rPr>
                <w:sz w:val="20"/>
                <w:szCs w:val="20"/>
                <w:color w:val="auto"/>
              </w:rPr>
            </w:pPr>
            <w:r>
              <w:rPr>
                <w:rFonts w:ascii="Arial" w:cs="Arial" w:eastAsia="Arial" w:hAnsi="Arial"/>
                <w:sz w:val="13"/>
                <w:szCs w:val="13"/>
                <w:b w:val="1"/>
                <w:bCs w:val="1"/>
                <w:color w:val="FFFFFF"/>
              </w:rPr>
              <w:t>Recommendation</w:t>
            </w:r>
          </w:p>
        </w:tc>
        <w:tc>
          <w:tcPr>
            <w:tcW w:w="0" w:type="dxa"/>
            <w:vAlign w:val="bottom"/>
          </w:tcPr>
          <w:p>
            <w:pPr>
              <w:spacing w:after="0"/>
              <w:rPr>
                <w:sz w:val="1"/>
                <w:szCs w:val="1"/>
                <w:color w:val="auto"/>
              </w:rPr>
            </w:pPr>
          </w:p>
        </w:tc>
      </w:tr>
      <w:tr>
        <w:trPr>
          <w:trHeight w:val="89"/>
        </w:trPr>
        <w:tc>
          <w:tcPr>
            <w:tcW w:w="920" w:type="dxa"/>
            <w:vAlign w:val="bottom"/>
            <w:shd w:val="clear" w:color="auto" w:fill="CF1D4C"/>
          </w:tcPr>
          <w:p>
            <w:pPr>
              <w:spacing w:after="0"/>
              <w:rPr>
                <w:sz w:val="7"/>
                <w:szCs w:val="7"/>
                <w:color w:val="auto"/>
              </w:rPr>
            </w:pPr>
          </w:p>
        </w:tc>
        <w:tc>
          <w:tcPr>
            <w:tcW w:w="1660" w:type="dxa"/>
            <w:vAlign w:val="bottom"/>
            <w:shd w:val="clear" w:color="auto" w:fill="CF1D4C"/>
          </w:tcPr>
          <w:p>
            <w:pPr>
              <w:spacing w:after="0"/>
              <w:rPr>
                <w:sz w:val="7"/>
                <w:szCs w:val="7"/>
                <w:color w:val="auto"/>
              </w:rPr>
            </w:pPr>
          </w:p>
        </w:tc>
        <w:tc>
          <w:tcPr>
            <w:tcW w:w="2200" w:type="dxa"/>
            <w:vAlign w:val="bottom"/>
            <w:shd w:val="clear" w:color="auto" w:fill="CF1D4C"/>
          </w:tcPr>
          <w:p>
            <w:pPr>
              <w:spacing w:after="0"/>
              <w:rPr>
                <w:sz w:val="7"/>
                <w:szCs w:val="7"/>
                <w:color w:val="auto"/>
              </w:rPr>
            </w:pPr>
          </w:p>
        </w:tc>
        <w:tc>
          <w:tcPr>
            <w:tcW w:w="980" w:type="dxa"/>
            <w:vAlign w:val="bottom"/>
            <w:shd w:val="clear" w:color="auto" w:fill="CF1D4C"/>
          </w:tcPr>
          <w:p>
            <w:pPr>
              <w:spacing w:after="0"/>
              <w:rPr>
                <w:sz w:val="7"/>
                <w:szCs w:val="7"/>
                <w:color w:val="auto"/>
              </w:rPr>
            </w:pPr>
          </w:p>
        </w:tc>
        <w:tc>
          <w:tcPr>
            <w:tcW w:w="1200" w:type="dxa"/>
            <w:vAlign w:val="bottom"/>
            <w:shd w:val="clear" w:color="auto" w:fill="CF1D4C"/>
          </w:tcPr>
          <w:p>
            <w:pPr>
              <w:spacing w:after="0"/>
              <w:rPr>
                <w:sz w:val="7"/>
                <w:szCs w:val="7"/>
                <w:color w:val="auto"/>
              </w:rPr>
            </w:pPr>
          </w:p>
        </w:tc>
        <w:tc>
          <w:tcPr>
            <w:tcW w:w="1800" w:type="dxa"/>
            <w:vAlign w:val="bottom"/>
            <w:shd w:val="clear" w:color="auto" w:fill="CF1D4C"/>
          </w:tcPr>
          <w:p>
            <w:pPr>
              <w:spacing w:after="0"/>
              <w:rPr>
                <w:sz w:val="7"/>
                <w:szCs w:val="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ectPr>
          <w:pgSz w:w="11900" w:h="16838" w:orient="portrait"/>
          <w:cols w:equalWidth="0" w:num="1">
            <w:col w:w="10040"/>
          </w:cols>
          <w:pgMar w:left="920" w:top="114" w:right="939" w:bottom="1440" w:gutter="0" w:footer="0" w:header="0"/>
          <w:type w:val="continuous"/>
        </w:sectPr>
      </w:pPr>
    </w:p>
    <w:p>
      <w:pPr>
        <w:spacing w:after="0" w:line="81" w:lineRule="exact"/>
        <w:rPr>
          <w:sz w:val="20"/>
          <w:szCs w:val="20"/>
          <w:color w:val="auto"/>
        </w:rPr>
      </w:pPr>
    </w:p>
    <w:p>
      <w:pPr>
        <w:ind w:left="1660" w:hanging="731"/>
        <w:spacing w:after="0"/>
        <w:tabs>
          <w:tab w:leader="none" w:pos="1660" w:val="left"/>
        </w:tabs>
        <w:numPr>
          <w:ilvl w:val="0"/>
          <w:numId w:val="128"/>
        </w:numPr>
        <w:rPr>
          <w:rFonts w:ascii="Arial" w:cs="Arial" w:eastAsia="Arial" w:hAnsi="Arial"/>
          <w:sz w:val="16"/>
          <w:szCs w:val="16"/>
          <w:b w:val="1"/>
          <w:bCs w:val="1"/>
          <w:color w:val="333333"/>
        </w:rPr>
      </w:pPr>
      <w:r>
        <w:rPr>
          <w:rFonts w:ascii="Arial" w:cs="Arial" w:eastAsia="Arial" w:hAnsi="Arial"/>
          <w:sz w:val="14"/>
          <w:szCs w:val="14"/>
          <w:color w:val="333333"/>
        </w:rPr>
        <w:t>To elect the eleven directors</w:t>
      </w:r>
    </w:p>
    <w:p>
      <w:pPr>
        <w:spacing w:after="0" w:line="274" w:lineRule="exact"/>
        <w:rPr>
          <w:sz w:val="20"/>
          <w:szCs w:val="20"/>
          <w:color w:val="auto"/>
        </w:rPr>
      </w:pPr>
    </w:p>
    <w:p>
      <w:pPr>
        <w:ind w:left="1660"/>
        <w:spacing w:after="0"/>
        <w:rPr>
          <w:sz w:val="20"/>
          <w:szCs w:val="20"/>
          <w:color w:val="auto"/>
        </w:rPr>
      </w:pPr>
      <w:r>
        <w:rPr>
          <w:rFonts w:ascii="Arial" w:cs="Arial" w:eastAsia="Arial" w:hAnsi="Arial"/>
          <w:sz w:val="14"/>
          <w:szCs w:val="14"/>
          <w:color w:val="333333"/>
        </w:rPr>
        <w:t>To ratify the reappointment of Ernst &amp;</w:t>
      </w:r>
    </w:p>
    <w:p>
      <w:pPr>
        <w:spacing w:after="0" w:line="2" w:lineRule="exact"/>
        <w:rPr>
          <w:sz w:val="20"/>
          <w:szCs w:val="20"/>
          <w:color w:val="auto"/>
        </w:rPr>
      </w:pPr>
    </w:p>
    <w:p>
      <w:pPr>
        <w:ind w:left="1660" w:right="240" w:hanging="731"/>
        <w:spacing w:after="0" w:line="250" w:lineRule="auto"/>
        <w:tabs>
          <w:tab w:leader="none" w:pos="1660" w:val="left"/>
        </w:tabs>
        <w:numPr>
          <w:ilvl w:val="0"/>
          <w:numId w:val="129"/>
        </w:numPr>
        <w:rPr>
          <w:rFonts w:ascii="Arial" w:cs="Arial" w:eastAsia="Arial" w:hAnsi="Arial"/>
          <w:sz w:val="16"/>
          <w:szCs w:val="16"/>
          <w:b w:val="1"/>
          <w:bCs w:val="1"/>
          <w:color w:val="333333"/>
        </w:rPr>
      </w:pPr>
      <w:r>
        <w:rPr>
          <w:rFonts w:ascii="Arial" w:cs="Arial" w:eastAsia="Arial" w:hAnsi="Arial"/>
          <w:sz w:val="14"/>
          <w:szCs w:val="14"/>
          <w:color w:val="333333"/>
        </w:rPr>
        <w:t>Young LLP as our independent public accounting firm for 2024</w:t>
      </w:r>
    </w:p>
    <w:p>
      <w:pPr>
        <w:spacing w:after="0" w:line="181" w:lineRule="exact"/>
        <w:rPr>
          <w:sz w:val="20"/>
          <w:szCs w:val="20"/>
          <w:color w:val="auto"/>
        </w:rPr>
      </w:pPr>
    </w:p>
    <w:p>
      <w:pPr>
        <w:ind w:left="1660" w:hanging="731"/>
        <w:spacing w:after="0" w:line="183" w:lineRule="auto"/>
        <w:tabs>
          <w:tab w:leader="none" w:pos="1660" w:val="left"/>
        </w:tabs>
        <w:numPr>
          <w:ilvl w:val="0"/>
          <w:numId w:val="130"/>
        </w:numPr>
        <w:rPr>
          <w:rFonts w:ascii="Arial" w:cs="Arial" w:eastAsia="Arial" w:hAnsi="Arial"/>
          <w:sz w:val="27"/>
          <w:szCs w:val="27"/>
          <w:b w:val="1"/>
          <w:bCs w:val="1"/>
          <w:color w:val="333333"/>
          <w:vertAlign w:val="subscript"/>
        </w:rPr>
      </w:pPr>
      <w:r>
        <w:rPr>
          <w:rFonts w:ascii="Arial" w:cs="Arial" w:eastAsia="Arial" w:hAnsi="Arial"/>
          <w:sz w:val="13"/>
          <w:szCs w:val="13"/>
          <w:color w:val="333333"/>
        </w:rPr>
        <w:t>To approve, on an advisory basis, named executive officer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Arial" w:cs="Arial" w:eastAsia="Arial" w:hAnsi="Arial"/>
                <w:sz w:val="14"/>
                <w:szCs w:val="14"/>
                <w:color w:val="333333"/>
              </w:rPr>
              <w:t>Majority of</w:t>
            </w:r>
          </w:p>
        </w:tc>
        <w:tc>
          <w:tcPr>
            <w:tcW w:w="1060" w:type="dxa"/>
            <w:vAlign w:val="bottom"/>
            <w:vMerge w:val="restart"/>
          </w:tcPr>
          <w:p>
            <w:pPr>
              <w:ind w:left="180"/>
              <w:spacing w:after="0"/>
              <w:rPr>
                <w:sz w:val="20"/>
                <w:szCs w:val="20"/>
                <w:color w:val="auto"/>
              </w:rPr>
            </w:pPr>
            <w:r>
              <w:rPr>
                <w:rFonts w:ascii="Arial" w:cs="Arial" w:eastAsia="Arial" w:hAnsi="Arial"/>
                <w:sz w:val="14"/>
                <w:szCs w:val="14"/>
                <w:color w:val="333333"/>
              </w:rPr>
              <w:t>Not counted</w:t>
            </w:r>
          </w:p>
        </w:tc>
        <w:tc>
          <w:tcPr>
            <w:tcW w:w="1360" w:type="dxa"/>
            <w:vAlign w:val="bottom"/>
            <w:vMerge w:val="restart"/>
          </w:tcPr>
          <w:p>
            <w:pPr>
              <w:ind w:left="100"/>
              <w:spacing w:after="0"/>
              <w:rPr>
                <w:sz w:val="20"/>
                <w:szCs w:val="20"/>
                <w:color w:val="auto"/>
              </w:rPr>
            </w:pPr>
            <w:r>
              <w:rPr>
                <w:rFonts w:ascii="Arial" w:cs="Arial" w:eastAsia="Arial" w:hAnsi="Arial"/>
                <w:sz w:val="14"/>
                <w:szCs w:val="14"/>
                <w:color w:val="333333"/>
              </w:rPr>
              <w:t>Not voted</w:t>
            </w:r>
          </w:p>
        </w:tc>
        <w:tc>
          <w:tcPr>
            <w:tcW w:w="400" w:type="dxa"/>
            <w:vAlign w:val="bottom"/>
            <w:vMerge w:val="restart"/>
          </w:tcPr>
          <w:p>
            <w:pPr>
              <w:ind w:left="100"/>
              <w:spacing w:after="0"/>
              <w:rPr>
                <w:sz w:val="20"/>
                <w:szCs w:val="20"/>
                <w:color w:val="auto"/>
              </w:rPr>
            </w:pPr>
            <w:r>
              <w:rPr>
                <w:rFonts w:ascii="Arial" w:cs="Arial" w:eastAsia="Arial" w:hAnsi="Arial"/>
                <w:sz w:val="14"/>
                <w:szCs w:val="14"/>
                <w:b w:val="1"/>
                <w:bCs w:val="1"/>
                <w:color w:val="333333"/>
                <w:w w:val="94"/>
              </w:rPr>
              <w:t>FOR</w:t>
            </w:r>
          </w:p>
        </w:tc>
        <w:tc>
          <w:tcPr>
            <w:tcW w:w="0" w:type="dxa"/>
            <w:vAlign w:val="bottom"/>
          </w:tcPr>
          <w:p>
            <w:pPr>
              <w:spacing w:after="0"/>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4"/>
                <w:szCs w:val="14"/>
                <w:color w:val="333333"/>
              </w:rPr>
              <w:t>votes cast</w:t>
            </w:r>
          </w:p>
        </w:tc>
        <w:tc>
          <w:tcPr>
            <w:tcW w:w="10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8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1"/>
        </w:trPr>
        <w:tc>
          <w:tcPr>
            <w:tcW w:w="840" w:type="dxa"/>
            <w:vAlign w:val="bottom"/>
          </w:tcPr>
          <w:p>
            <w:pPr>
              <w:spacing w:after="0"/>
              <w:rPr>
                <w:sz w:val="20"/>
                <w:szCs w:val="20"/>
                <w:color w:val="auto"/>
              </w:rPr>
            </w:pPr>
            <w:r>
              <w:rPr>
                <w:rFonts w:ascii="Arial" w:cs="Arial" w:eastAsia="Arial" w:hAnsi="Arial"/>
                <w:sz w:val="14"/>
                <w:szCs w:val="14"/>
                <w:color w:val="333333"/>
              </w:rPr>
              <w:t>Majority of</w:t>
            </w:r>
          </w:p>
        </w:tc>
        <w:tc>
          <w:tcPr>
            <w:tcW w:w="1060" w:type="dxa"/>
            <w:vAlign w:val="bottom"/>
            <w:vMerge w:val="restart"/>
          </w:tcPr>
          <w:p>
            <w:pPr>
              <w:ind w:left="180"/>
              <w:spacing w:after="0"/>
              <w:rPr>
                <w:sz w:val="20"/>
                <w:szCs w:val="20"/>
                <w:color w:val="auto"/>
              </w:rPr>
            </w:pPr>
            <w:r>
              <w:rPr>
                <w:rFonts w:ascii="Arial" w:cs="Arial" w:eastAsia="Arial" w:hAnsi="Arial"/>
                <w:sz w:val="14"/>
                <w:szCs w:val="14"/>
                <w:color w:val="333333"/>
              </w:rPr>
              <w:t>Not counted</w:t>
            </w:r>
          </w:p>
        </w:tc>
        <w:tc>
          <w:tcPr>
            <w:tcW w:w="1360" w:type="dxa"/>
            <w:vAlign w:val="bottom"/>
            <w:vMerge w:val="restart"/>
          </w:tcPr>
          <w:p>
            <w:pPr>
              <w:ind w:left="100"/>
              <w:spacing w:after="0"/>
              <w:rPr>
                <w:sz w:val="20"/>
                <w:szCs w:val="20"/>
                <w:color w:val="auto"/>
              </w:rPr>
            </w:pPr>
            <w:r>
              <w:rPr>
                <w:rFonts w:ascii="Arial" w:cs="Arial" w:eastAsia="Arial" w:hAnsi="Arial"/>
                <w:sz w:val="14"/>
                <w:szCs w:val="14"/>
                <w:color w:val="333333"/>
              </w:rPr>
              <w:t>Discretionary vote</w:t>
            </w:r>
          </w:p>
        </w:tc>
        <w:tc>
          <w:tcPr>
            <w:tcW w:w="400" w:type="dxa"/>
            <w:vAlign w:val="bottom"/>
            <w:vMerge w:val="restart"/>
          </w:tcPr>
          <w:p>
            <w:pPr>
              <w:ind w:left="100"/>
              <w:spacing w:after="0"/>
              <w:rPr>
                <w:sz w:val="20"/>
                <w:szCs w:val="20"/>
                <w:color w:val="auto"/>
              </w:rPr>
            </w:pPr>
            <w:r>
              <w:rPr>
                <w:rFonts w:ascii="Arial" w:cs="Arial" w:eastAsia="Arial" w:hAnsi="Arial"/>
                <w:sz w:val="14"/>
                <w:szCs w:val="14"/>
                <w:b w:val="1"/>
                <w:bCs w:val="1"/>
                <w:color w:val="333333"/>
                <w:w w:val="94"/>
              </w:rPr>
              <w:t>FOR</w:t>
            </w:r>
          </w:p>
        </w:tc>
        <w:tc>
          <w:tcPr>
            <w:tcW w:w="0" w:type="dxa"/>
            <w:vAlign w:val="bottom"/>
          </w:tcPr>
          <w:p>
            <w:pPr>
              <w:spacing w:after="0"/>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4"/>
                <w:szCs w:val="14"/>
                <w:color w:val="333333"/>
              </w:rPr>
              <w:t>votes cast</w:t>
            </w:r>
          </w:p>
        </w:tc>
        <w:tc>
          <w:tcPr>
            <w:tcW w:w="10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8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1"/>
        </w:trPr>
        <w:tc>
          <w:tcPr>
            <w:tcW w:w="840" w:type="dxa"/>
            <w:vAlign w:val="bottom"/>
          </w:tcPr>
          <w:p>
            <w:pPr>
              <w:spacing w:after="0"/>
              <w:rPr>
                <w:sz w:val="20"/>
                <w:szCs w:val="20"/>
                <w:color w:val="auto"/>
              </w:rPr>
            </w:pPr>
            <w:r>
              <w:rPr>
                <w:rFonts w:ascii="Arial" w:cs="Arial" w:eastAsia="Arial" w:hAnsi="Arial"/>
                <w:sz w:val="14"/>
                <w:szCs w:val="14"/>
                <w:color w:val="333333"/>
              </w:rPr>
              <w:t>Majority of</w:t>
            </w:r>
          </w:p>
        </w:tc>
        <w:tc>
          <w:tcPr>
            <w:tcW w:w="1060" w:type="dxa"/>
            <w:vAlign w:val="bottom"/>
            <w:vMerge w:val="restart"/>
          </w:tcPr>
          <w:p>
            <w:pPr>
              <w:ind w:left="180"/>
              <w:spacing w:after="0"/>
              <w:rPr>
                <w:sz w:val="20"/>
                <w:szCs w:val="20"/>
                <w:color w:val="auto"/>
              </w:rPr>
            </w:pPr>
            <w:r>
              <w:rPr>
                <w:rFonts w:ascii="Arial" w:cs="Arial" w:eastAsia="Arial" w:hAnsi="Arial"/>
                <w:sz w:val="14"/>
                <w:szCs w:val="14"/>
                <w:color w:val="333333"/>
              </w:rPr>
              <w:t>Not counted</w:t>
            </w:r>
          </w:p>
        </w:tc>
        <w:tc>
          <w:tcPr>
            <w:tcW w:w="1360" w:type="dxa"/>
            <w:vAlign w:val="bottom"/>
            <w:vMerge w:val="restart"/>
          </w:tcPr>
          <w:p>
            <w:pPr>
              <w:ind w:left="100"/>
              <w:spacing w:after="0"/>
              <w:rPr>
                <w:sz w:val="20"/>
                <w:szCs w:val="20"/>
                <w:color w:val="auto"/>
              </w:rPr>
            </w:pPr>
            <w:r>
              <w:rPr>
                <w:rFonts w:ascii="Arial" w:cs="Arial" w:eastAsia="Arial" w:hAnsi="Arial"/>
                <w:sz w:val="14"/>
                <w:szCs w:val="14"/>
                <w:color w:val="333333"/>
              </w:rPr>
              <w:t>Not voted</w:t>
            </w:r>
          </w:p>
        </w:tc>
        <w:tc>
          <w:tcPr>
            <w:tcW w:w="400" w:type="dxa"/>
            <w:vAlign w:val="bottom"/>
            <w:vMerge w:val="restart"/>
          </w:tcPr>
          <w:p>
            <w:pPr>
              <w:ind w:left="100"/>
              <w:spacing w:after="0"/>
              <w:rPr>
                <w:sz w:val="20"/>
                <w:szCs w:val="20"/>
                <w:color w:val="auto"/>
              </w:rPr>
            </w:pPr>
            <w:r>
              <w:rPr>
                <w:rFonts w:ascii="Arial" w:cs="Arial" w:eastAsia="Arial" w:hAnsi="Arial"/>
                <w:sz w:val="14"/>
                <w:szCs w:val="14"/>
                <w:b w:val="1"/>
                <w:bCs w:val="1"/>
                <w:color w:val="333333"/>
                <w:w w:val="94"/>
              </w:rPr>
              <w:t>FOR</w:t>
            </w:r>
          </w:p>
        </w:tc>
        <w:tc>
          <w:tcPr>
            <w:tcW w:w="0" w:type="dxa"/>
            <w:vAlign w:val="bottom"/>
          </w:tcPr>
          <w:p>
            <w:pPr>
              <w:spacing w:after="0"/>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4"/>
                <w:szCs w:val="14"/>
                <w:color w:val="333333"/>
              </w:rPr>
              <w:t>votes cast</w:t>
            </w:r>
          </w:p>
        </w:tc>
        <w:tc>
          <w:tcPr>
            <w:tcW w:w="10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8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-731520</wp:posOffset>
            </wp:positionV>
            <wp:extent cx="5554980" cy="4457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554980" cy="445770"/>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56515</wp:posOffset>
            </wp:positionV>
            <wp:extent cx="5554980" cy="5486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554980" cy="54864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4280" w:space="260"/>
            <w:col w:w="5500"/>
          </w:cols>
          <w:pgMar w:left="920" w:top="114" w:right="939" w:bottom="1440" w:gutter="0" w:footer="0" w:header="0"/>
          <w:type w:val="continuous"/>
        </w:sectPr>
      </w:pPr>
    </w:p>
    <w:tbl>
      <w:tblPr>
        <w:tblLayout w:type="fixed"/>
        <w:tblInd w:w="92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040" w:type="dxa"/>
            <w:vAlign w:val="bottom"/>
          </w:tcPr>
          <w:p>
            <w:pPr>
              <w:ind w:left="320"/>
              <w:spacing w:after="0"/>
              <w:rPr>
                <w:sz w:val="20"/>
                <w:szCs w:val="20"/>
                <w:color w:val="auto"/>
              </w:rPr>
            </w:pPr>
            <w:r>
              <w:rPr>
                <w:rFonts w:ascii="Arial" w:cs="Arial" w:eastAsia="Arial" w:hAnsi="Arial"/>
                <w:sz w:val="14"/>
                <w:szCs w:val="14"/>
                <w:color w:val="333333"/>
              </w:rPr>
              <w:t>To vote on a shareholder proposal</w:t>
            </w:r>
          </w:p>
        </w:tc>
        <w:tc>
          <w:tcPr>
            <w:tcW w:w="10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333333"/>
                <w:w w:val="89"/>
              </w:rPr>
              <w:t>4</w:t>
            </w:r>
          </w:p>
        </w:tc>
        <w:tc>
          <w:tcPr>
            <w:tcW w:w="3040" w:type="dxa"/>
            <w:vAlign w:val="bottom"/>
          </w:tcPr>
          <w:p>
            <w:pPr>
              <w:ind w:left="320"/>
              <w:spacing w:after="0"/>
              <w:rPr>
                <w:sz w:val="20"/>
                <w:szCs w:val="20"/>
                <w:color w:val="auto"/>
              </w:rPr>
            </w:pPr>
            <w:r>
              <w:rPr>
                <w:rFonts w:ascii="Arial" w:cs="Arial" w:eastAsia="Arial" w:hAnsi="Arial"/>
                <w:sz w:val="14"/>
                <w:szCs w:val="14"/>
                <w:color w:val="333333"/>
              </w:rPr>
              <w:t>regarding an independent Board chair</w:t>
            </w:r>
          </w:p>
        </w:tc>
        <w:tc>
          <w:tcPr>
            <w:tcW w:w="1000" w:type="dxa"/>
            <w:vAlign w:val="bottom"/>
          </w:tcPr>
          <w:p>
            <w:pPr>
              <w:ind w:left="160"/>
              <w:spacing w:after="0"/>
              <w:rPr>
                <w:sz w:val="20"/>
                <w:szCs w:val="20"/>
                <w:color w:val="auto"/>
              </w:rPr>
            </w:pPr>
            <w:r>
              <w:rPr>
                <w:rFonts w:ascii="Arial" w:cs="Arial" w:eastAsia="Arial" w:hAnsi="Arial"/>
                <w:sz w:val="14"/>
                <w:szCs w:val="14"/>
                <w:color w:val="333333"/>
              </w:rPr>
              <w:t>Majority of</w:t>
            </w:r>
          </w:p>
        </w:tc>
        <w:tc>
          <w:tcPr>
            <w:tcW w:w="2140" w:type="dxa"/>
            <w:vAlign w:val="bottom"/>
            <w:vMerge w:val="restart"/>
          </w:tcPr>
          <w:p>
            <w:pPr>
              <w:ind w:left="180"/>
              <w:spacing w:after="0"/>
              <w:rPr>
                <w:sz w:val="20"/>
                <w:szCs w:val="20"/>
                <w:color w:val="auto"/>
              </w:rPr>
            </w:pPr>
            <w:r>
              <w:rPr>
                <w:rFonts w:ascii="Arial" w:cs="Arial" w:eastAsia="Arial" w:hAnsi="Arial"/>
                <w:sz w:val="14"/>
                <w:szCs w:val="14"/>
                <w:color w:val="333333"/>
              </w:rPr>
              <w:t>Not counted   Not voted</w:t>
            </w:r>
          </w:p>
        </w:tc>
        <w:tc>
          <w:tcPr>
            <w:tcW w:w="1020" w:type="dxa"/>
            <w:vAlign w:val="bottom"/>
            <w:vMerge w:val="restart"/>
          </w:tcPr>
          <w:p>
            <w:pPr>
              <w:ind w:left="380"/>
              <w:spacing w:after="0"/>
              <w:rPr>
                <w:sz w:val="20"/>
                <w:szCs w:val="20"/>
                <w:color w:val="auto"/>
              </w:rPr>
            </w:pPr>
            <w:r>
              <w:rPr>
                <w:rFonts w:ascii="Arial" w:cs="Arial" w:eastAsia="Arial" w:hAnsi="Arial"/>
                <w:sz w:val="14"/>
                <w:szCs w:val="14"/>
                <w:b w:val="1"/>
                <w:bCs w:val="1"/>
                <w:color w:val="E13279"/>
                <w:w w:val="98"/>
              </w:rPr>
              <w:t>AGAINST</w:t>
            </w:r>
          </w:p>
        </w:tc>
        <w:tc>
          <w:tcPr>
            <w:tcW w:w="0" w:type="dxa"/>
            <w:vAlign w:val="bottom"/>
          </w:tcPr>
          <w:p>
            <w:pPr>
              <w:spacing w:after="0"/>
              <w:rPr>
                <w:sz w:val="1"/>
                <w:szCs w:val="1"/>
                <w:color w:val="auto"/>
              </w:rPr>
            </w:pPr>
          </w:p>
        </w:tc>
      </w:tr>
      <w:tr>
        <w:trPr>
          <w:trHeight w:val="123"/>
        </w:trPr>
        <w:tc>
          <w:tcPr>
            <w:tcW w:w="420" w:type="dxa"/>
            <w:vAlign w:val="bottom"/>
            <w:vMerge w:val="continue"/>
          </w:tcPr>
          <w:p>
            <w:pPr>
              <w:spacing w:after="0"/>
              <w:rPr>
                <w:sz w:val="10"/>
                <w:szCs w:val="10"/>
                <w:color w:val="auto"/>
              </w:rPr>
            </w:pPr>
          </w:p>
        </w:tc>
        <w:tc>
          <w:tcPr>
            <w:tcW w:w="3040" w:type="dxa"/>
            <w:vAlign w:val="bottom"/>
            <w:vMerge w:val="restart"/>
          </w:tcPr>
          <w:p>
            <w:pPr>
              <w:ind w:left="320"/>
              <w:spacing w:after="0"/>
              <w:rPr>
                <w:sz w:val="20"/>
                <w:szCs w:val="20"/>
                <w:color w:val="auto"/>
              </w:rPr>
            </w:pPr>
            <w:r>
              <w:rPr>
                <w:rFonts w:ascii="Arial" w:cs="Arial" w:eastAsia="Arial" w:hAnsi="Arial"/>
                <w:sz w:val="14"/>
                <w:szCs w:val="14"/>
                <w:color w:val="333333"/>
              </w:rPr>
              <w:t>requirement, if properly presented at the</w:t>
            </w:r>
          </w:p>
        </w:tc>
        <w:tc>
          <w:tcPr>
            <w:tcW w:w="1000" w:type="dxa"/>
            <w:vAlign w:val="bottom"/>
            <w:vMerge w:val="restart"/>
          </w:tcPr>
          <w:p>
            <w:pPr>
              <w:ind w:left="160"/>
              <w:spacing w:after="0"/>
              <w:rPr>
                <w:sz w:val="20"/>
                <w:szCs w:val="20"/>
                <w:color w:val="auto"/>
              </w:rPr>
            </w:pPr>
            <w:r>
              <w:rPr>
                <w:rFonts w:ascii="Arial" w:cs="Arial" w:eastAsia="Arial" w:hAnsi="Arial"/>
                <w:sz w:val="14"/>
                <w:szCs w:val="14"/>
                <w:color w:val="333333"/>
              </w:rPr>
              <w:t>votes cast</w:t>
            </w:r>
          </w:p>
        </w:tc>
        <w:tc>
          <w:tcPr>
            <w:tcW w:w="21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20" w:type="dxa"/>
            <w:vAlign w:val="bottom"/>
          </w:tcPr>
          <w:p>
            <w:pPr>
              <w:spacing w:after="0"/>
              <w:rPr>
                <w:sz w:val="4"/>
                <w:szCs w:val="4"/>
                <w:color w:val="auto"/>
              </w:rPr>
            </w:pPr>
          </w:p>
        </w:tc>
        <w:tc>
          <w:tcPr>
            <w:tcW w:w="30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660"/>
        <w:spacing w:after="0"/>
        <w:rPr>
          <w:sz w:val="20"/>
          <w:szCs w:val="20"/>
          <w:color w:val="auto"/>
        </w:rPr>
      </w:pPr>
      <w:r>
        <w:rPr>
          <w:rFonts w:ascii="Arial" w:cs="Arial" w:eastAsia="Arial" w:hAnsi="Arial"/>
          <w:sz w:val="14"/>
          <w:szCs w:val="14"/>
          <w:color w:val="333333"/>
        </w:rPr>
        <w:t>meeting</w:t>
      </w:r>
    </w:p>
    <w:p>
      <w:pPr>
        <w:sectPr>
          <w:pgSz w:w="11900" w:h="16838" w:orient="portrait"/>
          <w:cols w:equalWidth="0" w:num="1">
            <w:col w:w="10040"/>
          </w:cols>
          <w:pgMar w:left="920" w:top="114" w:right="9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333333"/>
        </w:rPr>
        <w:t>If you sign and return a proxy card or vote your shares via the Internet but do not provide voting instructions, your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360"/>
        <w:spacing w:after="0" w:line="286" w:lineRule="auto"/>
        <w:rPr>
          <w:sz w:val="20"/>
          <w:szCs w:val="20"/>
          <w:color w:val="auto"/>
        </w:rPr>
      </w:pPr>
      <w:r>
        <w:rPr>
          <w:rFonts w:ascii="Arial" w:cs="Arial" w:eastAsia="Arial" w:hAnsi="Arial"/>
          <w:sz w:val="16"/>
          <w:szCs w:val="16"/>
          <w:color w:val="auto"/>
        </w:rPr>
        <w:t>shares will be voted as listed in the “Board Voting Recommendation” column in the table above.</w:t>
      </w:r>
    </w:p>
    <w:p>
      <w:pPr>
        <w:spacing w:after="0" w:line="156" w:lineRule="exact"/>
        <w:rPr>
          <w:sz w:val="20"/>
          <w:szCs w:val="20"/>
          <w:color w:val="auto"/>
        </w:rPr>
      </w:pPr>
    </w:p>
    <w:p>
      <w:pPr>
        <w:sectPr>
          <w:pgSz w:w="11900" w:h="16838" w:orient="portrait"/>
          <w:cols w:equalWidth="0" w:num="2">
            <w:col w:w="4800" w:space="340"/>
            <w:col w:w="4900"/>
          </w:cols>
          <w:pgMar w:left="920" w:top="114" w:right="939" w:bottom="1440" w:gutter="0" w:footer="0" w:header="0"/>
          <w:type w:val="continuous"/>
        </w:sectPr>
      </w:pPr>
    </w:p>
    <w:p>
      <w:pPr>
        <w:ind w:left="7300"/>
        <w:spacing w:after="0"/>
        <w:rPr>
          <w:sz w:val="20"/>
          <w:szCs w:val="20"/>
          <w:color w:val="auto"/>
        </w:rPr>
      </w:pPr>
      <w:r>
        <w:rPr>
          <w:rFonts w:ascii="Arial" w:cs="Arial" w:eastAsia="Arial" w:hAnsi="Arial"/>
          <w:sz w:val="10"/>
          <w:szCs w:val="10"/>
          <w:color w:val="333333"/>
        </w:rPr>
        <w:t xml:space="preserve">2024 Notice of Annual Meeting &amp; Proxy Statement      </w:t>
      </w:r>
      <w:r>
        <w:rPr>
          <w:rFonts w:ascii="Arial" w:cs="Arial" w:eastAsia="Arial" w:hAnsi="Arial"/>
          <w:sz w:val="10"/>
          <w:szCs w:val="10"/>
          <w:b w:val="1"/>
          <w:bCs w:val="1"/>
          <w:color w:val="333333"/>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CF1D4C"/>
        </w:rPr>
        <w:t>ADDITIONAL INFORMATION</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 to Find More Proxy Voting Information:</w:t>
      </w:r>
    </w:p>
    <w:p>
      <w:pPr>
        <w:spacing w:after="0" w:line="208" w:lineRule="exact"/>
        <w:rPr>
          <w:sz w:val="20"/>
          <w:szCs w:val="20"/>
          <w:color w:val="auto"/>
        </w:rPr>
      </w:pPr>
    </w:p>
    <w:p>
      <w:pPr>
        <w:ind w:left="880" w:right="200" w:hanging="228"/>
        <w:spacing w:after="0"/>
        <w:rPr>
          <w:sz w:val="20"/>
          <w:szCs w:val="20"/>
          <w:color w:val="auto"/>
        </w:rPr>
      </w:pPr>
      <w:r>
        <w:rPr>
          <w:sz w:val="1"/>
          <w:szCs w:val="1"/>
          <w:color w:val="auto"/>
        </w:rPr>
        <w:drawing>
          <wp:inline distT="0" distB="0" distL="0" distR="0">
            <wp:extent cx="76835" cy="93980"/>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The SEC’s website has a variety of information about the proxy voting process at www.sec.gov/spotlight/ proxymatters.shtml.</w:t>
      </w:r>
    </w:p>
    <w:p>
      <w:pPr>
        <w:spacing w:after="0" w:line="177" w:lineRule="exact"/>
        <w:rPr>
          <w:sz w:val="20"/>
          <w:szCs w:val="20"/>
          <w:color w:val="auto"/>
        </w:rPr>
      </w:pPr>
    </w:p>
    <w:p>
      <w:pPr>
        <w:ind w:left="880" w:right="100" w:hanging="228"/>
        <w:spacing w:after="0"/>
        <w:rPr>
          <w:sz w:val="20"/>
          <w:szCs w:val="20"/>
          <w:color w:val="auto"/>
        </w:rPr>
      </w:pPr>
      <w:r>
        <w:rPr>
          <w:sz w:val="1"/>
          <w:szCs w:val="1"/>
          <w:color w:val="auto"/>
        </w:rPr>
        <w:drawing>
          <wp:inline distT="0" distB="0" distL="0" distR="0">
            <wp:extent cx="76835" cy="93980"/>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r>
        <w:rPr>
          <w:rFonts w:ascii="Arial" w:cs="Arial" w:eastAsia="Arial" w:hAnsi="Arial"/>
          <w:sz w:val="16"/>
          <w:szCs w:val="16"/>
          <w:color w:val="333333"/>
        </w:rPr>
        <w:t>  Contact the Investor Relations department through our website at https://investor.corpay.com or by phone at (770) 417-4697.</w:t>
      </w:r>
    </w:p>
    <w:p>
      <w:pPr>
        <w:spacing w:after="0" w:line="163" w:lineRule="exact"/>
        <w:rPr>
          <w:sz w:val="20"/>
          <w:szCs w:val="20"/>
          <w:color w:val="auto"/>
        </w:rPr>
      </w:pPr>
    </w:p>
    <w:p>
      <w:pPr>
        <w:ind w:left="880" w:right="720" w:hanging="228"/>
        <w:spacing w:after="0"/>
        <w:rPr>
          <w:sz w:val="20"/>
          <w:szCs w:val="20"/>
          <w:color w:val="auto"/>
        </w:rPr>
      </w:pPr>
      <w:r>
        <w:rPr>
          <w:sz w:val="1"/>
          <w:szCs w:val="1"/>
          <w:color w:val="auto"/>
        </w:rPr>
        <w:drawing>
          <wp:inline distT="0" distB="0" distL="0" distR="0">
            <wp:extent cx="76835" cy="94615"/>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94615"/>
                    </a:xfrm>
                    <a:prstGeom prst="rect">
                      <a:avLst/>
                    </a:prstGeom>
                    <a:noFill/>
                    <a:ln>
                      <a:noFill/>
                    </a:ln>
                  </pic:spPr>
                </pic:pic>
              </a:graphicData>
            </a:graphic>
          </wp:inline>
        </w:drawing>
      </w:r>
      <w:r>
        <w:rPr>
          <w:rFonts w:ascii="Arial" w:cs="Arial" w:eastAsia="Arial" w:hAnsi="Arial"/>
          <w:sz w:val="16"/>
          <w:szCs w:val="16"/>
          <w:color w:val="333333"/>
        </w:rPr>
        <w:t>  Contact the broker or bank through which you beneficially own your shares.</w:t>
      </w:r>
    </w:p>
    <w:p>
      <w:pPr>
        <w:spacing w:after="0" w:line="163"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b w:val="1"/>
          <w:bCs w:val="1"/>
          <w:color w:val="333333"/>
        </w:rPr>
        <w:t xml:space="preserve">Revoking Your Proxy: </w:t>
      </w:r>
      <w:r>
        <w:rPr>
          <w:rFonts w:ascii="Arial" w:cs="Arial" w:eastAsia="Arial" w:hAnsi="Arial"/>
          <w:sz w:val="16"/>
          <w:szCs w:val="16"/>
          <w:color w:val="333333"/>
        </w:rPr>
        <w:t>Shareholders of record may</w:t>
      </w:r>
      <w:r>
        <w:rPr>
          <w:rFonts w:ascii="Arial" w:cs="Arial" w:eastAsia="Arial" w:hAnsi="Arial"/>
          <w:sz w:val="16"/>
          <w:szCs w:val="16"/>
          <w:b w:val="1"/>
          <w:bCs w:val="1"/>
          <w:color w:val="333333"/>
        </w:rPr>
        <w:t xml:space="preserve"> </w:t>
      </w:r>
      <w:r>
        <w:rPr>
          <w:rFonts w:ascii="Arial" w:cs="Arial" w:eastAsia="Arial" w:hAnsi="Arial"/>
          <w:sz w:val="16"/>
          <w:szCs w:val="16"/>
          <w:color w:val="333333"/>
        </w:rPr>
        <w:t>revoke their proxy and change their vote at any time before the polls close at the annual meeting by submitting a subsequent proxy (if you received a proxy card) or by using the Internet, by telephone or by mail to vote after the date of your proxy; sending written notice of revocation to our Corporate Secretary at Corpay, 3280 Peachtree Road, Suite 2400, Atlanta, Georgia 30305; or voting in person at the annual meeting. If you hold shares through a bank or broker, please refer to your proxy card or other voting information form forwarded by your bank or broker to see how you can revoke your proxy (if you received one) and change your vote.</w:t>
      </w:r>
    </w:p>
    <w:p>
      <w:pPr>
        <w:spacing w:after="0" w:line="151" w:lineRule="exact"/>
        <w:rPr>
          <w:sz w:val="20"/>
          <w:szCs w:val="20"/>
          <w:color w:val="auto"/>
        </w:rPr>
      </w:pPr>
    </w:p>
    <w:p>
      <w:pPr>
        <w:ind w:left="660" w:right="40"/>
        <w:spacing w:after="0" w:line="253" w:lineRule="auto"/>
        <w:rPr>
          <w:sz w:val="20"/>
          <w:szCs w:val="20"/>
          <w:color w:val="auto"/>
        </w:rPr>
      </w:pPr>
      <w:r>
        <w:rPr>
          <w:rFonts w:ascii="Arial" w:cs="Arial" w:eastAsia="Arial" w:hAnsi="Arial"/>
          <w:sz w:val="16"/>
          <w:szCs w:val="16"/>
          <w:b w:val="1"/>
          <w:bCs w:val="1"/>
          <w:color w:val="333333"/>
        </w:rPr>
        <w:t xml:space="preserve">Proxy Authority: </w:t>
      </w:r>
      <w:r>
        <w:rPr>
          <w:rFonts w:ascii="Arial" w:cs="Arial" w:eastAsia="Arial" w:hAnsi="Arial"/>
          <w:sz w:val="16"/>
          <w:szCs w:val="16"/>
          <w:color w:val="333333"/>
        </w:rPr>
        <w:t>When you submit your proxy, you</w:t>
      </w:r>
      <w:r>
        <w:rPr>
          <w:rFonts w:ascii="Arial" w:cs="Arial" w:eastAsia="Arial" w:hAnsi="Arial"/>
          <w:sz w:val="16"/>
          <w:szCs w:val="16"/>
          <w:b w:val="1"/>
          <w:bCs w:val="1"/>
          <w:color w:val="333333"/>
        </w:rPr>
        <w:t xml:space="preserve"> </w:t>
      </w:r>
      <w:r>
        <w:rPr>
          <w:rFonts w:ascii="Arial" w:cs="Arial" w:eastAsia="Arial" w:hAnsi="Arial"/>
          <w:sz w:val="16"/>
          <w:szCs w:val="16"/>
          <w:color w:val="333333"/>
        </w:rPr>
        <w:t>authorize Ronald F. Clarke and Alissa Vickery, or either one of them, each with full power of substitution, to vote your shares at the annual meeting in accordance with your instructions or, if no instructions are given, in accordance with the Board’s recommendations as described in the table above.</w:t>
      </w:r>
    </w:p>
    <w:p>
      <w:pPr>
        <w:spacing w:after="0" w:line="141" w:lineRule="exact"/>
        <w:rPr>
          <w:sz w:val="20"/>
          <w:szCs w:val="20"/>
          <w:color w:val="auto"/>
        </w:rPr>
      </w:pPr>
    </w:p>
    <w:p>
      <w:pPr>
        <w:ind w:left="660" w:right="40"/>
        <w:spacing w:after="0" w:line="256" w:lineRule="auto"/>
        <w:rPr>
          <w:sz w:val="20"/>
          <w:szCs w:val="20"/>
          <w:color w:val="auto"/>
        </w:rPr>
      </w:pPr>
      <w:r>
        <w:rPr>
          <w:rFonts w:ascii="Arial" w:cs="Arial" w:eastAsia="Arial" w:hAnsi="Arial"/>
          <w:sz w:val="16"/>
          <w:szCs w:val="16"/>
          <w:color w:val="333333"/>
        </w:rPr>
        <w:t>The proxies, in their discretion, are further authorized to vote on any adjournments or postponements of the annual meeting, for the election of one or more persons to the Board if any of the nominees becomes unable to serve or for good cause will not serve, on matters which the Board</w:t>
      </w:r>
    </w:p>
    <w:p>
      <w:pPr>
        <w:spacing w:after="0" w:line="181"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 xml:space="preserve">74      </w:t>
      </w:r>
      <w:r>
        <w:rPr>
          <w:rFonts w:ascii="Arial" w:cs="Arial" w:eastAsia="Arial" w:hAnsi="Arial"/>
          <w:sz w:val="11"/>
          <w:szCs w:val="11"/>
          <w:color w:val="333333"/>
        </w:rPr>
        <w:t>2024 Notice of Annual Meeting &amp;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199"/>
        <w:spacing w:after="0" w:line="259" w:lineRule="auto"/>
        <w:rPr>
          <w:sz w:val="20"/>
          <w:szCs w:val="20"/>
          <w:color w:val="auto"/>
        </w:rPr>
      </w:pPr>
      <w:r>
        <w:rPr>
          <w:rFonts w:ascii="Arial" w:cs="Arial" w:eastAsia="Arial" w:hAnsi="Arial"/>
          <w:sz w:val="16"/>
          <w:szCs w:val="16"/>
          <w:color w:val="auto"/>
        </w:rPr>
        <w:t>does not know a reasonable time before making the proxy solicitations will be presented at the annual meeting or any other matters which may properly come before the annual meeting and any postponements or adjournments thereto.</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Householding of Proxy Materials</w:t>
      </w:r>
    </w:p>
    <w:p>
      <w:pPr>
        <w:spacing w:after="0" w:line="216" w:lineRule="exact"/>
        <w:rPr>
          <w:sz w:val="20"/>
          <w:szCs w:val="20"/>
          <w:color w:val="auto"/>
        </w:rPr>
      </w:pPr>
    </w:p>
    <w:p>
      <w:pPr>
        <w:ind w:right="179"/>
        <w:spacing w:after="0" w:line="251" w:lineRule="auto"/>
        <w:rPr>
          <w:sz w:val="20"/>
          <w:szCs w:val="20"/>
          <w:color w:val="auto"/>
        </w:rPr>
      </w:pPr>
      <w:r>
        <w:rPr>
          <w:rFonts w:ascii="Arial" w:cs="Arial" w:eastAsia="Arial" w:hAnsi="Arial"/>
          <w:sz w:val="16"/>
          <w:szCs w:val="16"/>
          <w:color w:val="333333"/>
        </w:rPr>
        <w:t>The SEC has adopted rules that permit companies and intermediaries (such as banks and brokers) to satisfy the delivery requirements for proxy statements and annual reports with respect to two or more shareholders sharing the same address by delivering a single proxy statement addressed to those shareholders. This process, which is commonly referred to as “householding,” potentially means extra convenience for shareholders and cost savings for companies.</w:t>
      </w:r>
    </w:p>
    <w:p>
      <w:pPr>
        <w:spacing w:after="0" w:line="145" w:lineRule="exact"/>
        <w:rPr>
          <w:sz w:val="20"/>
          <w:szCs w:val="20"/>
          <w:color w:val="auto"/>
        </w:rPr>
      </w:pPr>
    </w:p>
    <w:p>
      <w:pPr>
        <w:ind w:right="179"/>
        <w:spacing w:after="0" w:line="248" w:lineRule="auto"/>
        <w:rPr>
          <w:sz w:val="20"/>
          <w:szCs w:val="20"/>
          <w:color w:val="auto"/>
        </w:rPr>
      </w:pPr>
      <w:r>
        <w:rPr>
          <w:rFonts w:ascii="Arial" w:cs="Arial" w:eastAsia="Arial" w:hAnsi="Arial"/>
          <w:sz w:val="16"/>
          <w:szCs w:val="16"/>
          <w:color w:val="333333"/>
        </w:rPr>
        <w:t>This year, a number of banks and brokers with account holders who are shareholders will be “householding” our proxy materials. A single proxy statement will be delivered to multiple shareholders sharing an address unless contrary instructions have been received from the affected shareholders.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please notify your bank or broker, or direct your written request to Corpay, Inc., Attention: Corporate Secretary, 3280 Peachtree Road, Suite 2400, Atlanta, Georgia 30305, HOUSEHOLDING, and we will deliver a separate copy of the proxy statement upon request. Shareholders who currently receive multiple copies of the proxy statement and annual report at their address and would like to request “householding” of their communications should contact their bank or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492125</wp:posOffset>
            </wp:positionV>
            <wp:extent cx="699516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880" w:space="260"/>
            <w:col w:w="4399"/>
          </w:cols>
          <w:pgMar w:left="920" w:top="114"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CF1D4C"/>
        </w:rPr>
        <w:t>APPENDIX A</w:t>
      </w:r>
    </w:p>
    <w:p>
      <w:pPr>
        <w:spacing w:after="0" w:line="200" w:lineRule="exact"/>
        <w:rPr>
          <w:sz w:val="20"/>
          <w:szCs w:val="20"/>
          <w:color w:val="auto"/>
        </w:rPr>
      </w:pPr>
    </w:p>
    <w:p>
      <w:pPr>
        <w:spacing w:after="0" w:line="268" w:lineRule="exact"/>
        <w:rPr>
          <w:sz w:val="20"/>
          <w:szCs w:val="20"/>
          <w:color w:val="auto"/>
        </w:rPr>
      </w:pPr>
    </w:p>
    <w:p>
      <w:pPr>
        <w:ind w:left="660" w:right="1400"/>
        <w:spacing w:after="0" w:line="281" w:lineRule="auto"/>
        <w:rPr>
          <w:sz w:val="20"/>
          <w:szCs w:val="20"/>
          <w:color w:val="auto"/>
        </w:rPr>
      </w:pPr>
      <w:r>
        <w:rPr>
          <w:rFonts w:ascii="Arial" w:cs="Arial" w:eastAsia="Arial" w:hAnsi="Arial"/>
          <w:sz w:val="18"/>
          <w:szCs w:val="18"/>
          <w:b w:val="1"/>
          <w:bCs w:val="1"/>
          <w:color w:val="CF1D4C"/>
        </w:rPr>
        <w:t>Management’s Use of Non-GAAP Financial Measures</w:t>
      </w:r>
    </w:p>
    <w:p>
      <w:pPr>
        <w:spacing w:after="0" w:line="384" w:lineRule="exact"/>
        <w:rPr>
          <w:sz w:val="20"/>
          <w:szCs w:val="20"/>
          <w:color w:val="auto"/>
        </w:rPr>
      </w:pPr>
    </w:p>
    <w:p>
      <w:pPr>
        <w:ind w:left="660" w:right="320"/>
        <w:spacing w:after="0" w:line="296" w:lineRule="auto"/>
        <w:rPr>
          <w:sz w:val="20"/>
          <w:szCs w:val="20"/>
          <w:color w:val="auto"/>
        </w:rPr>
      </w:pPr>
      <w:r>
        <w:rPr>
          <w:rFonts w:ascii="Arial" w:cs="Arial" w:eastAsia="Arial" w:hAnsi="Arial"/>
          <w:sz w:val="16"/>
          <w:szCs w:val="16"/>
          <w:b w:val="1"/>
          <w:bCs w:val="1"/>
          <w:color w:val="auto"/>
        </w:rPr>
        <w:t>Adjusted Net Income and Adjusted Net Income Per Diluted Share</w:t>
      </w:r>
    </w:p>
    <w:p>
      <w:pPr>
        <w:spacing w:after="0" w:line="154"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333333"/>
        </w:rPr>
        <w:t>We have defined the non-GAAP measure adjusted net income as net income as reflected in our statement of income, adjusted to eliminate (a) non-cash stock based compensation expense related to share based compensation awards, (b) amortization of deferred financing costs, discounts and intangible assets, amortization of the premium recognized on the purchase of receivables, and our proportionate share of amortization of intangible assets at our equity method investment,</w:t>
      </w:r>
    </w:p>
    <w:p>
      <w:pPr>
        <w:spacing w:after="0" w:line="6" w:lineRule="exact"/>
        <w:rPr>
          <w:sz w:val="20"/>
          <w:szCs w:val="20"/>
          <w:color w:val="auto"/>
        </w:rPr>
      </w:pPr>
    </w:p>
    <w:p>
      <w:pPr>
        <w:ind w:left="660" w:right="40" w:hanging="10"/>
        <w:spacing w:after="0" w:line="248" w:lineRule="auto"/>
        <w:tabs>
          <w:tab w:leader="none" w:pos="894" w:val="left"/>
        </w:tabs>
        <w:numPr>
          <w:ilvl w:val="0"/>
          <w:numId w:val="133"/>
        </w:numPr>
        <w:rPr>
          <w:rFonts w:ascii="Arial" w:cs="Arial" w:eastAsia="Arial" w:hAnsi="Arial"/>
          <w:sz w:val="16"/>
          <w:szCs w:val="16"/>
          <w:color w:val="333333"/>
        </w:rPr>
      </w:pPr>
      <w:r>
        <w:rPr>
          <w:rFonts w:ascii="Arial" w:cs="Arial" w:eastAsia="Arial" w:hAnsi="Arial"/>
          <w:sz w:val="16"/>
          <w:szCs w:val="16"/>
          <w:color w:val="333333"/>
        </w:rPr>
        <w:t>integration and deal related costs, and (d) other non-recurring items, including unusual credit losses, the impact of discrete tax items, impairment charges, asset write-offs, restructuring costs, gains due to disposition of assets/businesses, loss on extinguishment of debt, and legal settlements. We calculate adjusted net income and adjusted net income per diluted share to eliminate the effect of items that we do not consider indicative of our core operating performance.</w:t>
      </w:r>
    </w:p>
    <w:p>
      <w:pPr>
        <w:spacing w:after="0" w:line="149" w:lineRule="exact"/>
        <w:rPr>
          <w:sz w:val="20"/>
          <w:szCs w:val="20"/>
          <w:color w:val="auto"/>
        </w:rPr>
      </w:pPr>
    </w:p>
    <w:p>
      <w:pPr>
        <w:jc w:val="both"/>
        <w:ind w:left="660" w:right="320"/>
        <w:spacing w:after="0" w:line="259" w:lineRule="auto"/>
        <w:rPr>
          <w:sz w:val="20"/>
          <w:szCs w:val="20"/>
          <w:color w:val="auto"/>
        </w:rPr>
      </w:pPr>
      <w:r>
        <w:rPr>
          <w:rFonts w:ascii="Arial" w:cs="Arial" w:eastAsia="Arial" w:hAnsi="Arial"/>
          <w:sz w:val="16"/>
          <w:szCs w:val="16"/>
          <w:color w:val="333333"/>
        </w:rPr>
        <w:t>We have defined the non-GAAP measure adjusted net income per diluted share as the calculation previously noted divided by the weighted average diluted shares outstanding as reflected in our statement of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680"/>
        <w:spacing w:after="0" w:line="248" w:lineRule="auto"/>
        <w:rPr>
          <w:sz w:val="20"/>
          <w:szCs w:val="20"/>
          <w:color w:val="auto"/>
        </w:rPr>
      </w:pPr>
      <w:r>
        <w:rPr>
          <w:rFonts w:ascii="Arial" w:cs="Arial" w:eastAsia="Arial" w:hAnsi="Arial"/>
          <w:sz w:val="16"/>
          <w:szCs w:val="16"/>
          <w:color w:val="auto"/>
        </w:rPr>
        <w:t>Adjusted net income and adjusted net income per diluted share are supplemental measures of operating performance that do not represent and should not be considered as an alternative to net income, net income per diluted share or cash flow from operations, as determined by U.S. generally accepted accounting principles, or U.S. GAAP. We believe it is useful to exclude non-cash share-based compensation expense from adjusted net income because non-cash equity grants made at a certain price and point in time do not necessarily reflect how our business is performing at any particular time and share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We also believe that integration and deal related costs and one-time non-recurring expenses, gains, losses, and impairment charges do not necessarily reflect how our investments and business are performing. We adjust net income for the tax effect of each of these non-tax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125095</wp:posOffset>
            </wp:positionV>
            <wp:extent cx="69951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880" w:space="260"/>
            <w:col w:w="4900"/>
          </w:cols>
          <w:pgMar w:left="920" w:top="114" w:right="9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CF1D4C"/>
        </w:rPr>
        <w:t>APPENDIX A</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Reconciliation of Net Income to Pro Forma Adjusted Net Income</w:t>
      </w:r>
    </w:p>
    <w:p>
      <w:pPr>
        <w:spacing w:after="0" w:line="248" w:lineRule="exact"/>
        <w:rPr>
          <w:sz w:val="20"/>
          <w:szCs w:val="20"/>
          <w:color w:val="auto"/>
        </w:rPr>
      </w:pPr>
    </w:p>
    <w:p>
      <w:pPr>
        <w:ind w:left="660" w:right="379"/>
        <w:spacing w:after="0" w:line="286" w:lineRule="auto"/>
        <w:rPr>
          <w:sz w:val="20"/>
          <w:szCs w:val="20"/>
          <w:color w:val="auto"/>
        </w:rPr>
      </w:pPr>
      <w:r>
        <w:rPr>
          <w:rFonts w:ascii="Arial" w:cs="Arial" w:eastAsia="Arial" w:hAnsi="Arial"/>
          <w:sz w:val="16"/>
          <w:szCs w:val="16"/>
          <w:color w:val="333333"/>
        </w:rPr>
        <w:t>Set forth below is a reconciliation of adjusted net income and adjusted net income per diluted share to the most directly comparable GAAP measure, net income and net income per diluted share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13335</wp:posOffset>
            </wp:positionV>
            <wp:extent cx="5554980" cy="3429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554980" cy="342900"/>
                    </a:xfrm>
                    <a:prstGeom prst="rect">
                      <a:avLst/>
                    </a:prstGeom>
                    <a:noFill/>
                  </pic:spPr>
                </pic:pic>
              </a:graphicData>
            </a:graphic>
          </wp:anchor>
        </w:drawing>
      </w:r>
    </w:p>
    <w:p>
      <w:pPr>
        <w:spacing w:after="0" w:line="208" w:lineRule="exact"/>
        <w:rPr>
          <w:sz w:val="20"/>
          <w:szCs w:val="20"/>
          <w:color w:val="auto"/>
        </w:rPr>
      </w:pPr>
    </w:p>
    <w:p>
      <w:pPr>
        <w:jc w:val="both"/>
        <w:ind w:left="2820"/>
        <w:spacing w:after="0"/>
        <w:tabs>
          <w:tab w:leader="none" w:pos="3280" w:val="left"/>
          <w:tab w:leader="none" w:pos="3780" w:val="left"/>
          <w:tab w:leader="none" w:pos="4280" w:val="left"/>
          <w:tab w:leader="none" w:pos="4780" w:val="left"/>
          <w:tab w:leader="none" w:pos="5280" w:val="left"/>
          <w:tab w:leader="none" w:pos="5780" w:val="left"/>
          <w:tab w:leader="none" w:pos="7520" w:val="left"/>
          <w:tab w:leader="none" w:pos="7980" w:val="left"/>
          <w:tab w:leader="none" w:pos="8420" w:val="left"/>
          <w:tab w:leader="none" w:pos="8860" w:val="left"/>
        </w:tabs>
        <w:rPr>
          <w:sz w:val="20"/>
          <w:szCs w:val="20"/>
          <w:color w:val="auto"/>
        </w:rPr>
      </w:pPr>
      <w:r>
        <w:rPr>
          <w:rFonts w:ascii="Arial" w:cs="Arial" w:eastAsia="Arial" w:hAnsi="Arial"/>
          <w:sz w:val="14"/>
          <w:szCs w:val="14"/>
          <w:b w:val="1"/>
          <w:bCs w:val="1"/>
          <w:color w:val="FFFFFF"/>
        </w:rPr>
        <w:t>2023</w:t>
        <w:tab/>
        <w:t>2022</w:t>
        <w:tab/>
        <w:t>2021</w:t>
        <w:tab/>
        <w:t>2020</w:t>
        <w:tab/>
        <w:t>2019</w:t>
        <w:tab/>
        <w:t>2018</w:t>
        <w:tab/>
        <w:t>2017  2016  2015  2014</w:t>
        <w:tab/>
        <w:t>2013</w:t>
        <w:tab/>
        <w:t>2012</w:t>
        <w:tab/>
        <w:t>2011</w:t>
        <w:tab/>
        <w:t>2010</w:t>
      </w:r>
    </w:p>
    <w:p>
      <w:pPr>
        <w:sectPr>
          <w:pgSz w:w="11900" w:h="16838" w:orient="portrait"/>
          <w:cols w:equalWidth="0" w:num="1">
            <w:col w:w="9539"/>
          </w:cols>
          <w:pgMar w:left="920" w:top="114" w:right="1440" w:bottom="1440" w:gutter="0" w:footer="0" w:header="0"/>
        </w:sectPr>
      </w:pPr>
    </w:p>
    <w:p>
      <w:pPr>
        <w:spacing w:after="0" w:line="316"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1860" w:type="dxa"/>
            <w:vAlign w:val="bottom"/>
          </w:tcPr>
          <w:p>
            <w:pPr>
              <w:spacing w:after="0"/>
              <w:rPr>
                <w:sz w:val="20"/>
                <w:szCs w:val="20"/>
                <w:color w:val="auto"/>
              </w:rPr>
            </w:pPr>
            <w:r>
              <w:rPr>
                <w:rFonts w:ascii="Arial" w:cs="Arial" w:eastAsia="Arial" w:hAnsi="Arial"/>
                <w:sz w:val="13"/>
                <w:szCs w:val="13"/>
                <w:b w:val="1"/>
                <w:bCs w:val="1"/>
                <w:color w:val="333333"/>
              </w:rPr>
              <w:t>Net income</w:t>
            </w:r>
          </w:p>
        </w:tc>
        <w:tc>
          <w:tcPr>
            <w:tcW w:w="600" w:type="dxa"/>
            <w:vAlign w:val="bottom"/>
          </w:tcPr>
          <w:p>
            <w:pPr>
              <w:ind w:left="160"/>
              <w:spacing w:after="0"/>
              <w:rPr>
                <w:sz w:val="20"/>
                <w:szCs w:val="20"/>
                <w:color w:val="auto"/>
              </w:rPr>
            </w:pPr>
            <w:r>
              <w:rPr>
                <w:rFonts w:ascii="Arial" w:cs="Arial" w:eastAsia="Arial" w:hAnsi="Arial"/>
                <w:sz w:val="13"/>
                <w:szCs w:val="13"/>
                <w:b w:val="1"/>
                <w:bCs w:val="1"/>
                <w:color w:val="333333"/>
              </w:rPr>
              <w:t>$982</w:t>
            </w:r>
          </w:p>
        </w:tc>
        <w:tc>
          <w:tcPr>
            <w:tcW w:w="500" w:type="dxa"/>
            <w:vAlign w:val="bottom"/>
          </w:tcPr>
          <w:p>
            <w:pPr>
              <w:ind w:left="40"/>
              <w:spacing w:after="0"/>
              <w:rPr>
                <w:sz w:val="20"/>
                <w:szCs w:val="20"/>
                <w:color w:val="auto"/>
              </w:rPr>
            </w:pPr>
            <w:r>
              <w:rPr>
                <w:rFonts w:ascii="Arial" w:cs="Arial" w:eastAsia="Arial" w:hAnsi="Arial"/>
                <w:sz w:val="13"/>
                <w:szCs w:val="13"/>
                <w:b w:val="1"/>
                <w:bCs w:val="1"/>
                <w:color w:val="333333"/>
              </w:rPr>
              <w:t>$954</w:t>
            </w:r>
          </w:p>
        </w:tc>
        <w:tc>
          <w:tcPr>
            <w:tcW w:w="460" w:type="dxa"/>
            <w:vAlign w:val="bottom"/>
          </w:tcPr>
          <w:p>
            <w:pPr>
              <w:ind w:left="40"/>
              <w:spacing w:after="0"/>
              <w:rPr>
                <w:sz w:val="20"/>
                <w:szCs w:val="20"/>
                <w:color w:val="auto"/>
              </w:rPr>
            </w:pPr>
            <w:r>
              <w:rPr>
                <w:rFonts w:ascii="Arial" w:cs="Arial" w:eastAsia="Arial" w:hAnsi="Arial"/>
                <w:sz w:val="13"/>
                <w:szCs w:val="13"/>
                <w:b w:val="1"/>
                <w:bCs w:val="1"/>
                <w:color w:val="333333"/>
              </w:rPr>
              <w:t>$839</w:t>
            </w:r>
          </w:p>
        </w:tc>
        <w:tc>
          <w:tcPr>
            <w:tcW w:w="500" w:type="dxa"/>
            <w:vAlign w:val="bottom"/>
          </w:tcPr>
          <w:p>
            <w:pPr>
              <w:ind w:left="80"/>
              <w:spacing w:after="0"/>
              <w:rPr>
                <w:sz w:val="20"/>
                <w:szCs w:val="20"/>
                <w:color w:val="auto"/>
              </w:rPr>
            </w:pPr>
            <w:r>
              <w:rPr>
                <w:rFonts w:ascii="Arial" w:cs="Arial" w:eastAsia="Arial" w:hAnsi="Arial"/>
                <w:sz w:val="13"/>
                <w:szCs w:val="13"/>
                <w:b w:val="1"/>
                <w:bCs w:val="1"/>
                <w:color w:val="333333"/>
              </w:rPr>
              <w:t>$704</w:t>
            </w:r>
          </w:p>
        </w:tc>
        <w:tc>
          <w:tcPr>
            <w:tcW w:w="500" w:type="dxa"/>
            <w:vAlign w:val="bottom"/>
          </w:tcPr>
          <w:p>
            <w:pPr>
              <w:ind w:left="80"/>
              <w:spacing w:after="0"/>
              <w:rPr>
                <w:sz w:val="20"/>
                <w:szCs w:val="20"/>
                <w:color w:val="auto"/>
              </w:rPr>
            </w:pPr>
            <w:r>
              <w:rPr>
                <w:rFonts w:ascii="Arial" w:cs="Arial" w:eastAsia="Arial" w:hAnsi="Arial"/>
                <w:sz w:val="13"/>
                <w:szCs w:val="13"/>
                <w:b w:val="1"/>
                <w:bCs w:val="1"/>
                <w:color w:val="333333"/>
              </w:rPr>
              <w:t>$895</w:t>
            </w:r>
          </w:p>
        </w:tc>
        <w:tc>
          <w:tcPr>
            <w:tcW w:w="400" w:type="dxa"/>
            <w:vAlign w:val="bottom"/>
          </w:tcPr>
          <w:p>
            <w:pPr>
              <w:ind w:left="80"/>
              <w:spacing w:after="0"/>
              <w:rPr>
                <w:sz w:val="20"/>
                <w:szCs w:val="20"/>
                <w:color w:val="auto"/>
              </w:rPr>
            </w:pPr>
            <w:r>
              <w:rPr>
                <w:rFonts w:ascii="Arial" w:cs="Arial" w:eastAsia="Arial" w:hAnsi="Arial"/>
                <w:sz w:val="13"/>
                <w:szCs w:val="13"/>
                <w:b w:val="1"/>
                <w:bCs w:val="1"/>
                <w:color w:val="333333"/>
              </w:rPr>
              <w:t>$811</w:t>
            </w:r>
          </w:p>
        </w:tc>
        <w:tc>
          <w:tcPr>
            <w:tcW w:w="0" w:type="dxa"/>
            <w:vAlign w:val="bottom"/>
          </w:tcPr>
          <w:p>
            <w:pPr>
              <w:spacing w:after="0"/>
              <w:rPr>
                <w:sz w:val="1"/>
                <w:szCs w:val="1"/>
                <w:color w:val="auto"/>
              </w:rPr>
            </w:pPr>
          </w:p>
        </w:tc>
      </w:tr>
      <w:tr>
        <w:trPr>
          <w:trHeight w:val="351"/>
        </w:trPr>
        <w:tc>
          <w:tcPr>
            <w:tcW w:w="1860" w:type="dxa"/>
            <w:vAlign w:val="bottom"/>
          </w:tcPr>
          <w:p>
            <w:pPr>
              <w:spacing w:after="0"/>
              <w:rPr>
                <w:sz w:val="20"/>
                <w:szCs w:val="20"/>
                <w:color w:val="auto"/>
              </w:rPr>
            </w:pPr>
            <w:r>
              <w:rPr>
                <w:rFonts w:ascii="Arial" w:cs="Arial" w:eastAsia="Arial" w:hAnsi="Arial"/>
                <w:sz w:val="13"/>
                <w:szCs w:val="13"/>
                <w:b w:val="1"/>
                <w:bCs w:val="1"/>
                <w:color w:val="333333"/>
              </w:rPr>
              <w:t>Net income per diluted share</w:t>
            </w:r>
          </w:p>
        </w:tc>
        <w:tc>
          <w:tcPr>
            <w:tcW w:w="600" w:type="dxa"/>
            <w:vAlign w:val="bottom"/>
          </w:tcPr>
          <w:p>
            <w:pPr>
              <w:ind w:left="160"/>
              <w:spacing w:after="0"/>
              <w:rPr>
                <w:sz w:val="20"/>
                <w:szCs w:val="20"/>
                <w:color w:val="auto"/>
              </w:rPr>
            </w:pPr>
            <w:r>
              <w:rPr>
                <w:rFonts w:ascii="Arial" w:cs="Arial" w:eastAsia="Arial" w:hAnsi="Arial"/>
                <w:sz w:val="13"/>
                <w:szCs w:val="13"/>
                <w:b w:val="1"/>
                <w:bCs w:val="1"/>
                <w:color w:val="333333"/>
              </w:rPr>
              <w:t>$13.20</w:t>
            </w:r>
          </w:p>
        </w:tc>
        <w:tc>
          <w:tcPr>
            <w:tcW w:w="500" w:type="dxa"/>
            <w:vAlign w:val="bottom"/>
          </w:tcPr>
          <w:p>
            <w:pPr>
              <w:ind w:left="40"/>
              <w:spacing w:after="0"/>
              <w:rPr>
                <w:sz w:val="20"/>
                <w:szCs w:val="20"/>
                <w:color w:val="auto"/>
              </w:rPr>
            </w:pPr>
            <w:r>
              <w:rPr>
                <w:rFonts w:ascii="Arial" w:cs="Arial" w:eastAsia="Arial" w:hAnsi="Arial"/>
                <w:sz w:val="13"/>
                <w:szCs w:val="13"/>
                <w:b w:val="1"/>
                <w:bCs w:val="1"/>
                <w:color w:val="333333"/>
              </w:rPr>
              <w:t>$12.42</w:t>
            </w:r>
          </w:p>
        </w:tc>
        <w:tc>
          <w:tcPr>
            <w:tcW w:w="460" w:type="dxa"/>
            <w:vAlign w:val="bottom"/>
          </w:tcPr>
          <w:p>
            <w:pPr>
              <w:ind w:left="40"/>
              <w:spacing w:after="0"/>
              <w:rPr>
                <w:sz w:val="20"/>
                <w:szCs w:val="20"/>
                <w:color w:val="auto"/>
              </w:rPr>
            </w:pPr>
            <w:r>
              <w:rPr>
                <w:rFonts w:ascii="Arial" w:cs="Arial" w:eastAsia="Arial" w:hAnsi="Arial"/>
                <w:sz w:val="13"/>
                <w:szCs w:val="13"/>
                <w:b w:val="1"/>
                <w:bCs w:val="1"/>
                <w:color w:val="333333"/>
              </w:rPr>
              <w:t>$9.99</w:t>
            </w:r>
          </w:p>
        </w:tc>
        <w:tc>
          <w:tcPr>
            <w:tcW w:w="500" w:type="dxa"/>
            <w:vAlign w:val="bottom"/>
          </w:tcPr>
          <w:p>
            <w:pPr>
              <w:ind w:left="80"/>
              <w:spacing w:after="0"/>
              <w:rPr>
                <w:sz w:val="20"/>
                <w:szCs w:val="20"/>
                <w:color w:val="auto"/>
              </w:rPr>
            </w:pPr>
            <w:r>
              <w:rPr>
                <w:rFonts w:ascii="Arial" w:cs="Arial" w:eastAsia="Arial" w:hAnsi="Arial"/>
                <w:sz w:val="13"/>
                <w:szCs w:val="13"/>
                <w:b w:val="1"/>
                <w:bCs w:val="1"/>
                <w:color w:val="333333"/>
              </w:rPr>
              <w:t>$8.12</w:t>
            </w:r>
          </w:p>
        </w:tc>
        <w:tc>
          <w:tcPr>
            <w:tcW w:w="500" w:type="dxa"/>
            <w:vAlign w:val="bottom"/>
          </w:tcPr>
          <w:p>
            <w:pPr>
              <w:ind w:left="80"/>
              <w:spacing w:after="0"/>
              <w:rPr>
                <w:sz w:val="20"/>
                <w:szCs w:val="20"/>
                <w:color w:val="auto"/>
              </w:rPr>
            </w:pPr>
            <w:r>
              <w:rPr>
                <w:rFonts w:ascii="Arial" w:cs="Arial" w:eastAsia="Arial" w:hAnsi="Arial"/>
                <w:sz w:val="13"/>
                <w:szCs w:val="13"/>
                <w:b w:val="1"/>
                <w:bCs w:val="1"/>
                <w:color w:val="333333"/>
              </w:rPr>
              <w:t>$9.94</w:t>
            </w:r>
          </w:p>
        </w:tc>
        <w:tc>
          <w:tcPr>
            <w:tcW w:w="400" w:type="dxa"/>
            <w:vAlign w:val="bottom"/>
          </w:tcPr>
          <w:p>
            <w:pPr>
              <w:ind w:left="80"/>
              <w:spacing w:after="0"/>
              <w:rPr>
                <w:sz w:val="20"/>
                <w:szCs w:val="20"/>
                <w:color w:val="auto"/>
              </w:rPr>
            </w:pPr>
            <w:r>
              <w:rPr>
                <w:rFonts w:ascii="Arial" w:cs="Arial" w:eastAsia="Arial" w:hAnsi="Arial"/>
                <w:sz w:val="13"/>
                <w:szCs w:val="13"/>
                <w:b w:val="1"/>
                <w:bCs w:val="1"/>
                <w:color w:val="333333"/>
                <w:w w:val="92"/>
              </w:rPr>
              <w:t>$8.81</w:t>
            </w:r>
          </w:p>
        </w:tc>
        <w:tc>
          <w:tcPr>
            <w:tcW w:w="0" w:type="dxa"/>
            <w:vAlign w:val="bottom"/>
          </w:tcPr>
          <w:p>
            <w:pPr>
              <w:spacing w:after="0"/>
              <w:rPr>
                <w:sz w:val="1"/>
                <w:szCs w:val="1"/>
                <w:color w:val="auto"/>
              </w:rPr>
            </w:pPr>
          </w:p>
        </w:tc>
      </w:tr>
      <w:tr>
        <w:trPr>
          <w:trHeight w:val="351"/>
        </w:trPr>
        <w:tc>
          <w:tcPr>
            <w:tcW w:w="1860" w:type="dxa"/>
            <w:vAlign w:val="bottom"/>
          </w:tcPr>
          <w:p>
            <w:pPr>
              <w:spacing w:after="0"/>
              <w:rPr>
                <w:sz w:val="20"/>
                <w:szCs w:val="20"/>
                <w:color w:val="auto"/>
              </w:rPr>
            </w:pPr>
            <w:r>
              <w:rPr>
                <w:rFonts w:ascii="Arial" w:cs="Arial" w:eastAsia="Arial" w:hAnsi="Arial"/>
                <w:sz w:val="13"/>
                <w:szCs w:val="13"/>
                <w:b w:val="1"/>
                <w:bCs w:val="1"/>
                <w:color w:val="333333"/>
              </w:rPr>
              <w:t>Adjustments:</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860" w:type="dxa"/>
            <w:vAlign w:val="bottom"/>
          </w:tcPr>
          <w:p>
            <w:pPr>
              <w:spacing w:after="0"/>
              <w:rPr>
                <w:sz w:val="20"/>
                <w:szCs w:val="20"/>
                <w:color w:val="auto"/>
              </w:rPr>
            </w:pPr>
            <w:r>
              <w:rPr>
                <w:rFonts w:ascii="Arial" w:cs="Arial" w:eastAsia="Arial" w:hAnsi="Arial"/>
                <w:sz w:val="13"/>
                <w:szCs w:val="13"/>
                <w:b w:val="1"/>
                <w:bCs w:val="1"/>
                <w:color w:val="333333"/>
              </w:rPr>
              <w:t>Stock-based compensation</w:t>
            </w:r>
          </w:p>
        </w:tc>
        <w:tc>
          <w:tcPr>
            <w:tcW w:w="600" w:type="dxa"/>
            <w:vAlign w:val="bottom"/>
            <w:vMerge w:val="restart"/>
          </w:tcPr>
          <w:p>
            <w:pPr>
              <w:ind w:left="160"/>
              <w:spacing w:after="0"/>
              <w:rPr>
                <w:sz w:val="20"/>
                <w:szCs w:val="20"/>
                <w:color w:val="auto"/>
              </w:rPr>
            </w:pPr>
            <w:r>
              <w:rPr>
                <w:rFonts w:ascii="Arial" w:cs="Arial" w:eastAsia="Arial" w:hAnsi="Arial"/>
                <w:sz w:val="13"/>
                <w:szCs w:val="13"/>
                <w:b w:val="1"/>
                <w:bCs w:val="1"/>
                <w:color w:val="333333"/>
              </w:rPr>
              <w:t>116</w:t>
            </w:r>
          </w:p>
        </w:tc>
        <w:tc>
          <w:tcPr>
            <w:tcW w:w="500" w:type="dxa"/>
            <w:vAlign w:val="bottom"/>
            <w:vMerge w:val="restart"/>
          </w:tcPr>
          <w:p>
            <w:pPr>
              <w:ind w:left="40"/>
              <w:spacing w:after="0"/>
              <w:rPr>
                <w:sz w:val="20"/>
                <w:szCs w:val="20"/>
                <w:color w:val="auto"/>
              </w:rPr>
            </w:pPr>
            <w:r>
              <w:rPr>
                <w:rFonts w:ascii="Arial" w:cs="Arial" w:eastAsia="Arial" w:hAnsi="Arial"/>
                <w:sz w:val="13"/>
                <w:szCs w:val="13"/>
                <w:b w:val="1"/>
                <w:bCs w:val="1"/>
                <w:color w:val="333333"/>
              </w:rPr>
              <w:t>121</w:t>
            </w:r>
          </w:p>
        </w:tc>
        <w:tc>
          <w:tcPr>
            <w:tcW w:w="460" w:type="dxa"/>
            <w:vAlign w:val="bottom"/>
            <w:vMerge w:val="restart"/>
          </w:tcPr>
          <w:p>
            <w:pPr>
              <w:ind w:left="40"/>
              <w:spacing w:after="0"/>
              <w:rPr>
                <w:sz w:val="20"/>
                <w:szCs w:val="20"/>
                <w:color w:val="auto"/>
              </w:rPr>
            </w:pPr>
            <w:r>
              <w:rPr>
                <w:rFonts w:ascii="Arial" w:cs="Arial" w:eastAsia="Arial" w:hAnsi="Arial"/>
                <w:sz w:val="13"/>
                <w:szCs w:val="13"/>
                <w:b w:val="1"/>
                <w:bCs w:val="1"/>
                <w:color w:val="333333"/>
              </w:rPr>
              <w:t>80</w:t>
            </w:r>
          </w:p>
        </w:tc>
        <w:tc>
          <w:tcPr>
            <w:tcW w:w="500" w:type="dxa"/>
            <w:vAlign w:val="bottom"/>
            <w:vMerge w:val="restart"/>
          </w:tcPr>
          <w:p>
            <w:pPr>
              <w:ind w:left="80"/>
              <w:spacing w:after="0"/>
              <w:rPr>
                <w:sz w:val="20"/>
                <w:szCs w:val="20"/>
                <w:color w:val="auto"/>
              </w:rPr>
            </w:pPr>
            <w:r>
              <w:rPr>
                <w:rFonts w:ascii="Arial" w:cs="Arial" w:eastAsia="Arial" w:hAnsi="Arial"/>
                <w:sz w:val="13"/>
                <w:szCs w:val="13"/>
                <w:b w:val="1"/>
                <w:bCs w:val="1"/>
                <w:color w:val="333333"/>
              </w:rPr>
              <w:t>43</w:t>
            </w:r>
          </w:p>
        </w:tc>
        <w:tc>
          <w:tcPr>
            <w:tcW w:w="500" w:type="dxa"/>
            <w:vAlign w:val="bottom"/>
            <w:vMerge w:val="restart"/>
          </w:tcPr>
          <w:p>
            <w:pPr>
              <w:ind w:left="80"/>
              <w:spacing w:after="0"/>
              <w:rPr>
                <w:sz w:val="20"/>
                <w:szCs w:val="20"/>
                <w:color w:val="auto"/>
              </w:rPr>
            </w:pPr>
            <w:r>
              <w:rPr>
                <w:rFonts w:ascii="Arial" w:cs="Arial" w:eastAsia="Arial" w:hAnsi="Arial"/>
                <w:sz w:val="13"/>
                <w:szCs w:val="13"/>
                <w:b w:val="1"/>
                <w:bCs w:val="1"/>
                <w:color w:val="333333"/>
              </w:rPr>
              <w:t>61</w:t>
            </w:r>
          </w:p>
        </w:tc>
        <w:tc>
          <w:tcPr>
            <w:tcW w:w="400" w:type="dxa"/>
            <w:vAlign w:val="bottom"/>
            <w:vMerge w:val="restart"/>
          </w:tcPr>
          <w:p>
            <w:pPr>
              <w:ind w:left="80"/>
              <w:spacing w:after="0"/>
              <w:rPr>
                <w:sz w:val="20"/>
                <w:szCs w:val="20"/>
                <w:color w:val="auto"/>
              </w:rPr>
            </w:pPr>
            <w:r>
              <w:rPr>
                <w:rFonts w:ascii="Arial" w:cs="Arial" w:eastAsia="Arial" w:hAnsi="Arial"/>
                <w:sz w:val="13"/>
                <w:szCs w:val="13"/>
                <w:b w:val="1"/>
                <w:bCs w:val="1"/>
                <w:color w:val="333333"/>
              </w:rPr>
              <w:t>70</w:t>
            </w:r>
          </w:p>
        </w:tc>
        <w:tc>
          <w:tcPr>
            <w:tcW w:w="0" w:type="dxa"/>
            <w:vAlign w:val="bottom"/>
          </w:tcPr>
          <w:p>
            <w:pPr>
              <w:spacing w:after="0"/>
              <w:rPr>
                <w:sz w:val="1"/>
                <w:szCs w:val="1"/>
                <w:color w:val="auto"/>
              </w:rPr>
            </w:pPr>
          </w:p>
        </w:tc>
      </w:tr>
      <w:tr>
        <w:trPr>
          <w:trHeight w:val="104"/>
        </w:trPr>
        <w:tc>
          <w:tcPr>
            <w:tcW w:w="1860" w:type="dxa"/>
            <w:vAlign w:val="bottom"/>
            <w:vMerge w:val="restart"/>
          </w:tcPr>
          <w:p>
            <w:pPr>
              <w:spacing w:after="0"/>
              <w:rPr>
                <w:sz w:val="20"/>
                <w:szCs w:val="20"/>
                <w:color w:val="auto"/>
              </w:rPr>
            </w:pPr>
            <w:r>
              <w:rPr>
                <w:rFonts w:ascii="Arial" w:cs="Arial" w:eastAsia="Arial" w:hAnsi="Arial"/>
                <w:sz w:val="13"/>
                <w:szCs w:val="13"/>
                <w:b w:val="1"/>
                <w:bCs w:val="1"/>
                <w:color w:val="333333"/>
              </w:rPr>
              <w:t>expense</w:t>
            </w:r>
          </w:p>
        </w:tc>
        <w:tc>
          <w:tcPr>
            <w:tcW w:w="6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-697230</wp:posOffset>
            </wp:positionV>
            <wp:extent cx="5554980" cy="2228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554980" cy="222885"/>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-251460</wp:posOffset>
            </wp:positionV>
            <wp:extent cx="5554980" cy="3086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55498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80" w:type="dxa"/>
            <w:vAlign w:val="bottom"/>
          </w:tcPr>
          <w:p>
            <w:pPr>
              <w:spacing w:after="0"/>
              <w:rPr>
                <w:sz w:val="20"/>
                <w:szCs w:val="20"/>
                <w:color w:val="auto"/>
              </w:rPr>
            </w:pPr>
            <w:r>
              <w:rPr>
                <w:rFonts w:ascii="Arial" w:cs="Arial" w:eastAsia="Arial" w:hAnsi="Arial"/>
                <w:sz w:val="13"/>
                <w:szCs w:val="13"/>
                <w:b w:val="1"/>
                <w:bCs w:val="1"/>
                <w:color w:val="333333"/>
              </w:rPr>
              <w:t>$740</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$452</w:t>
            </w:r>
          </w:p>
        </w:tc>
        <w:tc>
          <w:tcPr>
            <w:tcW w:w="420" w:type="dxa"/>
            <w:vAlign w:val="bottom"/>
          </w:tcPr>
          <w:p>
            <w:pPr>
              <w:ind w:left="60"/>
              <w:spacing w:after="0"/>
              <w:rPr>
                <w:sz w:val="20"/>
                <w:szCs w:val="20"/>
                <w:color w:val="auto"/>
              </w:rPr>
            </w:pPr>
            <w:r>
              <w:rPr>
                <w:rFonts w:ascii="Arial" w:cs="Arial" w:eastAsia="Arial" w:hAnsi="Arial"/>
                <w:sz w:val="13"/>
                <w:szCs w:val="13"/>
                <w:b w:val="1"/>
                <w:bCs w:val="1"/>
                <w:color w:val="333333"/>
              </w:rPr>
              <w:t>$362</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$369</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$285</w:t>
            </w:r>
          </w:p>
        </w:tc>
        <w:tc>
          <w:tcPr>
            <w:tcW w:w="460" w:type="dxa"/>
            <w:vAlign w:val="bottom"/>
          </w:tcPr>
          <w:p>
            <w:pPr>
              <w:ind w:left="80"/>
              <w:spacing w:after="0"/>
              <w:rPr>
                <w:sz w:val="20"/>
                <w:szCs w:val="20"/>
                <w:color w:val="auto"/>
              </w:rPr>
            </w:pPr>
            <w:r>
              <w:rPr>
                <w:rFonts w:ascii="Arial" w:cs="Arial" w:eastAsia="Arial" w:hAnsi="Arial"/>
                <w:sz w:val="13"/>
                <w:szCs w:val="13"/>
                <w:b w:val="1"/>
                <w:bCs w:val="1"/>
                <w:color w:val="333333"/>
              </w:rPr>
              <w:t>$216</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$147</w:t>
            </w:r>
          </w:p>
        </w:tc>
        <w:tc>
          <w:tcPr>
            <w:tcW w:w="380" w:type="dxa"/>
            <w:vAlign w:val="bottom"/>
          </w:tcPr>
          <w:p>
            <w:pPr>
              <w:ind w:left="60"/>
              <w:spacing w:after="0"/>
              <w:rPr>
                <w:sz w:val="20"/>
                <w:szCs w:val="20"/>
                <w:color w:val="auto"/>
              </w:rPr>
            </w:pPr>
            <w:r>
              <w:rPr>
                <w:rFonts w:ascii="Arial" w:cs="Arial" w:eastAsia="Arial" w:hAnsi="Arial"/>
                <w:sz w:val="13"/>
                <w:szCs w:val="13"/>
                <w:b w:val="1"/>
                <w:bCs w:val="1"/>
                <w:color w:val="333333"/>
              </w:rPr>
              <w:t>$108</w:t>
            </w:r>
          </w:p>
        </w:tc>
      </w:tr>
      <w:tr>
        <w:trPr>
          <w:trHeight w:val="351"/>
        </w:trPr>
        <w:tc>
          <w:tcPr>
            <w:tcW w:w="380" w:type="dxa"/>
            <w:vAlign w:val="bottom"/>
          </w:tcPr>
          <w:p>
            <w:pPr>
              <w:spacing w:after="0"/>
              <w:rPr>
                <w:sz w:val="20"/>
                <w:szCs w:val="20"/>
                <w:color w:val="auto"/>
              </w:rPr>
            </w:pPr>
            <w:r>
              <w:rPr>
                <w:rFonts w:ascii="Arial" w:cs="Arial" w:eastAsia="Arial" w:hAnsi="Arial"/>
                <w:sz w:val="13"/>
                <w:szCs w:val="13"/>
                <w:b w:val="1"/>
                <w:bCs w:val="1"/>
                <w:color w:val="333333"/>
              </w:rPr>
              <w:t>$7.91</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$4.75</w:t>
            </w:r>
          </w:p>
        </w:tc>
        <w:tc>
          <w:tcPr>
            <w:tcW w:w="420" w:type="dxa"/>
            <w:vAlign w:val="bottom"/>
          </w:tcPr>
          <w:p>
            <w:pPr>
              <w:ind w:left="60"/>
              <w:spacing w:after="0"/>
              <w:rPr>
                <w:sz w:val="20"/>
                <w:szCs w:val="20"/>
                <w:color w:val="auto"/>
              </w:rPr>
            </w:pPr>
            <w:r>
              <w:rPr>
                <w:rFonts w:ascii="Arial" w:cs="Arial" w:eastAsia="Arial" w:hAnsi="Arial"/>
                <w:sz w:val="13"/>
                <w:szCs w:val="13"/>
                <w:b w:val="1"/>
                <w:bCs w:val="1"/>
                <w:color w:val="333333"/>
              </w:rPr>
              <w:t>$3.85</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$4.24</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$3.36</w:t>
            </w:r>
          </w:p>
        </w:tc>
        <w:tc>
          <w:tcPr>
            <w:tcW w:w="460" w:type="dxa"/>
            <w:vAlign w:val="bottom"/>
          </w:tcPr>
          <w:p>
            <w:pPr>
              <w:ind w:left="80"/>
              <w:spacing w:after="0"/>
              <w:rPr>
                <w:sz w:val="20"/>
                <w:szCs w:val="20"/>
                <w:color w:val="auto"/>
              </w:rPr>
            </w:pPr>
            <w:r>
              <w:rPr>
                <w:rFonts w:ascii="Arial" w:cs="Arial" w:eastAsia="Arial" w:hAnsi="Arial"/>
                <w:sz w:val="13"/>
                <w:szCs w:val="13"/>
                <w:b w:val="1"/>
                <w:bCs w:val="1"/>
                <w:color w:val="333333"/>
              </w:rPr>
              <w:t>$2.52</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$1.76</w:t>
            </w:r>
          </w:p>
        </w:tc>
        <w:tc>
          <w:tcPr>
            <w:tcW w:w="380" w:type="dxa"/>
            <w:vAlign w:val="bottom"/>
          </w:tcPr>
          <w:p>
            <w:pPr>
              <w:ind w:left="60"/>
              <w:spacing w:after="0"/>
              <w:rPr>
                <w:sz w:val="20"/>
                <w:szCs w:val="20"/>
                <w:color w:val="auto"/>
              </w:rPr>
            </w:pPr>
            <w:r>
              <w:rPr>
                <w:rFonts w:ascii="Arial" w:cs="Arial" w:eastAsia="Arial" w:hAnsi="Arial"/>
                <w:sz w:val="13"/>
                <w:szCs w:val="13"/>
                <w:b w:val="1"/>
                <w:bCs w:val="1"/>
                <w:color w:val="333333"/>
                <w:w w:val="92"/>
              </w:rPr>
              <w:t>$1.34</w:t>
            </w:r>
          </w:p>
        </w:tc>
      </w:tr>
      <w:tr>
        <w:trPr>
          <w:trHeight w:val="770"/>
        </w:trPr>
        <w:tc>
          <w:tcPr>
            <w:tcW w:w="380" w:type="dxa"/>
            <w:vAlign w:val="bottom"/>
          </w:tcPr>
          <w:p>
            <w:pPr>
              <w:spacing w:after="0"/>
              <w:rPr>
                <w:sz w:val="20"/>
                <w:szCs w:val="20"/>
                <w:color w:val="auto"/>
              </w:rPr>
            </w:pPr>
            <w:r>
              <w:rPr>
                <w:rFonts w:ascii="Arial" w:cs="Arial" w:eastAsia="Arial" w:hAnsi="Arial"/>
                <w:sz w:val="13"/>
                <w:szCs w:val="13"/>
                <w:b w:val="1"/>
                <w:bCs w:val="1"/>
                <w:color w:val="333333"/>
              </w:rPr>
              <w:t>93</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64</w:t>
            </w:r>
          </w:p>
        </w:tc>
        <w:tc>
          <w:tcPr>
            <w:tcW w:w="420" w:type="dxa"/>
            <w:vAlign w:val="bottom"/>
          </w:tcPr>
          <w:p>
            <w:pPr>
              <w:ind w:left="60"/>
              <w:spacing w:after="0"/>
              <w:rPr>
                <w:sz w:val="20"/>
                <w:szCs w:val="20"/>
                <w:color w:val="auto"/>
              </w:rPr>
            </w:pPr>
            <w:r>
              <w:rPr>
                <w:rFonts w:ascii="Arial" w:cs="Arial" w:eastAsia="Arial" w:hAnsi="Arial"/>
                <w:sz w:val="13"/>
                <w:szCs w:val="13"/>
                <w:b w:val="1"/>
                <w:bCs w:val="1"/>
                <w:color w:val="333333"/>
              </w:rPr>
              <w:t>90</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38</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27</w:t>
            </w:r>
          </w:p>
        </w:tc>
        <w:tc>
          <w:tcPr>
            <w:tcW w:w="460" w:type="dxa"/>
            <w:vAlign w:val="bottom"/>
          </w:tcPr>
          <w:p>
            <w:pPr>
              <w:ind w:left="80"/>
              <w:spacing w:after="0"/>
              <w:rPr>
                <w:sz w:val="20"/>
                <w:szCs w:val="20"/>
                <w:color w:val="auto"/>
              </w:rPr>
            </w:pPr>
            <w:r>
              <w:rPr>
                <w:rFonts w:ascii="Arial" w:cs="Arial" w:eastAsia="Arial" w:hAnsi="Arial"/>
                <w:sz w:val="13"/>
                <w:szCs w:val="13"/>
                <w:b w:val="1"/>
                <w:bCs w:val="1"/>
                <w:color w:val="333333"/>
              </w:rPr>
              <w:t>19</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22</w:t>
            </w:r>
          </w:p>
        </w:tc>
        <w:tc>
          <w:tcPr>
            <w:tcW w:w="380" w:type="dxa"/>
            <w:vAlign w:val="bottom"/>
          </w:tcPr>
          <w:p>
            <w:pPr>
              <w:ind w:left="60"/>
              <w:spacing w:after="0"/>
              <w:rPr>
                <w:sz w:val="20"/>
                <w:szCs w:val="20"/>
                <w:color w:val="auto"/>
              </w:rPr>
            </w:pPr>
            <w:r>
              <w:rPr>
                <w:rFonts w:ascii="Arial" w:cs="Arial" w:eastAsia="Arial" w:hAnsi="Arial"/>
                <w:sz w:val="13"/>
                <w:szCs w:val="13"/>
                <w:b w:val="1"/>
                <w:bCs w:val="1"/>
                <w:color w:val="333333"/>
              </w:rPr>
              <w:t>27</w:t>
            </w:r>
          </w:p>
        </w:tc>
      </w:tr>
    </w:tbl>
    <w:p>
      <w:pPr>
        <w:spacing w:after="0" w:line="254" w:lineRule="exact"/>
        <w:rPr>
          <w:sz w:val="20"/>
          <w:szCs w:val="20"/>
          <w:color w:val="auto"/>
        </w:rPr>
      </w:pPr>
    </w:p>
    <w:p>
      <w:pPr>
        <w:sectPr>
          <w:pgSz w:w="11900" w:h="16838" w:orient="portrait"/>
          <w:cols w:equalWidth="0" w:num="2">
            <w:col w:w="5620" w:space="180"/>
            <w:col w:w="3739"/>
          </w:cols>
          <w:pgMar w:left="920" w:top="114" w:right="1440" w:bottom="1440" w:gutter="0" w:footer="0" w:header="0"/>
          <w:type w:val="continuous"/>
        </w:sectPr>
      </w:pPr>
    </w:p>
    <w:tbl>
      <w:tblPr>
        <w:tblLayout w:type="fixed"/>
        <w:tblInd w:w="800" w:type="dxa"/>
        <w:tblCellMar>
          <w:top w:w="0" w:type="dxa"/>
          <w:left w:w="0" w:type="dxa"/>
          <w:bottom w:w="0" w:type="dxa"/>
          <w:right w:w="0" w:type="dxa"/>
        </w:tblCellMar>
      </w:tblPr>
      <w:tr>
        <w:trPr>
          <w:trHeight w:val="285"/>
        </w:trPr>
        <w:tc>
          <w:tcPr>
            <w:tcW w:w="1960" w:type="dxa"/>
            <w:vAlign w:val="bottom"/>
          </w:tcPr>
          <w:p>
            <w:pPr>
              <w:spacing w:after="0"/>
              <w:rPr>
                <w:sz w:val="20"/>
                <w:szCs w:val="20"/>
                <w:color w:val="auto"/>
              </w:rPr>
            </w:pPr>
            <w:r>
              <w:rPr>
                <w:rFonts w:ascii="Arial" w:cs="Arial" w:eastAsia="Arial" w:hAnsi="Arial"/>
                <w:sz w:val="13"/>
                <w:szCs w:val="13"/>
                <w:b w:val="1"/>
                <w:bCs w:val="1"/>
                <w:color w:val="333333"/>
              </w:rPr>
              <w:t>Amortization</w:t>
            </w:r>
            <w:r>
              <w:rPr>
                <w:rFonts w:ascii="Arial" w:cs="Arial" w:eastAsia="Arial" w:hAnsi="Arial"/>
                <w:sz w:val="20"/>
                <w:szCs w:val="20"/>
                <w:b w:val="1"/>
                <w:bCs w:val="1"/>
                <w:color w:val="333333"/>
                <w:vertAlign w:val="superscript"/>
              </w:rPr>
              <w:t>(6)</w:t>
            </w:r>
          </w:p>
        </w:tc>
        <w:tc>
          <w:tcPr>
            <w:tcW w:w="280" w:type="dxa"/>
            <w:vAlign w:val="bottom"/>
          </w:tcPr>
          <w:p>
            <w:pPr>
              <w:ind w:left="60"/>
              <w:spacing w:after="0"/>
              <w:rPr>
                <w:sz w:val="20"/>
                <w:szCs w:val="20"/>
                <w:color w:val="auto"/>
              </w:rPr>
            </w:pPr>
            <w:r>
              <w:rPr>
                <w:rFonts w:ascii="Arial" w:cs="Arial" w:eastAsia="Arial" w:hAnsi="Arial"/>
                <w:sz w:val="13"/>
                <w:szCs w:val="13"/>
                <w:b w:val="1"/>
                <w:bCs w:val="1"/>
                <w:color w:val="333333"/>
                <w:w w:val="92"/>
              </w:rPr>
              <w:t>234</w:t>
            </w: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r>
              <w:rPr>
                <w:rFonts w:ascii="Arial" w:cs="Arial" w:eastAsia="Arial" w:hAnsi="Arial"/>
                <w:sz w:val="13"/>
                <w:szCs w:val="13"/>
                <w:b w:val="1"/>
                <w:bCs w:val="1"/>
                <w:color w:val="333333"/>
              </w:rPr>
              <w:t>Net gain on disposition of</w:t>
            </w:r>
          </w:p>
        </w:tc>
        <w:tc>
          <w:tcPr>
            <w:tcW w:w="280" w:type="dxa"/>
            <w:vAlign w:val="bottom"/>
            <w:vMerge w:val="restart"/>
          </w:tcPr>
          <w:p>
            <w:pPr>
              <w:ind w:left="60"/>
              <w:spacing w:after="0"/>
              <w:rPr>
                <w:sz w:val="20"/>
                <w:szCs w:val="20"/>
                <w:color w:val="auto"/>
              </w:rPr>
            </w:pPr>
            <w:r>
              <w:rPr>
                <w:rFonts w:ascii="Arial" w:cs="Arial" w:eastAsia="Arial" w:hAnsi="Arial"/>
                <w:sz w:val="13"/>
                <w:szCs w:val="13"/>
                <w:b w:val="1"/>
                <w:bCs w:val="1"/>
                <w:color w:val="333333"/>
                <w:w w:val="86"/>
              </w:rPr>
              <w:t>(14)</w:t>
            </w:r>
          </w:p>
        </w:tc>
        <w:tc>
          <w:tcPr>
            <w:tcW w:w="0" w:type="dxa"/>
            <w:vAlign w:val="bottom"/>
          </w:tcPr>
          <w:p>
            <w:pPr>
              <w:spacing w:after="0"/>
              <w:rPr>
                <w:sz w:val="1"/>
                <w:szCs w:val="1"/>
                <w:color w:val="auto"/>
              </w:rPr>
            </w:pPr>
          </w:p>
        </w:tc>
      </w:tr>
      <w:tr>
        <w:trPr>
          <w:trHeight w:val="104"/>
        </w:trPr>
        <w:tc>
          <w:tcPr>
            <w:tcW w:w="1960" w:type="dxa"/>
            <w:vAlign w:val="bottom"/>
            <w:vMerge w:val="restart"/>
          </w:tcPr>
          <w:p>
            <w:pPr>
              <w:spacing w:after="0"/>
              <w:rPr>
                <w:sz w:val="20"/>
                <w:szCs w:val="20"/>
                <w:color w:val="auto"/>
              </w:rPr>
            </w:pPr>
            <w:r>
              <w:rPr>
                <w:rFonts w:ascii="Arial" w:cs="Arial" w:eastAsia="Arial" w:hAnsi="Arial"/>
                <w:sz w:val="13"/>
                <w:szCs w:val="13"/>
                <w:b w:val="1"/>
                <w:bCs w:val="1"/>
                <w:color w:val="333333"/>
              </w:rPr>
              <w:t>assets/ business</w:t>
            </w:r>
          </w:p>
        </w:tc>
        <w:tc>
          <w:tcPr>
            <w:tcW w:w="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1960" w:type="dxa"/>
            <w:vAlign w:val="bottom"/>
          </w:tcPr>
          <w:p>
            <w:pPr>
              <w:spacing w:after="0"/>
              <w:rPr>
                <w:sz w:val="20"/>
                <w:szCs w:val="20"/>
                <w:color w:val="auto"/>
              </w:rPr>
            </w:pPr>
            <w:r>
              <w:rPr>
                <w:rFonts w:ascii="Arial" w:cs="Arial" w:eastAsia="Arial" w:hAnsi="Arial"/>
                <w:sz w:val="13"/>
                <w:szCs w:val="13"/>
                <w:b w:val="1"/>
                <w:bCs w:val="1"/>
                <w:color w:val="333333"/>
              </w:rPr>
              <w:t>Investment (gains) losses</w:t>
            </w:r>
          </w:p>
        </w:tc>
        <w:tc>
          <w:tcPr>
            <w:tcW w:w="280" w:type="dxa"/>
            <w:vAlign w:val="bottom"/>
          </w:tcPr>
          <w:p>
            <w:pPr>
              <w:ind w:left="60"/>
              <w:spacing w:after="0"/>
              <w:rPr>
                <w:sz w:val="20"/>
                <w:szCs w:val="20"/>
                <w:color w:val="auto"/>
              </w:rPr>
            </w:pPr>
            <w:r>
              <w:rPr>
                <w:rFonts w:ascii="Arial" w:cs="Arial" w:eastAsia="Arial" w:hAnsi="Arial"/>
                <w:sz w:val="13"/>
                <w:szCs w:val="13"/>
                <w:b w:val="1"/>
                <w:bCs w:val="1"/>
                <w:color w:val="333333"/>
              </w:rPr>
              <w:t>—</w:t>
            </w:r>
          </w:p>
        </w:tc>
        <w:tc>
          <w:tcPr>
            <w:tcW w:w="0" w:type="dxa"/>
            <w:vAlign w:val="bottom"/>
          </w:tcPr>
          <w:p>
            <w:pPr>
              <w:spacing w:after="0"/>
              <w:rPr>
                <w:sz w:val="1"/>
                <w:szCs w:val="1"/>
                <w:color w:val="auto"/>
              </w:rPr>
            </w:pPr>
          </w:p>
        </w:tc>
      </w:tr>
      <w:tr>
        <w:trPr>
          <w:trHeight w:val="314"/>
        </w:trPr>
        <w:tc>
          <w:tcPr>
            <w:tcW w:w="1960" w:type="dxa"/>
            <w:vAlign w:val="bottom"/>
          </w:tcPr>
          <w:p>
            <w:pPr>
              <w:spacing w:after="0"/>
              <w:rPr>
                <w:sz w:val="20"/>
                <w:szCs w:val="20"/>
                <w:color w:val="auto"/>
              </w:rPr>
            </w:pPr>
            <w:r>
              <w:rPr>
                <w:rFonts w:ascii="Arial" w:cs="Arial" w:eastAsia="Arial" w:hAnsi="Arial"/>
                <w:sz w:val="13"/>
                <w:szCs w:val="13"/>
                <w:b w:val="1"/>
                <w:bCs w:val="1"/>
                <w:color w:val="333333"/>
              </w:rPr>
              <w:t>Loss on write-off of fixed</w:t>
            </w:r>
          </w:p>
        </w:tc>
        <w:tc>
          <w:tcPr>
            <w:tcW w:w="280" w:type="dxa"/>
            <w:vAlign w:val="bottom"/>
            <w:vMerge w:val="restart"/>
          </w:tcPr>
          <w:p>
            <w:pPr>
              <w:ind w:left="60"/>
              <w:spacing w:after="0"/>
              <w:rPr>
                <w:sz w:val="20"/>
                <w:szCs w:val="20"/>
                <w:color w:val="auto"/>
              </w:rPr>
            </w:pPr>
            <w:r>
              <w:rPr>
                <w:rFonts w:ascii="Arial" w:cs="Arial" w:eastAsia="Arial" w:hAnsi="Arial"/>
                <w:sz w:val="13"/>
                <w:szCs w:val="13"/>
                <w:b w:val="1"/>
                <w:bCs w:val="1"/>
                <w:color w:val="333333"/>
              </w:rPr>
              <w:t>—</w:t>
            </w:r>
          </w:p>
        </w:tc>
        <w:tc>
          <w:tcPr>
            <w:tcW w:w="0" w:type="dxa"/>
            <w:vAlign w:val="bottom"/>
          </w:tcPr>
          <w:p>
            <w:pPr>
              <w:spacing w:after="0"/>
              <w:rPr>
                <w:sz w:val="1"/>
                <w:szCs w:val="1"/>
                <w:color w:val="auto"/>
              </w:rPr>
            </w:pPr>
          </w:p>
        </w:tc>
      </w:tr>
      <w:tr>
        <w:trPr>
          <w:trHeight w:val="104"/>
        </w:trPr>
        <w:tc>
          <w:tcPr>
            <w:tcW w:w="1960" w:type="dxa"/>
            <w:vAlign w:val="bottom"/>
            <w:vMerge w:val="restart"/>
          </w:tcPr>
          <w:p>
            <w:pPr>
              <w:spacing w:after="0"/>
              <w:rPr>
                <w:sz w:val="20"/>
                <w:szCs w:val="20"/>
                <w:color w:val="auto"/>
              </w:rPr>
            </w:pPr>
            <w:r>
              <w:rPr>
                <w:rFonts w:ascii="Arial" w:cs="Arial" w:eastAsia="Arial" w:hAnsi="Arial"/>
                <w:sz w:val="13"/>
                <w:szCs w:val="13"/>
                <w:b w:val="1"/>
                <w:bCs w:val="1"/>
                <w:color w:val="333333"/>
              </w:rPr>
              <w:t>assets</w:t>
            </w:r>
          </w:p>
        </w:tc>
        <w:tc>
          <w:tcPr>
            <w:tcW w:w="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1960" w:type="dxa"/>
            <w:vAlign w:val="bottom"/>
          </w:tcPr>
          <w:p>
            <w:pPr>
              <w:spacing w:after="0"/>
              <w:rPr>
                <w:sz w:val="20"/>
                <w:szCs w:val="20"/>
                <w:color w:val="auto"/>
              </w:rPr>
            </w:pPr>
            <w:r>
              <w:rPr>
                <w:rFonts w:ascii="Arial" w:cs="Arial" w:eastAsia="Arial" w:hAnsi="Arial"/>
                <w:sz w:val="13"/>
                <w:szCs w:val="13"/>
                <w:b w:val="1"/>
                <w:bCs w:val="1"/>
                <w:color w:val="333333"/>
                <w:w w:val="98"/>
              </w:rPr>
              <w:t>Loss on extinguishment of debt</w:t>
            </w:r>
          </w:p>
        </w:tc>
        <w:tc>
          <w:tcPr>
            <w:tcW w:w="280" w:type="dxa"/>
            <w:vAlign w:val="bottom"/>
          </w:tcPr>
          <w:p>
            <w:pPr>
              <w:ind w:left="60"/>
              <w:spacing w:after="0"/>
              <w:rPr>
                <w:sz w:val="20"/>
                <w:szCs w:val="20"/>
                <w:color w:val="auto"/>
              </w:rPr>
            </w:pPr>
            <w:r>
              <w:rPr>
                <w:rFonts w:ascii="Arial" w:cs="Arial" w:eastAsia="Arial" w:hAnsi="Arial"/>
                <w:sz w:val="13"/>
                <w:szCs w:val="13"/>
                <w:b w:val="1"/>
                <w:bCs w:val="1"/>
                <w:color w:val="333333"/>
              </w:rPr>
              <w:t>—</w:t>
            </w:r>
          </w:p>
        </w:tc>
        <w:tc>
          <w:tcPr>
            <w:tcW w:w="0" w:type="dxa"/>
            <w:vAlign w:val="bottom"/>
          </w:tcPr>
          <w:p>
            <w:pPr>
              <w:spacing w:after="0"/>
              <w:rPr>
                <w:sz w:val="1"/>
                <w:szCs w:val="1"/>
                <w:color w:val="auto"/>
              </w:rPr>
            </w:pPr>
          </w:p>
        </w:tc>
      </w:tr>
      <w:tr>
        <w:trPr>
          <w:trHeight w:val="351"/>
        </w:trPr>
        <w:tc>
          <w:tcPr>
            <w:tcW w:w="1960" w:type="dxa"/>
            <w:vAlign w:val="bottom"/>
          </w:tcPr>
          <w:p>
            <w:pPr>
              <w:spacing w:after="0"/>
              <w:rPr>
                <w:sz w:val="20"/>
                <w:szCs w:val="20"/>
                <w:color w:val="auto"/>
              </w:rPr>
            </w:pPr>
            <w:r>
              <w:rPr>
                <w:rFonts w:ascii="Arial" w:cs="Arial" w:eastAsia="Arial" w:hAnsi="Arial"/>
                <w:sz w:val="13"/>
                <w:szCs w:val="13"/>
                <w:b w:val="1"/>
                <w:bCs w:val="1"/>
                <w:color w:val="333333"/>
                <w:w w:val="99"/>
              </w:rPr>
              <w:t>Legal settlements and litigation</w:t>
            </w:r>
          </w:p>
        </w:tc>
        <w:tc>
          <w:tcPr>
            <w:tcW w:w="280" w:type="dxa"/>
            <w:vAlign w:val="bottom"/>
          </w:tcPr>
          <w:p>
            <w:pPr>
              <w:ind w:left="60"/>
              <w:spacing w:after="0"/>
              <w:rPr>
                <w:sz w:val="20"/>
                <w:szCs w:val="20"/>
                <w:color w:val="auto"/>
              </w:rPr>
            </w:pPr>
            <w:r>
              <w:rPr>
                <w:rFonts w:ascii="Arial" w:cs="Arial" w:eastAsia="Arial" w:hAnsi="Arial"/>
                <w:sz w:val="13"/>
                <w:szCs w:val="13"/>
                <w:b w:val="1"/>
                <w:bCs w:val="1"/>
                <w:color w:val="333333"/>
              </w:rPr>
              <w:t>3</w:t>
            </w:r>
          </w:p>
        </w:tc>
        <w:tc>
          <w:tcPr>
            <w:tcW w:w="0" w:type="dxa"/>
            <w:vAlign w:val="bottom"/>
          </w:tcPr>
          <w:p>
            <w:pPr>
              <w:spacing w:after="0"/>
              <w:rPr>
                <w:sz w:val="1"/>
                <w:szCs w:val="1"/>
                <w:color w:val="auto"/>
              </w:rPr>
            </w:pPr>
          </w:p>
        </w:tc>
      </w:tr>
      <w:tr>
        <w:trPr>
          <w:trHeight w:val="322"/>
        </w:trPr>
        <w:tc>
          <w:tcPr>
            <w:tcW w:w="1960" w:type="dxa"/>
            <w:vAlign w:val="bottom"/>
          </w:tcPr>
          <w:p>
            <w:pPr>
              <w:spacing w:after="0"/>
              <w:rPr>
                <w:sz w:val="20"/>
                <w:szCs w:val="20"/>
                <w:color w:val="auto"/>
              </w:rPr>
            </w:pPr>
            <w:r>
              <w:rPr>
                <w:rFonts w:ascii="Arial" w:cs="Arial" w:eastAsia="Arial" w:hAnsi="Arial"/>
                <w:sz w:val="13"/>
                <w:szCs w:val="13"/>
                <w:b w:val="1"/>
                <w:bCs w:val="1"/>
                <w:color w:val="333333"/>
              </w:rPr>
              <w:t>Integration and deal related</w:t>
            </w:r>
          </w:p>
        </w:tc>
        <w:tc>
          <w:tcPr>
            <w:tcW w:w="280" w:type="dxa"/>
            <w:vAlign w:val="bottom"/>
            <w:vMerge w:val="restart"/>
          </w:tcPr>
          <w:p>
            <w:pPr>
              <w:ind w:left="60"/>
              <w:spacing w:after="0"/>
              <w:rPr>
                <w:sz w:val="20"/>
                <w:szCs w:val="20"/>
                <w:color w:val="auto"/>
              </w:rPr>
            </w:pPr>
            <w:r>
              <w:rPr>
                <w:rFonts w:ascii="Arial" w:cs="Arial" w:eastAsia="Arial" w:hAnsi="Arial"/>
                <w:sz w:val="13"/>
                <w:szCs w:val="13"/>
                <w:b w:val="1"/>
                <w:bCs w:val="1"/>
                <w:color w:val="333333"/>
              </w:rPr>
              <w:t>31</w:t>
            </w:r>
          </w:p>
        </w:tc>
        <w:tc>
          <w:tcPr>
            <w:tcW w:w="0" w:type="dxa"/>
            <w:vAlign w:val="bottom"/>
          </w:tcPr>
          <w:p>
            <w:pPr>
              <w:spacing w:after="0"/>
              <w:rPr>
                <w:sz w:val="1"/>
                <w:szCs w:val="1"/>
                <w:color w:val="auto"/>
              </w:rPr>
            </w:pPr>
          </w:p>
        </w:tc>
      </w:tr>
      <w:tr>
        <w:trPr>
          <w:trHeight w:val="110"/>
        </w:trPr>
        <w:tc>
          <w:tcPr>
            <w:tcW w:w="1960" w:type="dxa"/>
            <w:vAlign w:val="bottom"/>
            <w:vMerge w:val="restart"/>
          </w:tcPr>
          <w:p>
            <w:pPr>
              <w:spacing w:after="0"/>
              <w:rPr>
                <w:sz w:val="20"/>
                <w:szCs w:val="20"/>
                <w:color w:val="auto"/>
              </w:rPr>
            </w:pPr>
            <w:r>
              <w:rPr>
                <w:rFonts w:ascii="Arial" w:cs="Arial" w:eastAsia="Arial" w:hAnsi="Arial"/>
                <w:sz w:val="13"/>
                <w:szCs w:val="13"/>
                <w:b w:val="1"/>
                <w:bCs w:val="1"/>
                <w:color w:val="333333"/>
              </w:rPr>
              <w:t>cost</w:t>
            </w:r>
            <w:r>
              <w:rPr>
                <w:rFonts w:ascii="Arial" w:cs="Arial" w:eastAsia="Arial" w:hAnsi="Arial"/>
                <w:sz w:val="20"/>
                <w:szCs w:val="20"/>
                <w:b w:val="1"/>
                <w:bCs w:val="1"/>
                <w:color w:val="333333"/>
                <w:vertAlign w:val="superscript"/>
              </w:rPr>
              <w:t>(1)</w:t>
            </w:r>
          </w:p>
        </w:tc>
        <w:tc>
          <w:tcPr>
            <w:tcW w:w="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9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r>
              <w:rPr>
                <w:rFonts w:ascii="Arial" w:cs="Arial" w:eastAsia="Arial" w:hAnsi="Arial"/>
                <w:sz w:val="13"/>
                <w:szCs w:val="13"/>
                <w:b w:val="1"/>
                <w:bCs w:val="1"/>
                <w:color w:val="333333"/>
              </w:rPr>
              <w:t>Restructuring and related</w:t>
            </w:r>
          </w:p>
        </w:tc>
        <w:tc>
          <w:tcPr>
            <w:tcW w:w="280" w:type="dxa"/>
            <w:vAlign w:val="bottom"/>
            <w:vMerge w:val="restart"/>
          </w:tcPr>
          <w:p>
            <w:pPr>
              <w:ind w:left="60"/>
              <w:spacing w:after="0"/>
              <w:rPr>
                <w:sz w:val="20"/>
                <w:szCs w:val="20"/>
                <w:color w:val="auto"/>
              </w:rPr>
            </w:pPr>
            <w:r>
              <w:rPr>
                <w:rFonts w:ascii="Arial" w:cs="Arial" w:eastAsia="Arial" w:hAnsi="Arial"/>
                <w:sz w:val="13"/>
                <w:szCs w:val="13"/>
                <w:b w:val="1"/>
                <w:bCs w:val="1"/>
                <w:color w:val="333333"/>
              </w:rPr>
              <w:t>4</w:t>
            </w:r>
          </w:p>
        </w:tc>
        <w:tc>
          <w:tcPr>
            <w:tcW w:w="0" w:type="dxa"/>
            <w:vAlign w:val="bottom"/>
          </w:tcPr>
          <w:p>
            <w:pPr>
              <w:spacing w:after="0"/>
              <w:rPr>
                <w:sz w:val="1"/>
                <w:szCs w:val="1"/>
                <w:color w:val="auto"/>
              </w:rPr>
            </w:pPr>
          </w:p>
        </w:tc>
      </w:tr>
      <w:tr>
        <w:trPr>
          <w:trHeight w:val="104"/>
        </w:trPr>
        <w:tc>
          <w:tcPr>
            <w:tcW w:w="1960" w:type="dxa"/>
            <w:vAlign w:val="bottom"/>
            <w:vMerge w:val="restart"/>
          </w:tcPr>
          <w:p>
            <w:pPr>
              <w:spacing w:after="0"/>
              <w:rPr>
                <w:sz w:val="20"/>
                <w:szCs w:val="20"/>
                <w:color w:val="auto"/>
              </w:rPr>
            </w:pPr>
            <w:r>
              <w:rPr>
                <w:rFonts w:ascii="Arial" w:cs="Arial" w:eastAsia="Arial" w:hAnsi="Arial"/>
                <w:sz w:val="13"/>
                <w:szCs w:val="13"/>
                <w:b w:val="1"/>
                <w:bCs w:val="1"/>
                <w:color w:val="333333"/>
              </w:rPr>
              <w:t>(subsidies) costs</w:t>
            </w:r>
          </w:p>
        </w:tc>
        <w:tc>
          <w:tcPr>
            <w:tcW w:w="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1960" w:type="dxa"/>
            <w:vAlign w:val="bottom"/>
          </w:tcPr>
          <w:p>
            <w:pPr>
              <w:spacing w:after="0"/>
              <w:rPr>
                <w:sz w:val="20"/>
                <w:szCs w:val="20"/>
                <w:color w:val="auto"/>
              </w:rPr>
            </w:pPr>
            <w:r>
              <w:rPr>
                <w:rFonts w:ascii="Arial" w:cs="Arial" w:eastAsia="Arial" w:hAnsi="Arial"/>
                <w:sz w:val="13"/>
                <w:szCs w:val="13"/>
                <w:b w:val="1"/>
                <w:bCs w:val="1"/>
                <w:color w:val="333333"/>
              </w:rPr>
              <w:t>Unauthorized access impact</w:t>
            </w:r>
          </w:p>
        </w:tc>
        <w:tc>
          <w:tcPr>
            <w:tcW w:w="280" w:type="dxa"/>
            <w:vAlign w:val="bottom"/>
          </w:tcPr>
          <w:p>
            <w:pPr>
              <w:ind w:left="60"/>
              <w:spacing w:after="0"/>
              <w:rPr>
                <w:sz w:val="20"/>
                <w:szCs w:val="20"/>
                <w:color w:val="auto"/>
              </w:rPr>
            </w:pPr>
            <w:r>
              <w:rPr>
                <w:rFonts w:ascii="Arial" w:cs="Arial" w:eastAsia="Arial" w:hAnsi="Arial"/>
                <w:sz w:val="13"/>
                <w:szCs w:val="13"/>
                <w:b w:val="1"/>
                <w:bCs w:val="1"/>
                <w:color w:val="33333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60" w:type="dxa"/>
            <w:vAlign w:val="bottom"/>
          </w:tcPr>
          <w:p>
            <w:pPr>
              <w:spacing w:after="0"/>
              <w:rPr>
                <w:sz w:val="20"/>
                <w:szCs w:val="20"/>
                <w:color w:val="auto"/>
              </w:rPr>
            </w:pPr>
            <w:r>
              <w:rPr>
                <w:rFonts w:ascii="Arial" w:cs="Arial" w:eastAsia="Arial" w:hAnsi="Arial"/>
                <w:sz w:val="13"/>
                <w:szCs w:val="13"/>
                <w:b w:val="1"/>
                <w:bCs w:val="1"/>
                <w:color w:val="333333"/>
              </w:rPr>
              <w:t>238</w:t>
            </w:r>
          </w:p>
        </w:tc>
        <w:tc>
          <w:tcPr>
            <w:tcW w:w="500" w:type="dxa"/>
            <w:vAlign w:val="bottom"/>
          </w:tcPr>
          <w:p>
            <w:pPr>
              <w:ind w:left="140"/>
              <w:spacing w:after="0"/>
              <w:rPr>
                <w:sz w:val="20"/>
                <w:szCs w:val="20"/>
                <w:color w:val="auto"/>
              </w:rPr>
            </w:pPr>
            <w:r>
              <w:rPr>
                <w:rFonts w:ascii="Arial" w:cs="Arial" w:eastAsia="Arial" w:hAnsi="Arial"/>
                <w:sz w:val="13"/>
                <w:szCs w:val="13"/>
                <w:b w:val="1"/>
                <w:bCs w:val="1"/>
                <w:color w:val="333333"/>
              </w:rPr>
              <w:t>215</w:t>
            </w:r>
          </w:p>
        </w:tc>
        <w:tc>
          <w:tcPr>
            <w:tcW w:w="520" w:type="dxa"/>
            <w:vAlign w:val="bottom"/>
          </w:tcPr>
          <w:p>
            <w:pPr>
              <w:ind w:left="140"/>
              <w:spacing w:after="0"/>
              <w:rPr>
                <w:sz w:val="20"/>
                <w:szCs w:val="20"/>
                <w:color w:val="auto"/>
              </w:rPr>
            </w:pPr>
            <w:r>
              <w:rPr>
                <w:rFonts w:ascii="Arial" w:cs="Arial" w:eastAsia="Arial" w:hAnsi="Arial"/>
                <w:sz w:val="13"/>
                <w:szCs w:val="13"/>
                <w:b w:val="1"/>
                <w:bCs w:val="1"/>
                <w:color w:val="333333"/>
              </w:rPr>
              <w:t>196</w:t>
            </w:r>
          </w:p>
        </w:tc>
        <w:tc>
          <w:tcPr>
            <w:tcW w:w="480" w:type="dxa"/>
            <w:vAlign w:val="bottom"/>
          </w:tcPr>
          <w:p>
            <w:pPr>
              <w:ind w:left="120"/>
              <w:spacing w:after="0"/>
              <w:rPr>
                <w:sz w:val="20"/>
                <w:szCs w:val="20"/>
                <w:color w:val="auto"/>
              </w:rPr>
            </w:pPr>
            <w:r>
              <w:rPr>
                <w:rFonts w:ascii="Arial" w:cs="Arial" w:eastAsia="Arial" w:hAnsi="Arial"/>
                <w:sz w:val="13"/>
                <w:szCs w:val="13"/>
                <w:b w:val="1"/>
                <w:bCs w:val="1"/>
                <w:color w:val="333333"/>
              </w:rPr>
              <w:t>217</w:t>
            </w:r>
          </w:p>
        </w:tc>
        <w:tc>
          <w:tcPr>
            <w:tcW w:w="440" w:type="dxa"/>
            <w:vAlign w:val="bottom"/>
          </w:tcPr>
          <w:p>
            <w:pPr>
              <w:ind w:left="140"/>
              <w:spacing w:after="0"/>
              <w:rPr>
                <w:sz w:val="20"/>
                <w:szCs w:val="20"/>
                <w:color w:val="auto"/>
              </w:rPr>
            </w:pPr>
            <w:r>
              <w:rPr>
                <w:rFonts w:ascii="Arial" w:cs="Arial" w:eastAsia="Arial" w:hAnsi="Arial"/>
                <w:sz w:val="13"/>
                <w:szCs w:val="13"/>
                <w:b w:val="1"/>
                <w:bCs w:val="1"/>
                <w:color w:val="333333"/>
              </w:rPr>
              <w:t>227</w:t>
            </w:r>
          </w:p>
        </w:tc>
      </w:tr>
      <w:tr>
        <w:trPr>
          <w:trHeight w:val="446"/>
        </w:trPr>
        <w:tc>
          <w:tcPr>
            <w:tcW w:w="360" w:type="dxa"/>
            <w:vAlign w:val="bottom"/>
          </w:tcPr>
          <w:p>
            <w:pPr>
              <w:spacing w:after="0"/>
              <w:rPr>
                <w:sz w:val="20"/>
                <w:szCs w:val="20"/>
                <w:color w:val="auto"/>
              </w:rPr>
            </w:pPr>
            <w:r>
              <w:rPr>
                <w:rFonts w:ascii="Arial" w:cs="Arial" w:eastAsia="Arial" w:hAnsi="Arial"/>
                <w:sz w:val="13"/>
                <w:szCs w:val="13"/>
                <w:b w:val="1"/>
                <w:bCs w:val="1"/>
                <w:color w:val="333333"/>
              </w:rPr>
              <w:t>—</w:t>
            </w:r>
          </w:p>
        </w:tc>
        <w:tc>
          <w:tcPr>
            <w:tcW w:w="500" w:type="dxa"/>
            <w:vAlign w:val="bottom"/>
          </w:tcPr>
          <w:p>
            <w:pPr>
              <w:ind w:left="140"/>
              <w:spacing w:after="0"/>
              <w:rPr>
                <w:sz w:val="20"/>
                <w:szCs w:val="20"/>
                <w:color w:val="auto"/>
              </w:rPr>
            </w:pPr>
            <w:r>
              <w:rPr>
                <w:rFonts w:ascii="Arial" w:cs="Arial" w:eastAsia="Arial" w:hAnsi="Arial"/>
                <w:sz w:val="13"/>
                <w:szCs w:val="13"/>
                <w:b w:val="1"/>
                <w:bCs w:val="1"/>
                <w:color w:val="333333"/>
              </w:rPr>
              <w:t>—</w:t>
            </w:r>
          </w:p>
        </w:tc>
        <w:tc>
          <w:tcPr>
            <w:tcW w:w="520" w:type="dxa"/>
            <w:vAlign w:val="bottom"/>
          </w:tcPr>
          <w:p>
            <w:pPr>
              <w:ind w:left="140"/>
              <w:spacing w:after="0"/>
              <w:rPr>
                <w:sz w:val="20"/>
                <w:szCs w:val="20"/>
                <w:color w:val="auto"/>
              </w:rPr>
            </w:pPr>
            <w:r>
              <w:rPr>
                <w:rFonts w:ascii="Arial" w:cs="Arial" w:eastAsia="Arial" w:hAnsi="Arial"/>
                <w:sz w:val="13"/>
                <w:szCs w:val="13"/>
                <w:b w:val="1"/>
                <w:bCs w:val="1"/>
                <w:color w:val="333333"/>
              </w:rPr>
              <w:t>—</w:t>
            </w:r>
          </w:p>
        </w:tc>
        <w:tc>
          <w:tcPr>
            <w:tcW w:w="480" w:type="dxa"/>
            <w:vAlign w:val="bottom"/>
          </w:tcPr>
          <w:p>
            <w:pPr>
              <w:ind w:left="12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40"/>
              <w:spacing w:after="0"/>
              <w:rPr>
                <w:sz w:val="20"/>
                <w:szCs w:val="20"/>
                <w:color w:val="auto"/>
              </w:rPr>
            </w:pPr>
            <w:r>
              <w:rPr>
                <w:rFonts w:ascii="Arial" w:cs="Arial" w:eastAsia="Arial" w:hAnsi="Arial"/>
                <w:sz w:val="13"/>
                <w:szCs w:val="13"/>
                <w:b w:val="1"/>
                <w:bCs w:val="1"/>
                <w:color w:val="333333"/>
                <w:w w:val="92"/>
              </w:rPr>
              <w:t>(153)</w:t>
            </w:r>
          </w:p>
        </w:tc>
      </w:tr>
      <w:tr>
        <w:trPr>
          <w:trHeight w:val="418"/>
        </w:trPr>
        <w:tc>
          <w:tcPr>
            <w:tcW w:w="360" w:type="dxa"/>
            <w:vAlign w:val="bottom"/>
          </w:tcPr>
          <w:p>
            <w:pPr>
              <w:spacing w:after="0"/>
              <w:rPr>
                <w:sz w:val="20"/>
                <w:szCs w:val="20"/>
                <w:color w:val="auto"/>
              </w:rPr>
            </w:pPr>
            <w:r>
              <w:rPr>
                <w:rFonts w:ascii="Arial" w:cs="Arial" w:eastAsia="Arial" w:hAnsi="Arial"/>
                <w:sz w:val="13"/>
                <w:szCs w:val="13"/>
                <w:b w:val="1"/>
                <w:bCs w:val="1"/>
                <w:color w:val="333333"/>
              </w:rPr>
              <w:t>—</w:t>
            </w:r>
          </w:p>
        </w:tc>
        <w:tc>
          <w:tcPr>
            <w:tcW w:w="500" w:type="dxa"/>
            <w:vAlign w:val="bottom"/>
          </w:tcPr>
          <w:p>
            <w:pPr>
              <w:ind w:left="140"/>
              <w:spacing w:after="0"/>
              <w:rPr>
                <w:sz w:val="20"/>
                <w:szCs w:val="20"/>
                <w:color w:val="auto"/>
              </w:rPr>
            </w:pPr>
            <w:r>
              <w:rPr>
                <w:rFonts w:ascii="Arial" w:cs="Arial" w:eastAsia="Arial" w:hAnsi="Arial"/>
                <w:sz w:val="13"/>
                <w:szCs w:val="13"/>
                <w:b w:val="1"/>
                <w:bCs w:val="1"/>
                <w:color w:val="333333"/>
              </w:rPr>
              <w:t>—</w:t>
            </w:r>
          </w:p>
        </w:tc>
        <w:tc>
          <w:tcPr>
            <w:tcW w:w="520" w:type="dxa"/>
            <w:vAlign w:val="bottom"/>
          </w:tcPr>
          <w:p>
            <w:pPr>
              <w:ind w:left="140"/>
              <w:spacing w:after="0"/>
              <w:rPr>
                <w:sz w:val="20"/>
                <w:szCs w:val="20"/>
                <w:color w:val="auto"/>
              </w:rPr>
            </w:pPr>
            <w:r>
              <w:rPr>
                <w:rFonts w:ascii="Arial" w:cs="Arial" w:eastAsia="Arial" w:hAnsi="Arial"/>
                <w:sz w:val="13"/>
                <w:szCs w:val="13"/>
                <w:b w:val="1"/>
                <w:bCs w:val="1"/>
                <w:color w:val="333333"/>
              </w:rPr>
              <w:t>(30)</w:t>
            </w:r>
          </w:p>
        </w:tc>
        <w:tc>
          <w:tcPr>
            <w:tcW w:w="480" w:type="dxa"/>
            <w:vAlign w:val="bottom"/>
          </w:tcPr>
          <w:p>
            <w:pPr>
              <w:ind w:left="120"/>
              <w:spacing w:after="0"/>
              <w:rPr>
                <w:sz w:val="20"/>
                <w:szCs w:val="20"/>
                <w:color w:val="auto"/>
              </w:rPr>
            </w:pPr>
            <w:r>
              <w:rPr>
                <w:rFonts w:ascii="Arial" w:cs="Arial" w:eastAsia="Arial" w:hAnsi="Arial"/>
                <w:sz w:val="13"/>
                <w:szCs w:val="13"/>
                <w:b w:val="1"/>
                <w:bCs w:val="1"/>
                <w:color w:val="333333"/>
              </w:rPr>
              <w:t>3</w:t>
            </w:r>
          </w:p>
        </w:tc>
        <w:tc>
          <w:tcPr>
            <w:tcW w:w="440" w:type="dxa"/>
            <w:vAlign w:val="bottom"/>
          </w:tcPr>
          <w:p>
            <w:pPr>
              <w:ind w:left="140"/>
              <w:spacing w:after="0"/>
              <w:rPr>
                <w:sz w:val="20"/>
                <w:szCs w:val="20"/>
                <w:color w:val="auto"/>
              </w:rPr>
            </w:pPr>
            <w:r>
              <w:rPr>
                <w:rFonts w:ascii="Arial" w:cs="Arial" w:eastAsia="Arial" w:hAnsi="Arial"/>
                <w:sz w:val="13"/>
                <w:szCs w:val="13"/>
                <w:b w:val="1"/>
                <w:bCs w:val="1"/>
                <w:color w:val="333333"/>
              </w:rPr>
              <w:t>7</w:t>
            </w:r>
          </w:p>
        </w:tc>
      </w:tr>
      <w:tr>
        <w:trPr>
          <w:trHeight w:val="418"/>
        </w:trPr>
        <w:tc>
          <w:tcPr>
            <w:tcW w:w="360" w:type="dxa"/>
            <w:vAlign w:val="bottom"/>
          </w:tcPr>
          <w:p>
            <w:pPr>
              <w:spacing w:after="0"/>
              <w:rPr>
                <w:sz w:val="20"/>
                <w:szCs w:val="20"/>
                <w:color w:val="auto"/>
              </w:rPr>
            </w:pPr>
            <w:r>
              <w:rPr>
                <w:rFonts w:ascii="Arial" w:cs="Arial" w:eastAsia="Arial" w:hAnsi="Arial"/>
                <w:sz w:val="13"/>
                <w:szCs w:val="13"/>
                <w:b w:val="1"/>
                <w:bCs w:val="1"/>
                <w:color w:val="333333"/>
              </w:rPr>
              <w:t>—</w:t>
            </w:r>
          </w:p>
        </w:tc>
        <w:tc>
          <w:tcPr>
            <w:tcW w:w="500" w:type="dxa"/>
            <w:vAlign w:val="bottom"/>
          </w:tcPr>
          <w:p>
            <w:pPr>
              <w:ind w:left="140"/>
              <w:spacing w:after="0"/>
              <w:rPr>
                <w:sz w:val="20"/>
                <w:szCs w:val="20"/>
                <w:color w:val="auto"/>
              </w:rPr>
            </w:pPr>
            <w:r>
              <w:rPr>
                <w:rFonts w:ascii="Arial" w:cs="Arial" w:eastAsia="Arial" w:hAnsi="Arial"/>
                <w:sz w:val="13"/>
                <w:szCs w:val="13"/>
                <w:b w:val="1"/>
                <w:bCs w:val="1"/>
                <w:color w:val="333333"/>
              </w:rPr>
              <w:t>—</w:t>
            </w:r>
          </w:p>
        </w:tc>
        <w:tc>
          <w:tcPr>
            <w:tcW w:w="520" w:type="dxa"/>
            <w:vAlign w:val="bottom"/>
          </w:tcPr>
          <w:p>
            <w:pPr>
              <w:ind w:left="140"/>
              <w:spacing w:after="0"/>
              <w:rPr>
                <w:sz w:val="20"/>
                <w:szCs w:val="20"/>
                <w:color w:val="auto"/>
              </w:rPr>
            </w:pPr>
            <w:r>
              <w:rPr>
                <w:rFonts w:ascii="Arial" w:cs="Arial" w:eastAsia="Arial" w:hAnsi="Arial"/>
                <w:sz w:val="13"/>
                <w:szCs w:val="13"/>
                <w:b w:val="1"/>
                <w:bCs w:val="1"/>
                <w:color w:val="333333"/>
              </w:rPr>
              <w:t>—</w:t>
            </w:r>
          </w:p>
        </w:tc>
        <w:tc>
          <w:tcPr>
            <w:tcW w:w="480" w:type="dxa"/>
            <w:vAlign w:val="bottom"/>
          </w:tcPr>
          <w:p>
            <w:pPr>
              <w:ind w:left="120"/>
              <w:spacing w:after="0"/>
              <w:rPr>
                <w:sz w:val="20"/>
                <w:szCs w:val="20"/>
                <w:color w:val="auto"/>
              </w:rPr>
            </w:pPr>
            <w:r>
              <w:rPr>
                <w:rFonts w:ascii="Arial" w:cs="Arial" w:eastAsia="Arial" w:hAnsi="Arial"/>
                <w:sz w:val="13"/>
                <w:szCs w:val="13"/>
                <w:b w:val="1"/>
                <w:bCs w:val="1"/>
                <w:color w:val="333333"/>
              </w:rPr>
              <w:t>2</w:t>
            </w:r>
          </w:p>
        </w:tc>
        <w:tc>
          <w:tcPr>
            <w:tcW w:w="440" w:type="dxa"/>
            <w:vAlign w:val="bottom"/>
          </w:tcPr>
          <w:p>
            <w:pPr>
              <w:ind w:left="140"/>
              <w:spacing w:after="0"/>
              <w:rPr>
                <w:sz w:val="20"/>
                <w:szCs w:val="20"/>
                <w:color w:val="auto"/>
              </w:rPr>
            </w:pPr>
            <w:r>
              <w:rPr>
                <w:rFonts w:ascii="Arial" w:cs="Arial" w:eastAsia="Arial" w:hAnsi="Arial"/>
                <w:sz w:val="13"/>
                <w:szCs w:val="13"/>
                <w:b w:val="1"/>
                <w:bCs w:val="1"/>
                <w:color w:val="333333"/>
              </w:rPr>
              <w:t>9</w:t>
            </w:r>
          </w:p>
        </w:tc>
      </w:tr>
      <w:tr>
        <w:trPr>
          <w:trHeight w:val="418"/>
        </w:trPr>
        <w:tc>
          <w:tcPr>
            <w:tcW w:w="360" w:type="dxa"/>
            <w:vAlign w:val="bottom"/>
          </w:tcPr>
          <w:p>
            <w:pPr>
              <w:spacing w:after="0"/>
              <w:rPr>
                <w:sz w:val="20"/>
                <w:szCs w:val="20"/>
                <w:color w:val="auto"/>
              </w:rPr>
            </w:pPr>
            <w:r>
              <w:rPr>
                <w:rFonts w:ascii="Arial" w:cs="Arial" w:eastAsia="Arial" w:hAnsi="Arial"/>
                <w:sz w:val="13"/>
                <w:szCs w:val="13"/>
                <w:b w:val="1"/>
                <w:bCs w:val="1"/>
                <w:color w:val="333333"/>
              </w:rPr>
              <w:t>2</w:t>
            </w:r>
          </w:p>
        </w:tc>
        <w:tc>
          <w:tcPr>
            <w:tcW w:w="500" w:type="dxa"/>
            <w:vAlign w:val="bottom"/>
          </w:tcPr>
          <w:p>
            <w:pPr>
              <w:ind w:left="140"/>
              <w:spacing w:after="0"/>
              <w:rPr>
                <w:sz w:val="20"/>
                <w:szCs w:val="20"/>
                <w:color w:val="auto"/>
              </w:rPr>
            </w:pPr>
            <w:r>
              <w:rPr>
                <w:rFonts w:ascii="Arial" w:cs="Arial" w:eastAsia="Arial" w:hAnsi="Arial"/>
                <w:sz w:val="13"/>
                <w:szCs w:val="13"/>
                <w:b w:val="1"/>
                <w:bCs w:val="1"/>
                <w:color w:val="333333"/>
              </w:rPr>
              <w:t>16</w:t>
            </w:r>
          </w:p>
        </w:tc>
        <w:tc>
          <w:tcPr>
            <w:tcW w:w="520" w:type="dxa"/>
            <w:vAlign w:val="bottom"/>
          </w:tcPr>
          <w:p>
            <w:pPr>
              <w:ind w:left="140"/>
              <w:spacing w:after="0"/>
              <w:rPr>
                <w:sz w:val="20"/>
                <w:szCs w:val="20"/>
                <w:color w:val="auto"/>
              </w:rPr>
            </w:pPr>
            <w:r>
              <w:rPr>
                <w:rFonts w:ascii="Arial" w:cs="Arial" w:eastAsia="Arial" w:hAnsi="Arial"/>
                <w:sz w:val="13"/>
                <w:szCs w:val="13"/>
                <w:b w:val="1"/>
                <w:bCs w:val="1"/>
                <w:color w:val="333333"/>
              </w:rPr>
              <w:t>—</w:t>
            </w:r>
          </w:p>
        </w:tc>
        <w:tc>
          <w:tcPr>
            <w:tcW w:w="480" w:type="dxa"/>
            <w:vAlign w:val="bottom"/>
          </w:tcPr>
          <w:p>
            <w:pPr>
              <w:ind w:left="12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40"/>
              <w:spacing w:after="0"/>
              <w:rPr>
                <w:sz w:val="20"/>
                <w:szCs w:val="20"/>
                <w:color w:val="auto"/>
              </w:rPr>
            </w:pPr>
            <w:r>
              <w:rPr>
                <w:rFonts w:ascii="Arial" w:cs="Arial" w:eastAsia="Arial" w:hAnsi="Arial"/>
                <w:sz w:val="13"/>
                <w:szCs w:val="13"/>
                <w:b w:val="1"/>
                <w:bCs w:val="1"/>
                <w:color w:val="333333"/>
              </w:rPr>
              <w:t>2</w:t>
            </w:r>
          </w:p>
        </w:tc>
      </w:tr>
      <w:tr>
        <w:trPr>
          <w:trHeight w:val="351"/>
        </w:trPr>
        <w:tc>
          <w:tcPr>
            <w:tcW w:w="360" w:type="dxa"/>
            <w:vAlign w:val="bottom"/>
          </w:tcPr>
          <w:p>
            <w:pPr>
              <w:spacing w:after="0"/>
              <w:rPr>
                <w:sz w:val="20"/>
                <w:szCs w:val="20"/>
                <w:color w:val="auto"/>
              </w:rPr>
            </w:pPr>
            <w:r>
              <w:rPr>
                <w:rFonts w:ascii="Arial" w:cs="Arial" w:eastAsia="Arial" w:hAnsi="Arial"/>
                <w:sz w:val="13"/>
                <w:szCs w:val="13"/>
                <w:b w:val="1"/>
                <w:bCs w:val="1"/>
                <w:color w:val="333333"/>
              </w:rPr>
              <w:t>6</w:t>
            </w:r>
          </w:p>
        </w:tc>
        <w:tc>
          <w:tcPr>
            <w:tcW w:w="500" w:type="dxa"/>
            <w:vAlign w:val="bottom"/>
          </w:tcPr>
          <w:p>
            <w:pPr>
              <w:ind w:left="140"/>
              <w:spacing w:after="0"/>
              <w:rPr>
                <w:sz w:val="20"/>
                <w:szCs w:val="20"/>
                <w:color w:val="auto"/>
              </w:rPr>
            </w:pPr>
            <w:r>
              <w:rPr>
                <w:rFonts w:ascii="Arial" w:cs="Arial" w:eastAsia="Arial" w:hAnsi="Arial"/>
                <w:sz w:val="13"/>
                <w:szCs w:val="13"/>
                <w:b w:val="1"/>
                <w:bCs w:val="1"/>
                <w:color w:val="333333"/>
              </w:rPr>
              <w:t>6</w:t>
            </w:r>
          </w:p>
        </w:tc>
        <w:tc>
          <w:tcPr>
            <w:tcW w:w="520" w:type="dxa"/>
            <w:vAlign w:val="bottom"/>
          </w:tcPr>
          <w:p>
            <w:pPr>
              <w:ind w:left="140"/>
              <w:spacing w:after="0"/>
              <w:rPr>
                <w:sz w:val="20"/>
                <w:szCs w:val="20"/>
                <w:color w:val="auto"/>
              </w:rPr>
            </w:pPr>
            <w:r>
              <w:rPr>
                <w:rFonts w:ascii="Arial" w:cs="Arial" w:eastAsia="Arial" w:hAnsi="Arial"/>
                <w:sz w:val="13"/>
                <w:szCs w:val="13"/>
                <w:b w:val="1"/>
                <w:bCs w:val="1"/>
                <w:color w:val="333333"/>
              </w:rPr>
              <w:t>—</w:t>
            </w:r>
          </w:p>
        </w:tc>
        <w:tc>
          <w:tcPr>
            <w:tcW w:w="480" w:type="dxa"/>
            <w:vAlign w:val="bottom"/>
          </w:tcPr>
          <w:p>
            <w:pPr>
              <w:ind w:left="120"/>
              <w:spacing w:after="0"/>
              <w:rPr>
                <w:sz w:val="20"/>
                <w:szCs w:val="20"/>
                <w:color w:val="auto"/>
              </w:rPr>
            </w:pPr>
            <w:r>
              <w:rPr>
                <w:rFonts w:ascii="Arial" w:cs="Arial" w:eastAsia="Arial" w:hAnsi="Arial"/>
                <w:sz w:val="13"/>
                <w:szCs w:val="13"/>
                <w:b w:val="1"/>
                <w:bCs w:val="1"/>
                <w:color w:val="333333"/>
              </w:rPr>
              <w:t>6</w:t>
            </w:r>
          </w:p>
        </w:tc>
        <w:tc>
          <w:tcPr>
            <w:tcW w:w="440" w:type="dxa"/>
            <w:vAlign w:val="bottom"/>
          </w:tcPr>
          <w:p>
            <w:pPr>
              <w:ind w:left="140"/>
              <w:spacing w:after="0"/>
              <w:rPr>
                <w:sz w:val="20"/>
                <w:szCs w:val="20"/>
                <w:color w:val="auto"/>
              </w:rPr>
            </w:pPr>
            <w:r>
              <w:rPr>
                <w:rFonts w:ascii="Arial" w:cs="Arial" w:eastAsia="Arial" w:hAnsi="Arial"/>
                <w:sz w:val="13"/>
                <w:szCs w:val="13"/>
                <w:b w:val="1"/>
                <w:bCs w:val="1"/>
                <w:color w:val="333333"/>
              </w:rPr>
              <w:t>6</w:t>
            </w:r>
          </w:p>
        </w:tc>
      </w:tr>
      <w:tr>
        <w:trPr>
          <w:trHeight w:val="432"/>
        </w:trPr>
        <w:tc>
          <w:tcPr>
            <w:tcW w:w="360" w:type="dxa"/>
            <w:vAlign w:val="bottom"/>
          </w:tcPr>
          <w:p>
            <w:pPr>
              <w:spacing w:after="0"/>
              <w:rPr>
                <w:sz w:val="20"/>
                <w:szCs w:val="20"/>
                <w:color w:val="auto"/>
              </w:rPr>
            </w:pPr>
            <w:r>
              <w:rPr>
                <w:rFonts w:ascii="Arial" w:cs="Arial" w:eastAsia="Arial" w:hAnsi="Arial"/>
                <w:sz w:val="13"/>
                <w:szCs w:val="13"/>
                <w:b w:val="1"/>
                <w:bCs w:val="1"/>
                <w:color w:val="333333"/>
              </w:rPr>
              <w:t>19</w:t>
            </w:r>
          </w:p>
        </w:tc>
        <w:tc>
          <w:tcPr>
            <w:tcW w:w="500" w:type="dxa"/>
            <w:vAlign w:val="bottom"/>
          </w:tcPr>
          <w:p>
            <w:pPr>
              <w:ind w:left="140"/>
              <w:spacing w:after="0"/>
              <w:rPr>
                <w:sz w:val="20"/>
                <w:szCs w:val="20"/>
                <w:color w:val="auto"/>
              </w:rPr>
            </w:pPr>
            <w:r>
              <w:rPr>
                <w:rFonts w:ascii="Arial" w:cs="Arial" w:eastAsia="Arial" w:hAnsi="Arial"/>
                <w:sz w:val="13"/>
                <w:szCs w:val="13"/>
                <w:b w:val="1"/>
                <w:bCs w:val="1"/>
                <w:color w:val="333333"/>
              </w:rPr>
              <w:t>31</w:t>
            </w:r>
          </w:p>
        </w:tc>
        <w:tc>
          <w:tcPr>
            <w:tcW w:w="520" w:type="dxa"/>
            <w:vAlign w:val="bottom"/>
          </w:tcPr>
          <w:p>
            <w:pPr>
              <w:ind w:left="140"/>
              <w:spacing w:after="0"/>
              <w:rPr>
                <w:sz w:val="20"/>
                <w:szCs w:val="20"/>
                <w:color w:val="auto"/>
              </w:rPr>
            </w:pPr>
            <w:r>
              <w:rPr>
                <w:rFonts w:ascii="Arial" w:cs="Arial" w:eastAsia="Arial" w:hAnsi="Arial"/>
                <w:sz w:val="13"/>
                <w:szCs w:val="13"/>
                <w:b w:val="1"/>
                <w:bCs w:val="1"/>
                <w:color w:val="333333"/>
              </w:rPr>
              <w:t>12</w:t>
            </w:r>
          </w:p>
        </w:tc>
        <w:tc>
          <w:tcPr>
            <w:tcW w:w="480" w:type="dxa"/>
            <w:vAlign w:val="bottom"/>
          </w:tcPr>
          <w:p>
            <w:pPr>
              <w:ind w:left="12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40"/>
              <w:spacing w:after="0"/>
              <w:rPr>
                <w:sz w:val="20"/>
                <w:szCs w:val="20"/>
                <w:color w:val="auto"/>
              </w:rPr>
            </w:pPr>
            <w:r>
              <w:rPr>
                <w:rFonts w:ascii="Arial" w:cs="Arial" w:eastAsia="Arial" w:hAnsi="Arial"/>
                <w:sz w:val="13"/>
                <w:szCs w:val="13"/>
                <w:b w:val="1"/>
                <w:bCs w:val="1"/>
                <w:color w:val="333333"/>
              </w:rPr>
              <w:t>—</w:t>
            </w:r>
          </w:p>
        </w:tc>
      </w:tr>
      <w:tr>
        <w:trPr>
          <w:trHeight w:val="513"/>
        </w:trPr>
        <w:tc>
          <w:tcPr>
            <w:tcW w:w="360" w:type="dxa"/>
            <w:vAlign w:val="bottom"/>
          </w:tcPr>
          <w:p>
            <w:pPr>
              <w:spacing w:after="0"/>
              <w:rPr>
                <w:sz w:val="20"/>
                <w:szCs w:val="20"/>
                <w:color w:val="auto"/>
              </w:rPr>
            </w:pPr>
            <w:r>
              <w:rPr>
                <w:rFonts w:ascii="Arial" w:cs="Arial" w:eastAsia="Arial" w:hAnsi="Arial"/>
                <w:sz w:val="13"/>
                <w:szCs w:val="13"/>
                <w:b w:val="1"/>
                <w:bCs w:val="1"/>
                <w:color w:val="333333"/>
              </w:rPr>
              <w:t>7</w:t>
            </w:r>
          </w:p>
        </w:tc>
        <w:tc>
          <w:tcPr>
            <w:tcW w:w="500" w:type="dxa"/>
            <w:vAlign w:val="bottom"/>
          </w:tcPr>
          <w:p>
            <w:pPr>
              <w:ind w:left="140"/>
              <w:spacing w:after="0"/>
              <w:rPr>
                <w:sz w:val="20"/>
                <w:szCs w:val="20"/>
                <w:color w:val="auto"/>
              </w:rPr>
            </w:pPr>
            <w:r>
              <w:rPr>
                <w:rFonts w:ascii="Arial" w:cs="Arial" w:eastAsia="Arial" w:hAnsi="Arial"/>
                <w:sz w:val="13"/>
                <w:szCs w:val="13"/>
                <w:b w:val="1"/>
                <w:bCs w:val="1"/>
                <w:color w:val="333333"/>
              </w:rPr>
              <w:t>(2)</w:t>
            </w:r>
          </w:p>
        </w:tc>
        <w:tc>
          <w:tcPr>
            <w:tcW w:w="520" w:type="dxa"/>
            <w:vAlign w:val="bottom"/>
          </w:tcPr>
          <w:p>
            <w:pPr>
              <w:ind w:left="140"/>
              <w:spacing w:after="0"/>
              <w:rPr>
                <w:sz w:val="20"/>
                <w:szCs w:val="20"/>
                <w:color w:val="auto"/>
              </w:rPr>
            </w:pPr>
            <w:r>
              <w:rPr>
                <w:rFonts w:ascii="Arial" w:cs="Arial" w:eastAsia="Arial" w:hAnsi="Arial"/>
                <w:sz w:val="13"/>
                <w:szCs w:val="13"/>
                <w:b w:val="1"/>
                <w:bCs w:val="1"/>
                <w:color w:val="333333"/>
              </w:rPr>
              <w:t>4</w:t>
            </w:r>
          </w:p>
        </w:tc>
        <w:tc>
          <w:tcPr>
            <w:tcW w:w="480" w:type="dxa"/>
            <w:vAlign w:val="bottom"/>
          </w:tcPr>
          <w:p>
            <w:pPr>
              <w:ind w:left="120"/>
              <w:spacing w:after="0"/>
              <w:rPr>
                <w:sz w:val="20"/>
                <w:szCs w:val="20"/>
                <w:color w:val="auto"/>
              </w:rPr>
            </w:pPr>
            <w:r>
              <w:rPr>
                <w:rFonts w:ascii="Arial" w:cs="Arial" w:eastAsia="Arial" w:hAnsi="Arial"/>
                <w:sz w:val="13"/>
                <w:szCs w:val="13"/>
                <w:b w:val="1"/>
                <w:bCs w:val="1"/>
                <w:color w:val="333333"/>
              </w:rPr>
              <w:t>3</w:t>
            </w:r>
          </w:p>
        </w:tc>
        <w:tc>
          <w:tcPr>
            <w:tcW w:w="440" w:type="dxa"/>
            <w:vAlign w:val="bottom"/>
          </w:tcPr>
          <w:p>
            <w:pPr>
              <w:ind w:left="140"/>
              <w:spacing w:after="0"/>
              <w:rPr>
                <w:sz w:val="20"/>
                <w:szCs w:val="20"/>
                <w:color w:val="auto"/>
              </w:rPr>
            </w:pPr>
            <w:r>
              <w:rPr>
                <w:rFonts w:ascii="Arial" w:cs="Arial" w:eastAsia="Arial" w:hAnsi="Arial"/>
                <w:sz w:val="13"/>
                <w:szCs w:val="13"/>
                <w:b w:val="1"/>
                <w:bCs w:val="1"/>
                <w:color w:val="333333"/>
              </w:rPr>
              <w:t>5</w:t>
            </w:r>
          </w:p>
        </w:tc>
      </w:tr>
      <w:tr>
        <w:trPr>
          <w:trHeight w:val="419"/>
        </w:trPr>
        <w:tc>
          <w:tcPr>
            <w:tcW w:w="360" w:type="dxa"/>
            <w:vAlign w:val="bottom"/>
          </w:tcPr>
          <w:p>
            <w:pPr>
              <w:spacing w:after="0"/>
              <w:rPr>
                <w:sz w:val="20"/>
                <w:szCs w:val="20"/>
                <w:color w:val="auto"/>
              </w:rPr>
            </w:pPr>
            <w:r>
              <w:rPr>
                <w:rFonts w:ascii="Arial" w:cs="Arial" w:eastAsia="Arial" w:hAnsi="Arial"/>
                <w:sz w:val="13"/>
                <w:szCs w:val="13"/>
                <w:b w:val="1"/>
                <w:bCs w:val="1"/>
                <w:color w:val="333333"/>
              </w:rPr>
              <w:t>—</w:t>
            </w:r>
          </w:p>
        </w:tc>
        <w:tc>
          <w:tcPr>
            <w:tcW w:w="500" w:type="dxa"/>
            <w:vAlign w:val="bottom"/>
          </w:tcPr>
          <w:p>
            <w:pPr>
              <w:ind w:left="140"/>
              <w:spacing w:after="0"/>
              <w:rPr>
                <w:sz w:val="20"/>
                <w:szCs w:val="20"/>
                <w:color w:val="auto"/>
              </w:rPr>
            </w:pPr>
            <w:r>
              <w:rPr>
                <w:rFonts w:ascii="Arial" w:cs="Arial" w:eastAsia="Arial" w:hAnsi="Arial"/>
                <w:sz w:val="13"/>
                <w:szCs w:val="13"/>
                <w:b w:val="1"/>
                <w:bCs w:val="1"/>
                <w:color w:val="333333"/>
              </w:rPr>
              <w:t>—</w:t>
            </w:r>
          </w:p>
        </w:tc>
        <w:tc>
          <w:tcPr>
            <w:tcW w:w="520" w:type="dxa"/>
            <w:vAlign w:val="bottom"/>
          </w:tcPr>
          <w:p>
            <w:pPr>
              <w:ind w:left="140"/>
              <w:spacing w:after="0"/>
              <w:rPr>
                <w:sz w:val="20"/>
                <w:szCs w:val="20"/>
                <w:color w:val="auto"/>
              </w:rPr>
            </w:pPr>
            <w:r>
              <w:rPr>
                <w:rFonts w:ascii="Arial" w:cs="Arial" w:eastAsia="Arial" w:hAnsi="Arial"/>
                <w:sz w:val="13"/>
                <w:szCs w:val="13"/>
                <w:b w:val="1"/>
                <w:bCs w:val="1"/>
                <w:color w:val="333333"/>
              </w:rPr>
              <w:t>—</w:t>
            </w:r>
          </w:p>
        </w:tc>
        <w:tc>
          <w:tcPr>
            <w:tcW w:w="480" w:type="dxa"/>
            <w:vAlign w:val="bottom"/>
          </w:tcPr>
          <w:p>
            <w:pPr>
              <w:ind w:left="12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40"/>
              <w:spacing w:after="0"/>
              <w:rPr>
                <w:sz w:val="20"/>
                <w:szCs w:val="20"/>
                <w:color w:val="auto"/>
              </w:rPr>
            </w:pPr>
            <w:r>
              <w:rPr>
                <w:rFonts w:ascii="Arial" w:cs="Arial" w:eastAsia="Arial" w:hAnsi="Arial"/>
                <w:sz w:val="13"/>
                <w:szCs w:val="13"/>
                <w:b w:val="1"/>
                <w:bCs w:val="1"/>
                <w:color w:val="333333"/>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-2094865</wp:posOffset>
            </wp:positionV>
            <wp:extent cx="5554980" cy="3086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554980" cy="3086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-1562735</wp:posOffset>
            </wp:positionV>
            <wp:extent cx="5554980" cy="3086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554980" cy="3086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-1031240</wp:posOffset>
            </wp:positionV>
            <wp:extent cx="5554980" cy="2228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554980" cy="22288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-474345</wp:posOffset>
            </wp:positionV>
            <wp:extent cx="5554980" cy="3086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55498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80" w:type="dxa"/>
            <w:vAlign w:val="bottom"/>
          </w:tcPr>
          <w:p>
            <w:pPr>
              <w:spacing w:after="0"/>
              <w:rPr>
                <w:sz w:val="20"/>
                <w:szCs w:val="20"/>
                <w:color w:val="auto"/>
              </w:rPr>
            </w:pPr>
            <w:r>
              <w:rPr>
                <w:rFonts w:ascii="Arial" w:cs="Arial" w:eastAsia="Arial" w:hAnsi="Arial"/>
                <w:sz w:val="13"/>
                <w:szCs w:val="13"/>
                <w:b w:val="1"/>
                <w:bCs w:val="1"/>
                <w:color w:val="333333"/>
              </w:rPr>
              <w:t>233</w:t>
            </w:r>
          </w:p>
        </w:tc>
        <w:tc>
          <w:tcPr>
            <w:tcW w:w="380" w:type="dxa"/>
            <w:vAlign w:val="bottom"/>
          </w:tcPr>
          <w:p>
            <w:pPr>
              <w:ind w:left="60"/>
              <w:spacing w:after="0"/>
              <w:rPr>
                <w:sz w:val="20"/>
                <w:szCs w:val="20"/>
                <w:color w:val="auto"/>
              </w:rPr>
            </w:pPr>
            <w:r>
              <w:rPr>
                <w:rFonts w:ascii="Arial" w:cs="Arial" w:eastAsia="Arial" w:hAnsi="Arial"/>
                <w:sz w:val="13"/>
                <w:szCs w:val="13"/>
                <w:b w:val="1"/>
                <w:bCs w:val="1"/>
                <w:color w:val="333333"/>
              </w:rPr>
              <w:t>184</w:t>
            </w:r>
          </w:p>
        </w:tc>
        <w:tc>
          <w:tcPr>
            <w:tcW w:w="440" w:type="dxa"/>
            <w:vAlign w:val="bottom"/>
          </w:tcPr>
          <w:p>
            <w:pPr>
              <w:ind w:left="120"/>
              <w:spacing w:after="0"/>
              <w:rPr>
                <w:sz w:val="20"/>
                <w:szCs w:val="20"/>
                <w:color w:val="auto"/>
              </w:rPr>
            </w:pPr>
            <w:r>
              <w:rPr>
                <w:rFonts w:ascii="Arial" w:cs="Arial" w:eastAsia="Arial" w:hAnsi="Arial"/>
                <w:sz w:val="13"/>
                <w:szCs w:val="13"/>
                <w:b w:val="1"/>
                <w:bCs w:val="1"/>
                <w:color w:val="333333"/>
              </w:rPr>
              <w:t>181</w:t>
            </w:r>
          </w:p>
        </w:tc>
        <w:tc>
          <w:tcPr>
            <w:tcW w:w="440" w:type="dxa"/>
            <w:vAlign w:val="bottom"/>
          </w:tcPr>
          <w:p>
            <w:pPr>
              <w:ind w:left="100"/>
              <w:spacing w:after="0"/>
              <w:rPr>
                <w:sz w:val="20"/>
                <w:szCs w:val="20"/>
                <w:color w:val="auto"/>
              </w:rPr>
            </w:pPr>
            <w:r>
              <w:rPr>
                <w:rFonts w:ascii="Arial" w:cs="Arial" w:eastAsia="Arial" w:hAnsi="Arial"/>
                <w:sz w:val="13"/>
                <w:szCs w:val="13"/>
                <w:b w:val="1"/>
                <w:bCs w:val="1"/>
                <w:color w:val="333333"/>
              </w:rPr>
              <w:t>100</w:t>
            </w:r>
          </w:p>
        </w:tc>
        <w:tc>
          <w:tcPr>
            <w:tcW w:w="400" w:type="dxa"/>
            <w:vAlign w:val="bottom"/>
          </w:tcPr>
          <w:p>
            <w:pPr>
              <w:ind w:left="100"/>
              <w:spacing w:after="0"/>
              <w:rPr>
                <w:sz w:val="20"/>
                <w:szCs w:val="20"/>
                <w:color w:val="auto"/>
              </w:rPr>
            </w:pPr>
            <w:r>
              <w:rPr>
                <w:rFonts w:ascii="Arial" w:cs="Arial" w:eastAsia="Arial" w:hAnsi="Arial"/>
                <w:sz w:val="13"/>
                <w:szCs w:val="13"/>
                <w:b w:val="1"/>
                <w:bCs w:val="1"/>
                <w:color w:val="333333"/>
              </w:rPr>
              <w:t>56</w:t>
            </w:r>
          </w:p>
        </w:tc>
        <w:tc>
          <w:tcPr>
            <w:tcW w:w="440" w:type="dxa"/>
            <w:vAlign w:val="bottom"/>
          </w:tcPr>
          <w:p>
            <w:pPr>
              <w:ind w:left="160"/>
              <w:spacing w:after="0"/>
              <w:rPr>
                <w:sz w:val="20"/>
                <w:szCs w:val="20"/>
                <w:color w:val="auto"/>
              </w:rPr>
            </w:pPr>
            <w:r>
              <w:rPr>
                <w:rFonts w:ascii="Arial" w:cs="Arial" w:eastAsia="Arial" w:hAnsi="Arial"/>
                <w:sz w:val="13"/>
                <w:szCs w:val="13"/>
                <w:b w:val="1"/>
                <w:bCs w:val="1"/>
                <w:color w:val="333333"/>
              </w:rPr>
              <w:t>38</w:t>
            </w:r>
          </w:p>
        </w:tc>
        <w:tc>
          <w:tcPr>
            <w:tcW w:w="460" w:type="dxa"/>
            <w:vAlign w:val="bottom"/>
          </w:tcPr>
          <w:p>
            <w:pPr>
              <w:ind w:left="160"/>
              <w:spacing w:after="0"/>
              <w:rPr>
                <w:sz w:val="20"/>
                <w:szCs w:val="20"/>
                <w:color w:val="auto"/>
              </w:rPr>
            </w:pPr>
            <w:r>
              <w:rPr>
                <w:rFonts w:ascii="Arial" w:cs="Arial" w:eastAsia="Arial" w:hAnsi="Arial"/>
                <w:sz w:val="13"/>
                <w:szCs w:val="13"/>
                <w:b w:val="1"/>
                <w:bCs w:val="1"/>
                <w:color w:val="333333"/>
              </w:rPr>
              <w:t>25</w:t>
            </w:r>
          </w:p>
        </w:tc>
        <w:tc>
          <w:tcPr>
            <w:tcW w:w="280" w:type="dxa"/>
            <w:vAlign w:val="bottom"/>
          </w:tcPr>
          <w:p>
            <w:pPr>
              <w:ind w:left="140"/>
              <w:spacing w:after="0"/>
              <w:rPr>
                <w:sz w:val="20"/>
                <w:szCs w:val="20"/>
                <w:color w:val="auto"/>
              </w:rPr>
            </w:pPr>
            <w:r>
              <w:rPr>
                <w:rFonts w:ascii="Arial" w:cs="Arial" w:eastAsia="Arial" w:hAnsi="Arial"/>
                <w:sz w:val="13"/>
                <w:szCs w:val="13"/>
                <w:b w:val="1"/>
                <w:bCs w:val="1"/>
                <w:color w:val="333333"/>
                <w:w w:val="82"/>
              </w:rPr>
              <w:t>22</w:t>
            </w:r>
          </w:p>
        </w:tc>
      </w:tr>
      <w:tr>
        <w:trPr>
          <w:trHeight w:val="446"/>
        </w:trPr>
        <w:tc>
          <w:tcPr>
            <w:tcW w:w="380" w:type="dxa"/>
            <w:vAlign w:val="bottom"/>
          </w:tcPr>
          <w:p>
            <w:pPr>
              <w:spacing w:after="0"/>
              <w:rPr>
                <w:sz w:val="20"/>
                <w:szCs w:val="20"/>
                <w:color w:val="auto"/>
              </w:rPr>
            </w:pPr>
            <w:r>
              <w:rPr>
                <w:rFonts w:ascii="Arial" w:cs="Arial" w:eastAsia="Arial" w:hAnsi="Arial"/>
                <w:sz w:val="13"/>
                <w:szCs w:val="13"/>
                <w:b w:val="1"/>
                <w:bCs w:val="1"/>
                <w:color w:val="333333"/>
              </w:rPr>
              <w:t>(109)</w:t>
            </w:r>
          </w:p>
        </w:tc>
        <w:tc>
          <w:tcPr>
            <w:tcW w:w="380" w:type="dxa"/>
            <w:vAlign w:val="bottom"/>
          </w:tcPr>
          <w:p>
            <w:pPr>
              <w:ind w:left="6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2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00"/>
              <w:spacing w:after="0"/>
              <w:rPr>
                <w:sz w:val="20"/>
                <w:szCs w:val="20"/>
                <w:color w:val="auto"/>
              </w:rPr>
            </w:pPr>
            <w:r>
              <w:rPr>
                <w:rFonts w:ascii="Arial" w:cs="Arial" w:eastAsia="Arial" w:hAnsi="Arial"/>
                <w:sz w:val="13"/>
                <w:szCs w:val="13"/>
                <w:b w:val="1"/>
                <w:bCs w:val="1"/>
                <w:color w:val="333333"/>
              </w:rPr>
              <w:t>—</w:t>
            </w:r>
          </w:p>
        </w:tc>
        <w:tc>
          <w:tcPr>
            <w:tcW w:w="400" w:type="dxa"/>
            <w:vAlign w:val="bottom"/>
          </w:tcPr>
          <w:p>
            <w:pPr>
              <w:ind w:left="10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60"/>
              <w:spacing w:after="0"/>
              <w:rPr>
                <w:sz w:val="20"/>
                <w:szCs w:val="20"/>
                <w:color w:val="auto"/>
              </w:rPr>
            </w:pPr>
            <w:r>
              <w:rPr>
                <w:rFonts w:ascii="Arial" w:cs="Arial" w:eastAsia="Arial" w:hAnsi="Arial"/>
                <w:sz w:val="13"/>
                <w:szCs w:val="13"/>
                <w:b w:val="1"/>
                <w:bCs w:val="1"/>
                <w:color w:val="333333"/>
              </w:rPr>
              <w:t>—</w:t>
            </w:r>
          </w:p>
        </w:tc>
        <w:tc>
          <w:tcPr>
            <w:tcW w:w="460" w:type="dxa"/>
            <w:vAlign w:val="bottom"/>
          </w:tcPr>
          <w:p>
            <w:pPr>
              <w:ind w:left="160"/>
              <w:spacing w:after="0"/>
              <w:rPr>
                <w:sz w:val="20"/>
                <w:szCs w:val="20"/>
                <w:color w:val="auto"/>
              </w:rPr>
            </w:pPr>
            <w:r>
              <w:rPr>
                <w:rFonts w:ascii="Arial" w:cs="Arial" w:eastAsia="Arial" w:hAnsi="Arial"/>
                <w:sz w:val="13"/>
                <w:szCs w:val="13"/>
                <w:b w:val="1"/>
                <w:bCs w:val="1"/>
                <w:color w:val="333333"/>
              </w:rPr>
              <w:t>—</w:t>
            </w:r>
          </w:p>
        </w:tc>
        <w:tc>
          <w:tcPr>
            <w:tcW w:w="280" w:type="dxa"/>
            <w:vAlign w:val="bottom"/>
          </w:tcPr>
          <w:p>
            <w:pPr>
              <w:ind w:left="140"/>
              <w:spacing w:after="0"/>
              <w:rPr>
                <w:sz w:val="20"/>
                <w:szCs w:val="20"/>
                <w:color w:val="auto"/>
              </w:rPr>
            </w:pPr>
            <w:r>
              <w:rPr>
                <w:rFonts w:ascii="Arial" w:cs="Arial" w:eastAsia="Arial" w:hAnsi="Arial"/>
                <w:sz w:val="13"/>
                <w:szCs w:val="13"/>
                <w:b w:val="1"/>
                <w:bCs w:val="1"/>
                <w:color w:val="333333"/>
                <w:w w:val="91"/>
              </w:rPr>
              <w:t>—</w:t>
            </w:r>
          </w:p>
        </w:tc>
      </w:tr>
      <w:tr>
        <w:trPr>
          <w:trHeight w:val="418"/>
        </w:trPr>
        <w:tc>
          <w:tcPr>
            <w:tcW w:w="380" w:type="dxa"/>
            <w:vAlign w:val="bottom"/>
          </w:tcPr>
          <w:p>
            <w:pPr>
              <w:spacing w:after="0"/>
              <w:rPr>
                <w:sz w:val="20"/>
                <w:szCs w:val="20"/>
                <w:color w:val="auto"/>
              </w:rPr>
            </w:pPr>
            <w:r>
              <w:rPr>
                <w:rFonts w:ascii="Arial" w:cs="Arial" w:eastAsia="Arial" w:hAnsi="Arial"/>
                <w:sz w:val="13"/>
                <w:szCs w:val="13"/>
                <w:b w:val="1"/>
                <w:bCs w:val="1"/>
                <w:color w:val="333333"/>
              </w:rPr>
              <w:t>45</w:t>
            </w:r>
          </w:p>
        </w:tc>
        <w:tc>
          <w:tcPr>
            <w:tcW w:w="380" w:type="dxa"/>
            <w:vAlign w:val="bottom"/>
          </w:tcPr>
          <w:p>
            <w:pPr>
              <w:ind w:left="60"/>
              <w:spacing w:after="0"/>
              <w:rPr>
                <w:sz w:val="20"/>
                <w:szCs w:val="20"/>
                <w:color w:val="auto"/>
              </w:rPr>
            </w:pPr>
            <w:r>
              <w:rPr>
                <w:rFonts w:ascii="Arial" w:cs="Arial" w:eastAsia="Arial" w:hAnsi="Arial"/>
                <w:sz w:val="13"/>
                <w:szCs w:val="13"/>
                <w:b w:val="1"/>
                <w:bCs w:val="1"/>
                <w:color w:val="333333"/>
              </w:rPr>
              <w:t>25</w:t>
            </w:r>
          </w:p>
        </w:tc>
        <w:tc>
          <w:tcPr>
            <w:tcW w:w="440" w:type="dxa"/>
            <w:vAlign w:val="bottom"/>
          </w:tcPr>
          <w:p>
            <w:pPr>
              <w:ind w:left="120"/>
              <w:spacing w:after="0"/>
              <w:rPr>
                <w:sz w:val="20"/>
                <w:szCs w:val="20"/>
                <w:color w:val="auto"/>
              </w:rPr>
            </w:pPr>
            <w:r>
              <w:rPr>
                <w:rFonts w:ascii="Arial" w:cs="Arial" w:eastAsia="Arial" w:hAnsi="Arial"/>
                <w:sz w:val="13"/>
                <w:szCs w:val="13"/>
                <w:b w:val="1"/>
                <w:bCs w:val="1"/>
                <w:color w:val="333333"/>
              </w:rPr>
              <w:t>40</w:t>
            </w:r>
          </w:p>
        </w:tc>
        <w:tc>
          <w:tcPr>
            <w:tcW w:w="440" w:type="dxa"/>
            <w:vAlign w:val="bottom"/>
          </w:tcPr>
          <w:p>
            <w:pPr>
              <w:ind w:left="100"/>
              <w:spacing w:after="0"/>
              <w:rPr>
                <w:sz w:val="20"/>
                <w:szCs w:val="20"/>
                <w:color w:val="auto"/>
              </w:rPr>
            </w:pPr>
            <w:r>
              <w:rPr>
                <w:rFonts w:ascii="Arial" w:cs="Arial" w:eastAsia="Arial" w:hAnsi="Arial"/>
                <w:sz w:val="13"/>
                <w:szCs w:val="13"/>
                <w:b w:val="1"/>
                <w:bCs w:val="1"/>
                <w:color w:val="333333"/>
              </w:rPr>
              <w:t>—</w:t>
            </w:r>
          </w:p>
        </w:tc>
        <w:tc>
          <w:tcPr>
            <w:tcW w:w="400" w:type="dxa"/>
            <w:vAlign w:val="bottom"/>
          </w:tcPr>
          <w:p>
            <w:pPr>
              <w:ind w:left="10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60"/>
              <w:spacing w:after="0"/>
              <w:rPr>
                <w:sz w:val="20"/>
                <w:szCs w:val="20"/>
                <w:color w:val="auto"/>
              </w:rPr>
            </w:pPr>
            <w:r>
              <w:rPr>
                <w:rFonts w:ascii="Arial" w:cs="Arial" w:eastAsia="Arial" w:hAnsi="Arial"/>
                <w:sz w:val="13"/>
                <w:szCs w:val="13"/>
                <w:b w:val="1"/>
                <w:bCs w:val="1"/>
                <w:color w:val="333333"/>
              </w:rPr>
              <w:t>—</w:t>
            </w:r>
          </w:p>
        </w:tc>
        <w:tc>
          <w:tcPr>
            <w:tcW w:w="460" w:type="dxa"/>
            <w:vAlign w:val="bottom"/>
          </w:tcPr>
          <w:p>
            <w:pPr>
              <w:ind w:left="160"/>
              <w:spacing w:after="0"/>
              <w:rPr>
                <w:sz w:val="20"/>
                <w:szCs w:val="20"/>
                <w:color w:val="auto"/>
              </w:rPr>
            </w:pPr>
            <w:r>
              <w:rPr>
                <w:rFonts w:ascii="Arial" w:cs="Arial" w:eastAsia="Arial" w:hAnsi="Arial"/>
                <w:sz w:val="13"/>
                <w:szCs w:val="13"/>
                <w:b w:val="1"/>
                <w:bCs w:val="1"/>
                <w:color w:val="333333"/>
              </w:rPr>
              <w:t>—</w:t>
            </w:r>
          </w:p>
        </w:tc>
        <w:tc>
          <w:tcPr>
            <w:tcW w:w="280" w:type="dxa"/>
            <w:vAlign w:val="bottom"/>
          </w:tcPr>
          <w:p>
            <w:pPr>
              <w:ind w:left="140"/>
              <w:spacing w:after="0"/>
              <w:rPr>
                <w:sz w:val="20"/>
                <w:szCs w:val="20"/>
                <w:color w:val="auto"/>
              </w:rPr>
            </w:pPr>
            <w:r>
              <w:rPr>
                <w:rFonts w:ascii="Arial" w:cs="Arial" w:eastAsia="Arial" w:hAnsi="Arial"/>
                <w:sz w:val="13"/>
                <w:szCs w:val="13"/>
                <w:b w:val="1"/>
                <w:bCs w:val="1"/>
                <w:color w:val="333333"/>
                <w:w w:val="91"/>
              </w:rPr>
              <w:t>—</w:t>
            </w:r>
          </w:p>
        </w:tc>
      </w:tr>
      <w:tr>
        <w:trPr>
          <w:trHeight w:val="418"/>
        </w:trPr>
        <w:tc>
          <w:tcPr>
            <w:tcW w:w="380" w:type="dxa"/>
            <w:vAlign w:val="bottom"/>
          </w:tcPr>
          <w:p>
            <w:pPr>
              <w:spacing w:after="0"/>
              <w:rPr>
                <w:sz w:val="20"/>
                <w:szCs w:val="20"/>
                <w:color w:val="auto"/>
              </w:rPr>
            </w:pPr>
            <w:r>
              <w:rPr>
                <w:rFonts w:ascii="Arial" w:cs="Arial" w:eastAsia="Arial" w:hAnsi="Arial"/>
                <w:sz w:val="13"/>
                <w:szCs w:val="13"/>
                <w:b w:val="1"/>
                <w:bCs w:val="1"/>
                <w:color w:val="333333"/>
              </w:rPr>
              <w:t>—</w:t>
            </w:r>
          </w:p>
        </w:tc>
        <w:tc>
          <w:tcPr>
            <w:tcW w:w="380" w:type="dxa"/>
            <w:vAlign w:val="bottom"/>
          </w:tcPr>
          <w:p>
            <w:pPr>
              <w:ind w:left="6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2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00"/>
              <w:spacing w:after="0"/>
              <w:rPr>
                <w:sz w:val="20"/>
                <w:szCs w:val="20"/>
                <w:color w:val="auto"/>
              </w:rPr>
            </w:pPr>
            <w:r>
              <w:rPr>
                <w:rFonts w:ascii="Arial" w:cs="Arial" w:eastAsia="Arial" w:hAnsi="Arial"/>
                <w:sz w:val="13"/>
                <w:szCs w:val="13"/>
                <w:b w:val="1"/>
                <w:bCs w:val="1"/>
                <w:color w:val="333333"/>
              </w:rPr>
              <w:t>—</w:t>
            </w:r>
          </w:p>
        </w:tc>
        <w:tc>
          <w:tcPr>
            <w:tcW w:w="400" w:type="dxa"/>
            <w:vAlign w:val="bottom"/>
          </w:tcPr>
          <w:p>
            <w:pPr>
              <w:ind w:left="10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60"/>
              <w:spacing w:after="0"/>
              <w:rPr>
                <w:sz w:val="20"/>
                <w:szCs w:val="20"/>
                <w:color w:val="auto"/>
              </w:rPr>
            </w:pPr>
            <w:r>
              <w:rPr>
                <w:rFonts w:ascii="Arial" w:cs="Arial" w:eastAsia="Arial" w:hAnsi="Arial"/>
                <w:sz w:val="13"/>
                <w:szCs w:val="13"/>
                <w:b w:val="1"/>
                <w:bCs w:val="1"/>
                <w:color w:val="333333"/>
              </w:rPr>
              <w:t>—</w:t>
            </w:r>
          </w:p>
        </w:tc>
        <w:tc>
          <w:tcPr>
            <w:tcW w:w="460" w:type="dxa"/>
            <w:vAlign w:val="bottom"/>
          </w:tcPr>
          <w:p>
            <w:pPr>
              <w:ind w:left="160"/>
              <w:spacing w:after="0"/>
              <w:rPr>
                <w:sz w:val="20"/>
                <w:szCs w:val="20"/>
                <w:color w:val="auto"/>
              </w:rPr>
            </w:pPr>
            <w:r>
              <w:rPr>
                <w:rFonts w:ascii="Arial" w:cs="Arial" w:eastAsia="Arial" w:hAnsi="Arial"/>
                <w:sz w:val="13"/>
                <w:szCs w:val="13"/>
                <w:b w:val="1"/>
                <w:bCs w:val="1"/>
                <w:color w:val="333333"/>
              </w:rPr>
              <w:t>—</w:t>
            </w:r>
          </w:p>
        </w:tc>
        <w:tc>
          <w:tcPr>
            <w:tcW w:w="280" w:type="dxa"/>
            <w:vAlign w:val="bottom"/>
          </w:tcPr>
          <w:p>
            <w:pPr>
              <w:ind w:left="140"/>
              <w:spacing w:after="0"/>
              <w:rPr>
                <w:sz w:val="20"/>
                <w:szCs w:val="20"/>
                <w:color w:val="auto"/>
              </w:rPr>
            </w:pPr>
            <w:r>
              <w:rPr>
                <w:rFonts w:ascii="Arial" w:cs="Arial" w:eastAsia="Arial" w:hAnsi="Arial"/>
                <w:sz w:val="13"/>
                <w:szCs w:val="13"/>
                <w:b w:val="1"/>
                <w:bCs w:val="1"/>
                <w:color w:val="333333"/>
                <w:w w:val="91"/>
              </w:rPr>
              <w:t>—</w:t>
            </w:r>
          </w:p>
        </w:tc>
      </w:tr>
      <w:tr>
        <w:trPr>
          <w:trHeight w:val="418"/>
        </w:trPr>
        <w:tc>
          <w:tcPr>
            <w:tcW w:w="380" w:type="dxa"/>
            <w:vAlign w:val="bottom"/>
          </w:tcPr>
          <w:p>
            <w:pPr>
              <w:spacing w:after="0"/>
              <w:rPr>
                <w:sz w:val="20"/>
                <w:szCs w:val="20"/>
                <w:color w:val="auto"/>
              </w:rPr>
            </w:pPr>
            <w:r>
              <w:rPr>
                <w:rFonts w:ascii="Arial" w:cs="Arial" w:eastAsia="Arial" w:hAnsi="Arial"/>
                <w:sz w:val="13"/>
                <w:szCs w:val="13"/>
                <w:b w:val="1"/>
                <w:bCs w:val="1"/>
                <w:color w:val="333333"/>
              </w:rPr>
              <w:t>3</w:t>
            </w:r>
          </w:p>
        </w:tc>
        <w:tc>
          <w:tcPr>
            <w:tcW w:w="380" w:type="dxa"/>
            <w:vAlign w:val="bottom"/>
          </w:tcPr>
          <w:p>
            <w:pPr>
              <w:ind w:left="6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2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00"/>
              <w:spacing w:after="0"/>
              <w:rPr>
                <w:sz w:val="20"/>
                <w:szCs w:val="20"/>
                <w:color w:val="auto"/>
              </w:rPr>
            </w:pPr>
            <w:r>
              <w:rPr>
                <w:rFonts w:ascii="Arial" w:cs="Arial" w:eastAsia="Arial" w:hAnsi="Arial"/>
                <w:sz w:val="13"/>
                <w:szCs w:val="13"/>
                <w:b w:val="1"/>
                <w:bCs w:val="1"/>
                <w:color w:val="333333"/>
              </w:rPr>
              <w:t>16</w:t>
            </w:r>
          </w:p>
        </w:tc>
        <w:tc>
          <w:tcPr>
            <w:tcW w:w="400" w:type="dxa"/>
            <w:vAlign w:val="bottom"/>
          </w:tcPr>
          <w:p>
            <w:pPr>
              <w:ind w:left="10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60"/>
              <w:spacing w:after="0"/>
              <w:rPr>
                <w:sz w:val="20"/>
                <w:szCs w:val="20"/>
                <w:color w:val="auto"/>
              </w:rPr>
            </w:pPr>
            <w:r>
              <w:rPr>
                <w:rFonts w:ascii="Arial" w:cs="Arial" w:eastAsia="Arial" w:hAnsi="Arial"/>
                <w:sz w:val="13"/>
                <w:szCs w:val="13"/>
                <w:b w:val="1"/>
                <w:bCs w:val="1"/>
                <w:color w:val="333333"/>
              </w:rPr>
              <w:t>—</w:t>
            </w:r>
          </w:p>
        </w:tc>
        <w:tc>
          <w:tcPr>
            <w:tcW w:w="460" w:type="dxa"/>
            <w:vAlign w:val="bottom"/>
          </w:tcPr>
          <w:p>
            <w:pPr>
              <w:ind w:left="160"/>
              <w:spacing w:after="0"/>
              <w:rPr>
                <w:sz w:val="20"/>
                <w:szCs w:val="20"/>
                <w:color w:val="auto"/>
              </w:rPr>
            </w:pPr>
            <w:r>
              <w:rPr>
                <w:rFonts w:ascii="Arial" w:cs="Arial" w:eastAsia="Arial" w:hAnsi="Arial"/>
                <w:sz w:val="13"/>
                <w:szCs w:val="13"/>
                <w:b w:val="1"/>
                <w:bCs w:val="1"/>
                <w:color w:val="333333"/>
              </w:rPr>
              <w:t>3</w:t>
            </w:r>
          </w:p>
        </w:tc>
        <w:tc>
          <w:tcPr>
            <w:tcW w:w="280" w:type="dxa"/>
            <w:vAlign w:val="bottom"/>
          </w:tcPr>
          <w:p>
            <w:pPr>
              <w:ind w:left="140"/>
              <w:spacing w:after="0"/>
              <w:rPr>
                <w:sz w:val="20"/>
                <w:szCs w:val="20"/>
                <w:color w:val="auto"/>
              </w:rPr>
            </w:pPr>
            <w:r>
              <w:rPr>
                <w:rFonts w:ascii="Arial" w:cs="Arial" w:eastAsia="Arial" w:hAnsi="Arial"/>
                <w:sz w:val="13"/>
                <w:szCs w:val="13"/>
                <w:b w:val="1"/>
                <w:bCs w:val="1"/>
                <w:color w:val="333333"/>
                <w:w w:val="91"/>
              </w:rPr>
              <w:t>—</w:t>
            </w:r>
          </w:p>
        </w:tc>
      </w:tr>
      <w:tr>
        <w:trPr>
          <w:trHeight w:val="351"/>
        </w:trPr>
        <w:tc>
          <w:tcPr>
            <w:tcW w:w="380" w:type="dxa"/>
            <w:vAlign w:val="bottom"/>
          </w:tcPr>
          <w:p>
            <w:pPr>
              <w:spacing w:after="0"/>
              <w:rPr>
                <w:sz w:val="20"/>
                <w:szCs w:val="20"/>
                <w:color w:val="auto"/>
              </w:rPr>
            </w:pPr>
            <w:r>
              <w:rPr>
                <w:rFonts w:ascii="Arial" w:cs="Arial" w:eastAsia="Arial" w:hAnsi="Arial"/>
                <w:sz w:val="13"/>
                <w:szCs w:val="13"/>
                <w:b w:val="1"/>
                <w:bCs w:val="1"/>
                <w:color w:val="333333"/>
              </w:rPr>
              <w:t>11</w:t>
            </w:r>
          </w:p>
        </w:tc>
        <w:tc>
          <w:tcPr>
            <w:tcW w:w="380" w:type="dxa"/>
            <w:vAlign w:val="bottom"/>
          </w:tcPr>
          <w:p>
            <w:pPr>
              <w:ind w:left="6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2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00"/>
              <w:spacing w:after="0"/>
              <w:rPr>
                <w:sz w:val="20"/>
                <w:szCs w:val="20"/>
                <w:color w:val="auto"/>
              </w:rPr>
            </w:pPr>
            <w:r>
              <w:rPr>
                <w:rFonts w:ascii="Arial" w:cs="Arial" w:eastAsia="Arial" w:hAnsi="Arial"/>
                <w:sz w:val="13"/>
                <w:szCs w:val="13"/>
                <w:b w:val="1"/>
                <w:bCs w:val="1"/>
                <w:color w:val="333333"/>
              </w:rPr>
              <w:t>—</w:t>
            </w:r>
          </w:p>
        </w:tc>
        <w:tc>
          <w:tcPr>
            <w:tcW w:w="400" w:type="dxa"/>
            <w:vAlign w:val="bottom"/>
          </w:tcPr>
          <w:p>
            <w:pPr>
              <w:ind w:left="10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60"/>
              <w:spacing w:after="0"/>
              <w:rPr>
                <w:sz w:val="20"/>
                <w:szCs w:val="20"/>
                <w:color w:val="auto"/>
              </w:rPr>
            </w:pPr>
            <w:r>
              <w:rPr>
                <w:rFonts w:ascii="Arial" w:cs="Arial" w:eastAsia="Arial" w:hAnsi="Arial"/>
                <w:sz w:val="13"/>
                <w:szCs w:val="13"/>
                <w:b w:val="1"/>
                <w:bCs w:val="1"/>
                <w:color w:val="333333"/>
              </w:rPr>
              <w:t>—</w:t>
            </w:r>
          </w:p>
        </w:tc>
        <w:tc>
          <w:tcPr>
            <w:tcW w:w="460" w:type="dxa"/>
            <w:vAlign w:val="bottom"/>
          </w:tcPr>
          <w:p>
            <w:pPr>
              <w:ind w:left="160"/>
              <w:spacing w:after="0"/>
              <w:rPr>
                <w:sz w:val="20"/>
                <w:szCs w:val="20"/>
                <w:color w:val="auto"/>
              </w:rPr>
            </w:pPr>
            <w:r>
              <w:rPr>
                <w:rFonts w:ascii="Arial" w:cs="Arial" w:eastAsia="Arial" w:hAnsi="Arial"/>
                <w:sz w:val="13"/>
                <w:szCs w:val="13"/>
                <w:b w:val="1"/>
                <w:bCs w:val="1"/>
                <w:color w:val="333333"/>
              </w:rPr>
              <w:t>—</w:t>
            </w:r>
          </w:p>
        </w:tc>
        <w:tc>
          <w:tcPr>
            <w:tcW w:w="280" w:type="dxa"/>
            <w:vAlign w:val="bottom"/>
          </w:tcPr>
          <w:p>
            <w:pPr>
              <w:ind w:left="140"/>
              <w:spacing w:after="0"/>
              <w:rPr>
                <w:sz w:val="20"/>
                <w:szCs w:val="20"/>
                <w:color w:val="auto"/>
              </w:rPr>
            </w:pPr>
            <w:r>
              <w:rPr>
                <w:rFonts w:ascii="Arial" w:cs="Arial" w:eastAsia="Arial" w:hAnsi="Arial"/>
                <w:sz w:val="13"/>
                <w:szCs w:val="13"/>
                <w:b w:val="1"/>
                <w:bCs w:val="1"/>
                <w:color w:val="333333"/>
                <w:w w:val="91"/>
              </w:rPr>
              <w:t>—</w:t>
            </w:r>
          </w:p>
        </w:tc>
      </w:tr>
      <w:tr>
        <w:trPr>
          <w:trHeight w:val="432"/>
        </w:trPr>
        <w:tc>
          <w:tcPr>
            <w:tcW w:w="380" w:type="dxa"/>
            <w:vAlign w:val="bottom"/>
          </w:tcPr>
          <w:p>
            <w:pPr>
              <w:spacing w:after="0"/>
              <w:rPr>
                <w:sz w:val="20"/>
                <w:szCs w:val="20"/>
                <w:color w:val="auto"/>
              </w:rPr>
            </w:pPr>
            <w:r>
              <w:rPr>
                <w:rFonts w:ascii="Arial" w:cs="Arial" w:eastAsia="Arial" w:hAnsi="Arial"/>
                <w:sz w:val="13"/>
                <w:szCs w:val="13"/>
                <w:b w:val="1"/>
                <w:bCs w:val="1"/>
                <w:color w:val="333333"/>
              </w:rPr>
              <w:t>—</w:t>
            </w:r>
          </w:p>
        </w:tc>
        <w:tc>
          <w:tcPr>
            <w:tcW w:w="380" w:type="dxa"/>
            <w:vAlign w:val="bottom"/>
          </w:tcPr>
          <w:p>
            <w:pPr>
              <w:ind w:left="6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2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00"/>
              <w:spacing w:after="0"/>
              <w:rPr>
                <w:sz w:val="20"/>
                <w:szCs w:val="20"/>
                <w:color w:val="auto"/>
              </w:rPr>
            </w:pPr>
            <w:r>
              <w:rPr>
                <w:rFonts w:ascii="Arial" w:cs="Arial" w:eastAsia="Arial" w:hAnsi="Arial"/>
                <w:sz w:val="13"/>
                <w:szCs w:val="13"/>
                <w:b w:val="1"/>
                <w:bCs w:val="1"/>
                <w:color w:val="333333"/>
              </w:rPr>
              <w:t>—</w:t>
            </w:r>
          </w:p>
        </w:tc>
        <w:tc>
          <w:tcPr>
            <w:tcW w:w="400" w:type="dxa"/>
            <w:vAlign w:val="bottom"/>
          </w:tcPr>
          <w:p>
            <w:pPr>
              <w:ind w:left="10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60"/>
              <w:spacing w:after="0"/>
              <w:rPr>
                <w:sz w:val="20"/>
                <w:szCs w:val="20"/>
                <w:color w:val="auto"/>
              </w:rPr>
            </w:pPr>
            <w:r>
              <w:rPr>
                <w:rFonts w:ascii="Arial" w:cs="Arial" w:eastAsia="Arial" w:hAnsi="Arial"/>
                <w:sz w:val="13"/>
                <w:szCs w:val="13"/>
                <w:b w:val="1"/>
                <w:bCs w:val="1"/>
                <w:color w:val="333333"/>
              </w:rPr>
              <w:t>—</w:t>
            </w:r>
          </w:p>
        </w:tc>
        <w:tc>
          <w:tcPr>
            <w:tcW w:w="460" w:type="dxa"/>
            <w:vAlign w:val="bottom"/>
          </w:tcPr>
          <w:p>
            <w:pPr>
              <w:ind w:left="160"/>
              <w:spacing w:after="0"/>
              <w:rPr>
                <w:sz w:val="20"/>
                <w:szCs w:val="20"/>
                <w:color w:val="auto"/>
              </w:rPr>
            </w:pPr>
            <w:r>
              <w:rPr>
                <w:rFonts w:ascii="Arial" w:cs="Arial" w:eastAsia="Arial" w:hAnsi="Arial"/>
                <w:sz w:val="13"/>
                <w:szCs w:val="13"/>
                <w:b w:val="1"/>
                <w:bCs w:val="1"/>
                <w:color w:val="333333"/>
              </w:rPr>
              <w:t>—</w:t>
            </w:r>
          </w:p>
        </w:tc>
        <w:tc>
          <w:tcPr>
            <w:tcW w:w="280" w:type="dxa"/>
            <w:vAlign w:val="bottom"/>
          </w:tcPr>
          <w:p>
            <w:pPr>
              <w:ind w:left="140"/>
              <w:spacing w:after="0"/>
              <w:rPr>
                <w:sz w:val="20"/>
                <w:szCs w:val="20"/>
                <w:color w:val="auto"/>
              </w:rPr>
            </w:pPr>
            <w:r>
              <w:rPr>
                <w:rFonts w:ascii="Arial" w:cs="Arial" w:eastAsia="Arial" w:hAnsi="Arial"/>
                <w:sz w:val="13"/>
                <w:szCs w:val="13"/>
                <w:b w:val="1"/>
                <w:bCs w:val="1"/>
                <w:color w:val="333333"/>
                <w:w w:val="91"/>
              </w:rPr>
              <w:t>—</w:t>
            </w:r>
          </w:p>
        </w:tc>
      </w:tr>
      <w:tr>
        <w:trPr>
          <w:trHeight w:val="513"/>
        </w:trPr>
        <w:tc>
          <w:tcPr>
            <w:tcW w:w="380" w:type="dxa"/>
            <w:vAlign w:val="bottom"/>
          </w:tcPr>
          <w:p>
            <w:pPr>
              <w:spacing w:after="0"/>
              <w:rPr>
                <w:sz w:val="20"/>
                <w:szCs w:val="20"/>
                <w:color w:val="auto"/>
              </w:rPr>
            </w:pPr>
            <w:r>
              <w:rPr>
                <w:rFonts w:ascii="Arial" w:cs="Arial" w:eastAsia="Arial" w:hAnsi="Arial"/>
                <w:sz w:val="13"/>
                <w:szCs w:val="13"/>
                <w:b w:val="1"/>
                <w:bCs w:val="1"/>
                <w:color w:val="333333"/>
              </w:rPr>
              <w:t>1</w:t>
            </w:r>
          </w:p>
        </w:tc>
        <w:tc>
          <w:tcPr>
            <w:tcW w:w="380" w:type="dxa"/>
            <w:vAlign w:val="bottom"/>
          </w:tcPr>
          <w:p>
            <w:pPr>
              <w:ind w:left="6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2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00"/>
              <w:spacing w:after="0"/>
              <w:rPr>
                <w:sz w:val="20"/>
                <w:szCs w:val="20"/>
                <w:color w:val="auto"/>
              </w:rPr>
            </w:pPr>
            <w:r>
              <w:rPr>
                <w:rFonts w:ascii="Arial" w:cs="Arial" w:eastAsia="Arial" w:hAnsi="Arial"/>
                <w:sz w:val="13"/>
                <w:szCs w:val="13"/>
                <w:b w:val="1"/>
                <w:bCs w:val="1"/>
                <w:color w:val="333333"/>
              </w:rPr>
              <w:t>—</w:t>
            </w:r>
          </w:p>
        </w:tc>
        <w:tc>
          <w:tcPr>
            <w:tcW w:w="400" w:type="dxa"/>
            <w:vAlign w:val="bottom"/>
          </w:tcPr>
          <w:p>
            <w:pPr>
              <w:ind w:left="10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60"/>
              <w:spacing w:after="0"/>
              <w:rPr>
                <w:sz w:val="20"/>
                <w:szCs w:val="20"/>
                <w:color w:val="auto"/>
              </w:rPr>
            </w:pPr>
            <w:r>
              <w:rPr>
                <w:rFonts w:ascii="Arial" w:cs="Arial" w:eastAsia="Arial" w:hAnsi="Arial"/>
                <w:sz w:val="13"/>
                <w:szCs w:val="13"/>
                <w:b w:val="1"/>
                <w:bCs w:val="1"/>
                <w:color w:val="333333"/>
              </w:rPr>
              <w:t>—</w:t>
            </w:r>
          </w:p>
        </w:tc>
        <w:tc>
          <w:tcPr>
            <w:tcW w:w="460" w:type="dxa"/>
            <w:vAlign w:val="bottom"/>
          </w:tcPr>
          <w:p>
            <w:pPr>
              <w:ind w:left="160"/>
              <w:spacing w:after="0"/>
              <w:rPr>
                <w:sz w:val="20"/>
                <w:szCs w:val="20"/>
                <w:color w:val="auto"/>
              </w:rPr>
            </w:pPr>
            <w:r>
              <w:rPr>
                <w:rFonts w:ascii="Arial" w:cs="Arial" w:eastAsia="Arial" w:hAnsi="Arial"/>
                <w:sz w:val="13"/>
                <w:szCs w:val="13"/>
                <w:b w:val="1"/>
                <w:bCs w:val="1"/>
                <w:color w:val="333333"/>
              </w:rPr>
              <w:t>—</w:t>
            </w:r>
          </w:p>
        </w:tc>
        <w:tc>
          <w:tcPr>
            <w:tcW w:w="280" w:type="dxa"/>
            <w:vAlign w:val="bottom"/>
          </w:tcPr>
          <w:p>
            <w:pPr>
              <w:ind w:left="140"/>
              <w:spacing w:after="0"/>
              <w:rPr>
                <w:sz w:val="20"/>
                <w:szCs w:val="20"/>
                <w:color w:val="auto"/>
              </w:rPr>
            </w:pPr>
            <w:r>
              <w:rPr>
                <w:rFonts w:ascii="Arial" w:cs="Arial" w:eastAsia="Arial" w:hAnsi="Arial"/>
                <w:sz w:val="13"/>
                <w:szCs w:val="13"/>
                <w:b w:val="1"/>
                <w:bCs w:val="1"/>
                <w:color w:val="333333"/>
                <w:w w:val="91"/>
              </w:rPr>
              <w:t>—</w:t>
            </w:r>
          </w:p>
        </w:tc>
      </w:tr>
      <w:tr>
        <w:trPr>
          <w:trHeight w:val="419"/>
        </w:trPr>
        <w:tc>
          <w:tcPr>
            <w:tcW w:w="380" w:type="dxa"/>
            <w:vAlign w:val="bottom"/>
          </w:tcPr>
          <w:p>
            <w:pPr>
              <w:spacing w:after="0"/>
              <w:rPr>
                <w:sz w:val="20"/>
                <w:szCs w:val="20"/>
                <w:color w:val="auto"/>
              </w:rPr>
            </w:pPr>
            <w:r>
              <w:rPr>
                <w:rFonts w:ascii="Arial" w:cs="Arial" w:eastAsia="Arial" w:hAnsi="Arial"/>
                <w:sz w:val="13"/>
                <w:szCs w:val="13"/>
                <w:b w:val="1"/>
                <w:bCs w:val="1"/>
                <w:color w:val="333333"/>
              </w:rPr>
              <w:t>—</w:t>
            </w:r>
          </w:p>
        </w:tc>
        <w:tc>
          <w:tcPr>
            <w:tcW w:w="380" w:type="dxa"/>
            <w:vAlign w:val="bottom"/>
          </w:tcPr>
          <w:p>
            <w:pPr>
              <w:ind w:left="6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2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00"/>
              <w:spacing w:after="0"/>
              <w:rPr>
                <w:sz w:val="20"/>
                <w:szCs w:val="20"/>
                <w:color w:val="auto"/>
              </w:rPr>
            </w:pPr>
            <w:r>
              <w:rPr>
                <w:rFonts w:ascii="Arial" w:cs="Arial" w:eastAsia="Arial" w:hAnsi="Arial"/>
                <w:sz w:val="13"/>
                <w:szCs w:val="13"/>
                <w:b w:val="1"/>
                <w:bCs w:val="1"/>
                <w:color w:val="333333"/>
              </w:rPr>
              <w:t>—</w:t>
            </w:r>
          </w:p>
        </w:tc>
        <w:tc>
          <w:tcPr>
            <w:tcW w:w="400" w:type="dxa"/>
            <w:vAlign w:val="bottom"/>
          </w:tcPr>
          <w:p>
            <w:pPr>
              <w:ind w:left="100"/>
              <w:spacing w:after="0"/>
              <w:rPr>
                <w:sz w:val="20"/>
                <w:szCs w:val="20"/>
                <w:color w:val="auto"/>
              </w:rPr>
            </w:pPr>
            <w:r>
              <w:rPr>
                <w:rFonts w:ascii="Arial" w:cs="Arial" w:eastAsia="Arial" w:hAnsi="Arial"/>
                <w:sz w:val="13"/>
                <w:szCs w:val="13"/>
                <w:b w:val="1"/>
                <w:bCs w:val="1"/>
                <w:color w:val="333333"/>
              </w:rPr>
              <w:t>—</w:t>
            </w:r>
          </w:p>
        </w:tc>
        <w:tc>
          <w:tcPr>
            <w:tcW w:w="440" w:type="dxa"/>
            <w:vAlign w:val="bottom"/>
          </w:tcPr>
          <w:p>
            <w:pPr>
              <w:ind w:left="160"/>
              <w:spacing w:after="0"/>
              <w:rPr>
                <w:sz w:val="20"/>
                <w:szCs w:val="20"/>
                <w:color w:val="auto"/>
              </w:rPr>
            </w:pPr>
            <w:r>
              <w:rPr>
                <w:rFonts w:ascii="Arial" w:cs="Arial" w:eastAsia="Arial" w:hAnsi="Arial"/>
                <w:sz w:val="13"/>
                <w:szCs w:val="13"/>
                <w:b w:val="1"/>
                <w:bCs w:val="1"/>
                <w:color w:val="333333"/>
              </w:rPr>
              <w:t>—</w:t>
            </w:r>
          </w:p>
        </w:tc>
        <w:tc>
          <w:tcPr>
            <w:tcW w:w="460" w:type="dxa"/>
            <w:vAlign w:val="bottom"/>
          </w:tcPr>
          <w:p>
            <w:pPr>
              <w:ind w:left="160"/>
              <w:spacing w:after="0"/>
              <w:rPr>
                <w:sz w:val="20"/>
                <w:szCs w:val="20"/>
                <w:color w:val="auto"/>
              </w:rPr>
            </w:pPr>
            <w:r>
              <w:rPr>
                <w:rFonts w:ascii="Arial" w:cs="Arial" w:eastAsia="Arial" w:hAnsi="Arial"/>
                <w:sz w:val="13"/>
                <w:szCs w:val="13"/>
                <w:b w:val="1"/>
                <w:bCs w:val="1"/>
                <w:color w:val="333333"/>
              </w:rPr>
              <w:t>—</w:t>
            </w:r>
          </w:p>
        </w:tc>
        <w:tc>
          <w:tcPr>
            <w:tcW w:w="280" w:type="dxa"/>
            <w:vAlign w:val="bottom"/>
          </w:tcPr>
          <w:p>
            <w:pPr>
              <w:ind w:left="140"/>
              <w:spacing w:after="0"/>
              <w:rPr>
                <w:sz w:val="20"/>
                <w:szCs w:val="20"/>
                <w:color w:val="auto"/>
              </w:rPr>
            </w:pPr>
            <w:r>
              <w:rPr>
                <w:rFonts w:ascii="Arial" w:cs="Arial" w:eastAsia="Arial" w:hAnsi="Arial"/>
                <w:sz w:val="13"/>
                <w:szCs w:val="13"/>
                <w:b w:val="1"/>
                <w:bCs w:val="1"/>
                <w:color w:val="333333"/>
                <w:w w:val="91"/>
              </w:rPr>
              <w:t>—</w:t>
            </w:r>
          </w:p>
        </w:tc>
      </w:tr>
    </w:tbl>
    <w:p>
      <w:pPr>
        <w:spacing w:after="0" w:line="49" w:lineRule="exact"/>
        <w:rPr>
          <w:sz w:val="20"/>
          <w:szCs w:val="20"/>
          <w:color w:val="auto"/>
        </w:rPr>
      </w:pPr>
    </w:p>
    <w:p>
      <w:pPr>
        <w:sectPr>
          <w:pgSz w:w="11900" w:h="16838" w:orient="portrait"/>
          <w:cols w:equalWidth="0" w:num="3">
            <w:col w:w="3040" w:space="260"/>
            <w:col w:w="2300" w:space="200"/>
            <w:col w:w="3739"/>
          </w:cols>
          <w:pgMar w:left="920" w:top="114" w:right="1440" w:bottom="1440" w:gutter="0" w:footer="0" w:header="0"/>
          <w:type w:val="continuous"/>
        </w:sectPr>
      </w:pPr>
    </w:p>
    <w:p>
      <w:pPr>
        <w:ind w:left="800"/>
        <w:spacing w:after="0"/>
        <w:tabs>
          <w:tab w:leader="none" w:pos="2800" w:val="left"/>
          <w:tab w:leader="none" w:pos="3280" w:val="left"/>
          <w:tab w:leader="none" w:pos="3780" w:val="left"/>
          <w:tab w:leader="none" w:pos="4280" w:val="left"/>
          <w:tab w:leader="none" w:pos="4780" w:val="left"/>
          <w:tab w:leader="none" w:pos="5280" w:val="left"/>
        </w:tabs>
        <w:rPr>
          <w:sz w:val="20"/>
          <w:szCs w:val="20"/>
          <w:color w:val="auto"/>
        </w:rPr>
      </w:pPr>
      <w:r>
        <w:rPr>
          <w:rFonts w:ascii="Arial" w:cs="Arial" w:eastAsia="Arial" w:hAnsi="Arial"/>
          <w:sz w:val="13"/>
          <w:szCs w:val="13"/>
          <w:b w:val="1"/>
          <w:bCs w:val="1"/>
          <w:color w:val="333333"/>
        </w:rPr>
        <w:t>Other non-cash adjustments</w:t>
      </w:r>
      <w:r>
        <w:rPr>
          <w:sz w:val="20"/>
          <w:szCs w:val="20"/>
          <w:color w:val="auto"/>
        </w:rPr>
        <w:tab/>
      </w:r>
      <w:r>
        <w:rPr>
          <w:rFonts w:ascii="Arial" w:cs="Arial" w:eastAsia="Arial" w:hAnsi="Arial"/>
          <w:sz w:val="13"/>
          <w:szCs w:val="13"/>
          <w:b w:val="1"/>
          <w:bCs w:val="1"/>
          <w:color w:val="333333"/>
        </w:rPr>
        <w:t>—</w:t>
      </w:r>
      <w:r>
        <w:rPr>
          <w:sz w:val="20"/>
          <w:szCs w:val="20"/>
          <w:color w:val="auto"/>
        </w:rPr>
        <w:tab/>
      </w:r>
      <w:r>
        <w:rPr>
          <w:rFonts w:ascii="Arial" w:cs="Arial" w:eastAsia="Arial" w:hAnsi="Arial"/>
          <w:sz w:val="13"/>
          <w:szCs w:val="13"/>
          <w:b w:val="1"/>
          <w:bCs w:val="1"/>
          <w:color w:val="333333"/>
        </w:rPr>
        <w:t>​—</w:t>
      </w:r>
      <w:r>
        <w:rPr>
          <w:sz w:val="20"/>
          <w:szCs w:val="20"/>
          <w:color w:val="auto"/>
        </w:rPr>
        <w:tab/>
      </w:r>
      <w:r>
        <w:rPr>
          <w:rFonts w:ascii="Arial" w:cs="Arial" w:eastAsia="Arial" w:hAnsi="Arial"/>
          <w:sz w:val="13"/>
          <w:szCs w:val="13"/>
          <w:b w:val="1"/>
          <w:bCs w:val="1"/>
          <w:color w:val="333333"/>
        </w:rPr>
        <w:t>—</w:t>
      </w:r>
      <w:r>
        <w:rPr>
          <w:sz w:val="20"/>
          <w:szCs w:val="20"/>
          <w:color w:val="auto"/>
        </w:rPr>
        <w:tab/>
      </w:r>
      <w:r>
        <w:rPr>
          <w:rFonts w:ascii="Arial" w:cs="Arial" w:eastAsia="Arial" w:hAnsi="Arial"/>
          <w:sz w:val="25"/>
          <w:szCs w:val="25"/>
          <w:b w:val="1"/>
          <w:bCs w:val="1"/>
          <w:color w:val="333333"/>
          <w:vertAlign w:val="subscript"/>
        </w:rPr>
        <w:t>90</w:t>
      </w:r>
      <w:r>
        <w:rPr>
          <w:rFonts w:ascii="Arial" w:cs="Arial" w:eastAsia="Arial" w:hAnsi="Arial"/>
          <w:sz w:val="20"/>
          <w:szCs w:val="20"/>
          <w:b w:val="1"/>
          <w:bCs w:val="1"/>
          <w:color w:val="333333"/>
          <w:vertAlign w:val="superscript"/>
        </w:rPr>
        <w:t>(5)</w:t>
      </w:r>
      <w:r>
        <w:rPr>
          <w:sz w:val="20"/>
          <w:szCs w:val="20"/>
          <w:color w:val="auto"/>
        </w:rPr>
        <w:tab/>
      </w:r>
      <w:r>
        <w:rPr>
          <w:rFonts w:ascii="Arial" w:cs="Arial" w:eastAsia="Arial" w:hAnsi="Arial"/>
          <w:sz w:val="13"/>
          <w:szCs w:val="13"/>
          <w:b w:val="1"/>
          <w:bCs w:val="1"/>
          <w:color w:val="333333"/>
        </w:rPr>
        <w:t>—</w:t>
      </w:r>
      <w:r>
        <w:rPr>
          <w:sz w:val="20"/>
          <w:szCs w:val="20"/>
          <w:color w:val="auto"/>
        </w:rPr>
        <w:tab/>
      </w:r>
      <w:r>
        <w:rPr>
          <w:rFonts w:ascii="Arial" w:cs="Arial" w:eastAsia="Arial" w:hAnsi="Arial"/>
          <w:sz w:val="13"/>
          <w:szCs w:val="13"/>
          <w:b w:val="1"/>
          <w:bCs w:val="1"/>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-156210</wp:posOffset>
            </wp:positionV>
            <wp:extent cx="5554980" cy="2571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55498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420" w:val="left"/>
          <w:tab w:leader="none" w:pos="860" w:val="left"/>
          <w:tab w:leader="none" w:pos="1280" w:val="left"/>
          <w:tab w:leader="none" w:pos="1720" w:val="left"/>
          <w:tab w:leader="none" w:pos="2180" w:val="left"/>
          <w:tab w:leader="none" w:pos="2620" w:val="left"/>
          <w:tab w:leader="none" w:pos="3060" w:val="left"/>
        </w:tabs>
        <w:rPr>
          <w:sz w:val="20"/>
          <w:szCs w:val="20"/>
          <w:color w:val="auto"/>
        </w:rPr>
      </w:pPr>
      <w:r>
        <w:rPr>
          <w:rFonts w:ascii="Arial" w:cs="Arial" w:eastAsia="Arial" w:hAnsi="Arial"/>
          <w:sz w:val="13"/>
          <w:szCs w:val="13"/>
          <w:b w:val="1"/>
          <w:bCs w:val="1"/>
          <w:color w:val="333333"/>
        </w:rPr>
        <w:t>2</w:t>
      </w:r>
      <w:r>
        <w:rPr>
          <w:sz w:val="20"/>
          <w:szCs w:val="20"/>
          <w:color w:val="auto"/>
        </w:rPr>
        <w:tab/>
      </w:r>
      <w:r>
        <w:rPr>
          <w:rFonts w:ascii="Arial" w:cs="Arial" w:eastAsia="Arial" w:hAnsi="Arial"/>
          <w:sz w:val="13"/>
          <w:szCs w:val="13"/>
          <w:b w:val="1"/>
          <w:bCs w:val="1"/>
          <w:color w:val="333333"/>
        </w:rPr>
        <w:t>—</w:t>
      </w:r>
      <w:r>
        <w:rPr>
          <w:sz w:val="20"/>
          <w:szCs w:val="20"/>
          <w:color w:val="auto"/>
        </w:rPr>
        <w:tab/>
      </w:r>
      <w:r>
        <w:rPr>
          <w:rFonts w:ascii="Arial" w:cs="Arial" w:eastAsia="Arial" w:hAnsi="Arial"/>
          <w:sz w:val="13"/>
          <w:szCs w:val="13"/>
          <w:b w:val="1"/>
          <w:bCs w:val="1"/>
          <w:color w:val="333333"/>
        </w:rPr>
        <w:t>—</w:t>
      </w:r>
      <w:r>
        <w:rPr>
          <w:sz w:val="20"/>
          <w:szCs w:val="20"/>
          <w:color w:val="auto"/>
        </w:rPr>
        <w:tab/>
      </w:r>
      <w:r>
        <w:rPr>
          <w:rFonts w:ascii="Arial" w:cs="Arial" w:eastAsia="Arial" w:hAnsi="Arial"/>
          <w:sz w:val="13"/>
          <w:szCs w:val="13"/>
          <w:b w:val="1"/>
          <w:bCs w:val="1"/>
          <w:color w:val="333333"/>
        </w:rPr>
        <w:t>(29)</w:t>
      </w:r>
      <w:r>
        <w:rPr>
          <w:sz w:val="20"/>
          <w:szCs w:val="20"/>
          <w:color w:val="auto"/>
        </w:rPr>
        <w:tab/>
      </w:r>
      <w:r>
        <w:rPr>
          <w:rFonts w:ascii="Arial" w:cs="Arial" w:eastAsia="Arial" w:hAnsi="Arial"/>
          <w:sz w:val="13"/>
          <w:szCs w:val="13"/>
          <w:b w:val="1"/>
          <w:bCs w:val="1"/>
          <w:color w:val="333333"/>
        </w:rPr>
        <w:t>—</w:t>
      </w:r>
      <w:r>
        <w:rPr>
          <w:sz w:val="20"/>
          <w:szCs w:val="20"/>
          <w:color w:val="auto"/>
        </w:rPr>
        <w:tab/>
      </w:r>
      <w:r>
        <w:rPr>
          <w:rFonts w:ascii="Arial" w:cs="Arial" w:eastAsia="Arial" w:hAnsi="Arial"/>
          <w:sz w:val="13"/>
          <w:szCs w:val="13"/>
          <w:b w:val="1"/>
          <w:bCs w:val="1"/>
          <w:color w:val="333333"/>
        </w:rPr>
        <w:t>—</w:t>
      </w:r>
      <w:r>
        <w:rPr>
          <w:sz w:val="20"/>
          <w:szCs w:val="20"/>
          <w:color w:val="auto"/>
        </w:rPr>
        <w:tab/>
      </w:r>
      <w:r>
        <w:rPr>
          <w:rFonts w:ascii="Arial" w:cs="Arial" w:eastAsia="Arial" w:hAnsi="Arial"/>
          <w:sz w:val="13"/>
          <w:szCs w:val="13"/>
          <w:b w:val="1"/>
          <w:bCs w:val="1"/>
          <w:color w:val="333333"/>
        </w:rPr>
        <w:t>—</w:t>
      </w:r>
      <w:r>
        <w:rPr>
          <w:sz w:val="20"/>
          <w:szCs w:val="20"/>
          <w:color w:val="auto"/>
        </w:rPr>
        <w:tab/>
      </w:r>
      <w:r>
        <w:rPr>
          <w:rFonts w:ascii="Arial" w:cs="Arial" w:eastAsia="Arial" w:hAnsi="Arial"/>
          <w:sz w:val="13"/>
          <w:szCs w:val="13"/>
          <w:b w:val="1"/>
          <w:bCs w:val="1"/>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96520</wp:posOffset>
            </wp:positionV>
            <wp:extent cx="421767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360"/>
            <w:col w:w="3739"/>
          </w:cols>
          <w:pgMar w:left="920" w:top="114" w:right="1440" w:bottom="1440" w:gutter="0" w:footer="0" w:header="0"/>
          <w:type w:val="continuous"/>
        </w:sectPr>
      </w:pPr>
    </w:p>
    <w:p>
      <w:pPr>
        <w:spacing w:after="0" w:line="63" w:lineRule="exact"/>
        <w:rPr>
          <w:sz w:val="20"/>
          <w:szCs w:val="20"/>
          <w:color w:val="auto"/>
        </w:rPr>
      </w:pPr>
    </w:p>
    <w:tbl>
      <w:tblPr>
        <w:tblLayout w:type="fixed"/>
        <w:tblInd w:w="640" w:type="dxa"/>
        <w:tblCellMar>
          <w:top w:w="0" w:type="dxa"/>
          <w:left w:w="0" w:type="dxa"/>
          <w:bottom w:w="0" w:type="dxa"/>
          <w:right w:w="0" w:type="dxa"/>
        </w:tblCellMar>
      </w:tblPr>
      <w:tr>
        <w:trPr>
          <w:trHeight w:val="290"/>
        </w:trPr>
        <w:tc>
          <w:tcPr>
            <w:tcW w:w="2120" w:type="dxa"/>
            <w:vAlign w:val="bottom"/>
          </w:tcPr>
          <w:p>
            <w:pPr>
              <w:ind w:left="160"/>
              <w:spacing w:after="0"/>
              <w:rPr>
                <w:sz w:val="20"/>
                <w:szCs w:val="20"/>
                <w:color w:val="auto"/>
              </w:rPr>
            </w:pPr>
            <w:r>
              <w:rPr>
                <w:rFonts w:ascii="Arial" w:cs="Arial" w:eastAsia="Arial" w:hAnsi="Arial"/>
                <w:sz w:val="13"/>
                <w:szCs w:val="13"/>
                <w:b w:val="1"/>
                <w:bCs w:val="1"/>
                <w:color w:val="333333"/>
              </w:rPr>
              <w:t>Total pre-tax adjustments</w:t>
            </w:r>
            <w:r>
              <w:rPr>
                <w:rFonts w:ascii="Arial" w:cs="Arial" w:eastAsia="Arial" w:hAnsi="Arial"/>
                <w:sz w:val="20"/>
                <w:szCs w:val="20"/>
                <w:b w:val="1"/>
                <w:bCs w:val="1"/>
                <w:color w:val="333333"/>
                <w:vertAlign w:val="superscript"/>
              </w:rPr>
              <w:t>(2)</w:t>
            </w:r>
          </w:p>
        </w:tc>
        <w:tc>
          <w:tcPr>
            <w:tcW w:w="500" w:type="dxa"/>
            <w:vAlign w:val="bottom"/>
          </w:tcPr>
          <w:p>
            <w:pPr>
              <w:ind w:left="60"/>
              <w:spacing w:after="0"/>
              <w:rPr>
                <w:sz w:val="20"/>
                <w:szCs w:val="20"/>
                <w:color w:val="auto"/>
              </w:rPr>
            </w:pPr>
            <w:r>
              <w:rPr>
                <w:rFonts w:ascii="Arial" w:cs="Arial" w:eastAsia="Arial" w:hAnsi="Arial"/>
                <w:sz w:val="13"/>
                <w:szCs w:val="13"/>
                <w:b w:val="1"/>
                <w:bCs w:val="1"/>
                <w:color w:val="333333"/>
              </w:rPr>
              <w:t>373</w:t>
            </w:r>
          </w:p>
        </w:tc>
        <w:tc>
          <w:tcPr>
            <w:tcW w:w="500" w:type="dxa"/>
            <w:vAlign w:val="bottom"/>
          </w:tcPr>
          <w:p>
            <w:pPr>
              <w:ind w:left="40"/>
              <w:spacing w:after="0"/>
              <w:rPr>
                <w:sz w:val="20"/>
                <w:szCs w:val="20"/>
                <w:color w:val="auto"/>
              </w:rPr>
            </w:pPr>
            <w:r>
              <w:rPr>
                <w:rFonts w:ascii="Arial" w:cs="Arial" w:eastAsia="Arial" w:hAnsi="Arial"/>
                <w:sz w:val="13"/>
                <w:szCs w:val="13"/>
                <w:b w:val="1"/>
                <w:bCs w:val="1"/>
                <w:color w:val="333333"/>
              </w:rPr>
              <w:t>393</w:t>
            </w:r>
          </w:p>
        </w:tc>
        <w:tc>
          <w:tcPr>
            <w:tcW w:w="500" w:type="dxa"/>
            <w:vAlign w:val="bottom"/>
          </w:tcPr>
          <w:p>
            <w:pPr>
              <w:ind w:left="40"/>
              <w:spacing w:after="0"/>
              <w:rPr>
                <w:sz w:val="20"/>
                <w:szCs w:val="20"/>
                <w:color w:val="auto"/>
              </w:rPr>
            </w:pPr>
            <w:r>
              <w:rPr>
                <w:rFonts w:ascii="Arial" w:cs="Arial" w:eastAsia="Arial" w:hAnsi="Arial"/>
                <w:sz w:val="13"/>
                <w:szCs w:val="13"/>
                <w:b w:val="1"/>
                <w:bCs w:val="1"/>
                <w:color w:val="333333"/>
              </w:rPr>
              <w:t>346</w:t>
            </w:r>
          </w:p>
        </w:tc>
        <w:tc>
          <w:tcPr>
            <w:tcW w:w="480" w:type="dxa"/>
            <w:vAlign w:val="bottom"/>
          </w:tcPr>
          <w:p>
            <w:pPr>
              <w:ind w:left="40"/>
              <w:spacing w:after="0"/>
              <w:rPr>
                <w:sz w:val="20"/>
                <w:szCs w:val="20"/>
                <w:color w:val="auto"/>
              </w:rPr>
            </w:pPr>
            <w:r>
              <w:rPr>
                <w:rFonts w:ascii="Arial" w:cs="Arial" w:eastAsia="Arial" w:hAnsi="Arial"/>
                <w:sz w:val="13"/>
                <w:szCs w:val="13"/>
                <w:b w:val="1"/>
                <w:bCs w:val="1"/>
                <w:color w:val="333333"/>
              </w:rPr>
              <w:t>316</w:t>
            </w:r>
          </w:p>
        </w:tc>
        <w:tc>
          <w:tcPr>
            <w:tcW w:w="520" w:type="dxa"/>
            <w:vAlign w:val="bottom"/>
          </w:tcPr>
          <w:p>
            <w:pPr>
              <w:ind w:left="60"/>
              <w:spacing w:after="0"/>
              <w:rPr>
                <w:sz w:val="20"/>
                <w:szCs w:val="20"/>
                <w:color w:val="auto"/>
              </w:rPr>
            </w:pPr>
            <w:r>
              <w:rPr>
                <w:rFonts w:ascii="Arial" w:cs="Arial" w:eastAsia="Arial" w:hAnsi="Arial"/>
                <w:sz w:val="13"/>
                <w:szCs w:val="13"/>
                <w:b w:val="1"/>
                <w:bCs w:val="1"/>
                <w:color w:val="333333"/>
              </w:rPr>
              <w:t>291</w:t>
            </w:r>
          </w:p>
        </w:tc>
        <w:tc>
          <w:tcPr>
            <w:tcW w:w="480" w:type="dxa"/>
            <w:vAlign w:val="bottom"/>
          </w:tcPr>
          <w:p>
            <w:pPr>
              <w:ind w:left="40"/>
              <w:spacing w:after="0"/>
              <w:rPr>
                <w:sz w:val="20"/>
                <w:szCs w:val="20"/>
                <w:color w:val="auto"/>
              </w:rPr>
            </w:pPr>
            <w:r>
              <w:rPr>
                <w:rFonts w:ascii="Arial" w:cs="Arial" w:eastAsia="Arial" w:hAnsi="Arial"/>
                <w:sz w:val="13"/>
                <w:szCs w:val="13"/>
                <w:b w:val="1"/>
                <w:bCs w:val="1"/>
                <w:color w:val="333333"/>
              </w:rPr>
              <w:t>175</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279</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274</w:t>
            </w:r>
          </w:p>
        </w:tc>
        <w:tc>
          <w:tcPr>
            <w:tcW w:w="420" w:type="dxa"/>
            <w:vAlign w:val="bottom"/>
          </w:tcPr>
          <w:p>
            <w:pPr>
              <w:ind w:left="60"/>
              <w:spacing w:after="0"/>
              <w:rPr>
                <w:sz w:val="20"/>
                <w:szCs w:val="20"/>
                <w:color w:val="auto"/>
              </w:rPr>
            </w:pPr>
            <w:r>
              <w:rPr>
                <w:rFonts w:ascii="Arial" w:cs="Arial" w:eastAsia="Arial" w:hAnsi="Arial"/>
                <w:sz w:val="13"/>
                <w:szCs w:val="13"/>
                <w:b w:val="1"/>
                <w:bCs w:val="1"/>
                <w:color w:val="333333"/>
              </w:rPr>
              <w:t>311</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125</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83</w:t>
            </w:r>
          </w:p>
        </w:tc>
        <w:tc>
          <w:tcPr>
            <w:tcW w:w="460" w:type="dxa"/>
            <w:vAlign w:val="bottom"/>
          </w:tcPr>
          <w:p>
            <w:pPr>
              <w:ind w:left="80"/>
              <w:spacing w:after="0"/>
              <w:rPr>
                <w:sz w:val="20"/>
                <w:szCs w:val="20"/>
                <w:color w:val="auto"/>
              </w:rPr>
            </w:pPr>
            <w:r>
              <w:rPr>
                <w:rFonts w:ascii="Arial" w:cs="Arial" w:eastAsia="Arial" w:hAnsi="Arial"/>
                <w:sz w:val="13"/>
                <w:szCs w:val="13"/>
                <w:b w:val="1"/>
                <w:bCs w:val="1"/>
                <w:color w:val="333333"/>
              </w:rPr>
              <w:t>57</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333333"/>
              </w:rPr>
              <w:t>49</w:t>
            </w:r>
          </w:p>
        </w:tc>
        <w:tc>
          <w:tcPr>
            <w:tcW w:w="580" w:type="dxa"/>
            <w:vAlign w:val="bottom"/>
          </w:tcPr>
          <w:p>
            <w:pPr>
              <w:ind w:left="60"/>
              <w:spacing w:after="0"/>
              <w:rPr>
                <w:sz w:val="20"/>
                <w:szCs w:val="20"/>
                <w:color w:val="auto"/>
              </w:rPr>
            </w:pPr>
            <w:r>
              <w:rPr>
                <w:rFonts w:ascii="Arial" w:cs="Arial" w:eastAsia="Arial" w:hAnsi="Arial"/>
                <w:sz w:val="13"/>
                <w:szCs w:val="13"/>
                <w:b w:val="1"/>
                <w:bCs w:val="1"/>
                <w:color w:val="333333"/>
              </w:rPr>
              <w:t>49</w:t>
            </w:r>
          </w:p>
        </w:tc>
        <w:tc>
          <w:tcPr>
            <w:tcW w:w="0" w:type="dxa"/>
            <w:vAlign w:val="bottom"/>
          </w:tcPr>
          <w:p>
            <w:pPr>
              <w:spacing w:after="0"/>
              <w:rPr>
                <w:sz w:val="1"/>
                <w:szCs w:val="1"/>
                <w:color w:val="auto"/>
              </w:rPr>
            </w:pPr>
          </w:p>
        </w:tc>
      </w:tr>
      <w:tr>
        <w:trPr>
          <w:trHeight w:val="229"/>
        </w:trPr>
        <w:tc>
          <w:tcPr>
            <w:tcW w:w="2120" w:type="dxa"/>
            <w:vAlign w:val="bottom"/>
            <w:shd w:val="clear" w:color="auto" w:fill="D9D9D9"/>
          </w:tcPr>
          <w:p>
            <w:pPr>
              <w:ind w:left="160"/>
              <w:spacing w:after="0"/>
              <w:rPr>
                <w:sz w:val="20"/>
                <w:szCs w:val="20"/>
                <w:color w:val="auto"/>
              </w:rPr>
            </w:pPr>
            <w:r>
              <w:rPr>
                <w:rFonts w:ascii="Arial" w:cs="Arial" w:eastAsia="Arial" w:hAnsi="Arial"/>
                <w:sz w:val="13"/>
                <w:szCs w:val="13"/>
                <w:b w:val="1"/>
                <w:bCs w:val="1"/>
                <w:color w:val="333333"/>
              </w:rPr>
              <w:t>Income tax impact of pre-tax</w:t>
            </w:r>
          </w:p>
        </w:tc>
        <w:tc>
          <w:tcPr>
            <w:tcW w:w="500" w:type="dxa"/>
            <w:vAlign w:val="bottom"/>
            <w:shd w:val="clear" w:color="auto" w:fill="D9D9D9"/>
          </w:tcPr>
          <w:p>
            <w:pPr>
              <w:spacing w:after="0"/>
              <w:rPr>
                <w:sz w:val="19"/>
                <w:szCs w:val="19"/>
                <w:color w:val="auto"/>
              </w:rPr>
            </w:pPr>
          </w:p>
        </w:tc>
        <w:tc>
          <w:tcPr>
            <w:tcW w:w="500" w:type="dxa"/>
            <w:vAlign w:val="bottom"/>
            <w:shd w:val="clear" w:color="auto" w:fill="D9D9D9"/>
          </w:tcPr>
          <w:p>
            <w:pPr>
              <w:spacing w:after="0"/>
              <w:rPr>
                <w:sz w:val="19"/>
                <w:szCs w:val="19"/>
                <w:color w:val="auto"/>
              </w:rPr>
            </w:pPr>
          </w:p>
        </w:tc>
        <w:tc>
          <w:tcPr>
            <w:tcW w:w="500" w:type="dxa"/>
            <w:vAlign w:val="bottom"/>
            <w:shd w:val="clear" w:color="auto" w:fill="D9D9D9"/>
          </w:tcPr>
          <w:p>
            <w:pPr>
              <w:spacing w:after="0"/>
              <w:rPr>
                <w:sz w:val="19"/>
                <w:szCs w:val="19"/>
                <w:color w:val="auto"/>
              </w:rPr>
            </w:pPr>
          </w:p>
        </w:tc>
        <w:tc>
          <w:tcPr>
            <w:tcW w:w="480" w:type="dxa"/>
            <w:vAlign w:val="bottom"/>
            <w:shd w:val="clear" w:color="auto" w:fill="D9D9D9"/>
          </w:tcPr>
          <w:p>
            <w:pPr>
              <w:spacing w:after="0"/>
              <w:rPr>
                <w:sz w:val="19"/>
                <w:szCs w:val="19"/>
                <w:color w:val="auto"/>
              </w:rPr>
            </w:pPr>
          </w:p>
        </w:tc>
        <w:tc>
          <w:tcPr>
            <w:tcW w:w="520" w:type="dxa"/>
            <w:vAlign w:val="bottom"/>
            <w:shd w:val="clear" w:color="auto" w:fill="D9D9D9"/>
          </w:tcPr>
          <w:p>
            <w:pPr>
              <w:spacing w:after="0"/>
              <w:rPr>
                <w:sz w:val="19"/>
                <w:szCs w:val="19"/>
                <w:color w:val="auto"/>
              </w:rPr>
            </w:pPr>
          </w:p>
        </w:tc>
        <w:tc>
          <w:tcPr>
            <w:tcW w:w="480" w:type="dxa"/>
            <w:vAlign w:val="bottom"/>
            <w:shd w:val="clear" w:color="auto" w:fill="D9D9D9"/>
          </w:tcPr>
          <w:p>
            <w:pPr>
              <w:spacing w:after="0"/>
              <w:rPr>
                <w:sz w:val="19"/>
                <w:szCs w:val="19"/>
                <w:color w:val="auto"/>
              </w:rPr>
            </w:pPr>
          </w:p>
        </w:tc>
        <w:tc>
          <w:tcPr>
            <w:tcW w:w="440" w:type="dxa"/>
            <w:vAlign w:val="bottom"/>
            <w:shd w:val="clear" w:color="auto" w:fill="D9D9D9"/>
          </w:tcPr>
          <w:p>
            <w:pPr>
              <w:spacing w:after="0"/>
              <w:rPr>
                <w:sz w:val="19"/>
                <w:szCs w:val="19"/>
                <w:color w:val="auto"/>
              </w:rPr>
            </w:pPr>
          </w:p>
        </w:tc>
        <w:tc>
          <w:tcPr>
            <w:tcW w:w="440" w:type="dxa"/>
            <w:vAlign w:val="bottom"/>
            <w:shd w:val="clear" w:color="auto" w:fill="D9D9D9"/>
          </w:tcPr>
          <w:p>
            <w:pPr>
              <w:spacing w:after="0"/>
              <w:rPr>
                <w:sz w:val="19"/>
                <w:szCs w:val="19"/>
                <w:color w:val="auto"/>
              </w:rPr>
            </w:pPr>
          </w:p>
        </w:tc>
        <w:tc>
          <w:tcPr>
            <w:tcW w:w="420" w:type="dxa"/>
            <w:vAlign w:val="bottom"/>
            <w:shd w:val="clear" w:color="auto" w:fill="D9D9D9"/>
          </w:tcPr>
          <w:p>
            <w:pPr>
              <w:spacing w:after="0"/>
              <w:rPr>
                <w:sz w:val="19"/>
                <w:szCs w:val="19"/>
                <w:color w:val="auto"/>
              </w:rPr>
            </w:pPr>
          </w:p>
        </w:tc>
        <w:tc>
          <w:tcPr>
            <w:tcW w:w="440" w:type="dxa"/>
            <w:vAlign w:val="bottom"/>
            <w:shd w:val="clear" w:color="auto" w:fill="D9D9D9"/>
          </w:tcPr>
          <w:p>
            <w:pPr>
              <w:spacing w:after="0"/>
              <w:rPr>
                <w:sz w:val="19"/>
                <w:szCs w:val="19"/>
                <w:color w:val="auto"/>
              </w:rPr>
            </w:pPr>
          </w:p>
        </w:tc>
        <w:tc>
          <w:tcPr>
            <w:tcW w:w="440" w:type="dxa"/>
            <w:vAlign w:val="bottom"/>
            <w:shd w:val="clear" w:color="auto" w:fill="D9D9D9"/>
          </w:tcPr>
          <w:p>
            <w:pPr>
              <w:spacing w:after="0"/>
              <w:rPr>
                <w:sz w:val="19"/>
                <w:szCs w:val="19"/>
                <w:color w:val="auto"/>
              </w:rPr>
            </w:pPr>
          </w:p>
        </w:tc>
        <w:tc>
          <w:tcPr>
            <w:tcW w:w="460" w:type="dxa"/>
            <w:vAlign w:val="bottom"/>
            <w:shd w:val="clear" w:color="auto" w:fill="D9D9D9"/>
          </w:tcPr>
          <w:p>
            <w:pPr>
              <w:spacing w:after="0"/>
              <w:rPr>
                <w:sz w:val="19"/>
                <w:szCs w:val="19"/>
                <w:color w:val="auto"/>
              </w:rPr>
            </w:pPr>
          </w:p>
        </w:tc>
        <w:tc>
          <w:tcPr>
            <w:tcW w:w="440" w:type="dxa"/>
            <w:vAlign w:val="bottom"/>
            <w:shd w:val="clear" w:color="auto" w:fill="D9D9D9"/>
          </w:tcPr>
          <w:p>
            <w:pPr>
              <w:spacing w:after="0"/>
              <w:rPr>
                <w:sz w:val="19"/>
                <w:szCs w:val="19"/>
                <w:color w:val="auto"/>
              </w:rPr>
            </w:pPr>
          </w:p>
        </w:tc>
        <w:tc>
          <w:tcPr>
            <w:tcW w:w="58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120" w:type="dxa"/>
            <w:vAlign w:val="bottom"/>
            <w:shd w:val="clear" w:color="auto" w:fill="D9D9D9"/>
          </w:tcPr>
          <w:p>
            <w:pPr>
              <w:ind w:left="160"/>
              <w:spacing w:after="0" w:line="143" w:lineRule="exact"/>
              <w:rPr>
                <w:sz w:val="20"/>
                <w:szCs w:val="20"/>
                <w:color w:val="auto"/>
              </w:rPr>
            </w:pPr>
            <w:r>
              <w:rPr>
                <w:rFonts w:ascii="Arial" w:cs="Arial" w:eastAsia="Arial" w:hAnsi="Arial"/>
                <w:sz w:val="13"/>
                <w:szCs w:val="13"/>
                <w:b w:val="1"/>
                <w:bCs w:val="1"/>
                <w:color w:val="333333"/>
              </w:rPr>
              <w:t>adjustments at the</w:t>
            </w:r>
          </w:p>
        </w:tc>
        <w:tc>
          <w:tcPr>
            <w:tcW w:w="500" w:type="dxa"/>
            <w:vAlign w:val="bottom"/>
            <w:shd w:val="clear" w:color="auto" w:fill="D9D9D9"/>
          </w:tcPr>
          <w:p>
            <w:pPr>
              <w:ind w:left="60"/>
              <w:spacing w:after="0" w:line="143" w:lineRule="exact"/>
              <w:rPr>
                <w:sz w:val="20"/>
                <w:szCs w:val="20"/>
                <w:color w:val="auto"/>
              </w:rPr>
            </w:pPr>
            <w:r>
              <w:rPr>
                <w:rFonts w:ascii="Arial" w:cs="Arial" w:eastAsia="Arial" w:hAnsi="Arial"/>
                <w:sz w:val="13"/>
                <w:szCs w:val="13"/>
                <w:b w:val="1"/>
                <w:bCs w:val="1"/>
                <w:color w:val="333333"/>
              </w:rPr>
              <w:t>(97)</w:t>
            </w:r>
          </w:p>
        </w:tc>
        <w:tc>
          <w:tcPr>
            <w:tcW w:w="500" w:type="dxa"/>
            <w:vAlign w:val="bottom"/>
            <w:shd w:val="clear" w:color="auto" w:fill="D9D9D9"/>
          </w:tcPr>
          <w:p>
            <w:pPr>
              <w:ind w:left="40"/>
              <w:spacing w:after="0" w:line="143" w:lineRule="exact"/>
              <w:rPr>
                <w:sz w:val="20"/>
                <w:szCs w:val="20"/>
                <w:color w:val="auto"/>
              </w:rPr>
            </w:pPr>
            <w:r>
              <w:rPr>
                <w:rFonts w:ascii="Arial" w:cs="Arial" w:eastAsia="Arial" w:hAnsi="Arial"/>
                <w:sz w:val="13"/>
                <w:szCs w:val="13"/>
                <w:b w:val="1"/>
                <w:bCs w:val="1"/>
                <w:color w:val="333333"/>
              </w:rPr>
              <w:t>(111)</w:t>
            </w:r>
          </w:p>
        </w:tc>
        <w:tc>
          <w:tcPr>
            <w:tcW w:w="500" w:type="dxa"/>
            <w:vAlign w:val="bottom"/>
            <w:shd w:val="clear" w:color="auto" w:fill="D9D9D9"/>
          </w:tcPr>
          <w:p>
            <w:pPr>
              <w:ind w:left="40"/>
              <w:spacing w:after="0" w:line="143" w:lineRule="exact"/>
              <w:rPr>
                <w:sz w:val="20"/>
                <w:szCs w:val="20"/>
                <w:color w:val="auto"/>
              </w:rPr>
            </w:pPr>
            <w:r>
              <w:rPr>
                <w:rFonts w:ascii="Arial" w:cs="Arial" w:eastAsia="Arial" w:hAnsi="Arial"/>
                <w:sz w:val="13"/>
                <w:szCs w:val="13"/>
                <w:b w:val="1"/>
                <w:bCs w:val="1"/>
                <w:color w:val="333333"/>
              </w:rPr>
              <w:t>(76)</w:t>
            </w:r>
          </w:p>
        </w:tc>
        <w:tc>
          <w:tcPr>
            <w:tcW w:w="480" w:type="dxa"/>
            <w:vAlign w:val="bottom"/>
            <w:shd w:val="clear" w:color="auto" w:fill="D9D9D9"/>
          </w:tcPr>
          <w:p>
            <w:pPr>
              <w:ind w:left="40"/>
              <w:spacing w:after="0" w:line="143" w:lineRule="exact"/>
              <w:rPr>
                <w:sz w:val="20"/>
                <w:szCs w:val="20"/>
                <w:color w:val="auto"/>
              </w:rPr>
            </w:pPr>
            <w:r>
              <w:rPr>
                <w:rFonts w:ascii="Arial" w:cs="Arial" w:eastAsia="Arial" w:hAnsi="Arial"/>
                <w:sz w:val="13"/>
                <w:szCs w:val="13"/>
                <w:b w:val="1"/>
                <w:bCs w:val="1"/>
                <w:color w:val="333333"/>
              </w:rPr>
              <w:t>(68)</w:t>
            </w:r>
          </w:p>
        </w:tc>
        <w:tc>
          <w:tcPr>
            <w:tcW w:w="520" w:type="dxa"/>
            <w:vAlign w:val="bottom"/>
            <w:shd w:val="clear" w:color="auto" w:fill="D9D9D9"/>
          </w:tcPr>
          <w:p>
            <w:pPr>
              <w:ind w:left="60"/>
              <w:spacing w:after="0" w:line="143" w:lineRule="exact"/>
              <w:rPr>
                <w:sz w:val="20"/>
                <w:szCs w:val="20"/>
                <w:color w:val="auto"/>
              </w:rPr>
            </w:pPr>
            <w:r>
              <w:rPr>
                <w:rFonts w:ascii="Arial" w:cs="Arial" w:eastAsia="Arial" w:hAnsi="Arial"/>
                <w:sz w:val="13"/>
                <w:szCs w:val="13"/>
                <w:b w:val="1"/>
                <w:bCs w:val="1"/>
                <w:color w:val="333333"/>
              </w:rPr>
              <w:t>(62)</w:t>
            </w:r>
          </w:p>
        </w:tc>
        <w:tc>
          <w:tcPr>
            <w:tcW w:w="480" w:type="dxa"/>
            <w:vAlign w:val="bottom"/>
            <w:shd w:val="clear" w:color="auto" w:fill="D9D9D9"/>
          </w:tcPr>
          <w:p>
            <w:pPr>
              <w:ind w:left="40"/>
              <w:spacing w:after="0" w:line="143" w:lineRule="exact"/>
              <w:rPr>
                <w:sz w:val="20"/>
                <w:szCs w:val="20"/>
                <w:color w:val="auto"/>
              </w:rPr>
            </w:pPr>
            <w:r>
              <w:rPr>
                <w:rFonts w:ascii="Arial" w:cs="Arial" w:eastAsia="Arial" w:hAnsi="Arial"/>
                <w:sz w:val="13"/>
                <w:szCs w:val="13"/>
                <w:b w:val="1"/>
                <w:bCs w:val="1"/>
                <w:color w:val="333333"/>
              </w:rPr>
              <w:t>(39)</w:t>
            </w:r>
          </w:p>
        </w:tc>
        <w:tc>
          <w:tcPr>
            <w:tcW w:w="440" w:type="dxa"/>
            <w:vAlign w:val="bottom"/>
            <w:shd w:val="clear" w:color="auto" w:fill="D9D9D9"/>
          </w:tcPr>
          <w:p>
            <w:pPr>
              <w:ind w:left="60"/>
              <w:spacing w:after="0" w:line="143" w:lineRule="exact"/>
              <w:rPr>
                <w:sz w:val="20"/>
                <w:szCs w:val="20"/>
                <w:color w:val="auto"/>
              </w:rPr>
            </w:pPr>
            <w:r>
              <w:rPr>
                <w:rFonts w:ascii="Arial" w:cs="Arial" w:eastAsia="Arial" w:hAnsi="Arial"/>
                <w:sz w:val="13"/>
                <w:szCs w:val="13"/>
                <w:b w:val="1"/>
                <w:bCs w:val="1"/>
                <w:color w:val="333333"/>
              </w:rPr>
              <w:t>(93)</w:t>
            </w:r>
          </w:p>
        </w:tc>
        <w:tc>
          <w:tcPr>
            <w:tcW w:w="440" w:type="dxa"/>
            <w:vAlign w:val="bottom"/>
            <w:shd w:val="clear" w:color="auto" w:fill="D9D9D9"/>
          </w:tcPr>
          <w:p>
            <w:pPr>
              <w:ind w:left="60"/>
              <w:spacing w:after="0" w:line="143" w:lineRule="exact"/>
              <w:rPr>
                <w:sz w:val="20"/>
                <w:szCs w:val="20"/>
                <w:color w:val="auto"/>
              </w:rPr>
            </w:pPr>
            <w:r>
              <w:rPr>
                <w:rFonts w:ascii="Arial" w:cs="Arial" w:eastAsia="Arial" w:hAnsi="Arial"/>
                <w:sz w:val="13"/>
                <w:szCs w:val="13"/>
                <w:b w:val="1"/>
                <w:bCs w:val="1"/>
                <w:color w:val="333333"/>
              </w:rPr>
              <w:t>(67)</w:t>
            </w:r>
          </w:p>
        </w:tc>
        <w:tc>
          <w:tcPr>
            <w:tcW w:w="420" w:type="dxa"/>
            <w:vAlign w:val="bottom"/>
            <w:shd w:val="clear" w:color="auto" w:fill="D9D9D9"/>
          </w:tcPr>
          <w:p>
            <w:pPr>
              <w:ind w:left="60"/>
              <w:spacing w:after="0" w:line="143" w:lineRule="exact"/>
              <w:rPr>
                <w:sz w:val="20"/>
                <w:szCs w:val="20"/>
                <w:color w:val="auto"/>
              </w:rPr>
            </w:pPr>
            <w:r>
              <w:rPr>
                <w:rFonts w:ascii="Arial" w:cs="Arial" w:eastAsia="Arial" w:hAnsi="Arial"/>
                <w:sz w:val="13"/>
                <w:szCs w:val="13"/>
                <w:b w:val="1"/>
                <w:bCs w:val="1"/>
                <w:color w:val="333333"/>
              </w:rPr>
              <w:t>(81)</w:t>
            </w:r>
          </w:p>
        </w:tc>
        <w:tc>
          <w:tcPr>
            <w:tcW w:w="440" w:type="dxa"/>
            <w:vAlign w:val="bottom"/>
            <w:shd w:val="clear" w:color="auto" w:fill="D9D9D9"/>
          </w:tcPr>
          <w:p>
            <w:pPr>
              <w:ind w:left="60"/>
              <w:spacing w:after="0" w:line="143" w:lineRule="exact"/>
              <w:rPr>
                <w:sz w:val="20"/>
                <w:szCs w:val="20"/>
                <w:color w:val="auto"/>
              </w:rPr>
            </w:pPr>
            <w:r>
              <w:rPr>
                <w:rFonts w:ascii="Arial" w:cs="Arial" w:eastAsia="Arial" w:hAnsi="Arial"/>
                <w:sz w:val="13"/>
                <w:szCs w:val="13"/>
                <w:b w:val="1"/>
                <w:bCs w:val="1"/>
                <w:color w:val="333333"/>
              </w:rPr>
              <w:t>(46)</w:t>
            </w:r>
          </w:p>
        </w:tc>
        <w:tc>
          <w:tcPr>
            <w:tcW w:w="440" w:type="dxa"/>
            <w:vAlign w:val="bottom"/>
            <w:shd w:val="clear" w:color="auto" w:fill="D9D9D9"/>
          </w:tcPr>
          <w:p>
            <w:pPr>
              <w:ind w:left="60"/>
              <w:spacing w:after="0" w:line="143" w:lineRule="exact"/>
              <w:rPr>
                <w:sz w:val="20"/>
                <w:szCs w:val="20"/>
                <w:color w:val="auto"/>
              </w:rPr>
            </w:pPr>
            <w:r>
              <w:rPr>
                <w:rFonts w:ascii="Arial" w:cs="Arial" w:eastAsia="Arial" w:hAnsi="Arial"/>
                <w:sz w:val="13"/>
                <w:szCs w:val="13"/>
                <w:b w:val="1"/>
                <w:bCs w:val="1"/>
                <w:color w:val="333333"/>
              </w:rPr>
              <w:t>(24)</w:t>
            </w:r>
          </w:p>
        </w:tc>
        <w:tc>
          <w:tcPr>
            <w:tcW w:w="460" w:type="dxa"/>
            <w:vAlign w:val="bottom"/>
            <w:shd w:val="clear" w:color="auto" w:fill="D9D9D9"/>
          </w:tcPr>
          <w:p>
            <w:pPr>
              <w:ind w:left="80"/>
              <w:spacing w:after="0" w:line="143" w:lineRule="exact"/>
              <w:rPr>
                <w:sz w:val="20"/>
                <w:szCs w:val="20"/>
                <w:color w:val="auto"/>
              </w:rPr>
            </w:pPr>
            <w:r>
              <w:rPr>
                <w:rFonts w:ascii="Arial" w:cs="Arial" w:eastAsia="Arial" w:hAnsi="Arial"/>
                <w:sz w:val="13"/>
                <w:szCs w:val="13"/>
                <w:b w:val="1"/>
                <w:bCs w:val="1"/>
                <w:color w:val="333333"/>
              </w:rPr>
              <w:t>(17)</w:t>
            </w:r>
          </w:p>
        </w:tc>
        <w:tc>
          <w:tcPr>
            <w:tcW w:w="440" w:type="dxa"/>
            <w:vAlign w:val="bottom"/>
            <w:shd w:val="clear" w:color="auto" w:fill="D9D9D9"/>
          </w:tcPr>
          <w:p>
            <w:pPr>
              <w:ind w:left="60"/>
              <w:spacing w:after="0" w:line="143" w:lineRule="exact"/>
              <w:rPr>
                <w:sz w:val="20"/>
                <w:szCs w:val="20"/>
                <w:color w:val="auto"/>
              </w:rPr>
            </w:pPr>
            <w:r>
              <w:rPr>
                <w:rFonts w:ascii="Arial" w:cs="Arial" w:eastAsia="Arial" w:hAnsi="Arial"/>
                <w:sz w:val="13"/>
                <w:szCs w:val="13"/>
                <w:b w:val="1"/>
                <w:bCs w:val="1"/>
                <w:color w:val="333333"/>
              </w:rPr>
              <w:t>(15)</w:t>
            </w:r>
          </w:p>
        </w:tc>
        <w:tc>
          <w:tcPr>
            <w:tcW w:w="580" w:type="dxa"/>
            <w:vAlign w:val="bottom"/>
            <w:shd w:val="clear" w:color="auto" w:fill="D9D9D9"/>
          </w:tcPr>
          <w:p>
            <w:pPr>
              <w:ind w:left="60"/>
              <w:spacing w:after="0" w:line="143" w:lineRule="exact"/>
              <w:rPr>
                <w:sz w:val="20"/>
                <w:szCs w:val="20"/>
                <w:color w:val="auto"/>
              </w:rPr>
            </w:pPr>
            <w:r>
              <w:rPr>
                <w:rFonts w:ascii="Arial" w:cs="Arial" w:eastAsia="Arial" w:hAnsi="Arial"/>
                <w:sz w:val="13"/>
                <w:szCs w:val="13"/>
                <w:b w:val="1"/>
                <w:bCs w:val="1"/>
                <w:color w:val="333333"/>
              </w:rPr>
              <w:t>(14)</w:t>
            </w:r>
          </w:p>
        </w:tc>
        <w:tc>
          <w:tcPr>
            <w:tcW w:w="0" w:type="dxa"/>
            <w:vAlign w:val="bottom"/>
          </w:tcPr>
          <w:p>
            <w:pPr>
              <w:spacing w:after="0"/>
              <w:rPr>
                <w:sz w:val="1"/>
                <w:szCs w:val="1"/>
                <w:color w:val="auto"/>
              </w:rPr>
            </w:pPr>
          </w:p>
        </w:tc>
      </w:tr>
      <w:tr>
        <w:trPr>
          <w:trHeight w:val="294"/>
        </w:trPr>
        <w:tc>
          <w:tcPr>
            <w:tcW w:w="2120" w:type="dxa"/>
            <w:vAlign w:val="bottom"/>
            <w:shd w:val="clear" w:color="auto" w:fill="D9D9D9"/>
          </w:tcPr>
          <w:p>
            <w:pPr>
              <w:ind w:left="160"/>
              <w:spacing w:after="0"/>
              <w:rPr>
                <w:sz w:val="20"/>
                <w:szCs w:val="20"/>
                <w:color w:val="auto"/>
              </w:rPr>
            </w:pPr>
            <w:r>
              <w:rPr>
                <w:rFonts w:ascii="Arial" w:cs="Arial" w:eastAsia="Arial" w:hAnsi="Arial"/>
                <w:sz w:val="13"/>
                <w:szCs w:val="13"/>
                <w:b w:val="1"/>
                <w:bCs w:val="1"/>
                <w:color w:val="333333"/>
              </w:rPr>
              <w:t>effective tax rate</w:t>
            </w:r>
            <w:r>
              <w:rPr>
                <w:rFonts w:ascii="Arial" w:cs="Arial" w:eastAsia="Arial" w:hAnsi="Arial"/>
                <w:sz w:val="20"/>
                <w:szCs w:val="20"/>
                <w:b w:val="1"/>
                <w:bCs w:val="1"/>
                <w:color w:val="333333"/>
                <w:vertAlign w:val="superscript"/>
              </w:rPr>
              <w:t>(3)</w:t>
            </w:r>
          </w:p>
        </w:tc>
        <w:tc>
          <w:tcPr>
            <w:tcW w:w="50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480" w:type="dxa"/>
            <w:vAlign w:val="bottom"/>
            <w:shd w:val="clear" w:color="auto" w:fill="D9D9D9"/>
          </w:tcPr>
          <w:p>
            <w:pPr>
              <w:spacing w:after="0"/>
              <w:rPr>
                <w:sz w:val="24"/>
                <w:szCs w:val="24"/>
                <w:color w:val="auto"/>
              </w:rPr>
            </w:pPr>
          </w:p>
        </w:tc>
        <w:tc>
          <w:tcPr>
            <w:tcW w:w="520" w:type="dxa"/>
            <w:vAlign w:val="bottom"/>
            <w:shd w:val="clear" w:color="auto" w:fill="D9D9D9"/>
          </w:tcPr>
          <w:p>
            <w:pPr>
              <w:spacing w:after="0"/>
              <w:rPr>
                <w:sz w:val="24"/>
                <w:szCs w:val="24"/>
                <w:color w:val="auto"/>
              </w:rPr>
            </w:pPr>
          </w:p>
        </w:tc>
        <w:tc>
          <w:tcPr>
            <w:tcW w:w="48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42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46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58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120" w:type="dxa"/>
            <w:vAlign w:val="bottom"/>
          </w:tcPr>
          <w:p>
            <w:pPr>
              <w:ind w:left="160"/>
              <w:spacing w:after="0"/>
              <w:rPr>
                <w:sz w:val="20"/>
                <w:szCs w:val="20"/>
                <w:color w:val="auto"/>
              </w:rPr>
            </w:pPr>
            <w:r>
              <w:rPr>
                <w:rFonts w:ascii="Arial" w:cs="Arial" w:eastAsia="Arial" w:hAnsi="Arial"/>
                <w:sz w:val="13"/>
                <w:szCs w:val="13"/>
                <w:b w:val="1"/>
                <w:bCs w:val="1"/>
                <w:color w:val="333333"/>
              </w:rPr>
              <w:t>Impact of investment sale,</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120" w:type="dxa"/>
            <w:vAlign w:val="bottom"/>
          </w:tcPr>
          <w:p>
            <w:pPr>
              <w:ind w:left="160"/>
              <w:spacing w:after="0" w:line="143" w:lineRule="exact"/>
              <w:rPr>
                <w:sz w:val="20"/>
                <w:szCs w:val="20"/>
                <w:color w:val="auto"/>
              </w:rPr>
            </w:pPr>
            <w:r>
              <w:rPr>
                <w:rFonts w:ascii="Arial" w:cs="Arial" w:eastAsia="Arial" w:hAnsi="Arial"/>
                <w:sz w:val="13"/>
                <w:szCs w:val="13"/>
                <w:b w:val="1"/>
                <w:bCs w:val="1"/>
                <w:color w:val="333333"/>
              </w:rPr>
              <w:t>other discrete item and tax</w:t>
            </w:r>
          </w:p>
        </w:tc>
        <w:tc>
          <w:tcPr>
            <w:tcW w:w="500" w:type="dxa"/>
            <w:vAlign w:val="bottom"/>
          </w:tcPr>
          <w:p>
            <w:pPr>
              <w:ind w:left="60"/>
              <w:spacing w:after="0" w:line="143" w:lineRule="exact"/>
              <w:rPr>
                <w:sz w:val="20"/>
                <w:szCs w:val="20"/>
                <w:color w:val="auto"/>
              </w:rPr>
            </w:pPr>
            <w:r>
              <w:rPr>
                <w:rFonts w:ascii="Arial" w:cs="Arial" w:eastAsia="Arial" w:hAnsi="Arial"/>
                <w:sz w:val="13"/>
                <w:szCs w:val="13"/>
                <w:b w:val="1"/>
                <w:bCs w:val="1"/>
                <w:color w:val="333333"/>
              </w:rPr>
              <w:t>—</w:t>
            </w:r>
          </w:p>
        </w:tc>
        <w:tc>
          <w:tcPr>
            <w:tcW w:w="500" w:type="dxa"/>
            <w:vAlign w:val="bottom"/>
          </w:tcPr>
          <w:p>
            <w:pPr>
              <w:ind w:left="40"/>
              <w:spacing w:after="0" w:line="143" w:lineRule="exact"/>
              <w:rPr>
                <w:sz w:val="20"/>
                <w:szCs w:val="20"/>
                <w:color w:val="auto"/>
              </w:rPr>
            </w:pPr>
            <w:r>
              <w:rPr>
                <w:rFonts w:ascii="Arial" w:cs="Arial" w:eastAsia="Arial" w:hAnsi="Arial"/>
                <w:sz w:val="13"/>
                <w:szCs w:val="13"/>
                <w:b w:val="1"/>
                <w:bCs w:val="1"/>
                <w:color w:val="333333"/>
              </w:rPr>
              <w:t>—​</w:t>
            </w:r>
          </w:p>
        </w:tc>
        <w:tc>
          <w:tcPr>
            <w:tcW w:w="500" w:type="dxa"/>
            <w:vAlign w:val="bottom"/>
          </w:tcPr>
          <w:p>
            <w:pPr>
              <w:ind w:left="40"/>
              <w:spacing w:after="0" w:line="143" w:lineRule="exact"/>
              <w:rPr>
                <w:sz w:val="20"/>
                <w:szCs w:val="20"/>
                <w:color w:val="auto"/>
              </w:rPr>
            </w:pPr>
            <w:r>
              <w:rPr>
                <w:rFonts w:ascii="Arial" w:cs="Arial" w:eastAsia="Arial" w:hAnsi="Arial"/>
                <w:sz w:val="13"/>
                <w:szCs w:val="13"/>
                <w:b w:val="1"/>
                <w:bCs w:val="1"/>
                <w:color w:val="333333"/>
              </w:rPr>
              <w:t>—</w:t>
            </w:r>
          </w:p>
        </w:tc>
        <w:tc>
          <w:tcPr>
            <w:tcW w:w="480" w:type="dxa"/>
            <w:vAlign w:val="bottom"/>
          </w:tcPr>
          <w:p>
            <w:pPr>
              <w:ind w:left="40"/>
              <w:spacing w:after="0" w:line="143" w:lineRule="exact"/>
              <w:rPr>
                <w:sz w:val="20"/>
                <w:szCs w:val="20"/>
                <w:color w:val="auto"/>
              </w:rPr>
            </w:pPr>
            <w:r>
              <w:rPr>
                <w:rFonts w:ascii="Arial" w:cs="Arial" w:eastAsia="Arial" w:hAnsi="Arial"/>
                <w:sz w:val="13"/>
                <w:szCs w:val="13"/>
                <w:b w:val="1"/>
                <w:bCs w:val="1"/>
                <w:color w:val="333333"/>
              </w:rPr>
              <w:t>10</w:t>
            </w:r>
          </w:p>
        </w:tc>
        <w:tc>
          <w:tcPr>
            <w:tcW w:w="520" w:type="dxa"/>
            <w:vAlign w:val="bottom"/>
          </w:tcPr>
          <w:p>
            <w:pPr>
              <w:ind w:left="60"/>
              <w:spacing w:after="0" w:line="143" w:lineRule="exact"/>
              <w:rPr>
                <w:sz w:val="20"/>
                <w:szCs w:val="20"/>
                <w:color w:val="auto"/>
              </w:rPr>
            </w:pPr>
            <w:r>
              <w:rPr>
                <w:rFonts w:ascii="Arial" w:cs="Arial" w:eastAsia="Arial" w:hAnsi="Arial"/>
                <w:sz w:val="13"/>
                <w:szCs w:val="13"/>
                <w:b w:val="1"/>
                <w:bCs w:val="1"/>
                <w:color w:val="333333"/>
              </w:rPr>
              <w:t>(62)</w:t>
            </w:r>
          </w:p>
        </w:tc>
        <w:tc>
          <w:tcPr>
            <w:tcW w:w="480" w:type="dxa"/>
            <w:vAlign w:val="bottom"/>
          </w:tcPr>
          <w:p>
            <w:pPr>
              <w:ind w:left="40"/>
              <w:spacing w:after="0" w:line="143" w:lineRule="exact"/>
              <w:rPr>
                <w:sz w:val="20"/>
                <w:szCs w:val="20"/>
                <w:color w:val="auto"/>
              </w:rPr>
            </w:pPr>
            <w:r>
              <w:rPr>
                <w:rFonts w:ascii="Arial" w:cs="Arial" w:eastAsia="Arial" w:hAnsi="Arial"/>
                <w:sz w:val="13"/>
                <w:szCs w:val="13"/>
                <w:b w:val="1"/>
                <w:bCs w:val="1"/>
                <w:color w:val="333333"/>
              </w:rPr>
              <w:t>23</w:t>
            </w:r>
          </w:p>
        </w:tc>
        <w:tc>
          <w:tcPr>
            <w:tcW w:w="440" w:type="dxa"/>
            <w:vAlign w:val="bottom"/>
          </w:tcPr>
          <w:p>
            <w:pPr>
              <w:ind w:left="60"/>
              <w:spacing w:after="0" w:line="143" w:lineRule="exact"/>
              <w:rPr>
                <w:sz w:val="20"/>
                <w:szCs w:val="20"/>
                <w:color w:val="auto"/>
              </w:rPr>
            </w:pPr>
            <w:r>
              <w:rPr>
                <w:rFonts w:ascii="Arial" w:cs="Arial" w:eastAsia="Arial" w:hAnsi="Arial"/>
                <w:sz w:val="13"/>
                <w:szCs w:val="13"/>
                <w:b w:val="1"/>
                <w:bCs w:val="1"/>
                <w:color w:val="333333"/>
              </w:rPr>
              <w:t>(127)</w:t>
            </w:r>
          </w:p>
        </w:tc>
        <w:tc>
          <w:tcPr>
            <w:tcW w:w="440" w:type="dxa"/>
            <w:vAlign w:val="bottom"/>
          </w:tcPr>
          <w:p>
            <w:pPr>
              <w:ind w:left="60"/>
              <w:spacing w:after="0" w:line="143" w:lineRule="exact"/>
              <w:rPr>
                <w:sz w:val="20"/>
                <w:szCs w:val="20"/>
                <w:color w:val="auto"/>
              </w:rPr>
            </w:pPr>
            <w:r>
              <w:rPr>
                <w:rFonts w:ascii="Arial" w:cs="Arial" w:eastAsia="Arial" w:hAnsi="Arial"/>
                <w:sz w:val="13"/>
                <w:szCs w:val="13"/>
                <w:b w:val="1"/>
                <w:bCs w:val="1"/>
                <w:color w:val="333333"/>
              </w:rPr>
              <w:t>—</w:t>
            </w:r>
          </w:p>
        </w:tc>
        <w:tc>
          <w:tcPr>
            <w:tcW w:w="420" w:type="dxa"/>
            <w:vAlign w:val="bottom"/>
          </w:tcPr>
          <w:p>
            <w:pPr>
              <w:ind w:left="60"/>
              <w:spacing w:after="0" w:line="143" w:lineRule="exact"/>
              <w:rPr>
                <w:sz w:val="20"/>
                <w:szCs w:val="20"/>
                <w:color w:val="auto"/>
              </w:rPr>
            </w:pPr>
            <w:r>
              <w:rPr>
                <w:rFonts w:ascii="Arial" w:cs="Arial" w:eastAsia="Arial" w:hAnsi="Arial"/>
                <w:sz w:val="13"/>
                <w:szCs w:val="13"/>
                <w:b w:val="1"/>
                <w:bCs w:val="1"/>
                <w:color w:val="333333"/>
              </w:rPr>
              <w:t>—</w:t>
            </w:r>
          </w:p>
        </w:tc>
        <w:tc>
          <w:tcPr>
            <w:tcW w:w="440" w:type="dxa"/>
            <w:vAlign w:val="bottom"/>
          </w:tcPr>
          <w:p>
            <w:pPr>
              <w:ind w:left="60"/>
              <w:spacing w:after="0" w:line="143" w:lineRule="exact"/>
              <w:rPr>
                <w:sz w:val="20"/>
                <w:szCs w:val="20"/>
                <w:color w:val="auto"/>
              </w:rPr>
            </w:pPr>
            <w:r>
              <w:rPr>
                <w:rFonts w:ascii="Arial" w:cs="Arial" w:eastAsia="Arial" w:hAnsi="Arial"/>
                <w:sz w:val="13"/>
                <w:szCs w:val="13"/>
                <w:b w:val="1"/>
                <w:bCs w:val="1"/>
                <w:color w:val="333333"/>
              </w:rPr>
              <w:t>—</w:t>
            </w:r>
          </w:p>
        </w:tc>
        <w:tc>
          <w:tcPr>
            <w:tcW w:w="440" w:type="dxa"/>
            <w:vAlign w:val="bottom"/>
          </w:tcPr>
          <w:p>
            <w:pPr>
              <w:ind w:left="60"/>
              <w:spacing w:after="0" w:line="143" w:lineRule="exact"/>
              <w:rPr>
                <w:sz w:val="20"/>
                <w:szCs w:val="20"/>
                <w:color w:val="auto"/>
              </w:rPr>
            </w:pPr>
            <w:r>
              <w:rPr>
                <w:rFonts w:ascii="Arial" w:cs="Arial" w:eastAsia="Arial" w:hAnsi="Arial"/>
                <w:sz w:val="13"/>
                <w:szCs w:val="13"/>
                <w:b w:val="1"/>
                <w:bCs w:val="1"/>
                <w:color w:val="333333"/>
              </w:rPr>
              <w:t>—</w:t>
            </w:r>
          </w:p>
        </w:tc>
        <w:tc>
          <w:tcPr>
            <w:tcW w:w="460" w:type="dxa"/>
            <w:vAlign w:val="bottom"/>
          </w:tcPr>
          <w:p>
            <w:pPr>
              <w:ind w:left="80"/>
              <w:spacing w:after="0" w:line="143" w:lineRule="exact"/>
              <w:rPr>
                <w:sz w:val="20"/>
                <w:szCs w:val="20"/>
                <w:color w:val="auto"/>
              </w:rPr>
            </w:pPr>
            <w:r>
              <w:rPr>
                <w:rFonts w:ascii="Arial" w:cs="Arial" w:eastAsia="Arial" w:hAnsi="Arial"/>
                <w:sz w:val="13"/>
                <w:szCs w:val="13"/>
                <w:b w:val="1"/>
                <w:bCs w:val="1"/>
                <w:color w:val="333333"/>
              </w:rPr>
              <w:t>—</w:t>
            </w:r>
          </w:p>
        </w:tc>
        <w:tc>
          <w:tcPr>
            <w:tcW w:w="440" w:type="dxa"/>
            <w:vAlign w:val="bottom"/>
          </w:tcPr>
          <w:p>
            <w:pPr>
              <w:ind w:left="60"/>
              <w:spacing w:after="0" w:line="143" w:lineRule="exact"/>
              <w:rPr>
                <w:sz w:val="20"/>
                <w:szCs w:val="20"/>
                <w:color w:val="auto"/>
              </w:rPr>
            </w:pPr>
            <w:r>
              <w:rPr>
                <w:rFonts w:ascii="Arial" w:cs="Arial" w:eastAsia="Arial" w:hAnsi="Arial"/>
                <w:sz w:val="13"/>
                <w:szCs w:val="13"/>
                <w:b w:val="1"/>
                <w:bCs w:val="1"/>
                <w:color w:val="333333"/>
              </w:rPr>
              <w:t>—</w:t>
            </w:r>
          </w:p>
        </w:tc>
        <w:tc>
          <w:tcPr>
            <w:tcW w:w="580" w:type="dxa"/>
            <w:vAlign w:val="bottom"/>
          </w:tcPr>
          <w:p>
            <w:pPr>
              <w:ind w:left="60"/>
              <w:spacing w:after="0" w:line="143" w:lineRule="exact"/>
              <w:rPr>
                <w:sz w:val="20"/>
                <w:szCs w:val="20"/>
                <w:color w:val="auto"/>
              </w:rPr>
            </w:pPr>
            <w:r>
              <w:rPr>
                <w:rFonts w:ascii="Arial" w:cs="Arial" w:eastAsia="Arial" w:hAnsi="Arial"/>
                <w:sz w:val="13"/>
                <w:szCs w:val="13"/>
                <w:b w:val="1"/>
                <w:bCs w:val="1"/>
                <w:color w:val="333333"/>
              </w:rPr>
              <w:t>—</w:t>
            </w:r>
          </w:p>
        </w:tc>
        <w:tc>
          <w:tcPr>
            <w:tcW w:w="0" w:type="dxa"/>
            <w:vAlign w:val="bottom"/>
          </w:tcPr>
          <w:p>
            <w:pPr>
              <w:spacing w:after="0"/>
              <w:rPr>
                <w:sz w:val="1"/>
                <w:szCs w:val="1"/>
                <w:color w:val="auto"/>
              </w:rPr>
            </w:pPr>
          </w:p>
        </w:tc>
      </w:tr>
      <w:tr>
        <w:trPr>
          <w:trHeight w:val="285"/>
        </w:trPr>
        <w:tc>
          <w:tcPr>
            <w:tcW w:w="2120" w:type="dxa"/>
            <w:vAlign w:val="bottom"/>
          </w:tcPr>
          <w:p>
            <w:pPr>
              <w:ind w:left="160"/>
              <w:spacing w:after="0"/>
              <w:rPr>
                <w:sz w:val="20"/>
                <w:szCs w:val="20"/>
                <w:color w:val="auto"/>
              </w:rPr>
            </w:pPr>
            <w:r>
              <w:rPr>
                <w:rFonts w:ascii="Arial" w:cs="Arial" w:eastAsia="Arial" w:hAnsi="Arial"/>
                <w:sz w:val="13"/>
                <w:szCs w:val="13"/>
                <w:b w:val="1"/>
                <w:bCs w:val="1"/>
                <w:color w:val="333333"/>
              </w:rPr>
              <w:t>reform</w:t>
            </w:r>
            <w:r>
              <w:rPr>
                <w:rFonts w:ascii="Arial" w:cs="Arial" w:eastAsia="Arial" w:hAnsi="Arial"/>
                <w:sz w:val="20"/>
                <w:szCs w:val="20"/>
                <w:b w:val="1"/>
                <w:bCs w:val="1"/>
                <w:color w:val="333333"/>
                <w:vertAlign w:val="superscript"/>
              </w:rPr>
              <w:t>(4)</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120" w:type="dxa"/>
            <w:vAlign w:val="bottom"/>
            <w:tcBorders>
              <w:bottom w:val="single" w:sz="8" w:color="D9D9D9"/>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120" w:type="dxa"/>
            <w:vAlign w:val="bottom"/>
            <w:shd w:val="clear" w:color="auto" w:fill="D9D9D9"/>
          </w:tcPr>
          <w:p>
            <w:pPr>
              <w:ind w:left="160"/>
              <w:spacing w:after="0"/>
              <w:rPr>
                <w:sz w:val="20"/>
                <w:szCs w:val="20"/>
                <w:color w:val="auto"/>
              </w:rPr>
            </w:pPr>
            <w:r>
              <w:rPr>
                <w:rFonts w:ascii="Arial" w:cs="Arial" w:eastAsia="Arial" w:hAnsi="Arial"/>
                <w:sz w:val="13"/>
                <w:szCs w:val="13"/>
                <w:b w:val="1"/>
                <w:bCs w:val="1"/>
                <w:color w:val="333333"/>
              </w:rPr>
              <w:t>Adjusted net income</w:t>
            </w:r>
            <w:r>
              <w:rPr>
                <w:rFonts w:ascii="Arial" w:cs="Arial" w:eastAsia="Arial" w:hAnsi="Arial"/>
                <w:sz w:val="20"/>
                <w:szCs w:val="20"/>
                <w:b w:val="1"/>
                <w:bCs w:val="1"/>
                <w:color w:val="333333"/>
                <w:vertAlign w:val="superscript"/>
              </w:rPr>
              <w:t>(2)</w:t>
            </w:r>
          </w:p>
        </w:tc>
        <w:tc>
          <w:tcPr>
            <w:tcW w:w="50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$1,237</w:t>
            </w:r>
          </w:p>
        </w:tc>
        <w:tc>
          <w:tcPr>
            <w:tcW w:w="500" w:type="dxa"/>
            <w:vAlign w:val="bottom"/>
            <w:shd w:val="clear" w:color="auto" w:fill="D9D9D9"/>
          </w:tcPr>
          <w:p>
            <w:pPr>
              <w:ind w:left="40"/>
              <w:spacing w:after="0"/>
              <w:rPr>
                <w:sz w:val="20"/>
                <w:szCs w:val="20"/>
                <w:color w:val="auto"/>
              </w:rPr>
            </w:pPr>
            <w:r>
              <w:rPr>
                <w:rFonts w:ascii="Arial" w:cs="Arial" w:eastAsia="Arial" w:hAnsi="Arial"/>
                <w:sz w:val="13"/>
                <w:szCs w:val="13"/>
                <w:b w:val="1"/>
                <w:bCs w:val="1"/>
                <w:color w:val="333333"/>
              </w:rPr>
              <w:t>$1,237</w:t>
            </w:r>
          </w:p>
        </w:tc>
        <w:tc>
          <w:tcPr>
            <w:tcW w:w="500" w:type="dxa"/>
            <w:vAlign w:val="bottom"/>
            <w:shd w:val="clear" w:color="auto" w:fill="D9D9D9"/>
          </w:tcPr>
          <w:p>
            <w:pPr>
              <w:ind w:left="40"/>
              <w:spacing w:after="0"/>
              <w:rPr>
                <w:sz w:val="20"/>
                <w:szCs w:val="20"/>
                <w:color w:val="auto"/>
              </w:rPr>
            </w:pPr>
            <w:r>
              <w:rPr>
                <w:rFonts w:ascii="Arial" w:cs="Arial" w:eastAsia="Arial" w:hAnsi="Arial"/>
                <w:sz w:val="13"/>
                <w:szCs w:val="13"/>
                <w:b w:val="1"/>
                <w:bCs w:val="1"/>
                <w:color w:val="333333"/>
              </w:rPr>
              <w:t>$1,110</w:t>
            </w:r>
          </w:p>
        </w:tc>
        <w:tc>
          <w:tcPr>
            <w:tcW w:w="480" w:type="dxa"/>
            <w:vAlign w:val="bottom"/>
            <w:shd w:val="clear" w:color="auto" w:fill="D9D9D9"/>
          </w:tcPr>
          <w:p>
            <w:pPr>
              <w:ind w:left="40"/>
              <w:spacing w:after="0"/>
              <w:rPr>
                <w:sz w:val="20"/>
                <w:szCs w:val="20"/>
                <w:color w:val="auto"/>
              </w:rPr>
            </w:pPr>
            <w:r>
              <w:rPr>
                <w:rFonts w:ascii="Arial" w:cs="Arial" w:eastAsia="Arial" w:hAnsi="Arial"/>
                <w:sz w:val="13"/>
                <w:szCs w:val="13"/>
                <w:b w:val="1"/>
                <w:bCs w:val="1"/>
                <w:color w:val="333333"/>
              </w:rPr>
              <w:t>$962</w:t>
            </w:r>
          </w:p>
        </w:tc>
        <w:tc>
          <w:tcPr>
            <w:tcW w:w="52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$1,062</w:t>
            </w:r>
          </w:p>
        </w:tc>
        <w:tc>
          <w:tcPr>
            <w:tcW w:w="480" w:type="dxa"/>
            <w:vAlign w:val="bottom"/>
            <w:shd w:val="clear" w:color="auto" w:fill="D9D9D9"/>
          </w:tcPr>
          <w:p>
            <w:pPr>
              <w:ind w:left="40"/>
              <w:spacing w:after="0"/>
              <w:rPr>
                <w:sz w:val="20"/>
                <w:szCs w:val="20"/>
                <w:color w:val="auto"/>
              </w:rPr>
            </w:pPr>
            <w:r>
              <w:rPr>
                <w:rFonts w:ascii="Arial" w:cs="Arial" w:eastAsia="Arial" w:hAnsi="Arial"/>
                <w:sz w:val="13"/>
                <w:szCs w:val="13"/>
                <w:b w:val="1"/>
                <w:bCs w:val="1"/>
                <w:color w:val="333333"/>
              </w:rPr>
              <w:t>$970</w:t>
            </w:r>
          </w:p>
        </w:tc>
        <w:tc>
          <w:tcPr>
            <w:tcW w:w="44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$799</w:t>
            </w:r>
          </w:p>
        </w:tc>
        <w:tc>
          <w:tcPr>
            <w:tcW w:w="44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$659</w:t>
            </w:r>
          </w:p>
        </w:tc>
        <w:tc>
          <w:tcPr>
            <w:tcW w:w="42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$593</w:t>
            </w:r>
          </w:p>
        </w:tc>
        <w:tc>
          <w:tcPr>
            <w:tcW w:w="44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$448</w:t>
            </w:r>
          </w:p>
        </w:tc>
        <w:tc>
          <w:tcPr>
            <w:tcW w:w="44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$343</w:t>
            </w:r>
          </w:p>
        </w:tc>
        <w:tc>
          <w:tcPr>
            <w:tcW w:w="460" w:type="dxa"/>
            <w:vAlign w:val="bottom"/>
            <w:shd w:val="clear" w:color="auto" w:fill="D9D9D9"/>
          </w:tcPr>
          <w:p>
            <w:pPr>
              <w:ind w:left="80"/>
              <w:spacing w:after="0"/>
              <w:rPr>
                <w:sz w:val="20"/>
                <w:szCs w:val="20"/>
                <w:color w:val="auto"/>
              </w:rPr>
            </w:pPr>
            <w:r>
              <w:rPr>
                <w:rFonts w:ascii="Arial" w:cs="Arial" w:eastAsia="Arial" w:hAnsi="Arial"/>
                <w:sz w:val="13"/>
                <w:szCs w:val="13"/>
                <w:b w:val="1"/>
                <w:bCs w:val="1"/>
                <w:color w:val="333333"/>
              </w:rPr>
              <w:t>$256</w:t>
            </w:r>
          </w:p>
        </w:tc>
        <w:tc>
          <w:tcPr>
            <w:tcW w:w="44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$182</w:t>
            </w:r>
          </w:p>
        </w:tc>
        <w:tc>
          <w:tcPr>
            <w:tcW w:w="58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333333"/>
              </w:rPr>
              <w:t>$143</w:t>
            </w:r>
          </w:p>
        </w:tc>
        <w:tc>
          <w:tcPr>
            <w:tcW w:w="0" w:type="dxa"/>
            <w:vAlign w:val="bottom"/>
          </w:tcPr>
          <w:p>
            <w:pPr>
              <w:spacing w:after="0"/>
              <w:rPr>
                <w:sz w:val="1"/>
                <w:szCs w:val="1"/>
                <w:color w:val="auto"/>
              </w:rPr>
            </w:pPr>
          </w:p>
        </w:tc>
      </w:tr>
      <w:tr>
        <w:trPr>
          <w:trHeight w:val="225"/>
        </w:trPr>
        <w:tc>
          <w:tcPr>
            <w:tcW w:w="2120" w:type="dxa"/>
            <w:vAlign w:val="bottom"/>
          </w:tcPr>
          <w:p>
            <w:pPr>
              <w:ind w:left="160"/>
              <w:spacing w:after="0"/>
              <w:rPr>
                <w:sz w:val="20"/>
                <w:szCs w:val="20"/>
                <w:color w:val="auto"/>
              </w:rPr>
            </w:pPr>
            <w:r>
              <w:rPr>
                <w:rFonts w:ascii="Arial" w:cs="Arial" w:eastAsia="Arial" w:hAnsi="Arial"/>
                <w:sz w:val="13"/>
                <w:szCs w:val="13"/>
                <w:b w:val="1"/>
                <w:bCs w:val="1"/>
                <w:color w:val="333333"/>
              </w:rPr>
              <w:t>Adjusted net income</w:t>
            </w:r>
          </w:p>
        </w:tc>
        <w:tc>
          <w:tcPr>
            <w:tcW w:w="500" w:type="dxa"/>
            <w:vAlign w:val="bottom"/>
            <w:vMerge w:val="restart"/>
          </w:tcPr>
          <w:p>
            <w:pPr>
              <w:ind w:left="60"/>
              <w:spacing w:after="0"/>
              <w:rPr>
                <w:sz w:val="20"/>
                <w:szCs w:val="20"/>
                <w:color w:val="auto"/>
              </w:rPr>
            </w:pPr>
            <w:r>
              <w:rPr>
                <w:rFonts w:ascii="Arial" w:cs="Arial" w:eastAsia="Arial" w:hAnsi="Arial"/>
                <w:sz w:val="13"/>
                <w:szCs w:val="13"/>
                <w:b w:val="1"/>
                <w:bCs w:val="1"/>
                <w:color w:val="333333"/>
              </w:rPr>
              <w:t>$16.92</w:t>
            </w:r>
          </w:p>
        </w:tc>
        <w:tc>
          <w:tcPr>
            <w:tcW w:w="500" w:type="dxa"/>
            <w:vAlign w:val="bottom"/>
            <w:vMerge w:val="restart"/>
          </w:tcPr>
          <w:p>
            <w:pPr>
              <w:ind w:left="40"/>
              <w:spacing w:after="0"/>
              <w:rPr>
                <w:sz w:val="20"/>
                <w:szCs w:val="20"/>
                <w:color w:val="auto"/>
              </w:rPr>
            </w:pPr>
            <w:r>
              <w:rPr>
                <w:rFonts w:ascii="Arial" w:cs="Arial" w:eastAsia="Arial" w:hAnsi="Arial"/>
                <w:sz w:val="13"/>
                <w:szCs w:val="13"/>
                <w:b w:val="1"/>
                <w:bCs w:val="1"/>
                <w:color w:val="333333"/>
              </w:rPr>
              <w:t>$16.10</w:t>
            </w:r>
          </w:p>
        </w:tc>
        <w:tc>
          <w:tcPr>
            <w:tcW w:w="500" w:type="dxa"/>
            <w:vAlign w:val="bottom"/>
            <w:vMerge w:val="restart"/>
          </w:tcPr>
          <w:p>
            <w:pPr>
              <w:ind w:left="40"/>
              <w:spacing w:after="0"/>
              <w:rPr>
                <w:sz w:val="20"/>
                <w:szCs w:val="20"/>
                <w:color w:val="auto"/>
              </w:rPr>
            </w:pPr>
            <w:r>
              <w:rPr>
                <w:rFonts w:ascii="Arial" w:cs="Arial" w:eastAsia="Arial" w:hAnsi="Arial"/>
                <w:sz w:val="13"/>
                <w:szCs w:val="13"/>
                <w:b w:val="1"/>
                <w:bCs w:val="1"/>
                <w:color w:val="333333"/>
              </w:rPr>
              <w:t>$13.21</w:t>
            </w:r>
          </w:p>
        </w:tc>
        <w:tc>
          <w:tcPr>
            <w:tcW w:w="480" w:type="dxa"/>
            <w:vAlign w:val="bottom"/>
            <w:vMerge w:val="restart"/>
          </w:tcPr>
          <w:p>
            <w:pPr>
              <w:ind w:left="40"/>
              <w:spacing w:after="0"/>
              <w:rPr>
                <w:sz w:val="20"/>
                <w:szCs w:val="20"/>
                <w:color w:val="auto"/>
              </w:rPr>
            </w:pPr>
            <w:r>
              <w:rPr>
                <w:rFonts w:ascii="Arial" w:cs="Arial" w:eastAsia="Arial" w:hAnsi="Arial"/>
                <w:sz w:val="13"/>
                <w:szCs w:val="13"/>
                <w:b w:val="1"/>
                <w:bCs w:val="1"/>
                <w:color w:val="333333"/>
              </w:rPr>
              <w:t>$11.09</w:t>
            </w:r>
          </w:p>
        </w:tc>
        <w:tc>
          <w:tcPr>
            <w:tcW w:w="520" w:type="dxa"/>
            <w:vAlign w:val="bottom"/>
            <w:vMerge w:val="restart"/>
          </w:tcPr>
          <w:p>
            <w:pPr>
              <w:ind w:left="60"/>
              <w:spacing w:after="0"/>
              <w:rPr>
                <w:sz w:val="20"/>
                <w:szCs w:val="20"/>
                <w:color w:val="auto"/>
              </w:rPr>
            </w:pPr>
            <w:r>
              <w:rPr>
                <w:rFonts w:ascii="Arial" w:cs="Arial" w:eastAsia="Arial" w:hAnsi="Arial"/>
                <w:sz w:val="13"/>
                <w:szCs w:val="13"/>
                <w:b w:val="1"/>
                <w:bCs w:val="1"/>
                <w:color w:val="333333"/>
              </w:rPr>
              <w:t>$11.79</w:t>
            </w:r>
          </w:p>
        </w:tc>
        <w:tc>
          <w:tcPr>
            <w:tcW w:w="480" w:type="dxa"/>
            <w:vAlign w:val="bottom"/>
            <w:vMerge w:val="restart"/>
          </w:tcPr>
          <w:p>
            <w:pPr>
              <w:ind w:left="40"/>
              <w:spacing w:after="0"/>
              <w:rPr>
                <w:sz w:val="20"/>
                <w:szCs w:val="20"/>
                <w:color w:val="auto"/>
              </w:rPr>
            </w:pPr>
            <w:r>
              <w:rPr>
                <w:rFonts w:ascii="Arial" w:cs="Arial" w:eastAsia="Arial" w:hAnsi="Arial"/>
                <w:sz w:val="13"/>
                <w:szCs w:val="13"/>
                <w:b w:val="1"/>
                <w:bCs w:val="1"/>
                <w:color w:val="333333"/>
              </w:rPr>
              <w:t>$10.53</w:t>
            </w:r>
          </w:p>
        </w:tc>
        <w:tc>
          <w:tcPr>
            <w:tcW w:w="440" w:type="dxa"/>
            <w:vAlign w:val="bottom"/>
            <w:vMerge w:val="restart"/>
          </w:tcPr>
          <w:p>
            <w:pPr>
              <w:ind w:left="60"/>
              <w:spacing w:after="0"/>
              <w:rPr>
                <w:sz w:val="20"/>
                <w:szCs w:val="20"/>
                <w:color w:val="auto"/>
              </w:rPr>
            </w:pPr>
            <w:r>
              <w:rPr>
                <w:rFonts w:ascii="Arial" w:cs="Arial" w:eastAsia="Arial" w:hAnsi="Arial"/>
                <w:sz w:val="13"/>
                <w:szCs w:val="13"/>
                <w:b w:val="1"/>
                <w:bCs w:val="1"/>
                <w:color w:val="333333"/>
              </w:rPr>
              <w:t>$8.54</w:t>
            </w:r>
          </w:p>
        </w:tc>
        <w:tc>
          <w:tcPr>
            <w:tcW w:w="440" w:type="dxa"/>
            <w:vAlign w:val="bottom"/>
            <w:vMerge w:val="restart"/>
          </w:tcPr>
          <w:p>
            <w:pPr>
              <w:ind w:left="60"/>
              <w:spacing w:after="0"/>
              <w:rPr>
                <w:sz w:val="20"/>
                <w:szCs w:val="20"/>
                <w:color w:val="auto"/>
              </w:rPr>
            </w:pPr>
            <w:r>
              <w:rPr>
                <w:rFonts w:ascii="Arial" w:cs="Arial" w:eastAsia="Arial" w:hAnsi="Arial"/>
                <w:sz w:val="13"/>
                <w:szCs w:val="13"/>
                <w:b w:val="1"/>
                <w:bCs w:val="1"/>
                <w:color w:val="333333"/>
              </w:rPr>
              <w:t>$6.92</w:t>
            </w:r>
          </w:p>
        </w:tc>
        <w:tc>
          <w:tcPr>
            <w:tcW w:w="420" w:type="dxa"/>
            <w:vAlign w:val="bottom"/>
            <w:vMerge w:val="restart"/>
          </w:tcPr>
          <w:p>
            <w:pPr>
              <w:ind w:left="60"/>
              <w:spacing w:after="0"/>
              <w:rPr>
                <w:sz w:val="20"/>
                <w:szCs w:val="20"/>
                <w:color w:val="auto"/>
              </w:rPr>
            </w:pPr>
            <w:r>
              <w:rPr>
                <w:rFonts w:ascii="Arial" w:cs="Arial" w:eastAsia="Arial" w:hAnsi="Arial"/>
                <w:sz w:val="13"/>
                <w:szCs w:val="13"/>
                <w:b w:val="1"/>
                <w:bCs w:val="1"/>
                <w:color w:val="333333"/>
              </w:rPr>
              <w:t>$6.30</w:t>
            </w:r>
          </w:p>
        </w:tc>
        <w:tc>
          <w:tcPr>
            <w:tcW w:w="440" w:type="dxa"/>
            <w:vAlign w:val="bottom"/>
            <w:vMerge w:val="restart"/>
          </w:tcPr>
          <w:p>
            <w:pPr>
              <w:ind w:left="60"/>
              <w:spacing w:after="0"/>
              <w:rPr>
                <w:sz w:val="20"/>
                <w:szCs w:val="20"/>
                <w:color w:val="auto"/>
              </w:rPr>
            </w:pPr>
            <w:r>
              <w:rPr>
                <w:rFonts w:ascii="Arial" w:cs="Arial" w:eastAsia="Arial" w:hAnsi="Arial"/>
                <w:sz w:val="13"/>
                <w:szCs w:val="13"/>
                <w:b w:val="1"/>
                <w:bCs w:val="1"/>
                <w:color w:val="333333"/>
              </w:rPr>
              <w:t>$5.15</w:t>
            </w:r>
          </w:p>
        </w:tc>
        <w:tc>
          <w:tcPr>
            <w:tcW w:w="440" w:type="dxa"/>
            <w:vAlign w:val="bottom"/>
            <w:vMerge w:val="restart"/>
          </w:tcPr>
          <w:p>
            <w:pPr>
              <w:ind w:left="60"/>
              <w:spacing w:after="0"/>
              <w:rPr>
                <w:sz w:val="20"/>
                <w:szCs w:val="20"/>
                <w:color w:val="auto"/>
              </w:rPr>
            </w:pPr>
            <w:r>
              <w:rPr>
                <w:rFonts w:ascii="Arial" w:cs="Arial" w:eastAsia="Arial" w:hAnsi="Arial"/>
                <w:sz w:val="13"/>
                <w:szCs w:val="13"/>
                <w:b w:val="1"/>
                <w:bCs w:val="1"/>
                <w:color w:val="333333"/>
              </w:rPr>
              <w:t>$4.05</w:t>
            </w:r>
          </w:p>
        </w:tc>
        <w:tc>
          <w:tcPr>
            <w:tcW w:w="460" w:type="dxa"/>
            <w:vAlign w:val="bottom"/>
            <w:vMerge w:val="restart"/>
          </w:tcPr>
          <w:p>
            <w:pPr>
              <w:ind w:left="80"/>
              <w:spacing w:after="0"/>
              <w:rPr>
                <w:sz w:val="20"/>
                <w:szCs w:val="20"/>
                <w:color w:val="auto"/>
              </w:rPr>
            </w:pPr>
            <w:r>
              <w:rPr>
                <w:rFonts w:ascii="Arial" w:cs="Arial" w:eastAsia="Arial" w:hAnsi="Arial"/>
                <w:sz w:val="13"/>
                <w:szCs w:val="13"/>
                <w:b w:val="1"/>
                <w:bCs w:val="1"/>
                <w:color w:val="333333"/>
              </w:rPr>
              <w:t>$2.99</w:t>
            </w:r>
          </w:p>
        </w:tc>
        <w:tc>
          <w:tcPr>
            <w:tcW w:w="440" w:type="dxa"/>
            <w:vAlign w:val="bottom"/>
            <w:vMerge w:val="restart"/>
          </w:tcPr>
          <w:p>
            <w:pPr>
              <w:ind w:left="60"/>
              <w:spacing w:after="0"/>
              <w:rPr>
                <w:sz w:val="20"/>
                <w:szCs w:val="20"/>
                <w:color w:val="auto"/>
              </w:rPr>
            </w:pPr>
            <w:r>
              <w:rPr>
                <w:rFonts w:ascii="Arial" w:cs="Arial" w:eastAsia="Arial" w:hAnsi="Arial"/>
                <w:sz w:val="13"/>
                <w:szCs w:val="13"/>
                <w:b w:val="1"/>
                <w:bCs w:val="1"/>
                <w:color w:val="333333"/>
              </w:rPr>
              <w:t>$2.17</w:t>
            </w:r>
          </w:p>
        </w:tc>
        <w:tc>
          <w:tcPr>
            <w:tcW w:w="580" w:type="dxa"/>
            <w:vAlign w:val="bottom"/>
            <w:vMerge w:val="restart"/>
          </w:tcPr>
          <w:p>
            <w:pPr>
              <w:ind w:left="60"/>
              <w:spacing w:after="0"/>
              <w:rPr>
                <w:sz w:val="20"/>
                <w:szCs w:val="20"/>
                <w:color w:val="auto"/>
              </w:rPr>
            </w:pPr>
            <w:r>
              <w:rPr>
                <w:rFonts w:ascii="Arial" w:cs="Arial" w:eastAsia="Arial" w:hAnsi="Arial"/>
                <w:sz w:val="13"/>
                <w:szCs w:val="13"/>
                <w:b w:val="1"/>
                <w:bCs w:val="1"/>
                <w:color w:val="333333"/>
              </w:rPr>
              <w:t>$1.77</w:t>
            </w:r>
          </w:p>
        </w:tc>
        <w:tc>
          <w:tcPr>
            <w:tcW w:w="0" w:type="dxa"/>
            <w:vAlign w:val="bottom"/>
          </w:tcPr>
          <w:p>
            <w:pPr>
              <w:spacing w:after="0"/>
              <w:rPr>
                <w:sz w:val="1"/>
                <w:szCs w:val="1"/>
                <w:color w:val="auto"/>
              </w:rPr>
            </w:pPr>
          </w:p>
        </w:tc>
      </w:tr>
      <w:tr>
        <w:trPr>
          <w:trHeight w:val="104"/>
        </w:trPr>
        <w:tc>
          <w:tcPr>
            <w:tcW w:w="2120" w:type="dxa"/>
            <w:vAlign w:val="bottom"/>
            <w:vMerge w:val="restart"/>
          </w:tcPr>
          <w:p>
            <w:pPr>
              <w:ind w:left="160"/>
              <w:spacing w:after="0"/>
              <w:rPr>
                <w:sz w:val="20"/>
                <w:szCs w:val="20"/>
                <w:color w:val="auto"/>
              </w:rPr>
            </w:pPr>
            <w:r>
              <w:rPr>
                <w:rFonts w:ascii="Arial" w:cs="Arial" w:eastAsia="Arial" w:hAnsi="Arial"/>
                <w:sz w:val="13"/>
                <w:szCs w:val="13"/>
                <w:b w:val="1"/>
                <w:bCs w:val="1"/>
                <w:color w:val="333333"/>
              </w:rPr>
              <w:t>per diluted share</w:t>
            </w:r>
          </w:p>
        </w:tc>
        <w:tc>
          <w:tcPr>
            <w:tcW w:w="5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1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660" w:right="239" w:hanging="10"/>
        <w:spacing w:after="0"/>
        <w:tabs>
          <w:tab w:leader="none" w:pos="800" w:val="left"/>
        </w:tabs>
        <w:numPr>
          <w:ilvl w:val="0"/>
          <w:numId w:val="135"/>
        </w:numPr>
        <w:rPr>
          <w:rFonts w:ascii="Arial" w:cs="Arial" w:eastAsia="Arial" w:hAnsi="Arial"/>
          <w:sz w:val="13"/>
          <w:szCs w:val="13"/>
          <w:i w:val="1"/>
          <w:iCs w:val="1"/>
          <w:color w:val="333333"/>
        </w:rPr>
      </w:pPr>
      <w:r>
        <w:rPr>
          <w:rFonts w:ascii="Arial" w:cs="Arial" w:eastAsia="Arial" w:hAnsi="Arial"/>
          <w:sz w:val="13"/>
          <w:szCs w:val="13"/>
          <w:i w:val="1"/>
          <w:iCs w:val="1"/>
          <w:color w:val="333333"/>
        </w:rPr>
        <w:t>Beginning in 2020, the Company included integration and deal related costs in its definition to calculate adjusted net income and adjusted net income per diluted share. Prior period amounts were immaterial.</w:t>
      </w:r>
    </w:p>
    <w:p>
      <w:pPr>
        <w:spacing w:after="0" w:line="11" w:lineRule="exact"/>
        <w:rPr>
          <w:rFonts w:ascii="Arial" w:cs="Arial" w:eastAsia="Arial" w:hAnsi="Arial"/>
          <w:sz w:val="13"/>
          <w:szCs w:val="13"/>
          <w:i w:val="1"/>
          <w:iCs w:val="1"/>
          <w:color w:val="333333"/>
        </w:rPr>
      </w:pPr>
    </w:p>
    <w:p>
      <w:pPr>
        <w:ind w:left="800" w:hanging="150"/>
        <w:spacing w:after="0"/>
        <w:tabs>
          <w:tab w:leader="none" w:pos="800" w:val="left"/>
        </w:tabs>
        <w:numPr>
          <w:ilvl w:val="0"/>
          <w:numId w:val="135"/>
        </w:numPr>
        <w:rPr>
          <w:rFonts w:ascii="Arial" w:cs="Arial" w:eastAsia="Arial" w:hAnsi="Arial"/>
          <w:sz w:val="13"/>
          <w:szCs w:val="13"/>
          <w:i w:val="1"/>
          <w:iCs w:val="1"/>
          <w:color w:val="333333"/>
        </w:rPr>
      </w:pPr>
      <w:r>
        <w:rPr>
          <w:rFonts w:ascii="Arial" w:cs="Arial" w:eastAsia="Arial" w:hAnsi="Arial"/>
          <w:sz w:val="13"/>
          <w:szCs w:val="13"/>
          <w:i w:val="1"/>
          <w:iCs w:val="1"/>
          <w:color w:val="333333"/>
        </w:rPr>
        <w:t>The sums of pre-tax adjustments and adjusted net income may not equal the totals presented due to rounding.</w:t>
      </w:r>
    </w:p>
    <w:p>
      <w:pPr>
        <w:spacing w:after="0" w:line="14" w:lineRule="exact"/>
        <w:rPr>
          <w:rFonts w:ascii="Arial" w:cs="Arial" w:eastAsia="Arial" w:hAnsi="Arial"/>
          <w:sz w:val="13"/>
          <w:szCs w:val="13"/>
          <w:i w:val="1"/>
          <w:iCs w:val="1"/>
          <w:color w:val="333333"/>
        </w:rPr>
      </w:pPr>
    </w:p>
    <w:p>
      <w:pPr>
        <w:ind w:left="660" w:right="179" w:hanging="10"/>
        <w:spacing w:after="0" w:line="221" w:lineRule="auto"/>
        <w:tabs>
          <w:tab w:leader="none" w:pos="800" w:val="left"/>
        </w:tabs>
        <w:numPr>
          <w:ilvl w:val="0"/>
          <w:numId w:val="135"/>
        </w:numPr>
        <w:rPr>
          <w:rFonts w:ascii="Arial" w:cs="Arial" w:eastAsia="Arial" w:hAnsi="Arial"/>
          <w:sz w:val="13"/>
          <w:szCs w:val="13"/>
          <w:i w:val="1"/>
          <w:iCs w:val="1"/>
          <w:color w:val="333333"/>
        </w:rPr>
      </w:pPr>
      <w:r>
        <w:rPr>
          <w:rFonts w:ascii="Arial" w:cs="Arial" w:eastAsia="Arial" w:hAnsi="Arial"/>
          <w:sz w:val="13"/>
          <w:szCs w:val="13"/>
          <w:i w:val="1"/>
          <w:iCs w:val="1"/>
          <w:color w:val="333333"/>
        </w:rPr>
        <w:t>2022 year includes $9.0 million adjustment for tax benefit of certain income determined to be permanently invested. 2021 year includes remeasurement of deferreds due to the increase in UK corporate tax rate from 19% to 25% of $6.5 million. 2020 year includes a tax reserve adjustment related to poor year tax positions of $9.8 million. 2019 excludes the results of the Company’s Masternaut investment on our effective tax rate, as results were reported on a post-tax basis and no tax-over-book outside basis difference prior to disposition. 2017 year excludes the net gain realized upon our disposition of Nextraq. representing a pretax gain of $175.0 million and tax on gain of $65.8 million. 2014 through 2017 years exclude the results of our equity method investment on our effective tax rate, as results from our equity method investment are reported within the Consolidated Income Statements on a post-tax basis and no tax-over-book outside basis differences related to our equity method investment are expected to reverse.</w:t>
      </w:r>
    </w:p>
    <w:p>
      <w:pPr>
        <w:spacing w:after="0" w:line="2" w:lineRule="exact"/>
        <w:rPr>
          <w:rFonts w:ascii="Arial" w:cs="Arial" w:eastAsia="Arial" w:hAnsi="Arial"/>
          <w:sz w:val="13"/>
          <w:szCs w:val="13"/>
          <w:i w:val="1"/>
          <w:iCs w:val="1"/>
          <w:color w:val="333333"/>
        </w:rPr>
      </w:pPr>
    </w:p>
    <w:p>
      <w:pPr>
        <w:ind w:left="660" w:right="379" w:hanging="10"/>
        <w:spacing w:after="0" w:line="223" w:lineRule="auto"/>
        <w:tabs>
          <w:tab w:leader="none" w:pos="800" w:val="left"/>
        </w:tabs>
        <w:numPr>
          <w:ilvl w:val="0"/>
          <w:numId w:val="135"/>
        </w:numPr>
        <w:rPr>
          <w:rFonts w:ascii="Arial" w:cs="Arial" w:eastAsia="Arial" w:hAnsi="Arial"/>
          <w:sz w:val="13"/>
          <w:szCs w:val="13"/>
          <w:i w:val="1"/>
          <w:iCs w:val="1"/>
          <w:color w:val="333333"/>
        </w:rPr>
      </w:pPr>
      <w:r>
        <w:rPr>
          <w:rFonts w:ascii="Arial" w:cs="Arial" w:eastAsia="Arial" w:hAnsi="Arial"/>
          <w:sz w:val="13"/>
          <w:szCs w:val="13"/>
          <w:i w:val="1"/>
          <w:iCs w:val="1"/>
          <w:color w:val="333333"/>
        </w:rPr>
        <w:t>Represents the impact to taxes from the reversal of a valuation allowance related to the disposition of our investment in Masternaut of $65.7 million in 2019, and impact of tax reform adjustments included in our effective tax rate of $22.7 million in 2018. Also, includes the impact of a discrete tax item for a Section 199 adjustment related to a prior tax year in 2019 results of $1.8 million.</w:t>
      </w:r>
    </w:p>
    <w:p>
      <w:pPr>
        <w:spacing w:after="0" w:line="1" w:lineRule="exact"/>
        <w:rPr>
          <w:rFonts w:ascii="Arial" w:cs="Arial" w:eastAsia="Arial" w:hAnsi="Arial"/>
          <w:sz w:val="13"/>
          <w:szCs w:val="13"/>
          <w:i w:val="1"/>
          <w:iCs w:val="1"/>
          <w:color w:val="333333"/>
        </w:rPr>
      </w:pPr>
    </w:p>
    <w:p>
      <w:pPr>
        <w:ind w:left="660" w:right="899" w:hanging="10"/>
        <w:spacing w:after="0" w:line="231" w:lineRule="auto"/>
        <w:tabs>
          <w:tab w:leader="none" w:pos="800" w:val="left"/>
        </w:tabs>
        <w:numPr>
          <w:ilvl w:val="0"/>
          <w:numId w:val="135"/>
        </w:numPr>
        <w:rPr>
          <w:rFonts w:ascii="Arial" w:cs="Arial" w:eastAsia="Arial" w:hAnsi="Arial"/>
          <w:sz w:val="13"/>
          <w:szCs w:val="13"/>
          <w:i w:val="1"/>
          <w:iCs w:val="1"/>
          <w:color w:val="333333"/>
        </w:rPr>
      </w:pPr>
      <w:r>
        <w:rPr>
          <w:rFonts w:ascii="Arial" w:cs="Arial" w:eastAsia="Arial" w:hAnsi="Arial"/>
          <w:sz w:val="13"/>
          <w:szCs w:val="13"/>
          <w:i w:val="1"/>
          <w:iCs w:val="1"/>
          <w:color w:val="333333"/>
        </w:rPr>
        <w:t>Represents a bad debt loss in the first quarter of 2020 from a large client in our Cambridge business entering voluntary bankruptcy due to the extraordinary impact of the COVID-19 pandemic.</w:t>
      </w:r>
    </w:p>
    <w:p>
      <w:pPr>
        <w:spacing w:after="0" w:line="26" w:lineRule="exact"/>
        <w:rPr>
          <w:rFonts w:ascii="Arial" w:cs="Arial" w:eastAsia="Arial" w:hAnsi="Arial"/>
          <w:sz w:val="13"/>
          <w:szCs w:val="13"/>
          <w:i w:val="1"/>
          <w:iCs w:val="1"/>
          <w:color w:val="333333"/>
        </w:rPr>
      </w:pPr>
    </w:p>
    <w:p>
      <w:pPr>
        <w:ind w:left="800" w:hanging="150"/>
        <w:spacing w:after="0"/>
        <w:tabs>
          <w:tab w:leader="none" w:pos="800" w:val="left"/>
        </w:tabs>
        <w:numPr>
          <w:ilvl w:val="0"/>
          <w:numId w:val="135"/>
        </w:numPr>
        <w:rPr>
          <w:rFonts w:ascii="Arial" w:cs="Arial" w:eastAsia="Arial" w:hAnsi="Arial"/>
          <w:sz w:val="13"/>
          <w:szCs w:val="13"/>
          <w:i w:val="1"/>
          <w:iCs w:val="1"/>
          <w:color w:val="333333"/>
        </w:rPr>
      </w:pPr>
      <w:r>
        <w:rPr>
          <w:rFonts w:ascii="Arial" w:cs="Arial" w:eastAsia="Arial" w:hAnsi="Arial"/>
          <w:sz w:val="13"/>
          <w:szCs w:val="13"/>
          <w:i w:val="1"/>
          <w:iCs w:val="1"/>
          <w:color w:val="333333"/>
        </w:rPr>
        <w:t>Includes amortization related to intangible assets, premium on receivables, deferred financing costs, and debt discounts.</w:t>
      </w:r>
    </w:p>
    <w:p>
      <w:pPr>
        <w:sectPr>
          <w:pgSz w:w="11900" w:h="16838" w:orient="portrait"/>
          <w:cols w:equalWidth="0" w:num="1">
            <w:col w:w="9539"/>
          </w:cols>
          <w:pgMar w:left="920" w:top="114"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Arial" w:cs="Arial" w:eastAsia="Arial" w:hAnsi="Arial"/>
          <w:sz w:val="10"/>
          <w:szCs w:val="10"/>
          <w:b w:val="1"/>
          <w:bCs w:val="1"/>
          <w:color w:val="333333"/>
        </w:rPr>
        <w:t xml:space="preserve">76      </w:t>
      </w:r>
      <w:r>
        <w:rPr>
          <w:rFonts w:ascii="Arial" w:cs="Arial" w:eastAsia="Arial" w:hAnsi="Arial"/>
          <w:sz w:val="10"/>
          <w:szCs w:val="10"/>
          <w:color w:val="333333"/>
        </w:rPr>
        <w:t>2024 Notice of Annual Meeting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123825</wp:posOffset>
            </wp:positionV>
            <wp:extent cx="699516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0" w:lineRule="exact"/>
        <w:rPr>
          <w:sz w:val="20"/>
          <w:szCs w:val="20"/>
          <w:color w:val="auto"/>
        </w:rPr>
      </w:pPr>
    </w:p>
    <w:p>
      <w:pPr>
        <w:ind w:left="960" w:hanging="310"/>
        <w:spacing w:after="0"/>
        <w:tabs>
          <w:tab w:leader="none" w:pos="9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CF1D4C"/>
        </w:rPr>
        <w:t>APPENDIX A</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Reconciliation of Net Income to Pro Forma Adjusted Net Income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333333"/>
        </w:rPr>
        <w:t>($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50800</wp:posOffset>
            </wp:positionV>
            <wp:extent cx="5554980" cy="3257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67" w:lineRule="exact"/>
        <w:rPr>
          <w:sz w:val="20"/>
          <w:szCs w:val="20"/>
          <w:color w:val="auto"/>
        </w:rPr>
      </w:pPr>
    </w:p>
    <w:p>
      <w:pPr>
        <w:jc w:val="right"/>
        <w:ind w:right="960"/>
        <w:spacing w:after="0"/>
        <w:tabs>
          <w:tab w:leader="none" w:pos="2740" w:val="left"/>
          <w:tab w:leader="none" w:pos="1060" w:val="left"/>
        </w:tabs>
        <w:rPr>
          <w:sz w:val="20"/>
          <w:szCs w:val="20"/>
          <w:color w:val="auto"/>
        </w:rPr>
      </w:pPr>
      <w:r>
        <w:rPr>
          <w:rFonts w:ascii="Arial" w:cs="Arial" w:eastAsia="Arial" w:hAnsi="Arial"/>
          <w:sz w:val="14"/>
          <w:szCs w:val="14"/>
          <w:b w:val="1"/>
          <w:bCs w:val="1"/>
          <w:color w:val="FFFFFF"/>
        </w:rPr>
        <w:t>Year Ended 2010</w:t>
      </w:r>
      <w:r>
        <w:rPr>
          <w:sz w:val="20"/>
          <w:szCs w:val="20"/>
          <w:color w:val="auto"/>
        </w:rPr>
        <w:tab/>
      </w:r>
      <w:r>
        <w:rPr>
          <w:rFonts w:ascii="Arial" w:cs="Arial" w:eastAsia="Arial" w:hAnsi="Arial"/>
          <w:sz w:val="14"/>
          <w:szCs w:val="14"/>
          <w:b w:val="1"/>
          <w:bCs w:val="1"/>
          <w:color w:val="FFFFFF"/>
        </w:rPr>
        <w:t>2011 Changes</w:t>
      </w:r>
      <w:r>
        <w:rPr>
          <w:sz w:val="20"/>
          <w:szCs w:val="20"/>
          <w:color w:val="auto"/>
        </w:rPr>
        <w:tab/>
      </w:r>
      <w:r>
        <w:rPr>
          <w:rFonts w:ascii="Arial" w:cs="Arial" w:eastAsia="Arial" w:hAnsi="Arial"/>
          <w:sz w:val="14"/>
          <w:szCs w:val="14"/>
          <w:b w:val="1"/>
          <w:bCs w:val="1"/>
          <w:color w:val="FFFFFF"/>
        </w:rPr>
        <w:t>Pro Forma 2010</w:t>
      </w:r>
    </w:p>
    <w:p>
      <w:pPr>
        <w:sectPr>
          <w:pgSz w:w="11900" w:h="16838" w:orient="portrait"/>
          <w:cols w:equalWidth="0" w:num="1">
            <w:col w:w="10040"/>
          </w:cols>
          <w:pgMar w:left="920" w:top="114" w:right="939" w:bottom="1440" w:gutter="0" w:footer="0" w:header="0"/>
        </w:sectPr>
      </w:pPr>
    </w:p>
    <w:p>
      <w:pPr>
        <w:spacing w:after="0" w:line="26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333333"/>
        </w:rPr>
        <w:t>Income before income taxes</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333333"/>
        </w:rPr>
        <w:t>Provision for income taxes</w:t>
      </w:r>
    </w:p>
    <w:p>
      <w:pPr>
        <w:spacing w:after="0" w:line="30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333333"/>
        </w:rPr>
        <w:t>Net income</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333333"/>
        </w:rPr>
        <w:t>Stock based compensation</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333333"/>
        </w:rPr>
        <w:t>Amortization of intangible assets</w:t>
      </w:r>
    </w:p>
    <w:p>
      <w:pPr>
        <w:spacing w:after="0" w:line="275" w:lineRule="exact"/>
        <w:rPr>
          <w:sz w:val="20"/>
          <w:szCs w:val="20"/>
          <w:color w:val="auto"/>
        </w:rPr>
      </w:pPr>
    </w:p>
    <w:p>
      <w:pPr>
        <w:ind w:left="820" w:right="580"/>
        <w:spacing w:after="0" w:line="296" w:lineRule="auto"/>
        <w:rPr>
          <w:sz w:val="20"/>
          <w:szCs w:val="20"/>
          <w:color w:val="auto"/>
        </w:rPr>
      </w:pPr>
      <w:r>
        <w:rPr>
          <w:rFonts w:ascii="Arial" w:cs="Arial" w:eastAsia="Arial" w:hAnsi="Arial"/>
          <w:sz w:val="16"/>
          <w:szCs w:val="16"/>
          <w:b w:val="1"/>
          <w:bCs w:val="1"/>
          <w:color w:val="333333"/>
        </w:rPr>
        <w:t>Amortization of premium on receivables</w:t>
      </w:r>
    </w:p>
    <w:p>
      <w:pPr>
        <w:spacing w:after="0" w:line="194" w:lineRule="exact"/>
        <w:rPr>
          <w:sz w:val="20"/>
          <w:szCs w:val="20"/>
          <w:color w:val="auto"/>
        </w:rPr>
      </w:pPr>
    </w:p>
    <w:p>
      <w:pPr>
        <w:ind w:left="820" w:right="100"/>
        <w:spacing w:after="0" w:line="296" w:lineRule="auto"/>
        <w:rPr>
          <w:sz w:val="20"/>
          <w:szCs w:val="20"/>
          <w:color w:val="auto"/>
        </w:rPr>
      </w:pPr>
      <w:r>
        <w:rPr>
          <w:rFonts w:ascii="Arial" w:cs="Arial" w:eastAsia="Arial" w:hAnsi="Arial"/>
          <w:sz w:val="16"/>
          <w:szCs w:val="16"/>
          <w:b w:val="1"/>
          <w:bCs w:val="1"/>
          <w:color w:val="333333"/>
        </w:rPr>
        <w:t>Amortization of deferred financing costs</w:t>
      </w:r>
    </w:p>
    <w:p>
      <w:pPr>
        <w:spacing w:after="0" w:line="194" w:lineRule="exact"/>
        <w:rPr>
          <w:sz w:val="20"/>
          <w:szCs w:val="20"/>
          <w:color w:val="auto"/>
        </w:rPr>
      </w:pPr>
    </w:p>
    <w:p>
      <w:pPr>
        <w:jc w:val="center"/>
        <w:ind w:left="520"/>
        <w:spacing w:after="0"/>
        <w:rPr>
          <w:sz w:val="20"/>
          <w:szCs w:val="20"/>
          <w:color w:val="auto"/>
        </w:rPr>
      </w:pPr>
      <w:r>
        <w:rPr>
          <w:rFonts w:ascii="Arial" w:cs="Arial" w:eastAsia="Arial" w:hAnsi="Arial"/>
          <w:sz w:val="16"/>
          <w:szCs w:val="16"/>
          <w:b w:val="1"/>
          <w:bCs w:val="1"/>
          <w:color w:val="333333"/>
        </w:rPr>
        <w:t>Loss on extinguishment of debt</w:t>
      </w:r>
    </w:p>
    <w:p>
      <w:pPr>
        <w:spacing w:after="0" w:line="30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333333"/>
        </w:rPr>
        <w:t>Total pre-tax adjustments</w:t>
      </w:r>
    </w:p>
    <w:p>
      <w:pPr>
        <w:spacing w:after="0" w:line="289" w:lineRule="exact"/>
        <w:rPr>
          <w:sz w:val="20"/>
          <w:szCs w:val="20"/>
          <w:color w:val="auto"/>
        </w:rPr>
      </w:pPr>
    </w:p>
    <w:p>
      <w:pPr>
        <w:ind w:left="820"/>
        <w:spacing w:after="0" w:line="296" w:lineRule="auto"/>
        <w:rPr>
          <w:sz w:val="20"/>
          <w:szCs w:val="20"/>
          <w:color w:val="auto"/>
        </w:rPr>
      </w:pPr>
      <w:r>
        <w:rPr>
          <w:rFonts w:ascii="Arial" w:cs="Arial" w:eastAsia="Arial" w:hAnsi="Arial"/>
          <w:sz w:val="16"/>
          <w:szCs w:val="16"/>
          <w:b w:val="1"/>
          <w:bCs w:val="1"/>
          <w:color w:val="333333"/>
        </w:rPr>
        <w:t>Income tax impact of pre-tax adjustments at the effective tax rate</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333333"/>
        </w:rPr>
        <w:t>Total pre-tax adjustments</w:t>
      </w:r>
    </w:p>
    <w:p>
      <w:pPr>
        <w:spacing w:after="0" w:line="316" w:lineRule="exact"/>
        <w:rPr>
          <w:sz w:val="20"/>
          <w:szCs w:val="20"/>
          <w:color w:val="auto"/>
        </w:rPr>
      </w:pPr>
    </w:p>
    <w:p>
      <w:pPr>
        <w:ind w:left="820" w:right="280"/>
        <w:spacing w:after="0" w:line="296" w:lineRule="auto"/>
        <w:rPr>
          <w:sz w:val="20"/>
          <w:szCs w:val="20"/>
          <w:color w:val="auto"/>
        </w:rPr>
      </w:pPr>
      <w:r>
        <w:rPr>
          <w:rFonts w:ascii="Arial" w:cs="Arial" w:eastAsia="Arial" w:hAnsi="Arial"/>
          <w:sz w:val="16"/>
          <w:szCs w:val="16"/>
          <w:b w:val="1"/>
          <w:bCs w:val="1"/>
          <w:color w:val="333333"/>
        </w:rPr>
        <w:t>Adjusted net income per diluted share</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333333"/>
        </w:rPr>
        <w:t>Diluted shares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540" w:type="dxa"/>
            <w:vAlign w:val="bottom"/>
          </w:tcPr>
          <w:p>
            <w:pPr>
              <w:ind w:left="360"/>
              <w:spacing w:after="0"/>
              <w:rPr>
                <w:sz w:val="20"/>
                <w:szCs w:val="20"/>
                <w:color w:val="auto"/>
              </w:rPr>
            </w:pPr>
            <w:r>
              <w:rPr>
                <w:rFonts w:ascii="Arial" w:cs="Arial" w:eastAsia="Arial" w:hAnsi="Arial"/>
                <w:sz w:val="16"/>
                <w:szCs w:val="16"/>
                <w:color w:val="333333"/>
              </w:rPr>
              <w:t>$151</w:t>
            </w:r>
          </w:p>
        </w:tc>
        <w:tc>
          <w:tcPr>
            <w:tcW w:w="1740" w:type="dxa"/>
            <w:vAlign w:val="bottom"/>
          </w:tcPr>
          <w:p>
            <w:pPr>
              <w:ind w:left="760"/>
              <w:spacing w:after="0"/>
              <w:rPr>
                <w:sz w:val="20"/>
                <w:szCs w:val="20"/>
                <w:color w:val="auto"/>
              </w:rPr>
            </w:pPr>
            <w:r>
              <w:rPr>
                <w:rFonts w:ascii="Arial" w:cs="Arial" w:eastAsia="Arial" w:hAnsi="Arial"/>
                <w:sz w:val="16"/>
                <w:szCs w:val="16"/>
                <w:color w:val="333333"/>
              </w:rPr>
              <w:t>$1</w:t>
            </w:r>
          </w:p>
        </w:tc>
        <w:tc>
          <w:tcPr>
            <w:tcW w:w="2100" w:type="dxa"/>
            <w:vAlign w:val="bottom"/>
          </w:tcPr>
          <w:p>
            <w:pPr>
              <w:ind w:left="700"/>
              <w:spacing w:after="0"/>
              <w:rPr>
                <w:sz w:val="20"/>
                <w:szCs w:val="20"/>
                <w:color w:val="auto"/>
              </w:rPr>
            </w:pPr>
            <w:r>
              <w:rPr>
                <w:rFonts w:ascii="Arial" w:cs="Arial" w:eastAsia="Arial" w:hAnsi="Arial"/>
                <w:sz w:val="16"/>
                <w:szCs w:val="16"/>
                <w:color w:val="333333"/>
              </w:rPr>
              <w:t>$152</w:t>
            </w:r>
          </w:p>
        </w:tc>
      </w:tr>
      <w:tr>
        <w:trPr>
          <w:trHeight w:val="459"/>
        </w:trPr>
        <w:tc>
          <w:tcPr>
            <w:tcW w:w="1540" w:type="dxa"/>
            <w:vAlign w:val="bottom"/>
          </w:tcPr>
          <w:p>
            <w:pPr>
              <w:ind w:left="360"/>
              <w:spacing w:after="0"/>
              <w:rPr>
                <w:sz w:val="20"/>
                <w:szCs w:val="20"/>
                <w:color w:val="auto"/>
              </w:rPr>
            </w:pPr>
            <w:r>
              <w:rPr>
                <w:rFonts w:ascii="Arial" w:cs="Arial" w:eastAsia="Arial" w:hAnsi="Arial"/>
                <w:sz w:val="16"/>
                <w:szCs w:val="16"/>
                <w:color w:val="333333"/>
              </w:rPr>
              <w:t>43</w:t>
            </w:r>
          </w:p>
        </w:tc>
        <w:tc>
          <w:tcPr>
            <w:tcW w:w="1740" w:type="dxa"/>
            <w:vAlign w:val="bottom"/>
          </w:tcPr>
          <w:p>
            <w:pPr>
              <w:ind w:left="760"/>
              <w:spacing w:after="0"/>
              <w:rPr>
                <w:sz w:val="20"/>
                <w:szCs w:val="20"/>
                <w:color w:val="auto"/>
              </w:rPr>
            </w:pPr>
            <w:r>
              <w:rPr>
                <w:rFonts w:ascii="Arial" w:cs="Arial" w:eastAsia="Arial" w:hAnsi="Arial"/>
                <w:sz w:val="16"/>
                <w:szCs w:val="16"/>
                <w:color w:val="333333"/>
              </w:rPr>
              <w:t>2</w:t>
            </w:r>
          </w:p>
        </w:tc>
        <w:tc>
          <w:tcPr>
            <w:tcW w:w="2100" w:type="dxa"/>
            <w:vAlign w:val="bottom"/>
          </w:tcPr>
          <w:p>
            <w:pPr>
              <w:ind w:left="700"/>
              <w:spacing w:after="0"/>
              <w:rPr>
                <w:sz w:val="20"/>
                <w:szCs w:val="20"/>
                <w:color w:val="auto"/>
              </w:rPr>
            </w:pPr>
            <w:r>
              <w:rPr>
                <w:rFonts w:ascii="Arial" w:cs="Arial" w:eastAsia="Arial" w:hAnsi="Arial"/>
                <w:sz w:val="16"/>
                <w:szCs w:val="16"/>
                <w:color w:val="333333"/>
              </w:rPr>
              <w:t>46</w:t>
            </w:r>
          </w:p>
        </w:tc>
      </w:tr>
      <w:tr>
        <w:trPr>
          <w:trHeight w:val="137"/>
        </w:trPr>
        <w:tc>
          <w:tcPr>
            <w:tcW w:w="15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r>
      <w:tr>
        <w:trPr>
          <w:trHeight w:val="342"/>
        </w:trPr>
        <w:tc>
          <w:tcPr>
            <w:tcW w:w="1540" w:type="dxa"/>
            <w:vAlign w:val="bottom"/>
          </w:tcPr>
          <w:p>
            <w:pPr>
              <w:ind w:left="360"/>
              <w:spacing w:after="0"/>
              <w:rPr>
                <w:sz w:val="20"/>
                <w:szCs w:val="20"/>
                <w:color w:val="auto"/>
              </w:rPr>
            </w:pPr>
            <w:r>
              <w:rPr>
                <w:rFonts w:ascii="Arial" w:cs="Arial" w:eastAsia="Arial" w:hAnsi="Arial"/>
                <w:sz w:val="16"/>
                <w:szCs w:val="16"/>
                <w:color w:val="333333"/>
              </w:rPr>
              <w:t>108</w:t>
            </w:r>
          </w:p>
        </w:tc>
        <w:tc>
          <w:tcPr>
            <w:tcW w:w="1740" w:type="dxa"/>
            <w:vAlign w:val="bottom"/>
          </w:tcPr>
          <w:p>
            <w:pPr>
              <w:ind w:left="760"/>
              <w:spacing w:after="0"/>
              <w:rPr>
                <w:sz w:val="20"/>
                <w:szCs w:val="20"/>
                <w:color w:val="auto"/>
              </w:rPr>
            </w:pPr>
            <w:r>
              <w:rPr>
                <w:rFonts w:ascii="Arial" w:cs="Arial" w:eastAsia="Arial" w:hAnsi="Arial"/>
                <w:sz w:val="16"/>
                <w:szCs w:val="16"/>
                <w:color w:val="333333"/>
              </w:rPr>
              <w:t>(2)</w:t>
            </w:r>
          </w:p>
        </w:tc>
        <w:tc>
          <w:tcPr>
            <w:tcW w:w="2100" w:type="dxa"/>
            <w:vAlign w:val="bottom"/>
          </w:tcPr>
          <w:p>
            <w:pPr>
              <w:ind w:left="700"/>
              <w:spacing w:after="0"/>
              <w:rPr>
                <w:sz w:val="20"/>
                <w:szCs w:val="20"/>
                <w:color w:val="auto"/>
              </w:rPr>
            </w:pPr>
            <w:r>
              <w:rPr>
                <w:rFonts w:ascii="Arial" w:cs="Arial" w:eastAsia="Arial" w:hAnsi="Arial"/>
                <w:sz w:val="16"/>
                <w:szCs w:val="16"/>
                <w:color w:val="333333"/>
              </w:rPr>
              <w:t>106</w:t>
            </w:r>
          </w:p>
        </w:tc>
      </w:tr>
      <w:tr>
        <w:trPr>
          <w:trHeight w:val="459"/>
        </w:trPr>
        <w:tc>
          <w:tcPr>
            <w:tcW w:w="1540" w:type="dxa"/>
            <w:vAlign w:val="bottom"/>
          </w:tcPr>
          <w:p>
            <w:pPr>
              <w:ind w:left="360"/>
              <w:spacing w:after="0"/>
              <w:rPr>
                <w:sz w:val="20"/>
                <w:szCs w:val="20"/>
                <w:color w:val="auto"/>
              </w:rPr>
            </w:pPr>
            <w:r>
              <w:rPr>
                <w:rFonts w:ascii="Arial" w:cs="Arial" w:eastAsia="Arial" w:hAnsi="Arial"/>
                <w:sz w:val="16"/>
                <w:szCs w:val="16"/>
                <w:color w:val="333333"/>
              </w:rPr>
              <w:t>27</w:t>
            </w:r>
          </w:p>
        </w:tc>
        <w:tc>
          <w:tcPr>
            <w:tcW w:w="1740" w:type="dxa"/>
            <w:vAlign w:val="bottom"/>
          </w:tcPr>
          <w:p>
            <w:pPr>
              <w:ind w:left="760"/>
              <w:spacing w:after="0"/>
              <w:rPr>
                <w:sz w:val="20"/>
                <w:szCs w:val="20"/>
                <w:color w:val="auto"/>
              </w:rPr>
            </w:pPr>
            <w:r>
              <w:rPr>
                <w:rFonts w:ascii="Arial" w:cs="Arial" w:eastAsia="Arial" w:hAnsi="Arial"/>
                <w:sz w:val="16"/>
                <w:szCs w:val="16"/>
                <w:color w:val="333333"/>
              </w:rPr>
              <w:t>(5)</w:t>
            </w:r>
          </w:p>
        </w:tc>
        <w:tc>
          <w:tcPr>
            <w:tcW w:w="2100" w:type="dxa"/>
            <w:vAlign w:val="bottom"/>
          </w:tcPr>
          <w:p>
            <w:pPr>
              <w:ind w:left="700"/>
              <w:spacing w:after="0"/>
              <w:rPr>
                <w:sz w:val="20"/>
                <w:szCs w:val="20"/>
                <w:color w:val="auto"/>
              </w:rPr>
            </w:pPr>
            <w:r>
              <w:rPr>
                <w:rFonts w:ascii="Arial" w:cs="Arial" w:eastAsia="Arial" w:hAnsi="Arial"/>
                <w:sz w:val="16"/>
                <w:szCs w:val="16"/>
                <w:color w:val="333333"/>
              </w:rPr>
              <w:t>22</w:t>
            </w:r>
          </w:p>
        </w:tc>
      </w:tr>
      <w:tr>
        <w:trPr>
          <w:trHeight w:val="459"/>
        </w:trPr>
        <w:tc>
          <w:tcPr>
            <w:tcW w:w="1540" w:type="dxa"/>
            <w:vAlign w:val="bottom"/>
          </w:tcPr>
          <w:p>
            <w:pPr>
              <w:ind w:left="360"/>
              <w:spacing w:after="0"/>
              <w:rPr>
                <w:sz w:val="20"/>
                <w:szCs w:val="20"/>
                <w:color w:val="auto"/>
              </w:rPr>
            </w:pPr>
            <w:r>
              <w:rPr>
                <w:rFonts w:ascii="Arial" w:cs="Arial" w:eastAsia="Arial" w:hAnsi="Arial"/>
                <w:sz w:val="16"/>
                <w:szCs w:val="16"/>
                <w:color w:val="333333"/>
              </w:rPr>
              <w:t>17</w:t>
            </w:r>
          </w:p>
        </w:tc>
        <w:tc>
          <w:tcPr>
            <w:tcW w:w="1740" w:type="dxa"/>
            <w:vAlign w:val="bottom"/>
          </w:tcPr>
          <w:p>
            <w:pPr>
              <w:ind w:left="760"/>
              <w:spacing w:after="0"/>
              <w:rPr>
                <w:sz w:val="20"/>
                <w:szCs w:val="20"/>
                <w:color w:val="auto"/>
              </w:rPr>
            </w:pPr>
            <w:r>
              <w:rPr>
                <w:rFonts w:ascii="Arial" w:cs="Arial" w:eastAsia="Arial" w:hAnsi="Arial"/>
                <w:sz w:val="16"/>
                <w:szCs w:val="16"/>
                <w:color w:val="333333"/>
              </w:rPr>
              <w:t>—</w:t>
            </w:r>
          </w:p>
        </w:tc>
        <w:tc>
          <w:tcPr>
            <w:tcW w:w="2100" w:type="dxa"/>
            <w:vAlign w:val="bottom"/>
          </w:tcPr>
          <w:p>
            <w:pPr>
              <w:ind w:left="700"/>
              <w:spacing w:after="0"/>
              <w:rPr>
                <w:sz w:val="20"/>
                <w:szCs w:val="20"/>
                <w:color w:val="auto"/>
              </w:rPr>
            </w:pPr>
            <w:r>
              <w:rPr>
                <w:rFonts w:ascii="Arial" w:cs="Arial" w:eastAsia="Arial" w:hAnsi="Arial"/>
                <w:sz w:val="16"/>
                <w:szCs w:val="16"/>
                <w:color w:val="333333"/>
              </w:rPr>
              <w:t>17</w:t>
            </w:r>
          </w:p>
        </w:tc>
      </w:tr>
      <w:tr>
        <w:trPr>
          <w:trHeight w:val="553"/>
        </w:trPr>
        <w:tc>
          <w:tcPr>
            <w:tcW w:w="1540" w:type="dxa"/>
            <w:vAlign w:val="bottom"/>
          </w:tcPr>
          <w:p>
            <w:pPr>
              <w:ind w:left="360"/>
              <w:spacing w:after="0"/>
              <w:rPr>
                <w:sz w:val="20"/>
                <w:szCs w:val="20"/>
                <w:color w:val="auto"/>
              </w:rPr>
            </w:pPr>
            <w:r>
              <w:rPr>
                <w:rFonts w:ascii="Arial" w:cs="Arial" w:eastAsia="Arial" w:hAnsi="Arial"/>
                <w:sz w:val="16"/>
                <w:szCs w:val="16"/>
                <w:color w:val="333333"/>
              </w:rPr>
              <w:t>3</w:t>
            </w:r>
          </w:p>
        </w:tc>
        <w:tc>
          <w:tcPr>
            <w:tcW w:w="1740" w:type="dxa"/>
            <w:vAlign w:val="bottom"/>
          </w:tcPr>
          <w:p>
            <w:pPr>
              <w:ind w:left="760"/>
              <w:spacing w:after="0"/>
              <w:rPr>
                <w:sz w:val="20"/>
                <w:szCs w:val="20"/>
                <w:color w:val="auto"/>
              </w:rPr>
            </w:pPr>
            <w:r>
              <w:rPr>
                <w:rFonts w:ascii="Arial" w:cs="Arial" w:eastAsia="Arial" w:hAnsi="Arial"/>
                <w:sz w:val="16"/>
                <w:szCs w:val="16"/>
                <w:color w:val="333333"/>
              </w:rPr>
              <w:t>—</w:t>
            </w:r>
          </w:p>
        </w:tc>
        <w:tc>
          <w:tcPr>
            <w:tcW w:w="2100" w:type="dxa"/>
            <w:vAlign w:val="bottom"/>
          </w:tcPr>
          <w:p>
            <w:pPr>
              <w:ind w:left="700"/>
              <w:spacing w:after="0"/>
              <w:rPr>
                <w:sz w:val="20"/>
                <w:szCs w:val="20"/>
                <w:color w:val="auto"/>
              </w:rPr>
            </w:pPr>
            <w:r>
              <w:rPr>
                <w:rFonts w:ascii="Arial" w:cs="Arial" w:eastAsia="Arial" w:hAnsi="Arial"/>
                <w:sz w:val="16"/>
                <w:szCs w:val="16"/>
                <w:color w:val="333333"/>
              </w:rPr>
              <w:t>3</w:t>
            </w:r>
          </w:p>
        </w:tc>
      </w:tr>
      <w:tr>
        <w:trPr>
          <w:trHeight w:val="648"/>
        </w:trPr>
        <w:tc>
          <w:tcPr>
            <w:tcW w:w="1540" w:type="dxa"/>
            <w:vAlign w:val="bottom"/>
          </w:tcPr>
          <w:p>
            <w:pPr>
              <w:ind w:left="360"/>
              <w:spacing w:after="0"/>
              <w:rPr>
                <w:sz w:val="20"/>
                <w:szCs w:val="20"/>
                <w:color w:val="auto"/>
              </w:rPr>
            </w:pPr>
            <w:r>
              <w:rPr>
                <w:rFonts w:ascii="Arial" w:cs="Arial" w:eastAsia="Arial" w:hAnsi="Arial"/>
                <w:sz w:val="16"/>
                <w:szCs w:val="16"/>
                <w:color w:val="333333"/>
              </w:rPr>
              <w:t>2</w:t>
            </w:r>
          </w:p>
        </w:tc>
        <w:tc>
          <w:tcPr>
            <w:tcW w:w="1740" w:type="dxa"/>
            <w:vAlign w:val="bottom"/>
          </w:tcPr>
          <w:p>
            <w:pPr>
              <w:ind w:left="760"/>
              <w:spacing w:after="0"/>
              <w:rPr>
                <w:sz w:val="20"/>
                <w:szCs w:val="20"/>
                <w:color w:val="auto"/>
              </w:rPr>
            </w:pPr>
            <w:r>
              <w:rPr>
                <w:rFonts w:ascii="Arial" w:cs="Arial" w:eastAsia="Arial" w:hAnsi="Arial"/>
                <w:sz w:val="16"/>
                <w:szCs w:val="16"/>
                <w:color w:val="333333"/>
              </w:rPr>
              <w:t>—</w:t>
            </w:r>
          </w:p>
        </w:tc>
        <w:tc>
          <w:tcPr>
            <w:tcW w:w="2100" w:type="dxa"/>
            <w:vAlign w:val="bottom"/>
          </w:tcPr>
          <w:p>
            <w:pPr>
              <w:ind w:left="700"/>
              <w:spacing w:after="0"/>
              <w:rPr>
                <w:sz w:val="20"/>
                <w:szCs w:val="20"/>
                <w:color w:val="auto"/>
              </w:rPr>
            </w:pPr>
            <w:r>
              <w:rPr>
                <w:rFonts w:ascii="Arial" w:cs="Arial" w:eastAsia="Arial" w:hAnsi="Arial"/>
                <w:sz w:val="16"/>
                <w:szCs w:val="16"/>
                <w:color w:val="333333"/>
              </w:rPr>
              <w:t>2</w:t>
            </w:r>
          </w:p>
        </w:tc>
      </w:tr>
      <w:tr>
        <w:trPr>
          <w:trHeight w:val="554"/>
        </w:trPr>
        <w:tc>
          <w:tcPr>
            <w:tcW w:w="1540" w:type="dxa"/>
            <w:vAlign w:val="bottom"/>
          </w:tcPr>
          <w:p>
            <w:pPr>
              <w:ind w:left="360"/>
              <w:spacing w:after="0"/>
              <w:rPr>
                <w:sz w:val="20"/>
                <w:szCs w:val="20"/>
                <w:color w:val="auto"/>
              </w:rPr>
            </w:pPr>
            <w:r>
              <w:rPr>
                <w:rFonts w:ascii="Arial" w:cs="Arial" w:eastAsia="Arial" w:hAnsi="Arial"/>
                <w:sz w:val="16"/>
                <w:szCs w:val="16"/>
                <w:color w:val="333333"/>
              </w:rPr>
              <w:t>—</w:t>
            </w:r>
          </w:p>
        </w:tc>
        <w:tc>
          <w:tcPr>
            <w:tcW w:w="1740" w:type="dxa"/>
            <w:vAlign w:val="bottom"/>
          </w:tcPr>
          <w:p>
            <w:pPr>
              <w:ind w:left="760"/>
              <w:spacing w:after="0"/>
              <w:rPr>
                <w:sz w:val="20"/>
                <w:szCs w:val="20"/>
                <w:color w:val="auto"/>
              </w:rPr>
            </w:pPr>
            <w:r>
              <w:rPr>
                <w:rFonts w:ascii="Arial" w:cs="Arial" w:eastAsia="Arial" w:hAnsi="Arial"/>
                <w:sz w:val="16"/>
                <w:szCs w:val="16"/>
                <w:color w:val="333333"/>
              </w:rPr>
              <w:t>3</w:t>
            </w:r>
          </w:p>
        </w:tc>
        <w:tc>
          <w:tcPr>
            <w:tcW w:w="2100" w:type="dxa"/>
            <w:vAlign w:val="bottom"/>
          </w:tcPr>
          <w:p>
            <w:pPr>
              <w:ind w:left="700"/>
              <w:spacing w:after="0"/>
              <w:rPr>
                <w:sz w:val="20"/>
                <w:szCs w:val="20"/>
                <w:color w:val="auto"/>
              </w:rPr>
            </w:pPr>
            <w:r>
              <w:rPr>
                <w:rFonts w:ascii="Arial" w:cs="Arial" w:eastAsia="Arial" w:hAnsi="Arial"/>
                <w:sz w:val="16"/>
                <w:szCs w:val="16"/>
                <w:color w:val="333333"/>
              </w:rPr>
              <w:t>3</w:t>
            </w:r>
          </w:p>
        </w:tc>
      </w:tr>
      <w:tr>
        <w:trPr>
          <w:trHeight w:val="137"/>
        </w:trPr>
        <w:tc>
          <w:tcPr>
            <w:tcW w:w="15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r>
      <w:tr>
        <w:trPr>
          <w:trHeight w:val="343"/>
        </w:trPr>
        <w:tc>
          <w:tcPr>
            <w:tcW w:w="1540" w:type="dxa"/>
            <w:vAlign w:val="bottom"/>
          </w:tcPr>
          <w:p>
            <w:pPr>
              <w:ind w:left="360"/>
              <w:spacing w:after="0"/>
              <w:rPr>
                <w:sz w:val="20"/>
                <w:szCs w:val="20"/>
                <w:color w:val="auto"/>
              </w:rPr>
            </w:pPr>
            <w:r>
              <w:rPr>
                <w:rFonts w:ascii="Arial" w:cs="Arial" w:eastAsia="Arial" w:hAnsi="Arial"/>
                <w:sz w:val="16"/>
                <w:szCs w:val="16"/>
                <w:color w:val="333333"/>
              </w:rPr>
              <w:t>49</w:t>
            </w:r>
          </w:p>
        </w:tc>
        <w:tc>
          <w:tcPr>
            <w:tcW w:w="1740" w:type="dxa"/>
            <w:vAlign w:val="bottom"/>
          </w:tcPr>
          <w:p>
            <w:pPr>
              <w:ind w:left="760"/>
              <w:spacing w:after="0"/>
              <w:rPr>
                <w:sz w:val="20"/>
                <w:szCs w:val="20"/>
                <w:color w:val="auto"/>
              </w:rPr>
            </w:pPr>
            <w:r>
              <w:rPr>
                <w:rFonts w:ascii="Arial" w:cs="Arial" w:eastAsia="Arial" w:hAnsi="Arial"/>
                <w:sz w:val="16"/>
                <w:szCs w:val="16"/>
                <w:color w:val="333333"/>
              </w:rPr>
              <w:t>(2)</w:t>
            </w:r>
          </w:p>
        </w:tc>
        <w:tc>
          <w:tcPr>
            <w:tcW w:w="2100" w:type="dxa"/>
            <w:vAlign w:val="bottom"/>
          </w:tcPr>
          <w:p>
            <w:pPr>
              <w:ind w:left="700"/>
              <w:spacing w:after="0"/>
              <w:rPr>
                <w:sz w:val="20"/>
                <w:szCs w:val="20"/>
                <w:color w:val="auto"/>
              </w:rPr>
            </w:pPr>
            <w:r>
              <w:rPr>
                <w:rFonts w:ascii="Arial" w:cs="Arial" w:eastAsia="Arial" w:hAnsi="Arial"/>
                <w:sz w:val="16"/>
                <w:szCs w:val="16"/>
                <w:color w:val="333333"/>
              </w:rPr>
              <w:t>47</w:t>
            </w:r>
          </w:p>
        </w:tc>
      </w:tr>
      <w:tr>
        <w:trPr>
          <w:trHeight w:val="554"/>
        </w:trPr>
        <w:tc>
          <w:tcPr>
            <w:tcW w:w="1540" w:type="dxa"/>
            <w:vAlign w:val="bottom"/>
          </w:tcPr>
          <w:p>
            <w:pPr>
              <w:ind w:left="360"/>
              <w:spacing w:after="0"/>
              <w:rPr>
                <w:sz w:val="20"/>
                <w:szCs w:val="20"/>
                <w:color w:val="auto"/>
              </w:rPr>
            </w:pPr>
            <w:r>
              <w:rPr>
                <w:rFonts w:ascii="Arial" w:cs="Arial" w:eastAsia="Arial" w:hAnsi="Arial"/>
                <w:sz w:val="16"/>
                <w:szCs w:val="16"/>
                <w:color w:val="333333"/>
              </w:rPr>
              <w:t>(14)</w:t>
            </w:r>
          </w:p>
        </w:tc>
        <w:tc>
          <w:tcPr>
            <w:tcW w:w="1740" w:type="dxa"/>
            <w:vAlign w:val="bottom"/>
          </w:tcPr>
          <w:p>
            <w:pPr>
              <w:ind w:left="760"/>
              <w:spacing w:after="0"/>
              <w:rPr>
                <w:sz w:val="20"/>
                <w:szCs w:val="20"/>
                <w:color w:val="auto"/>
              </w:rPr>
            </w:pPr>
            <w:r>
              <w:rPr>
                <w:rFonts w:ascii="Arial" w:cs="Arial" w:eastAsia="Arial" w:hAnsi="Arial"/>
                <w:sz w:val="16"/>
                <w:szCs w:val="16"/>
                <w:color w:val="333333"/>
              </w:rPr>
              <w:t>—</w:t>
            </w:r>
          </w:p>
        </w:tc>
        <w:tc>
          <w:tcPr>
            <w:tcW w:w="2100" w:type="dxa"/>
            <w:vAlign w:val="bottom"/>
          </w:tcPr>
          <w:p>
            <w:pPr>
              <w:ind w:left="700"/>
              <w:spacing w:after="0"/>
              <w:rPr>
                <w:sz w:val="20"/>
                <w:szCs w:val="20"/>
                <w:color w:val="auto"/>
              </w:rPr>
            </w:pPr>
            <w:r>
              <w:rPr>
                <w:rFonts w:ascii="Arial" w:cs="Arial" w:eastAsia="Arial" w:hAnsi="Arial"/>
                <w:sz w:val="16"/>
                <w:szCs w:val="16"/>
                <w:color w:val="333333"/>
              </w:rPr>
              <w:t>(14)</w:t>
            </w:r>
          </w:p>
        </w:tc>
      </w:tr>
      <w:tr>
        <w:trPr>
          <w:trHeight w:val="231"/>
        </w:trPr>
        <w:tc>
          <w:tcPr>
            <w:tcW w:w="15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r>
      <w:tr>
        <w:trPr>
          <w:trHeight w:val="343"/>
        </w:trPr>
        <w:tc>
          <w:tcPr>
            <w:tcW w:w="1540" w:type="dxa"/>
            <w:vAlign w:val="bottom"/>
          </w:tcPr>
          <w:p>
            <w:pPr>
              <w:ind w:left="360"/>
              <w:spacing w:after="0"/>
              <w:rPr>
                <w:sz w:val="20"/>
                <w:szCs w:val="20"/>
                <w:color w:val="auto"/>
              </w:rPr>
            </w:pPr>
            <w:r>
              <w:rPr>
                <w:rFonts w:ascii="Arial" w:cs="Arial" w:eastAsia="Arial" w:hAnsi="Arial"/>
                <w:sz w:val="16"/>
                <w:szCs w:val="16"/>
                <w:color w:val="333333"/>
              </w:rPr>
              <w:t>$143</w:t>
            </w:r>
          </w:p>
        </w:tc>
        <w:tc>
          <w:tcPr>
            <w:tcW w:w="1740" w:type="dxa"/>
            <w:vAlign w:val="bottom"/>
          </w:tcPr>
          <w:p>
            <w:pPr>
              <w:ind w:left="760"/>
              <w:spacing w:after="0"/>
              <w:rPr>
                <w:sz w:val="20"/>
                <w:szCs w:val="20"/>
                <w:color w:val="auto"/>
              </w:rPr>
            </w:pPr>
            <w:r>
              <w:rPr>
                <w:rFonts w:ascii="Arial" w:cs="Arial" w:eastAsia="Arial" w:hAnsi="Arial"/>
                <w:sz w:val="16"/>
                <w:szCs w:val="16"/>
                <w:color w:val="333333"/>
              </w:rPr>
              <w:t>$(4)</w:t>
            </w:r>
          </w:p>
        </w:tc>
        <w:tc>
          <w:tcPr>
            <w:tcW w:w="2100" w:type="dxa"/>
            <w:vAlign w:val="bottom"/>
          </w:tcPr>
          <w:p>
            <w:pPr>
              <w:ind w:left="700"/>
              <w:spacing w:after="0"/>
              <w:rPr>
                <w:sz w:val="20"/>
                <w:szCs w:val="20"/>
                <w:color w:val="auto"/>
              </w:rPr>
            </w:pPr>
            <w:r>
              <w:rPr>
                <w:rFonts w:ascii="Arial" w:cs="Arial" w:eastAsia="Arial" w:hAnsi="Arial"/>
                <w:sz w:val="16"/>
                <w:szCs w:val="16"/>
                <w:color w:val="333333"/>
              </w:rPr>
              <w:t>$139</w:t>
            </w:r>
          </w:p>
        </w:tc>
      </w:tr>
      <w:tr>
        <w:trPr>
          <w:trHeight w:val="137"/>
        </w:trPr>
        <w:tc>
          <w:tcPr>
            <w:tcW w:w="15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r>
      <w:tr>
        <w:trPr>
          <w:trHeight w:val="424"/>
        </w:trPr>
        <w:tc>
          <w:tcPr>
            <w:tcW w:w="1540" w:type="dxa"/>
            <w:vAlign w:val="bottom"/>
          </w:tcPr>
          <w:p>
            <w:pPr>
              <w:ind w:left="360"/>
              <w:spacing w:after="0"/>
              <w:rPr>
                <w:sz w:val="20"/>
                <w:szCs w:val="20"/>
                <w:color w:val="auto"/>
              </w:rPr>
            </w:pPr>
            <w:r>
              <w:rPr>
                <w:rFonts w:ascii="Arial" w:cs="Arial" w:eastAsia="Arial" w:hAnsi="Arial"/>
                <w:sz w:val="16"/>
                <w:szCs w:val="16"/>
                <w:color w:val="333333"/>
              </w:rPr>
              <w:t>$1.77</w:t>
            </w:r>
          </w:p>
        </w:tc>
        <w:tc>
          <w:tcPr>
            <w:tcW w:w="1740" w:type="dxa"/>
            <w:vAlign w:val="bottom"/>
          </w:tcPr>
          <w:p>
            <w:pPr>
              <w:spacing w:after="0"/>
              <w:rPr>
                <w:sz w:val="24"/>
                <w:szCs w:val="24"/>
                <w:color w:val="auto"/>
              </w:rPr>
            </w:pPr>
          </w:p>
        </w:tc>
        <w:tc>
          <w:tcPr>
            <w:tcW w:w="2100" w:type="dxa"/>
            <w:vAlign w:val="bottom"/>
          </w:tcPr>
          <w:p>
            <w:pPr>
              <w:ind w:left="700"/>
              <w:spacing w:after="0"/>
              <w:rPr>
                <w:sz w:val="20"/>
                <w:szCs w:val="20"/>
                <w:color w:val="auto"/>
              </w:rPr>
            </w:pPr>
            <w:r>
              <w:rPr>
                <w:rFonts w:ascii="Arial" w:cs="Arial" w:eastAsia="Arial" w:hAnsi="Arial"/>
                <w:sz w:val="16"/>
                <w:szCs w:val="16"/>
                <w:color w:val="333333"/>
              </w:rPr>
              <w:t>$1.66</w:t>
            </w:r>
          </w:p>
        </w:tc>
      </w:tr>
      <w:tr>
        <w:trPr>
          <w:trHeight w:val="231"/>
        </w:trPr>
        <w:tc>
          <w:tcPr>
            <w:tcW w:w="15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r>
      <w:tr>
        <w:trPr>
          <w:trHeight w:val="343"/>
        </w:trPr>
        <w:tc>
          <w:tcPr>
            <w:tcW w:w="1540" w:type="dxa"/>
            <w:vAlign w:val="bottom"/>
          </w:tcPr>
          <w:p>
            <w:pPr>
              <w:ind w:left="360"/>
              <w:spacing w:after="0"/>
              <w:rPr>
                <w:sz w:val="20"/>
                <w:szCs w:val="20"/>
                <w:color w:val="auto"/>
              </w:rPr>
            </w:pPr>
            <w:r>
              <w:rPr>
                <w:rFonts w:ascii="Arial" w:cs="Arial" w:eastAsia="Arial" w:hAnsi="Arial"/>
                <w:sz w:val="16"/>
                <w:szCs w:val="16"/>
                <w:color w:val="333333"/>
              </w:rPr>
              <w:t>80.8</w:t>
            </w:r>
          </w:p>
        </w:tc>
        <w:tc>
          <w:tcPr>
            <w:tcW w:w="1740" w:type="dxa"/>
            <w:vAlign w:val="bottom"/>
          </w:tcPr>
          <w:p>
            <w:pPr>
              <w:spacing w:after="0"/>
              <w:rPr>
                <w:sz w:val="24"/>
                <w:szCs w:val="24"/>
                <w:color w:val="auto"/>
              </w:rPr>
            </w:pPr>
          </w:p>
        </w:tc>
        <w:tc>
          <w:tcPr>
            <w:tcW w:w="2100" w:type="dxa"/>
            <w:vAlign w:val="bottom"/>
          </w:tcPr>
          <w:p>
            <w:pPr>
              <w:ind w:left="700"/>
              <w:spacing w:after="0"/>
              <w:rPr>
                <w:sz w:val="20"/>
                <w:szCs w:val="20"/>
                <w:color w:val="auto"/>
              </w:rPr>
            </w:pPr>
            <w:r>
              <w:rPr>
                <w:rFonts w:ascii="Arial" w:cs="Arial" w:eastAsia="Arial" w:hAnsi="Arial"/>
                <w:sz w:val="16"/>
                <w:szCs w:val="16"/>
                <w:color w:val="333333"/>
              </w:rPr>
              <w:t>83.7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-4018280</wp:posOffset>
            </wp:positionV>
            <wp:extent cx="5554980" cy="3003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554980" cy="3003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-3409950</wp:posOffset>
            </wp:positionV>
            <wp:extent cx="5554980" cy="291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554980" cy="29146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-2827020</wp:posOffset>
            </wp:positionV>
            <wp:extent cx="5554980" cy="41148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554980" cy="41148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-2004060</wp:posOffset>
            </wp:positionV>
            <wp:extent cx="5554980" cy="3003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554980" cy="3003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-1395730</wp:posOffset>
            </wp:positionV>
            <wp:extent cx="5554980" cy="4203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554980" cy="42037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-658495</wp:posOffset>
            </wp:positionV>
            <wp:extent cx="5554980" cy="42862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55498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460"/>
            <w:col w:w="6020"/>
          </w:cols>
          <w:pgMar w:left="920" w:top="114" w:right="939" w:bottom="1440" w:gutter="0" w:footer="0" w:header="0"/>
          <w:type w:val="continuous"/>
        </w:sectPr>
      </w:pPr>
    </w:p>
    <w:p>
      <w:pPr>
        <w:spacing w:after="0" w:line="43" w:lineRule="exact"/>
        <w:rPr>
          <w:sz w:val="20"/>
          <w:szCs w:val="20"/>
          <w:color w:val="auto"/>
        </w:rPr>
      </w:pPr>
    </w:p>
    <w:p>
      <w:pPr>
        <w:ind w:left="660"/>
        <w:spacing w:after="0"/>
        <w:rPr>
          <w:sz w:val="20"/>
          <w:szCs w:val="20"/>
          <w:color w:val="auto"/>
        </w:rPr>
      </w:pPr>
      <w:r>
        <w:rPr>
          <w:rFonts w:ascii="Arial" w:cs="Arial" w:eastAsia="Arial" w:hAnsi="Arial"/>
          <w:sz w:val="13"/>
          <w:szCs w:val="13"/>
          <w:i w:val="1"/>
          <w:iCs w:val="1"/>
          <w:color w:val="333333"/>
        </w:rPr>
        <w:t>* The sums of pre-tax adjustments and adjusted net income may not equal the totals presented due to rounding.</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1"/>
          <w:szCs w:val="11"/>
          <w:color w:val="333333"/>
        </w:rPr>
        <w:t xml:space="preserve">2024 Notice of Annual Meeting &amp; Proxy Statement      </w:t>
      </w:r>
      <w:r>
        <w:rPr>
          <w:rFonts w:ascii="Arial" w:cs="Arial" w:eastAsia="Arial" w:hAnsi="Arial"/>
          <w:sz w:val="11"/>
          <w:szCs w:val="11"/>
          <w:b w:val="1"/>
          <w:bCs w:val="1"/>
          <w:color w:val="333333"/>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116840</wp:posOffset>
            </wp:positionV>
            <wp:extent cx="699516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-8255</wp:posOffset>
            </wp:positionV>
            <wp:extent cx="6995160" cy="90525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lvl w:ilvl="1">
      <w:lvlJc w:val="left"/>
      <w:lvlText w:val="☐"/>
      <w:numFmt w:val="bullet"/>
      <w:start w:val="1"/>
    </w:lvl>
  </w:abstractNum>
  <w:abstractNum w:abstractNumId="1">
    <w:nsid w:val="6590700B"/>
    <w:multiLevelType w:val="hybridMultilevel"/>
    <w:lvl w:ilvl="0">
      <w:lvlJc w:val="left"/>
      <w:lvlText w:val="☒"/>
      <w:numFmt w:val="bullet"/>
      <w:start w:val="1"/>
    </w:lvl>
    <w:lvl w:ilvl="1">
      <w:lvlJc w:val="left"/>
      <w:lvlText w:val="☐"/>
      <w:numFmt w:val="bullet"/>
      <w:start w:val="1"/>
    </w:lvl>
  </w:abstractNum>
  <w:abstractNum w:abstractNumId="2">
    <w:nsid w:val="15014ACB"/>
    <w:multiLevelType w:val="hybridMultilevel"/>
    <w:lvl w:ilvl="0">
      <w:lvlJc w:val="left"/>
      <w:lvlText w:val="%1."/>
      <w:numFmt w:val="decimal"/>
      <w:start w:val="6"/>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1."/>
      <w:numFmt w:val="decimal"/>
      <w:start w:val="7"/>
    </w:lvl>
  </w:abstractNum>
  <w:abstractNum w:abstractNumId="5">
    <w:nsid w:val="799D0247"/>
    <w:multiLevelType w:val="hybridMultilevel"/>
    <w:lvl w:ilvl="0">
      <w:lvlJc w:val="left"/>
      <w:lvlText w:val="%1."/>
      <w:numFmt w:val="decimal"/>
      <w:start w:val="8"/>
    </w:lvl>
  </w:abstractNum>
  <w:abstractNum w:abstractNumId="6">
    <w:nsid w:val="6B94764"/>
    <w:multiLevelType w:val="hybridMultilevel"/>
    <w:lvl w:ilvl="0">
      <w:lvlJc w:val="left"/>
      <w:lvlText w:val="%1."/>
      <w:numFmt w:val="decimal"/>
      <w:start w:val="9"/>
    </w:lvl>
  </w:abstractNum>
  <w:abstractNum w:abstractNumId="7">
    <w:nsid w:val="42C296BD"/>
    <w:multiLevelType w:val="hybridMultilevel"/>
    <w:lvl w:ilvl="0">
      <w:lvlJc w:val="left"/>
      <w:lvlText w:val="%1."/>
      <w:numFmt w:val="decimal"/>
      <w:start w:val="13"/>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1."/>
      <w:numFmt w:val="decimal"/>
      <w:start w:val="17"/>
    </w:lvl>
  </w:abstractNum>
  <w:abstractNum w:abstractNumId="11">
    <w:nsid w:val="5DC79EA8"/>
    <w:multiLevelType w:val="hybridMultilevel"/>
    <w:lvl w:ilvl="0">
      <w:lvlJc w:val="left"/>
      <w:lvlText w:val="%1."/>
      <w:numFmt w:val="decimal"/>
      <w:start w:val="19"/>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1."/>
      <w:numFmt w:val="decimal"/>
      <w:start w:val="20"/>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1."/>
      <w:numFmt w:val="decimal"/>
      <w:start w:val="1"/>
    </w:lvl>
  </w:abstractNum>
  <w:abstractNum w:abstractNumId="16">
    <w:nsid w:val="BF72B14"/>
    <w:multiLevelType w:val="hybridMultilevel"/>
    <w:lvl w:ilvl="0">
      <w:lvlJc w:val="left"/>
      <w:lvlText w:val="%1."/>
      <w:numFmt w:val="decimal"/>
      <w:start w:val="2"/>
    </w:lvl>
  </w:abstractNum>
  <w:abstractNum w:abstractNumId="17">
    <w:nsid w:val="11447B73"/>
    <w:multiLevelType w:val="hybridMultilevel"/>
    <w:lvl w:ilvl="0">
      <w:lvlJc w:val="left"/>
      <w:lvlText w:val="%1."/>
      <w:numFmt w:val="decimal"/>
      <w:start w:val="2"/>
    </w:lvl>
  </w:abstractNum>
  <w:abstractNum w:abstractNumId="18">
    <w:nsid w:val="42963E5A"/>
    <w:multiLevelType w:val="hybridMultilevel"/>
    <w:lvl w:ilvl="0">
      <w:lvlJc w:val="left"/>
      <w:lvlText w:val="(%1)"/>
      <w:numFmt w:val="decimal"/>
      <w:start w:val="1"/>
    </w:lvl>
  </w:abstractNum>
  <w:abstractNum w:abstractNumId="19">
    <w:nsid w:val="A0382C5"/>
    <w:multiLevelType w:val="hybridMultilevel"/>
    <w:lvl w:ilvl="0">
      <w:lvlJc w:val="left"/>
      <w:lvlText w:val="%1."/>
      <w:numFmt w:val="decimal"/>
      <w:start w:val="2"/>
    </w:lvl>
  </w:abstractNum>
  <w:abstractNum w:abstractNumId="20">
    <w:nsid w:val="8F2B15E"/>
    <w:multiLevelType w:val="hybridMultilevel"/>
    <w:lvl w:ilvl="0">
      <w:lvlJc w:val="left"/>
      <w:lvlText w:val="%1."/>
      <w:numFmt w:val="decimal"/>
      <w:start w:val="2"/>
    </w:lvl>
  </w:abstractNum>
  <w:abstractNum w:abstractNumId="21">
    <w:nsid w:val="1A32234B"/>
    <w:multiLevelType w:val="hybridMultilevel"/>
    <w:lvl w:ilvl="0">
      <w:lvlJc w:val="left"/>
      <w:lvlText w:val="%1."/>
      <w:numFmt w:val="decimal"/>
      <w:start w:val="2"/>
    </w:lvl>
  </w:abstractNum>
  <w:abstractNum w:abstractNumId="22">
    <w:nsid w:val="3B0FD379"/>
    <w:multiLevelType w:val="hybridMultilevel"/>
    <w:lvl w:ilvl="0">
      <w:lvlJc w:val="left"/>
      <w:lvlText w:val="%1."/>
      <w:numFmt w:val="decimal"/>
      <w:start w:val="2"/>
    </w:lvl>
  </w:abstractNum>
  <w:abstractNum w:abstractNumId="23">
    <w:nsid w:val="68EB2F63"/>
    <w:multiLevelType w:val="hybridMultilevel"/>
    <w:lvl w:ilvl="0">
      <w:lvlJc w:val="left"/>
      <w:lvlText w:val="%1."/>
      <w:numFmt w:val="decimal"/>
      <w:start w:val="2"/>
    </w:lvl>
  </w:abstractNum>
  <w:abstractNum w:abstractNumId="24">
    <w:nsid w:val="4962813B"/>
    <w:multiLevelType w:val="hybridMultilevel"/>
    <w:lvl w:ilvl="0">
      <w:lvlJc w:val="left"/>
      <w:lvlText w:val="%1."/>
      <w:numFmt w:val="decimal"/>
      <w:start w:val="1"/>
    </w:lvl>
  </w:abstractNum>
  <w:abstractNum w:abstractNumId="25">
    <w:nsid w:val="60B6DF70"/>
    <w:multiLevelType w:val="hybridMultilevel"/>
    <w:lvl w:ilvl="0">
      <w:lvlJc w:val="left"/>
      <w:lvlText w:val="%1."/>
      <w:numFmt w:val="decimal"/>
      <w:start w:val="2"/>
    </w:lvl>
  </w:abstractNum>
  <w:abstractNum w:abstractNumId="26">
    <w:nsid w:val="6A5EE64"/>
    <w:multiLevelType w:val="hybridMultilevel"/>
    <w:lvl w:ilvl="0">
      <w:lvlJc w:val="left"/>
      <w:lvlText w:val="%1."/>
      <w:numFmt w:val="decimal"/>
      <w:start w:val="2"/>
    </w:lvl>
  </w:abstractNum>
  <w:abstractNum w:abstractNumId="27">
    <w:nsid w:val="14330624"/>
    <w:multiLevelType w:val="hybridMultilevel"/>
    <w:lvl w:ilvl="0">
      <w:lvlJc w:val="left"/>
      <w:lvlText w:val="%1."/>
      <w:numFmt w:val="decimal"/>
      <w:start w:val="2"/>
    </w:lvl>
  </w:abstractNum>
  <w:abstractNum w:abstractNumId="28">
    <w:nsid w:val="7FFFCA11"/>
    <w:multiLevelType w:val="hybridMultilevel"/>
    <w:lvl w:ilvl="0">
      <w:lvlJc w:val="left"/>
      <w:lvlText w:val="%1."/>
      <w:numFmt w:val="decimal"/>
      <w:start w:val="3"/>
    </w:lvl>
  </w:abstractNum>
  <w:abstractNum w:abstractNumId="29">
    <w:nsid w:val="1A27709E"/>
    <w:multiLevelType w:val="hybridMultilevel"/>
    <w:lvl w:ilvl="0">
      <w:lvlJc w:val="left"/>
      <w:lvlText w:val=" "/>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
      <w:numFmt w:val="bullet"/>
      <w:start w:val="1"/>
    </w:lvl>
  </w:abstractNum>
  <w:abstractNum w:abstractNumId="32">
    <w:nsid w:val="7FB7E0AA"/>
    <w:multiLevelType w:val="hybridMultilevel"/>
    <w:lvl w:ilvl="0">
      <w:lvlJc w:val="left"/>
      <w:lvlText w:val="%1."/>
      <w:numFmt w:val="decimal"/>
      <w:start w:val="3"/>
    </w:lvl>
  </w:abstractNum>
  <w:abstractNum w:abstractNumId="33">
    <w:nsid w:val="6EB5BD4"/>
    <w:multiLevelType w:val="hybridMultilevel"/>
    <w:lvl w:ilvl="0">
      <w:lvlJc w:val="left"/>
      <w:lvlText w:val="%1."/>
      <w:numFmt w:val="decimal"/>
      <w:start w:val="3"/>
    </w:lvl>
  </w:abstractNum>
  <w:abstractNum w:abstractNumId="34">
    <w:nsid w:val="6F6DD9AC"/>
    <w:multiLevelType w:val="hybridMultilevel"/>
    <w:lvl w:ilvl="0">
      <w:lvlJc w:val="left"/>
      <w:lvlText w:val="%1."/>
      <w:numFmt w:val="decimal"/>
      <w:start w:val="3"/>
    </w:lvl>
  </w:abstractNum>
  <w:abstractNum w:abstractNumId="35">
    <w:nsid w:val="94211F2"/>
    <w:multiLevelType w:val="hybridMultilevel"/>
    <w:lvl w:ilvl="0">
      <w:lvlJc w:val="left"/>
      <w:lvlText w:val="%1."/>
      <w:numFmt w:val="decimal"/>
      <w:start w:val="3"/>
    </w:lvl>
  </w:abstractNum>
  <w:abstractNum w:abstractNumId="36">
    <w:nsid w:val="885E1B"/>
    <w:multiLevelType w:val="hybridMultilevel"/>
    <w:lvl w:ilvl="0">
      <w:lvlJc w:val="left"/>
      <w:lvlText w:val="%1."/>
      <w:numFmt w:val="decimal"/>
      <w:start w:val="3"/>
    </w:lvl>
  </w:abstractNum>
  <w:abstractNum w:abstractNumId="37">
    <w:nsid w:val="76272110"/>
    <w:multiLevelType w:val="hybridMultilevel"/>
    <w:lvl w:ilvl="0">
      <w:lvlJc w:val="left"/>
      <w:lvlText w:val="%1."/>
      <w:numFmt w:val="decimal"/>
      <w:start w:val="3"/>
    </w:lvl>
  </w:abstractNum>
  <w:abstractNum w:abstractNumId="38">
    <w:nsid w:val="4C04A8AF"/>
    <w:multiLevelType w:val="hybridMultilevel"/>
    <w:lvl w:ilvl="0">
      <w:lvlJc w:val="left"/>
      <w:lvlText w:val="%1."/>
      <w:numFmt w:val="decimal"/>
      <w:start w:val="3"/>
    </w:lvl>
  </w:abstractNum>
  <w:abstractNum w:abstractNumId="39">
    <w:nsid w:val="1716703B"/>
    <w:multiLevelType w:val="hybridMultilevel"/>
    <w:lvl w:ilvl="0">
      <w:lvlJc w:val="left"/>
      <w:lvlText w:val="%1."/>
      <w:numFmt w:val="decimal"/>
      <w:start w:val="3"/>
    </w:lvl>
  </w:abstractNum>
  <w:abstractNum w:abstractNumId="40">
    <w:nsid w:val="14E17E33"/>
    <w:multiLevelType w:val="hybridMultilevel"/>
    <w:lvl w:ilvl="0">
      <w:lvlJc w:val="left"/>
      <w:lvlText w:val="(%1)"/>
      <w:numFmt w:val="decimal"/>
      <w:start w:val="1"/>
    </w:lvl>
  </w:abstractNum>
  <w:abstractNum w:abstractNumId="41">
    <w:nsid w:val="3222E7CD"/>
    <w:multiLevelType w:val="hybridMultilevel"/>
    <w:lvl w:ilvl="0">
      <w:lvlJc w:val="left"/>
      <w:lvlText w:val="%1."/>
      <w:numFmt w:val="decimal"/>
      <w:start w:val="3"/>
    </w:lvl>
  </w:abstractNum>
  <w:abstractNum w:abstractNumId="42">
    <w:nsid w:val="74DE0EE3"/>
    <w:multiLevelType w:val="hybridMultilevel"/>
    <w:lvl w:ilvl="0">
      <w:lvlJc w:val="left"/>
      <w:lvlText w:val="%1."/>
      <w:numFmt w:val="decimal"/>
      <w:start w:val="4"/>
    </w:lvl>
  </w:abstractNum>
  <w:abstractNum w:abstractNumId="43">
    <w:nsid w:val="68EBC550"/>
    <w:multiLevelType w:val="hybridMultilevel"/>
    <w:lvl w:ilvl="0">
      <w:lvlJc w:val="left"/>
      <w:lvlText w:val="%1."/>
      <w:numFmt w:val="decimal"/>
      <w:start w:val="4"/>
    </w:lvl>
  </w:abstractNum>
  <w:abstractNum w:abstractNumId="44">
    <w:nsid w:val="2DF6D648"/>
    <w:multiLevelType w:val="hybridMultilevel"/>
    <w:lvl w:ilvl="0">
      <w:lvlJc w:val="left"/>
      <w:lvlText w:val="(%1)"/>
      <w:numFmt w:val="decimal"/>
      <w:start w:val="1"/>
    </w:lvl>
  </w:abstractNum>
  <w:abstractNum w:abstractNumId="45">
    <w:nsid w:val="46B7D447"/>
    <w:multiLevelType w:val="hybridMultilevel"/>
    <w:lvl w:ilvl="0">
      <w:lvlJc w:val="left"/>
      <w:lvlText w:val="%1."/>
      <w:numFmt w:val="decimal"/>
      <w:start w:val="5"/>
    </w:lvl>
  </w:abstractNum>
  <w:abstractNum w:abstractNumId="46">
    <w:nsid w:val="4A2AC315"/>
    <w:multiLevelType w:val="hybridMultilevel"/>
    <w:lvl w:ilvl="0">
      <w:lvlJc w:val="left"/>
      <w:lvlText w:val="(%1)"/>
      <w:numFmt w:val="decimal"/>
      <w:start w:val="1"/>
    </w:lvl>
  </w:abstractNum>
  <w:abstractNum w:abstractNumId="47">
    <w:nsid w:val="39EE015C"/>
    <w:multiLevelType w:val="hybridMultilevel"/>
    <w:lvl w:ilvl="0">
      <w:lvlJc w:val="left"/>
      <w:lvlText w:val="%1."/>
      <w:numFmt w:val="decimal"/>
      <w:start w:val="5"/>
    </w:lvl>
  </w:abstractNum>
  <w:abstractNum w:abstractNumId="48">
    <w:nsid w:val="57FC4FBB"/>
    <w:multiLevelType w:val="hybridMultilevel"/>
    <w:lvl w:ilvl="0">
      <w:lvlJc w:val="left"/>
      <w:lvlText w:val="%1."/>
      <w:numFmt w:val="decimal"/>
      <w:start w:val="5"/>
    </w:lvl>
  </w:abstractNum>
  <w:abstractNum w:abstractNumId="49">
    <w:nsid w:val="CC1016F"/>
    <w:multiLevelType w:val="hybridMultilevel"/>
    <w:lvl w:ilvl="0">
      <w:lvlJc w:val="left"/>
      <w:lvlText w:val="%1."/>
      <w:numFmt w:val="decimal"/>
      <w:start w:val="5"/>
    </w:lvl>
  </w:abstractNum>
  <w:abstractNum w:abstractNumId="50">
    <w:nsid w:val="43F18422"/>
    <w:multiLevelType w:val="hybridMultilevel"/>
    <w:lvl w:ilvl="0">
      <w:lvlJc w:val="left"/>
      <w:lvlText w:val="(%1)"/>
      <w:numFmt w:val="decimal"/>
      <w:start w:val="1"/>
    </w:lvl>
  </w:abstractNum>
  <w:abstractNum w:abstractNumId="51">
    <w:nsid w:val="60EF0119"/>
    <w:multiLevelType w:val="hybridMultilevel"/>
    <w:lvl w:ilvl="0">
      <w:lvlJc w:val="left"/>
      <w:lvlText w:val="%1."/>
      <w:numFmt w:val="decimal"/>
      <w:start w:val="5"/>
    </w:lvl>
  </w:abstractNum>
  <w:abstractNum w:abstractNumId="52">
    <w:nsid w:val="26F324BA"/>
    <w:multiLevelType w:val="hybridMultilevel"/>
    <w:lvl w:ilvl="0">
      <w:lvlJc w:val="left"/>
      <w:lvlText w:val="%1."/>
      <w:numFmt w:val="decimal"/>
      <w:start w:val="5"/>
    </w:lvl>
  </w:abstractNum>
  <w:abstractNum w:abstractNumId="53">
    <w:nsid w:val="7F01579B"/>
    <w:multiLevelType w:val="hybridMultilevel"/>
    <w:lvl w:ilvl="0">
      <w:lvlJc w:val="left"/>
      <w:lvlText w:val="%1."/>
      <w:numFmt w:val="decimal"/>
      <w:start w:val="5"/>
    </w:lvl>
  </w:abstractNum>
  <w:abstractNum w:abstractNumId="54">
    <w:nsid w:val="49DA307D"/>
    <w:multiLevelType w:val="hybridMultilevel"/>
    <w:lvl w:ilvl="0">
      <w:lvlJc w:val="left"/>
      <w:lvlText w:val="%1."/>
      <w:numFmt w:val="decimal"/>
      <w:start w:val="5"/>
    </w:lvl>
  </w:abstractNum>
  <w:abstractNum w:abstractNumId="55">
    <w:nsid w:val="7055A5F5"/>
    <w:multiLevelType w:val="hybridMultilevel"/>
    <w:lvl w:ilvl="0">
      <w:lvlJc w:val="left"/>
      <w:lvlText w:val="%1."/>
      <w:numFmt w:val="decimal"/>
      <w:start w:val="5"/>
    </w:lvl>
  </w:abstractNum>
  <w:abstractNum w:abstractNumId="56">
    <w:nsid w:val="5FB8370B"/>
    <w:multiLevelType w:val="hybridMultilevel"/>
    <w:lvl w:ilvl="0">
      <w:lvlJc w:val="left"/>
      <w:lvlText w:val="%1."/>
      <w:numFmt w:val="decimal"/>
      <w:start w:val="5"/>
    </w:lvl>
  </w:abstractNum>
  <w:abstractNum w:abstractNumId="57">
    <w:nsid w:val="50801EE1"/>
    <w:multiLevelType w:val="hybridMultilevel"/>
    <w:lvl w:ilvl="0">
      <w:lvlJc w:val="left"/>
      <w:lvlText w:val="(%1)"/>
      <w:numFmt w:val="decimal"/>
      <w:start w:val="1"/>
    </w:lvl>
  </w:abstractNum>
  <w:abstractNum w:abstractNumId="58">
    <w:nsid w:val="488AC1A"/>
    <w:multiLevelType w:val="hybridMultilevel"/>
    <w:lvl w:ilvl="0">
      <w:lvlJc w:val="left"/>
      <w:lvlText w:val="(%1)"/>
      <w:numFmt w:val="decimal"/>
      <w:start w:val="1"/>
    </w:lvl>
  </w:abstractNum>
  <w:abstractNum w:abstractNumId="59">
    <w:nsid w:val="5FB8011C"/>
    <w:multiLevelType w:val="hybridMultilevel"/>
    <w:lvl w:ilvl="0">
      <w:lvlJc w:val="left"/>
      <w:lvlText w:val="%1."/>
      <w:numFmt w:val="decimal"/>
      <w:start w:val="5"/>
    </w:lvl>
  </w:abstractNum>
  <w:abstractNum w:abstractNumId="60">
    <w:nsid w:val="6AA78F7F"/>
    <w:multiLevelType w:val="hybridMultilevel"/>
    <w:lvl w:ilvl="0">
      <w:lvlJc w:val="left"/>
      <w:lvlText w:val="(%1)"/>
      <w:numFmt w:val="decimal"/>
      <w:start w:val="1"/>
    </w:lvl>
  </w:abstractNum>
  <w:abstractNum w:abstractNumId="61">
    <w:nsid w:val="7672BD23"/>
    <w:multiLevelType w:val="hybridMultilevel"/>
    <w:lvl w:ilvl="0">
      <w:lvlJc w:val="left"/>
      <w:lvlText w:val="%1."/>
      <w:numFmt w:val="decimal"/>
      <w:start w:val="5"/>
    </w:lvl>
  </w:abstractNum>
  <w:abstractNum w:abstractNumId="62">
    <w:nsid w:val="6FC75AF8"/>
    <w:multiLevelType w:val="hybridMultilevel"/>
    <w:lvl w:ilvl="0">
      <w:lvlJc w:val="left"/>
      <w:lvlText w:val="(%1)"/>
      <w:numFmt w:val="decimal"/>
      <w:start w:val="1"/>
    </w:lvl>
  </w:abstractNum>
  <w:abstractNum w:abstractNumId="63">
    <w:nsid w:val="6A5F7029"/>
    <w:multiLevelType w:val="hybridMultilevel"/>
    <w:lvl w:ilvl="0">
      <w:lvlJc w:val="left"/>
      <w:lvlText w:val="%1."/>
      <w:numFmt w:val="decimal"/>
      <w:start w:val="5"/>
    </w:lvl>
  </w:abstractNum>
  <w:abstractNum w:abstractNumId="64">
    <w:nsid w:val="7D5E18F8"/>
    <w:multiLevelType w:val="hybridMultilevel"/>
    <w:lvl w:ilvl="0">
      <w:lvlJc w:val="left"/>
      <w:lvlText w:val="(%1)"/>
      <w:numFmt w:val="decimal"/>
      <w:start w:val="1"/>
    </w:lvl>
  </w:abstractNum>
  <w:abstractNum w:abstractNumId="65">
    <w:nsid w:val="5F3534A4"/>
    <w:multiLevelType w:val="hybridMultilevel"/>
    <w:lvl w:ilvl="0">
      <w:lvlJc w:val="left"/>
      <w:lvlText w:val="%1."/>
      <w:numFmt w:val="decimal"/>
      <w:start w:val="5"/>
    </w:lvl>
  </w:abstractNum>
  <w:abstractNum w:abstractNumId="66">
    <w:nsid w:val="73A1821B"/>
    <w:multiLevelType w:val="hybridMultilevel"/>
    <w:lvl w:ilvl="0">
      <w:lvlJc w:val="left"/>
      <w:lvlText w:val="(%1)"/>
      <w:numFmt w:val="decimal"/>
      <w:start w:val="1"/>
    </w:lvl>
  </w:abstractNum>
  <w:abstractNum w:abstractNumId="67">
    <w:nsid w:val="7DE67713"/>
    <w:multiLevelType w:val="hybridMultilevel"/>
    <w:lvl w:ilvl="0">
      <w:lvlJc w:val="left"/>
      <w:lvlText w:val="(%1)"/>
      <w:numFmt w:val="decimal"/>
      <w:start w:val="1"/>
    </w:lvl>
  </w:abstractNum>
  <w:abstractNum w:abstractNumId="68">
    <w:nsid w:val="555C55B5"/>
    <w:multiLevelType w:val="hybridMultilevel"/>
    <w:lvl w:ilvl="0">
      <w:lvlJc w:val="left"/>
      <w:lvlText w:val="%1."/>
      <w:numFmt w:val="decimal"/>
      <w:start w:val="5"/>
    </w:lvl>
  </w:abstractNum>
  <w:abstractNum w:abstractNumId="69">
    <w:nsid w:val="3FA62ACA"/>
    <w:multiLevelType w:val="hybridMultilevel"/>
    <w:lvl w:ilvl="0">
      <w:lvlJc w:val="left"/>
      <w:lvlText w:val="(%1)"/>
      <w:numFmt w:val="decimal"/>
      <w:start w:val="1"/>
    </w:lvl>
  </w:abstractNum>
  <w:abstractNum w:abstractNumId="70">
    <w:nsid w:val="14FCE74E"/>
    <w:multiLevelType w:val="hybridMultilevel"/>
    <w:lvl w:ilvl="0">
      <w:lvlJc w:val="left"/>
      <w:lvlText w:val="%1."/>
      <w:numFmt w:val="decimal"/>
      <w:start w:val="5"/>
    </w:lvl>
  </w:abstractNum>
  <w:abstractNum w:abstractNumId="71">
    <w:nsid w:val="6A3DD3E8"/>
    <w:multiLevelType w:val="hybridMultilevel"/>
    <w:lvl w:ilvl="0">
      <w:lvlJc w:val="left"/>
      <w:lvlText w:val="%1."/>
      <w:numFmt w:val="decimal"/>
      <w:start w:val="5"/>
    </w:lvl>
  </w:abstractNum>
  <w:abstractNum w:abstractNumId="72">
    <w:nsid w:val="71C91298"/>
    <w:multiLevelType w:val="hybridMultilevel"/>
    <w:lvl w:ilvl="0">
      <w:lvlJc w:val="left"/>
      <w:lvlText w:val="(%1)"/>
      <w:numFmt w:val="decimal"/>
      <w:start w:val="1"/>
    </w:lvl>
  </w:abstractNum>
  <w:abstractNum w:abstractNumId="73">
    <w:nsid w:val="9DAF632"/>
    <w:multiLevelType w:val="hybridMultilevel"/>
    <w:lvl w:ilvl="0">
      <w:lvlJc w:val="left"/>
      <w:lvlText w:val="(%1)"/>
      <w:numFmt w:val="decimal"/>
      <w:start w:val="1"/>
    </w:lvl>
  </w:abstractNum>
  <w:abstractNum w:abstractNumId="74">
    <w:nsid w:val="53299938"/>
    <w:multiLevelType w:val="hybridMultilevel"/>
    <w:lvl w:ilvl="0">
      <w:lvlJc w:val="left"/>
      <w:lvlText w:val="(%1)"/>
      <w:numFmt w:val="decimal"/>
      <w:start w:val="1"/>
    </w:lvl>
  </w:abstractNum>
  <w:abstractNum w:abstractNumId="75">
    <w:nsid w:val="1FBFE8E0"/>
    <w:multiLevelType w:val="hybridMultilevel"/>
    <w:lvl w:ilvl="0">
      <w:lvlJc w:val="left"/>
      <w:lvlText w:val="(%1)"/>
      <w:numFmt w:val="decimal"/>
      <w:start w:val="1"/>
    </w:lvl>
  </w:abstractNum>
  <w:abstractNum w:abstractNumId="76">
    <w:nsid w:val="5092CA79"/>
    <w:multiLevelType w:val="hybridMultilevel"/>
    <w:lvl w:ilvl="0">
      <w:lvlJc w:val="left"/>
      <w:lvlText w:val="%1."/>
      <w:numFmt w:val="decimal"/>
      <w:start w:val="5"/>
    </w:lvl>
  </w:abstractNum>
  <w:abstractNum w:abstractNumId="77">
    <w:nsid w:val="1D545C4D"/>
    <w:multiLevelType w:val="hybridMultilevel"/>
    <w:lvl w:ilvl="0">
      <w:lvlJc w:val="left"/>
      <w:lvlText w:val="%1."/>
      <w:numFmt w:val="decimal"/>
      <w:start w:val="5"/>
    </w:lvl>
  </w:abstractNum>
  <w:abstractNum w:abstractNumId="78">
    <w:nsid w:val="59ADEA3D"/>
    <w:multiLevelType w:val="hybridMultilevel"/>
    <w:lvl w:ilvl="0">
      <w:lvlJc w:val="left"/>
      <w:lvlText w:val="%1."/>
      <w:numFmt w:val="decimal"/>
      <w:start w:val="5"/>
    </w:lvl>
  </w:abstractNum>
  <w:abstractNum w:abstractNumId="79">
    <w:nsid w:val="288F1A34"/>
    <w:multiLevelType w:val="hybridMultilevel"/>
    <w:lvl w:ilvl="0">
      <w:lvlJc w:val="left"/>
      <w:lvlText w:val="%1."/>
      <w:numFmt w:val="decimal"/>
      <w:start w:val="5"/>
    </w:lvl>
  </w:abstractNum>
  <w:abstractNum w:abstractNumId="80">
    <w:nsid w:val="2A155DBC"/>
    <w:multiLevelType w:val="hybridMultilevel"/>
    <w:lvl w:ilvl="0">
      <w:lvlJc w:val="left"/>
      <w:lvlText w:val="%1."/>
      <w:numFmt w:val="decimal"/>
      <w:start w:val="6"/>
    </w:lvl>
  </w:abstractNum>
  <w:abstractNum w:abstractNumId="81">
    <w:nsid w:val="1D9F6E5F"/>
    <w:multiLevelType w:val="hybridMultilevel"/>
    <w:lvl w:ilvl="0">
      <w:lvlJc w:val="left"/>
      <w:lvlText w:val="(%1)"/>
      <w:numFmt w:val="decimal"/>
      <w:start w:val="1"/>
    </w:lvl>
  </w:abstractNum>
  <w:abstractNum w:abstractNumId="82">
    <w:nsid w:val="97E1B4E"/>
    <w:multiLevelType w:val="hybridMultilevel"/>
    <w:lvl w:ilvl="0">
      <w:lvlJc w:val="left"/>
      <w:lvlText w:val="%1."/>
      <w:numFmt w:val="decimal"/>
      <w:start w:val="6"/>
    </w:lvl>
  </w:abstractNum>
  <w:abstractNum w:abstractNumId="83">
    <w:nsid w:val="51088277"/>
    <w:multiLevelType w:val="hybridMultilevel"/>
    <w:lvl w:ilvl="0">
      <w:lvlJc w:val="left"/>
      <w:lvlText w:val="(%1)"/>
      <w:numFmt w:val="decimal"/>
      <w:start w:val="6"/>
    </w:lvl>
  </w:abstractNum>
  <w:abstractNum w:abstractNumId="84">
    <w:nsid w:val="1CA0C5FA"/>
    <w:multiLevelType w:val="hybridMultilevel"/>
    <w:lvl w:ilvl="0">
      <w:lvlJc w:val="left"/>
      <w:lvlText w:val="%1."/>
      <w:numFmt w:val="decimal"/>
      <w:start w:val="6"/>
    </w:lvl>
  </w:abstractNum>
  <w:abstractNum w:abstractNumId="85">
    <w:nsid w:val="53584BCB"/>
    <w:multiLevelType w:val="hybridMultilevel"/>
    <w:lvl w:ilvl="0">
      <w:lvlJc w:val="left"/>
      <w:lvlText w:val="(%1)"/>
      <w:numFmt w:val="decimal"/>
      <w:start w:val="1"/>
    </w:lvl>
  </w:abstractNum>
  <w:abstractNum w:abstractNumId="86">
    <w:nsid w:val="415E286C"/>
    <w:multiLevelType w:val="hybridMultilevel"/>
    <w:lvl w:ilvl="0">
      <w:lvlJc w:val="left"/>
      <w:lvlText w:val="%1."/>
      <w:numFmt w:val="decimal"/>
      <w:start w:val="6"/>
    </w:lvl>
  </w:abstractNum>
  <w:abstractNum w:abstractNumId="87">
    <w:nsid w:val="7C58FD05"/>
    <w:multiLevelType w:val="hybridMultilevel"/>
    <w:lvl w:ilvl="0">
      <w:lvlJc w:val="left"/>
      <w:lvlText w:val="%1."/>
      <w:numFmt w:val="decimal"/>
      <w:start w:val="6"/>
    </w:lvl>
  </w:abstractNum>
  <w:abstractNum w:abstractNumId="88">
    <w:nsid w:val="23D86AAC"/>
    <w:multiLevelType w:val="hybridMultilevel"/>
    <w:lvl w:ilvl="0">
      <w:lvlJc w:val="left"/>
      <w:lvlText w:val="(%1)"/>
      <w:numFmt w:val="decimal"/>
      <w:start w:val="1"/>
    </w:lvl>
  </w:abstractNum>
  <w:abstractNum w:abstractNumId="89">
    <w:nsid w:val="45E6D486"/>
    <w:multiLevelType w:val="hybridMultilevel"/>
    <w:lvl w:ilvl="0">
      <w:lvlJc w:val="left"/>
      <w:lvlText w:val="%1."/>
      <w:numFmt w:val="decimal"/>
      <w:start w:val="6"/>
    </w:lvl>
  </w:abstractNum>
  <w:abstractNum w:abstractNumId="90">
    <w:nsid w:val="5C10FE21"/>
    <w:multiLevelType w:val="hybridMultilevel"/>
    <w:lvl w:ilvl="0">
      <w:lvlJc w:val="left"/>
      <w:lvlText w:val="(%1)"/>
      <w:numFmt w:val="decimal"/>
      <w:start w:val="5"/>
    </w:lvl>
  </w:abstractNum>
  <w:abstractNum w:abstractNumId="91">
    <w:nsid w:val="E7FFA2B"/>
    <w:multiLevelType w:val="hybridMultilevel"/>
    <w:lvl w:ilvl="0">
      <w:lvlJc w:val="left"/>
      <w:lvlText w:val="(%1)"/>
      <w:numFmt w:val="decimal"/>
      <w:start w:val="1"/>
    </w:lvl>
  </w:abstractNum>
  <w:abstractNum w:abstractNumId="92">
    <w:nsid w:val="3C5991AA"/>
    <w:multiLevelType w:val="hybridMultilevel"/>
    <w:lvl w:ilvl="0">
      <w:lvlJc w:val="left"/>
      <w:lvlText w:val="%1."/>
      <w:numFmt w:val="decimal"/>
      <w:start w:val="6"/>
    </w:lvl>
  </w:abstractNum>
  <w:abstractNum w:abstractNumId="93">
    <w:nsid w:val="4BD8591A"/>
    <w:multiLevelType w:val="hybridMultilevel"/>
    <w:lvl w:ilvl="0">
      <w:lvlJc w:val="left"/>
      <w:lvlText w:val="(%1)"/>
      <w:numFmt w:val="decimal"/>
      <w:start w:val="1"/>
    </w:lvl>
  </w:abstractNum>
  <w:abstractNum w:abstractNumId="94">
    <w:nsid w:val="78DF6A55"/>
    <w:multiLevelType w:val="hybridMultilevel"/>
    <w:lvl w:ilvl="0">
      <w:lvlJc w:val="left"/>
      <w:lvlText w:val="(%1)"/>
      <w:numFmt w:val="decimal"/>
      <w:start w:val="4"/>
    </w:lvl>
  </w:abstractNum>
  <w:abstractNum w:abstractNumId="95">
    <w:nsid w:val="39B7AAA2"/>
    <w:multiLevelType w:val="hybridMultilevel"/>
    <w:lvl w:ilvl="0">
      <w:lvlJc w:val="left"/>
      <w:lvlText w:val="(%1)"/>
      <w:numFmt w:val="decimal"/>
      <w:start w:val="6"/>
    </w:lvl>
  </w:abstractNum>
  <w:abstractNum w:abstractNumId="96">
    <w:nsid w:val="2B0D8DBE"/>
    <w:multiLevelType w:val="hybridMultilevel"/>
    <w:lvl w:ilvl="0">
      <w:lvlJc w:val="left"/>
      <w:lvlText w:val="(%1)"/>
      <w:numFmt w:val="decimal"/>
      <w:start w:val="8"/>
    </w:lvl>
  </w:abstractNum>
  <w:abstractNum w:abstractNumId="97">
    <w:nsid w:val="6C80EC70"/>
    <w:multiLevelType w:val="hybridMultilevel"/>
    <w:lvl w:ilvl="0">
      <w:lvlJc w:val="left"/>
      <w:lvlText w:val="(%1)"/>
      <w:numFmt w:val="decimal"/>
      <w:start w:val="4"/>
    </w:lvl>
  </w:abstractNum>
  <w:abstractNum w:abstractNumId="98">
    <w:nsid w:val="379E21B5"/>
    <w:multiLevelType w:val="hybridMultilevel"/>
    <w:lvl w:ilvl="0">
      <w:lvlJc w:val="left"/>
      <w:lvlText w:val="(%1)"/>
      <w:numFmt w:val="decimal"/>
      <w:start w:val="1"/>
    </w:lvl>
  </w:abstractNum>
  <w:abstractNum w:abstractNumId="99">
    <w:nsid w:val="69E373"/>
    <w:multiLevelType w:val="hybridMultilevel"/>
    <w:lvl w:ilvl="0">
      <w:lvlJc w:val="left"/>
      <w:lvlText w:val="%1."/>
      <w:numFmt w:val="decimal"/>
      <w:start w:val="6"/>
    </w:lvl>
  </w:abstractNum>
  <w:abstractNum w:abstractNumId="100">
    <w:nsid w:val="2C27173B"/>
    <w:multiLevelType w:val="hybridMultilevel"/>
    <w:lvl w:ilvl="0">
      <w:lvlJc w:val="left"/>
      <w:lvlText w:val="(%1)"/>
      <w:numFmt w:val="decimal"/>
      <w:start w:val="2"/>
    </w:lvl>
  </w:abstractNum>
  <w:abstractNum w:abstractNumId="101">
    <w:nsid w:val="4C9B0904"/>
    <w:multiLevelType w:val="hybridMultilevel"/>
    <w:lvl w:ilvl="0">
      <w:lvlJc w:val="left"/>
      <w:lvlText w:val="%1."/>
      <w:numFmt w:val="decimal"/>
      <w:start w:val="6"/>
    </w:lvl>
  </w:abstractNum>
  <w:abstractNum w:abstractNumId="102">
    <w:nsid w:val="6AA7B75C"/>
    <w:multiLevelType w:val="hybridMultilevel"/>
    <w:lvl w:ilvl="0">
      <w:lvlJc w:val="left"/>
      <w:lvlText w:val="(%1)"/>
      <w:numFmt w:val="decimal"/>
      <w:start w:val="1"/>
    </w:lvl>
  </w:abstractNum>
  <w:abstractNum w:abstractNumId="103">
    <w:nsid w:val="1DF029D3"/>
    <w:multiLevelType w:val="hybridMultilevel"/>
    <w:lvl w:ilvl="0">
      <w:lvlJc w:val="left"/>
      <w:lvlText w:val="%1."/>
      <w:numFmt w:val="decimal"/>
      <w:start w:val="7"/>
    </w:lvl>
  </w:abstractNum>
  <w:abstractNum w:abstractNumId="104">
    <w:nsid w:val="5675FF36"/>
    <w:multiLevelType w:val="hybridMultilevel"/>
    <w:lvl w:ilvl="0">
      <w:lvlJc w:val="left"/>
      <w:lvlText w:val="(%1)"/>
      <w:numFmt w:val="decimal"/>
      <w:start w:val="1"/>
    </w:lvl>
  </w:abstractNum>
  <w:abstractNum w:abstractNumId="105">
    <w:nsid w:val="3DD15094"/>
    <w:multiLevelType w:val="hybridMultilevel"/>
    <w:lvl w:ilvl="0">
      <w:lvlJc w:val="left"/>
      <w:lvlText w:val="%1."/>
      <w:numFmt w:val="decimal"/>
      <w:start w:val="8"/>
    </w:lvl>
  </w:abstractNum>
  <w:abstractNum w:abstractNumId="106">
    <w:nsid w:val="3DB012B3"/>
    <w:multiLevelType w:val="hybridMultilevel"/>
    <w:lvl w:ilvl="0">
      <w:lvlJc w:val="left"/>
      <w:lvlText w:val="%1."/>
      <w:numFmt w:val="decimal"/>
      <w:start w:val="9"/>
    </w:lvl>
  </w:abstractNum>
  <w:abstractNum w:abstractNumId="107">
    <w:nsid w:val="2708C9AF"/>
    <w:multiLevelType w:val="hybridMultilevel"/>
    <w:lvl w:ilvl="0">
      <w:lvlJc w:val="left"/>
      <w:lvlText w:val="%1."/>
      <w:numFmt w:val="decimal"/>
      <w:start w:val="11"/>
    </w:lvl>
  </w:abstractNum>
  <w:abstractNum w:abstractNumId="108">
    <w:nsid w:val="5B25ACE2"/>
    <w:multiLevelType w:val="hybridMultilevel"/>
    <w:lvl w:ilvl="0">
      <w:lvlJc w:val="left"/>
      <w:lvlText w:val="(%1)"/>
      <w:numFmt w:val="decimal"/>
      <w:start w:val="1"/>
    </w:lvl>
  </w:abstractNum>
  <w:abstractNum w:abstractNumId="109">
    <w:nsid w:val="175DFCF0"/>
    <w:multiLevelType w:val="hybridMultilevel"/>
    <w:lvl w:ilvl="0">
      <w:lvlJc w:val="left"/>
      <w:lvlText w:val="(%1)"/>
      <w:numFmt w:val="decimal"/>
      <w:start w:val="3"/>
    </w:lvl>
  </w:abstractNum>
  <w:abstractNum w:abstractNumId="110">
    <w:nsid w:val="4F97E3E4"/>
    <w:multiLevelType w:val="hybridMultilevel"/>
    <w:lvl w:ilvl="0">
      <w:lvlJc w:val="left"/>
      <w:lvlText w:val="%1."/>
      <w:numFmt w:val="decimal"/>
      <w:start w:val="11"/>
    </w:lvl>
  </w:abstractNum>
  <w:abstractNum w:abstractNumId="111">
    <w:nsid w:val="53B0A9E"/>
    <w:multiLevelType w:val="hybridMultilevel"/>
    <w:lvl w:ilvl="0">
      <w:lvlJc w:val="left"/>
      <w:lvlText w:val="(%1)"/>
      <w:numFmt w:val="decimal"/>
      <w:start w:val="1"/>
    </w:lvl>
  </w:abstractNum>
  <w:abstractNum w:abstractNumId="112">
    <w:nsid w:val="34FD6B4F"/>
    <w:multiLevelType w:val="hybridMultilevel"/>
    <w:lvl w:ilvl="0">
      <w:lvlJc w:val="left"/>
      <w:lvlText w:val="%1."/>
      <w:numFmt w:val="decimal"/>
      <w:start w:val="12"/>
    </w:lvl>
  </w:abstractNum>
  <w:abstractNum w:abstractNumId="113">
    <w:nsid w:val="5915FF32"/>
    <w:multiLevelType w:val="hybridMultilevel"/>
    <w:lvl w:ilvl="0">
      <w:lvlJc w:val="left"/>
      <w:lvlText w:val="%1."/>
      <w:numFmt w:val="decimal"/>
      <w:start w:val="14"/>
    </w:lvl>
  </w:abstractNum>
  <w:abstractNum w:abstractNumId="114">
    <w:nsid w:val="56438D15"/>
    <w:multiLevelType w:val="hybridMultilevel"/>
    <w:lvl w:ilvl="0">
      <w:lvlJc w:val="left"/>
      <w:lvlText w:val="%1."/>
      <w:numFmt w:val="decimal"/>
      <w:start w:val="13"/>
    </w:lvl>
  </w:abstractNum>
  <w:abstractNum w:abstractNumId="115">
    <w:nsid w:val="519E3149"/>
    <w:multiLevelType w:val="hybridMultilevel"/>
    <w:lvl w:ilvl="0">
      <w:lvlJc w:val="left"/>
      <w:lvlText w:val="%1."/>
      <w:numFmt w:val="decimal"/>
      <w:start w:val="15"/>
    </w:lvl>
  </w:abstractNum>
  <w:abstractNum w:abstractNumId="116">
    <w:nsid w:val="2C6E4AFD"/>
    <w:multiLevelType w:val="hybridMultilevel"/>
    <w:lvl w:ilvl="0">
      <w:lvlJc w:val="left"/>
      <w:lvlText w:val="%1."/>
      <w:numFmt w:val="decimal"/>
      <w:start w:val="15"/>
    </w:lvl>
  </w:abstractNum>
  <w:abstractNum w:abstractNumId="117">
    <w:nsid w:val="17A1B582"/>
    <w:multiLevelType w:val="hybridMultilevel"/>
    <w:lvl w:ilvl="0">
      <w:lvlJc w:val="left"/>
      <w:lvlText w:val="%1."/>
      <w:numFmt w:val="decimal"/>
      <w:start w:val="16"/>
    </w:lvl>
  </w:abstractNum>
  <w:abstractNum w:abstractNumId="118">
    <w:nsid w:val="4DF72E4E"/>
    <w:multiLevelType w:val="hybridMultilevel"/>
    <w:lvl w:ilvl="0">
      <w:lvlJc w:val="left"/>
      <w:lvlText w:val="%1."/>
      <w:numFmt w:val="decimal"/>
      <w:start w:val="17"/>
    </w:lvl>
  </w:abstractNum>
  <w:abstractNum w:abstractNumId="119">
    <w:nsid w:val="5046B5A9"/>
    <w:multiLevelType w:val="hybridMultilevel"/>
    <w:lvl w:ilvl="0">
      <w:lvlJc w:val="left"/>
      <w:lvlText w:val="\emdash "/>
      <w:numFmt w:val="bullet"/>
      <w:start w:val="1"/>
    </w:lvl>
  </w:abstractNum>
  <w:abstractNum w:abstractNumId="120">
    <w:nsid w:val="5D888A08"/>
    <w:multiLevelType w:val="hybridMultilevel"/>
    <w:lvl w:ilvl="0">
      <w:lvlJc w:val="left"/>
      <w:lvlText w:val="%1."/>
      <w:numFmt w:val="decimal"/>
      <w:start w:val="18"/>
    </w:lvl>
  </w:abstractNum>
  <w:abstractNum w:abstractNumId="121">
    <w:nsid w:val="2A082C70"/>
    <w:multiLevelType w:val="hybridMultilevel"/>
    <w:lvl w:ilvl="0">
      <w:lvlJc w:val="left"/>
      <w:lvlText w:val="%1."/>
      <w:numFmt w:val="decimal"/>
      <w:start w:val="19"/>
    </w:lvl>
  </w:abstractNum>
  <w:abstractNum w:abstractNumId="122">
    <w:nsid w:val="5EC6AFD4"/>
    <w:multiLevelType w:val="hybridMultilevel"/>
    <w:lvl w:ilvl="0">
      <w:lvlJc w:val="left"/>
      <w:lvlText w:val="%1."/>
      <w:numFmt w:val="decimal"/>
      <w:start w:val="20"/>
    </w:lvl>
  </w:abstractNum>
  <w:abstractNum w:abstractNumId="123">
    <w:nsid w:val="19E21BB2"/>
    <w:multiLevelType w:val="hybridMultilevel"/>
    <w:lvl w:ilvl="0">
      <w:lvlJc w:val="left"/>
      <w:lvlText w:val="%1."/>
      <w:numFmt w:val="decimal"/>
      <w:start w:val="21"/>
    </w:lvl>
  </w:abstractNum>
  <w:abstractNum w:abstractNumId="124">
    <w:nsid w:val="75E0858A"/>
    <w:multiLevelType w:val="hybridMultilevel"/>
    <w:lvl w:ilvl="0">
      <w:lvlJc w:val="left"/>
      <w:lvlText w:val="%1."/>
      <w:numFmt w:val="decimal"/>
      <w:start w:val="22"/>
    </w:lvl>
  </w:abstractNum>
  <w:abstractNum w:abstractNumId="125">
    <w:nsid w:val="57A61A29"/>
    <w:multiLevelType w:val="hybridMultilevel"/>
    <w:lvl w:ilvl="0">
      <w:lvlJc w:val="left"/>
      <w:lvlText w:val="%1."/>
      <w:numFmt w:val="decimal"/>
      <w:start w:val="23"/>
    </w:lvl>
  </w:abstractNum>
  <w:abstractNum w:abstractNumId="126">
    <w:nsid w:val="5399C654"/>
    <w:multiLevelType w:val="hybridMultilevel"/>
    <w:lvl w:ilvl="0">
      <w:lvlJc w:val="left"/>
      <w:lvlText w:val="%1."/>
      <w:numFmt w:val="decimal"/>
      <w:start w:val="23"/>
    </w:lvl>
  </w:abstractNum>
  <w:abstractNum w:abstractNumId="127">
    <w:nsid w:val="20EE1348"/>
    <w:multiLevelType w:val="hybridMultilevel"/>
    <w:lvl w:ilvl="0">
      <w:lvlJc w:val="left"/>
      <w:lvlText w:val="1"/>
      <w:numFmt w:val="bullet"/>
      <w:start w:val="1"/>
    </w:lvl>
  </w:abstractNum>
  <w:abstractNum w:abstractNumId="128">
    <w:nsid w:val="4427069A"/>
    <w:multiLevelType w:val="hybridMultilevel"/>
    <w:lvl w:ilvl="0">
      <w:lvlJc w:val="left"/>
      <w:lvlText w:val="2"/>
      <w:numFmt w:val="bullet"/>
      <w:start w:val="1"/>
    </w:lvl>
  </w:abstractNum>
  <w:abstractNum w:abstractNumId="129">
    <w:nsid w:val="B37E80A"/>
    <w:multiLevelType w:val="hybridMultilevel"/>
    <w:lvl w:ilvl="0">
      <w:lvlJc w:val="left"/>
      <w:lvlText w:val="3"/>
      <w:numFmt w:val="bullet"/>
      <w:start w:val="1"/>
    </w:lvl>
  </w:abstractNum>
  <w:abstractNum w:abstractNumId="130">
    <w:nsid w:val="2157F6BC"/>
    <w:multiLevelType w:val="hybridMultilevel"/>
    <w:lvl w:ilvl="0">
      <w:lvlJc w:val="left"/>
      <w:lvlText w:val="%1."/>
      <w:numFmt w:val="decimal"/>
      <w:start w:val="23"/>
    </w:lvl>
  </w:abstractNum>
  <w:abstractNum w:abstractNumId="131">
    <w:nsid w:val="704E1DD5"/>
    <w:multiLevelType w:val="hybridMultilevel"/>
    <w:lvl w:ilvl="0">
      <w:lvlJc w:val="left"/>
      <w:lvlText w:val="%1."/>
      <w:numFmt w:val="decimal"/>
      <w:start w:val="24"/>
    </w:lvl>
  </w:abstractNum>
  <w:abstractNum w:abstractNumId="132">
    <w:nsid w:val="57D2F10E"/>
    <w:multiLevelType w:val="hybridMultilevel"/>
    <w:lvl w:ilvl="0">
      <w:lvlJc w:val="left"/>
      <w:lvlText w:val="(%1)"/>
      <w:numFmt w:val="lowerLetter"/>
      <w:start w:val="3"/>
    </w:lvl>
  </w:abstractNum>
  <w:abstractNum w:abstractNumId="133">
    <w:nsid w:val="BFFAE18"/>
    <w:multiLevelType w:val="hybridMultilevel"/>
    <w:lvl w:ilvl="0">
      <w:lvlJc w:val="left"/>
      <w:lvlText w:val="%1."/>
      <w:numFmt w:val="decimal"/>
      <w:start w:val="24"/>
    </w:lvl>
  </w:abstractNum>
  <w:abstractNum w:abstractNumId="134">
    <w:nsid w:val="E3E47A8"/>
    <w:multiLevelType w:val="hybridMultilevel"/>
    <w:lvl w:ilvl="0">
      <w:lvlJc w:val="left"/>
      <w:lvlText w:val="%1."/>
      <w:numFmt w:val="decimal"/>
      <w:start w:val="1"/>
    </w:lvl>
  </w:abstractNum>
  <w:abstractNum w:abstractNumId="135">
    <w:nsid w:val="2E48F044"/>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2024-04-26T12:43:46Z</dcterms:created>
  <dcterms:modified xsi:type="dcterms:W3CDTF">2024-04-26T12:43:46Z</dcterms:modified>
</cp:coreProperties>
</file>