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 w:lineRule="exact"/>
        <w:rPr>
          <w:sz w:val="24"/>
          <w:szCs w:val="24"/>
          <w:color w:val="auto"/>
        </w:rPr>
      </w:pPr>
    </w:p>
    <w:p>
      <w:pPr>
        <w:ind w:left="308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w:t>
      </w:r>
    </w:p>
    <w:p>
      <w:pPr>
        <w:spacing w:after="0" w:line="19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59" w:lineRule="exact"/>
        <w:rPr>
          <w:sz w:val="24"/>
          <w:szCs w:val="24"/>
          <w:color w:val="auto"/>
        </w:rPr>
      </w:pPr>
    </w:p>
    <w:p>
      <w:pPr>
        <w:ind w:left="308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w:t>
      </w:r>
    </w:p>
    <w:p>
      <w:pPr>
        <w:spacing w:after="0" w:line="2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9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May 12, 2026</w:t>
      </w:r>
    </w:p>
    <w:p>
      <w:pPr>
        <w:spacing w:after="0" w:line="33" w:lineRule="exact"/>
        <w:rPr>
          <w:sz w:val="24"/>
          <w:szCs w:val="24"/>
          <w:color w:val="auto"/>
        </w:rPr>
      </w:pPr>
    </w:p>
    <w:p>
      <w:pPr>
        <w:ind w:left="308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w:t>
      </w:r>
    </w:p>
    <w:p>
      <w:pPr>
        <w:spacing w:after="0" w:line="18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Corpay, Inc.</w:t>
      </w:r>
    </w:p>
    <w:p>
      <w:pPr>
        <w:spacing w:after="0" w:line="58" w:lineRule="exact"/>
        <w:rPr>
          <w:sz w:val="24"/>
          <w:szCs w:val="24"/>
          <w:color w:val="auto"/>
        </w:rPr>
      </w:pPr>
    </w:p>
    <w:p>
      <w:pPr>
        <w:ind w:left="308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w:t>
      </w:r>
    </w:p>
    <w:p>
      <w:pPr>
        <w:spacing w:after="0" w:line="7" w:lineRule="exact"/>
        <w:rPr>
          <w:sz w:val="24"/>
          <w:szCs w:val="24"/>
          <w:color w:val="auto"/>
        </w:rPr>
      </w:pPr>
    </w:p>
    <w:tbl>
      <w:tblPr>
        <w:tblLayout w:type="fixed"/>
        <w:tblInd w:w="40" w:type="dxa"/>
        <w:tblCellMar>
          <w:top w:w="0" w:type="dxa"/>
          <w:left w:w="0" w:type="dxa"/>
          <w:bottom w:w="0" w:type="dxa"/>
          <w:right w:w="0" w:type="dxa"/>
        </w:tblCellMar>
      </w:tblPr>
      <w:tr>
        <w:trPr>
          <w:trHeight w:val="238"/>
        </w:trPr>
        <w:tc>
          <w:tcPr>
            <w:tcW w:w="3440" w:type="dxa"/>
            <w:vAlign w:val="bottom"/>
          </w:tcPr>
          <w:p>
            <w:pPr>
              <w:spacing w:after="0"/>
              <w:rPr>
                <w:sz w:val="20"/>
                <w:szCs w:val="20"/>
                <w:color w:val="auto"/>
              </w:rPr>
            </w:pPr>
          </w:p>
        </w:tc>
        <w:tc>
          <w:tcPr>
            <w:tcW w:w="4940" w:type="dxa"/>
            <w:vAlign w:val="bottom"/>
            <w:gridSpan w:val="5"/>
          </w:tcPr>
          <w:p>
            <w:pPr>
              <w:jc w:val="center"/>
              <w:ind w:right="64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tc>
        <w:tc>
          <w:tcPr>
            <w:tcW w:w="2800" w:type="dxa"/>
            <w:vAlign w:val="bottom"/>
          </w:tcPr>
          <w:p>
            <w:pPr>
              <w:spacing w:after="0"/>
              <w:rPr>
                <w:sz w:val="20"/>
                <w:szCs w:val="20"/>
                <w:color w:val="auto"/>
              </w:rPr>
            </w:pPr>
          </w:p>
        </w:tc>
      </w:tr>
      <w:tr>
        <w:trPr>
          <w:trHeight w:val="234"/>
        </w:trPr>
        <w:tc>
          <w:tcPr>
            <w:tcW w:w="8380" w:type="dxa"/>
            <w:vAlign w:val="bottom"/>
            <w:gridSpan w:val="6"/>
          </w:tcPr>
          <w:p>
            <w:pPr>
              <w:jc w:val="right"/>
              <w:ind w:right="28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w:t>
            </w:r>
          </w:p>
        </w:tc>
        <w:tc>
          <w:tcPr>
            <w:tcW w:w="2800" w:type="dxa"/>
            <w:vAlign w:val="bottom"/>
          </w:tcPr>
          <w:p>
            <w:pPr>
              <w:spacing w:after="0"/>
              <w:rPr>
                <w:sz w:val="20"/>
                <w:szCs w:val="20"/>
                <w:color w:val="auto"/>
              </w:rPr>
            </w:pPr>
          </w:p>
        </w:tc>
      </w:tr>
      <w:tr>
        <w:trPr>
          <w:trHeight w:val="257"/>
        </w:trPr>
        <w:tc>
          <w:tcPr>
            <w:tcW w:w="3440" w:type="dxa"/>
            <w:vAlign w:val="bottom"/>
            <w:tcBorders>
              <w:bottom w:val="single" w:sz="8" w:color="auto"/>
            </w:tcBorders>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2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001-35004</w:t>
            </w:r>
          </w:p>
        </w:tc>
        <w:tc>
          <w:tcPr>
            <w:tcW w:w="120" w:type="dxa"/>
            <w:vAlign w:val="bottom"/>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2800" w:type="dxa"/>
            <w:vAlign w:val="bottom"/>
            <w:tcBorders>
              <w:bottom w:val="single" w:sz="8" w:color="auto"/>
            </w:tcBorders>
          </w:tcPr>
          <w:p>
            <w:pPr>
              <w:jc w:val="right"/>
              <w:ind w:right="1310"/>
              <w:spacing w:after="0"/>
              <w:rPr>
                <w:sz w:val="20"/>
                <w:szCs w:val="20"/>
                <w:color w:val="auto"/>
              </w:rPr>
            </w:pPr>
            <w:r>
              <w:rPr>
                <w:rFonts w:ascii="Times New Roman" w:cs="Times New Roman" w:eastAsia="Times New Roman" w:hAnsi="Times New Roman"/>
                <w:sz w:val="18"/>
                <w:szCs w:val="18"/>
                <w:b w:val="1"/>
                <w:bCs w:val="1"/>
                <w:color w:val="auto"/>
              </w:rPr>
              <w:t>72-1074903</w:t>
            </w:r>
          </w:p>
        </w:tc>
      </w:tr>
      <w:tr>
        <w:trPr>
          <w:trHeight w:val="210"/>
        </w:trPr>
        <w:tc>
          <w:tcPr>
            <w:tcW w:w="3440" w:type="dxa"/>
            <w:vAlign w:val="bottom"/>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rPr>
              <w:t>(State or other jurisdiction of</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40" w:type="dxa"/>
            <w:vAlign w:val="bottom"/>
            <w:gridSpan w:val="3"/>
          </w:tcPr>
          <w:p>
            <w:pPr>
              <w:jc w:val="center"/>
              <w:ind w:right="980"/>
              <w:spacing w:after="0"/>
              <w:rPr>
                <w:sz w:val="20"/>
                <w:szCs w:val="20"/>
                <w:color w:val="auto"/>
              </w:rPr>
            </w:pPr>
            <w:r>
              <w:rPr>
                <w:rFonts w:ascii="Times New Roman" w:cs="Times New Roman" w:eastAsia="Times New Roman" w:hAnsi="Times New Roman"/>
                <w:sz w:val="14"/>
                <w:szCs w:val="14"/>
                <w:b w:val="1"/>
                <w:bCs w:val="1"/>
                <w:color w:val="auto"/>
              </w:rPr>
              <w:t>(Commission</w:t>
            </w:r>
          </w:p>
        </w:tc>
        <w:tc>
          <w:tcPr>
            <w:tcW w:w="2800" w:type="dxa"/>
            <w:vAlign w:val="bottom"/>
          </w:tcPr>
          <w:p>
            <w:pPr>
              <w:jc w:val="center"/>
              <w:ind w:right="77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3440" w:type="dxa"/>
            <w:vAlign w:val="bottom"/>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9"/>
              </w:rPr>
              <w:t>incorporation or organization)</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40" w:type="dxa"/>
            <w:vAlign w:val="bottom"/>
            <w:gridSpan w:val="3"/>
          </w:tcPr>
          <w:p>
            <w:pPr>
              <w:jc w:val="center"/>
              <w:ind w:right="98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800" w:type="dxa"/>
            <w:vAlign w:val="bottom"/>
          </w:tcPr>
          <w:p>
            <w:pPr>
              <w:jc w:val="center"/>
              <w:ind w:right="790"/>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239"/>
        </w:trPr>
        <w:tc>
          <w:tcPr>
            <w:tcW w:w="3440" w:type="dxa"/>
            <w:vAlign w:val="bottom"/>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9"/>
              </w:rPr>
              <w:t>3280 Peachtree Road, Suite 2400</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40" w:type="dxa"/>
            <w:vAlign w:val="bottom"/>
            <w:gridSpan w:val="3"/>
          </w:tcPr>
          <w:p>
            <w:pPr>
              <w:jc w:val="center"/>
              <w:ind w:right="980"/>
              <w:spacing w:after="0"/>
              <w:rPr>
                <w:sz w:val="20"/>
                <w:szCs w:val="20"/>
                <w:color w:val="auto"/>
              </w:rPr>
            </w:pPr>
            <w:r>
              <w:rPr>
                <w:rFonts w:ascii="Times New Roman" w:cs="Times New Roman" w:eastAsia="Times New Roman" w:hAnsi="Times New Roman"/>
                <w:sz w:val="18"/>
                <w:szCs w:val="18"/>
                <w:b w:val="1"/>
                <w:bCs w:val="1"/>
                <w:color w:val="auto"/>
                <w:w w:val="99"/>
              </w:rPr>
              <w:t>Atlanta</w:t>
            </w:r>
          </w:p>
        </w:tc>
        <w:tc>
          <w:tcPr>
            <w:tcW w:w="2800" w:type="dxa"/>
            <w:vAlign w:val="bottom"/>
          </w:tcPr>
          <w:p>
            <w:pPr>
              <w:jc w:val="right"/>
              <w:ind w:right="1530"/>
              <w:spacing w:after="0"/>
              <w:rPr>
                <w:sz w:val="20"/>
                <w:szCs w:val="20"/>
                <w:color w:val="auto"/>
              </w:rPr>
            </w:pPr>
            <w:r>
              <w:rPr>
                <w:rFonts w:ascii="Times New Roman" w:cs="Times New Roman" w:eastAsia="Times New Roman" w:hAnsi="Times New Roman"/>
                <w:sz w:val="18"/>
                <w:szCs w:val="18"/>
                <w:b w:val="1"/>
                <w:bCs w:val="1"/>
                <w:color w:val="auto"/>
              </w:rPr>
              <w:t>30305</w:t>
            </w:r>
          </w:p>
        </w:tc>
      </w:tr>
      <w:tr>
        <w:trPr>
          <w:trHeight w:val="238"/>
        </w:trPr>
        <w:tc>
          <w:tcPr>
            <w:tcW w:w="3440" w:type="dxa"/>
            <w:vAlign w:val="bottom"/>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40" w:type="dxa"/>
            <w:vAlign w:val="bottom"/>
            <w:gridSpan w:val="3"/>
          </w:tcPr>
          <w:p>
            <w:pPr>
              <w:jc w:val="center"/>
              <w:ind w:right="980"/>
              <w:spacing w:after="0"/>
              <w:rPr>
                <w:sz w:val="20"/>
                <w:szCs w:val="20"/>
                <w:color w:val="auto"/>
              </w:rPr>
            </w:pPr>
            <w:r>
              <w:rPr>
                <w:rFonts w:ascii="Times New Roman" w:cs="Times New Roman" w:eastAsia="Times New Roman" w:hAnsi="Times New Roman"/>
                <w:sz w:val="18"/>
                <w:szCs w:val="18"/>
                <w:b w:val="1"/>
                <w:bCs w:val="1"/>
                <w:color w:val="auto"/>
                <w:w w:val="96"/>
              </w:rPr>
              <w:t>GA</w:t>
            </w:r>
          </w:p>
        </w:tc>
        <w:tc>
          <w:tcPr>
            <w:tcW w:w="2800" w:type="dxa"/>
            <w:vAlign w:val="bottom"/>
          </w:tcPr>
          <w:p>
            <w:pPr>
              <w:jc w:val="center"/>
              <w:ind w:right="790"/>
              <w:spacing w:after="0"/>
              <w:rPr>
                <w:sz w:val="20"/>
                <w:szCs w:val="20"/>
                <w:color w:val="auto"/>
              </w:rPr>
            </w:pPr>
            <w:r>
              <w:rPr>
                <w:rFonts w:ascii="Times New Roman" w:cs="Times New Roman" w:eastAsia="Times New Roman" w:hAnsi="Times New Roman"/>
                <w:sz w:val="18"/>
                <w:szCs w:val="18"/>
                <w:b w:val="1"/>
                <w:bCs w:val="1"/>
                <w:color w:val="auto"/>
              </w:rPr>
              <w:t>(Zip Code)</w:t>
            </w:r>
          </w:p>
        </w:tc>
      </w:tr>
    </w:tbl>
    <w:p>
      <w:pPr>
        <w:spacing w:after="0" w:line="14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(770) 449-0479</w:t>
      </w:r>
    </w:p>
    <w:p>
      <w:pPr>
        <w:spacing w:after="0" w:line="17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46" w:lineRule="exact"/>
        <w:rPr>
          <w:sz w:val="24"/>
          <w:szCs w:val="24"/>
          <w:color w:val="auto"/>
        </w:rPr>
      </w:pPr>
    </w:p>
    <w:p>
      <w:pPr>
        <w:ind w:right="660"/>
        <w:spacing w:after="0" w:line="261"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2" w:lineRule="exact"/>
        <w:rPr>
          <w:sz w:val="24"/>
          <w:szCs w:val="24"/>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57"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57"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57" w:lineRule="exact"/>
        <w:rPr>
          <w:rFonts w:ascii="MS PGothic" w:cs="MS PGothic" w:eastAsia="MS PGothic" w:hAnsi="MS PGothic"/>
          <w:sz w:val="18"/>
          <w:szCs w:val="18"/>
          <w:color w:val="auto"/>
        </w:rPr>
      </w:pPr>
    </w:p>
    <w:p>
      <w:pPr>
        <w:ind w:right="2840" w:firstLine="26"/>
        <w:spacing w:after="0" w:line="339" w:lineRule="auto"/>
        <w:tabs>
          <w:tab w:leader="none" w:pos="34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170"/>
        </w:trPr>
        <w:tc>
          <w:tcPr>
            <w:tcW w:w="460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100" w:type="dxa"/>
            <w:vAlign w:val="bottom"/>
            <w:tcBorders>
              <w:top w:val="single" w:sz="8" w:color="auto"/>
              <w:right w:val="single" w:sz="8" w:color="auto"/>
            </w:tcBorders>
          </w:tcPr>
          <w:p>
            <w:pPr>
              <w:jc w:val="center"/>
              <w:spacing w:after="0" w:line="170" w:lineRule="exact"/>
              <w:rPr>
                <w:sz w:val="20"/>
                <w:szCs w:val="20"/>
                <w:color w:val="auto"/>
              </w:rPr>
            </w:pPr>
            <w:r>
              <w:rPr>
                <w:rFonts w:ascii="Times New Roman" w:cs="Times New Roman" w:eastAsia="Times New Roman" w:hAnsi="Times New Roman"/>
                <w:sz w:val="18"/>
                <w:szCs w:val="18"/>
                <w:color w:val="auto"/>
                <w:w w:val="98"/>
              </w:rPr>
              <w:t>Trading</w:t>
            </w:r>
          </w:p>
        </w:tc>
        <w:tc>
          <w:tcPr>
            <w:tcW w:w="420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c>
          <w:tcPr>
            <w:tcW w:w="0" w:type="dxa"/>
            <w:vAlign w:val="bottom"/>
          </w:tcPr>
          <w:p>
            <w:pPr>
              <w:spacing w:after="0"/>
              <w:rPr>
                <w:sz w:val="1"/>
                <w:szCs w:val="1"/>
                <w:color w:val="auto"/>
              </w:rPr>
            </w:pPr>
          </w:p>
        </w:tc>
      </w:tr>
      <w:tr>
        <w:trPr>
          <w:trHeight w:val="149"/>
        </w:trPr>
        <w:tc>
          <w:tcPr>
            <w:tcW w:w="4600" w:type="dxa"/>
            <w:vAlign w:val="bottom"/>
            <w:tcBorders>
              <w:left w:val="single" w:sz="8" w:color="auto"/>
              <w:right w:val="single" w:sz="8" w:color="auto"/>
            </w:tcBorders>
            <w:vMerge w:val="continue"/>
          </w:tcPr>
          <w:p>
            <w:pPr>
              <w:spacing w:after="0"/>
              <w:rPr>
                <w:sz w:val="12"/>
                <w:szCs w:val="12"/>
                <w:color w:val="auto"/>
              </w:rPr>
            </w:pPr>
          </w:p>
        </w:tc>
        <w:tc>
          <w:tcPr>
            <w:tcW w:w="21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Symbols(s)</w:t>
            </w:r>
          </w:p>
        </w:tc>
        <w:tc>
          <w:tcPr>
            <w:tcW w:w="420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4600" w:type="dxa"/>
            <w:vAlign w:val="bottom"/>
            <w:tcBorders>
              <w:left w:val="single" w:sz="8" w:color="auto"/>
              <w:bottom w:val="single" w:sz="8" w:color="auto"/>
              <w:right w:val="single" w:sz="8" w:color="auto"/>
            </w:tcBorders>
          </w:tcPr>
          <w:p>
            <w:pPr>
              <w:spacing w:after="0"/>
              <w:rPr>
                <w:sz w:val="7"/>
                <w:szCs w:val="7"/>
                <w:color w:val="auto"/>
              </w:rPr>
            </w:pPr>
          </w:p>
        </w:tc>
        <w:tc>
          <w:tcPr>
            <w:tcW w:w="2100" w:type="dxa"/>
            <w:vAlign w:val="bottom"/>
            <w:tcBorders>
              <w:bottom w:val="single" w:sz="8" w:color="auto"/>
              <w:right w:val="single" w:sz="8" w:color="auto"/>
            </w:tcBorders>
            <w:vMerge w:val="continue"/>
          </w:tcPr>
          <w:p>
            <w:pPr>
              <w:spacing w:after="0"/>
              <w:rPr>
                <w:sz w:val="7"/>
                <w:szCs w:val="7"/>
                <w:color w:val="auto"/>
              </w:rPr>
            </w:pPr>
          </w:p>
        </w:tc>
        <w:tc>
          <w:tcPr>
            <w:tcW w:w="42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46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w:t>
            </w:r>
          </w:p>
        </w:tc>
        <w:tc>
          <w:tcPr>
            <w:tcW w:w="2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1"/>
              </w:rPr>
              <w:t>CPAY</w:t>
            </w:r>
          </w:p>
        </w:tc>
        <w:tc>
          <w:tcPr>
            <w:tcW w:w="4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c>
          <w:tcPr>
            <w:tcW w:w="0" w:type="dxa"/>
            <w:vAlign w:val="bottom"/>
          </w:tcPr>
          <w:p>
            <w:pPr>
              <w:spacing w:after="0"/>
              <w:rPr>
                <w:sz w:val="1"/>
                <w:szCs w:val="1"/>
                <w:color w:val="auto"/>
              </w:rPr>
            </w:pPr>
          </w:p>
        </w:tc>
      </w:tr>
    </w:tbl>
    <w:p>
      <w:pPr>
        <w:spacing w:after="0" w:line="90" w:lineRule="exact"/>
        <w:rPr>
          <w:sz w:val="24"/>
          <w:szCs w:val="24"/>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749935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51" w:right="35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9" w:lineRule="exact"/>
        <w:rPr>
          <w:sz w:val="20"/>
          <w:szCs w:val="20"/>
          <w:color w:val="auto"/>
        </w:rPr>
      </w:pPr>
    </w:p>
    <w:p>
      <w:pPr>
        <w:ind w:right="100"/>
        <w:spacing w:after="0" w:line="245" w:lineRule="auto"/>
        <w:rPr>
          <w:sz w:val="20"/>
          <w:szCs w:val="20"/>
          <w:color w:val="auto"/>
        </w:rPr>
      </w:pPr>
      <w:r>
        <w:rPr>
          <w:rFonts w:ascii="Times New Roman" w:cs="Times New Roman" w:eastAsia="Times New Roman" w:hAnsi="Times New Roman"/>
          <w:sz w:val="18"/>
          <w:szCs w:val="18"/>
          <w:color w:val="auto"/>
        </w:rPr>
        <w:t>On May 12, 2026, Corpay, Inc. (the “Company”) posted an investor presentation to its website (the “Investor Presentation”), which will be used during its virtual teach-in on its Cross-Border Business on Wednesday, May 13, 2026, at 3:00 p.m. ET. A copy of the Investor Presentation is available on the Company's website at investor.corpay.com. No information contained on or accessible through such website shall be deemed to be part of or incorporated by reference into this report.</w:t>
      </w:r>
    </w:p>
    <w:p>
      <w:pPr>
        <w:spacing w:after="0" w:line="208" w:lineRule="exact"/>
        <w:rPr>
          <w:sz w:val="20"/>
          <w:szCs w:val="20"/>
          <w:color w:val="auto"/>
        </w:rPr>
      </w:pPr>
    </w:p>
    <w:p>
      <w:pPr>
        <w:jc w:val="both"/>
        <w:ind w:right="120"/>
        <w:spacing w:after="0" w:line="245" w:lineRule="auto"/>
        <w:rPr>
          <w:sz w:val="20"/>
          <w:szCs w:val="20"/>
          <w:color w:val="auto"/>
        </w:rPr>
      </w:pPr>
      <w:r>
        <w:rPr>
          <w:rFonts w:ascii="Times New Roman" w:cs="Times New Roman" w:eastAsia="Times New Roman" w:hAnsi="Times New Roman"/>
          <w:sz w:val="18"/>
          <w:szCs w:val="18"/>
          <w:color w:val="auto"/>
        </w:rPr>
        <w:t>The information contained in the Investor Presentation is summary information that should be considered in the context of the Company’s filings with the Securities and Exchange Commission and other public announcements that the Company may make by press release or otherwise from time to time. The Company undertakes no duty or obligation to publicly update or revise the information contained in the Investor Presentation, although it may do so from time to time.</w:t>
      </w:r>
    </w:p>
    <w:p>
      <w:pPr>
        <w:spacing w:after="0" w:line="208"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8"/>
          <w:szCs w:val="18"/>
          <w:color w:val="auto"/>
        </w:rPr>
        <w:t>The information in this Current Report on Form 8-K furnished pursuant to Item 7.01 shall not be deemed to be “filed” for the purposes of Section 18 of the Exchange Act, or otherwise subject to liability under that section, and shall not be deemed incorporated by reference in any filing under the Securities Act or the Exchange Act, except as shall be expressly set forth by specific reference in such filing.</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13"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8"/>
          <w:szCs w:val="18"/>
          <w:color w:val="auto"/>
        </w:rPr>
        <w:t>Corpay, Inc.</w:t>
      </w:r>
    </w:p>
    <w:p>
      <w:pPr>
        <w:spacing w:after="0" w:line="291" w:lineRule="exact"/>
        <w:rPr>
          <w:sz w:val="20"/>
          <w:szCs w:val="20"/>
          <w:color w:val="auto"/>
        </w:rPr>
      </w:pPr>
    </w:p>
    <w:p>
      <w:pPr>
        <w:ind w:left="20"/>
        <w:spacing w:after="0"/>
        <w:tabs>
          <w:tab w:leader="none" w:pos="6480" w:val="left"/>
          <w:tab w:leader="none" w:pos="6860" w:val="left"/>
        </w:tabs>
        <w:rPr>
          <w:sz w:val="20"/>
          <w:szCs w:val="20"/>
          <w:color w:val="auto"/>
        </w:rPr>
      </w:pPr>
      <w:r>
        <w:rPr>
          <w:rFonts w:ascii="Times New Roman" w:cs="Times New Roman" w:eastAsia="Times New Roman" w:hAnsi="Times New Roman"/>
          <w:sz w:val="18"/>
          <w:szCs w:val="18"/>
          <w:color w:val="auto"/>
        </w:rPr>
        <w:t>May 12, 2026</w:t>
      </w:r>
      <w:r>
        <w:rPr>
          <w:sz w:val="20"/>
          <w:szCs w:val="20"/>
          <w:color w:val="auto"/>
        </w:rPr>
        <w:tab/>
      </w:r>
      <w:r>
        <w:rPr>
          <w:rFonts w:ascii="Times New Roman" w:cs="Times New Roman" w:eastAsia="Times New Roman" w:hAnsi="Times New Roman"/>
          <w:sz w:val="18"/>
          <w:szCs w:val="18"/>
          <w:i w:val="1"/>
          <w:iCs w:val="1"/>
          <w:color w:val="auto"/>
        </w:rPr>
        <w:t>By:</w:t>
      </w:r>
      <w:r>
        <w:rPr>
          <w:sz w:val="20"/>
          <w:szCs w:val="20"/>
          <w:color w:val="auto"/>
        </w:rPr>
        <w:tab/>
      </w:r>
      <w:r>
        <w:rPr>
          <w:rFonts w:ascii="Times New Roman" w:cs="Times New Roman" w:eastAsia="Times New Roman" w:hAnsi="Times New Roman"/>
          <w:sz w:val="17"/>
          <w:szCs w:val="17"/>
          <w:i w:val="1"/>
          <w:iCs w:val="1"/>
          <w:color w:val="auto"/>
        </w:rPr>
        <w:t>/s/ Peter Walker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4110990</wp:posOffset>
            </wp:positionH>
            <wp:positionV relativeFrom="paragraph">
              <wp:posOffset>18415</wp:posOffset>
            </wp:positionV>
            <wp:extent cx="30086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008630" cy="8255"/>
                    </a:xfrm>
                    <a:prstGeom prst="rect">
                      <a:avLst/>
                    </a:prstGeom>
                    <a:noFill/>
                  </pic:spPr>
                </pic:pic>
              </a:graphicData>
            </a:graphic>
          </wp:anchor>
        </w:drawing>
      </w:r>
    </w:p>
    <w:p>
      <w:pPr>
        <w:spacing w:after="0" w:line="16"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i w:val="1"/>
          <w:iCs w:val="1"/>
          <w:color w:val="auto"/>
        </w:rPr>
        <w:t>Peter Walker</w:t>
      </w:r>
    </w:p>
    <w:p>
      <w:pPr>
        <w:spacing w:after="0" w:line="29"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i w:val="1"/>
          <w:iCs w:val="1"/>
          <w:color w:val="auto"/>
        </w:rPr>
        <w:t>Chief Financial Officer</w:t>
      </w:r>
    </w:p>
    <w:sectPr>
      <w:pgSz w:w="11900" w:h="16838" w:orient="portrait"/>
      <w:cols w:equalWidth="0" w:num="1">
        <w:col w:w="11200"/>
      </w:cols>
      <w:pgMar w:left="320" w:top="887"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2026-05-12T16:20:15Z</dcterms:created>
  <dcterms:modified xsi:type="dcterms:W3CDTF">2026-05-12T16:20:15Z</dcterms:modified>
</cp:coreProperties>
</file>