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4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001-35004</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FleetCor Technologies, Inc.</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51"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170"/>
              <w:spacing w:after="0"/>
              <w:rPr>
                <w:sz w:val="20"/>
                <w:szCs w:val="20"/>
                <w:color w:val="auto"/>
              </w:rPr>
            </w:pPr>
            <w:r>
              <w:rPr>
                <w:rFonts w:ascii="Arial" w:cs="Arial" w:eastAsia="Arial" w:hAnsi="Arial"/>
                <w:sz w:val="18"/>
                <w:szCs w:val="18"/>
                <w:b w:val="1"/>
                <w:bCs w:val="1"/>
                <w:color w:val="auto"/>
              </w:rPr>
              <w:t>72-1074903</w:t>
            </w:r>
          </w:p>
        </w:tc>
      </w:tr>
      <w:tr>
        <w:trPr>
          <w:trHeight w:val="252"/>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(State or other jurisdiction of</w:t>
            </w:r>
          </w:p>
        </w:tc>
        <w:tc>
          <w:tcPr>
            <w:tcW w:w="2980" w:type="dxa"/>
            <w:vAlign w:val="bottom"/>
          </w:tcPr>
          <w:p>
            <w:pPr>
              <w:jc w:val="center"/>
              <w:ind w:left="1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1"/>
              </w:rPr>
              <w:t>incorporation or organization)</w:t>
            </w:r>
          </w:p>
        </w:tc>
        <w:tc>
          <w:tcPr>
            <w:tcW w:w="298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Identification No.)</w:t>
            </w:r>
          </w:p>
        </w:tc>
      </w:tr>
      <w:tr>
        <w:trPr>
          <w:trHeight w:val="392"/>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5445 Triangle Parkway, Peachtree Corners, Georgia</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30092</w:t>
            </w:r>
          </w:p>
        </w:tc>
      </w:tr>
      <w:tr>
        <w:trPr>
          <w:trHeight w:val="270"/>
        </w:trPr>
        <w:tc>
          <w:tcPr>
            <w:tcW w:w="5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80" w:type="dxa"/>
            <w:vAlign w:val="bottom"/>
          </w:tcPr>
          <w:p>
            <w:pPr>
              <w:jc w:val="center"/>
              <w:ind w:left="149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(770) 449-0479</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03"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ind w:righ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58" w:lineRule="exact"/>
        <w:rPr>
          <w:sz w:val="24"/>
          <w:szCs w:val="24"/>
          <w:color w:val="auto"/>
        </w:rPr>
      </w:pPr>
    </w:p>
    <w:p>
      <w:pPr>
        <w:ind w:right="180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ectPr>
          <w:pgSz w:w="11900" w:h="16838" w:orient="portrait"/>
          <w:cols w:equalWidth="0" w:num="1">
            <w:col w:w="11320"/>
          </w:cols>
          <w:pgMar w:left="24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3120" w:type="dxa"/>
            <w:vAlign w:val="bottom"/>
            <w:gridSpan w:val="2"/>
          </w:tcPr>
          <w:p>
            <w:pPr>
              <w:jc w:val="center"/>
              <w:ind w:right="2720"/>
              <w:spacing w:after="0"/>
              <w:rPr>
                <w:sz w:val="20"/>
                <w:szCs w:val="20"/>
                <w:color w:val="auto"/>
              </w:rPr>
            </w:pPr>
            <w:r>
              <w:rPr>
                <w:rFonts w:ascii="Arial" w:cs="Arial" w:eastAsia="Arial" w:hAnsi="Arial"/>
                <w:sz w:val="18"/>
                <w:szCs w:val="18"/>
                <w:b w:val="1"/>
                <w:bCs w:val="1"/>
                <w:color w:val="auto"/>
                <w:w w:val="83"/>
              </w:rPr>
              <w:t>Class</w:t>
            </w:r>
          </w:p>
        </w:tc>
        <w:tc>
          <w:tcPr>
            <w:tcW w:w="56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0"/>
              </w:rPr>
              <w:t>Outstanding at November 1, 2018</w:t>
            </w:r>
          </w:p>
        </w:tc>
      </w:tr>
      <w:tr>
        <w:trPr>
          <w:trHeight w:val="20"/>
        </w:trPr>
        <w:tc>
          <w:tcPr>
            <w:tcW w:w="2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5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Common Stock, $0.001 par value</w:t>
            </w:r>
          </w:p>
        </w:tc>
        <w:tc>
          <w:tcPr>
            <w:tcW w:w="42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122,850,784</w:t>
            </w:r>
          </w:p>
        </w:tc>
        <w:tc>
          <w:tcPr>
            <w:tcW w:w="1440" w:type="dxa"/>
            <w:vAlign w:val="bottom"/>
          </w:tcPr>
          <w:p>
            <w:pPr>
              <w:spacing w:after="0"/>
              <w:rPr>
                <w:sz w:val="24"/>
                <w:szCs w:val="24"/>
                <w:color w:val="auto"/>
              </w:rPr>
            </w:pPr>
          </w:p>
        </w:tc>
      </w:tr>
      <w:tr>
        <w:trPr>
          <w:trHeight w:val="162"/>
        </w:trPr>
        <w:tc>
          <w:tcPr>
            <w:tcW w:w="2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Three and Nine Month Periods Ended September 30, 2018</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4"/>
          </w:tcPr>
          <w:p>
            <w:pPr>
              <w:ind w:left="480"/>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440" w:type="dxa"/>
            <w:vAlign w:val="bottom"/>
            <w:gridSpan w:val="18"/>
          </w:tcPr>
          <w:p>
            <w:pPr>
              <w:spacing w:after="0"/>
              <w:rPr>
                <w:sz w:val="20"/>
                <w:szCs w:val="20"/>
                <w:color w:val="auto"/>
              </w:rPr>
            </w:pPr>
            <w:r>
              <w:rPr>
                <w:rFonts w:ascii="Arial" w:cs="Arial" w:eastAsia="Arial" w:hAnsi="Arial"/>
                <w:sz w:val="18"/>
                <w:szCs w:val="18"/>
                <w:b w:val="1"/>
                <w:bCs w:val="1"/>
                <w:color w:val="auto"/>
              </w:rPr>
              <w:t>PART I—FINANCIAL INFORMATION</w:t>
            </w:r>
          </w:p>
        </w:tc>
        <w:tc>
          <w:tcPr>
            <w:tcW w:w="4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September 30, 2018 (unaudited) and December 31, 2017</w:t>
              </w:r>
            </w:hyperlink>
          </w:p>
        </w:tc>
        <w:tc>
          <w:tcPr>
            <w:tcW w:w="680" w:type="dxa"/>
            <w:vAlign w:val="bottom"/>
            <w:gridSpan w:val="3"/>
          </w:tcPr>
          <w:p>
            <w:pPr>
              <w:jc w:val="center"/>
              <w:ind w:left="491"/>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3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Income for the Three and Nine Months Ended September 30, 2018 and 2017</w:t>
              </w:r>
            </w:hyperlink>
          </w:p>
        </w:tc>
        <w:tc>
          <w:tcPr>
            <w:tcW w:w="1180" w:type="dxa"/>
            <w:vAlign w:val="bottom"/>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2</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Comprehensive Income for the Three and Nine Months Ended September 30, 2018 and 2017</w:t>
              </w:r>
            </w:hyperlink>
          </w:p>
        </w:tc>
        <w:tc>
          <w:tcPr>
            <w:tcW w:w="5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3</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6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Statements of Cash Flows for the Nine Months Ended September 30, 2018 and 2017</w:t>
              </w:r>
            </w:hyperlink>
          </w:p>
        </w:tc>
        <w:tc>
          <w:tcPr>
            <w:tcW w:w="2640" w:type="dxa"/>
            <w:vAlign w:val="bottom"/>
            <w:gridSpan w:val="3"/>
          </w:tcPr>
          <w:p>
            <w:pPr>
              <w:spacing w:after="0"/>
              <w:rPr>
                <w:sz w:val="24"/>
                <w:szCs w:val="24"/>
                <w:color w:val="auto"/>
              </w:rPr>
            </w:pPr>
          </w:p>
        </w:tc>
        <w:tc>
          <w:tcPr>
            <w:tcW w:w="5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4</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39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Consolidated Financial Statements</w:t>
              </w:r>
            </w:hyperlink>
          </w:p>
        </w:tc>
        <w:tc>
          <w:tcPr>
            <w:tcW w:w="5580" w:type="dxa"/>
            <w:vAlign w:val="bottom"/>
            <w:gridSpan w:val="7"/>
          </w:tcPr>
          <w:p>
            <w:pPr>
              <w:spacing w:after="0"/>
              <w:rPr>
                <w:sz w:val="24"/>
                <w:szCs w:val="24"/>
                <w:color w:val="auto"/>
              </w:rPr>
            </w:pPr>
          </w:p>
        </w:tc>
        <w:tc>
          <w:tcPr>
            <w:tcW w:w="5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3"/>
          </w:tcPr>
          <w:p>
            <w:pPr>
              <w:jc w:val="center"/>
              <w:ind w:left="411"/>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gridSpan w:val="12"/>
          </w:tcPr>
          <w:p>
            <w:pPr>
              <w:spacing w:after="0"/>
              <w:rPr>
                <w:rFonts w:ascii="Arial" w:cs="Arial" w:eastAsia="Arial" w:hAnsi="Arial"/>
                <w:sz w:val="18"/>
                <w:szCs w:val="18"/>
                <w:color w:val="0000EE"/>
                <w:w w:val="98"/>
              </w:rPr>
            </w:pPr>
            <w:hyperlink w:anchor="page56">
              <w:r>
                <w:rPr>
                  <w:rFonts w:ascii="Arial" w:cs="Arial" w:eastAsia="Arial" w:hAnsi="Arial"/>
                  <w:sz w:val="18"/>
                  <w:szCs w:val="18"/>
                  <w:color w:val="0000EE"/>
                  <w:w w:val="98"/>
                </w:rPr>
                <w:t>QUANTITATIVE AND QUALITATIVE DISCLOSURES ABOUT MARKET RISK</w:t>
              </w:r>
            </w:hyperlink>
          </w:p>
        </w:tc>
        <w:tc>
          <w:tcPr>
            <w:tcW w:w="276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52</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CONTROLS AND PROCEDURES</w:t>
              </w:r>
            </w:hyperlink>
          </w:p>
        </w:tc>
        <w:tc>
          <w:tcPr>
            <w:tcW w:w="3540" w:type="dxa"/>
            <w:vAlign w:val="bottom"/>
            <w:gridSpan w:val="4"/>
          </w:tcPr>
          <w:p>
            <w:pPr>
              <w:spacing w:after="0"/>
              <w:rPr>
                <w:sz w:val="24"/>
                <w:szCs w:val="24"/>
                <w:color w:val="auto"/>
              </w:rPr>
            </w:pPr>
          </w:p>
        </w:tc>
        <w:tc>
          <w:tcPr>
            <w:tcW w:w="3380" w:type="dxa"/>
            <w:vAlign w:val="bottom"/>
            <w:gridSpan w:val="5"/>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52</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412"/>
        </w:trPr>
        <w:tc>
          <w:tcPr>
            <w:tcW w:w="10440" w:type="dxa"/>
            <w:vAlign w:val="bottom"/>
            <w:gridSpan w:val="18"/>
          </w:tcPr>
          <w:p>
            <w:pPr>
              <w:spacing w:after="0"/>
              <w:rPr>
                <w:sz w:val="20"/>
                <w:szCs w:val="20"/>
                <w:color w:val="auto"/>
              </w:rPr>
            </w:pPr>
            <w:r>
              <w:rPr>
                <w:rFonts w:ascii="Arial" w:cs="Arial" w:eastAsia="Arial" w:hAnsi="Arial"/>
                <w:sz w:val="18"/>
                <w:szCs w:val="18"/>
                <w:b w:val="1"/>
                <w:bCs w:val="1"/>
                <w:color w:val="auto"/>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680" w:type="dxa"/>
            <w:vAlign w:val="bottom"/>
            <w:gridSpan w:val="3"/>
          </w:tcPr>
          <w:p>
            <w:pPr>
              <w:jc w:val="center"/>
              <w:ind w:left="41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860" w:type="dxa"/>
            <w:vAlign w:val="bottom"/>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7660" w:type="dxa"/>
            <w:vAlign w:val="bottom"/>
            <w:gridSpan w:val="13"/>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680" w:type="dxa"/>
            <w:vAlign w:val="bottom"/>
            <w:gridSpan w:val="3"/>
          </w:tcPr>
          <w:p>
            <w:pPr>
              <w:jc w:val="center"/>
              <w:ind w:left="41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180" w:type="dxa"/>
            <w:vAlign w:val="bottom"/>
            <w:gridSpan w:val="9"/>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DEFAULTS UPON SENIOR SECURITIES</w:t>
              </w:r>
            </w:hyperlink>
          </w:p>
        </w:tc>
        <w:tc>
          <w:tcPr>
            <w:tcW w:w="2880" w:type="dxa"/>
            <w:vAlign w:val="bottom"/>
            <w:gridSpan w:val="2"/>
          </w:tcPr>
          <w:p>
            <w:pPr>
              <w:spacing w:after="0"/>
              <w:rPr>
                <w:sz w:val="24"/>
                <w:szCs w:val="24"/>
                <w:color w:val="auto"/>
              </w:rPr>
            </w:pPr>
          </w:p>
        </w:tc>
        <w:tc>
          <w:tcPr>
            <w:tcW w:w="3460" w:type="dxa"/>
            <w:vAlign w:val="bottom"/>
            <w:gridSpan w:val="6"/>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440" w:type="dxa"/>
            <w:vAlign w:val="bottom"/>
            <w:gridSpan w:val="7"/>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MINE SAFETY DISCLOSURES</w:t>
              </w:r>
            </w:hyperlink>
          </w:p>
        </w:tc>
        <w:tc>
          <w:tcPr>
            <w:tcW w:w="740" w:type="dxa"/>
            <w:vAlign w:val="bottom"/>
            <w:gridSpan w:val="2"/>
          </w:tcPr>
          <w:p>
            <w:pPr>
              <w:spacing w:after="0"/>
              <w:rPr>
                <w:sz w:val="24"/>
                <w:szCs w:val="24"/>
                <w:color w:val="auto"/>
              </w:rPr>
            </w:pPr>
          </w:p>
        </w:tc>
        <w:tc>
          <w:tcPr>
            <w:tcW w:w="6340" w:type="dxa"/>
            <w:vAlign w:val="bottom"/>
            <w:gridSpan w:val="8"/>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880" w:type="dxa"/>
            <w:vAlign w:val="bottom"/>
            <w:gridSpan w:val="5"/>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OTHER INFORMATION</w:t>
              </w:r>
            </w:hyperlink>
          </w:p>
        </w:tc>
        <w:tc>
          <w:tcPr>
            <w:tcW w:w="560" w:type="dxa"/>
            <w:vAlign w:val="bottom"/>
            <w:gridSpan w:val="2"/>
          </w:tcPr>
          <w:p>
            <w:pPr>
              <w:spacing w:after="0"/>
              <w:rPr>
                <w:sz w:val="24"/>
                <w:szCs w:val="24"/>
                <w:color w:val="auto"/>
              </w:rPr>
            </w:pPr>
          </w:p>
        </w:tc>
        <w:tc>
          <w:tcPr>
            <w:tcW w:w="7080" w:type="dxa"/>
            <w:vAlign w:val="bottom"/>
            <w:gridSpan w:val="10"/>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54</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gridSpan w:val="2"/>
          </w:tcPr>
          <w:p>
            <w:pPr>
              <w:spacing w:after="0"/>
              <w:rPr>
                <w:rFonts w:ascii="Arial" w:cs="Arial" w:eastAsia="Arial" w:hAnsi="Arial"/>
                <w:sz w:val="18"/>
                <w:szCs w:val="18"/>
                <w:color w:val="0000EE"/>
                <w:w w:val="97"/>
              </w:rPr>
            </w:pPr>
            <w:hyperlink w:anchor="page59">
              <w:r>
                <w:rPr>
                  <w:rFonts w:ascii="Arial" w:cs="Arial" w:eastAsia="Arial" w:hAnsi="Arial"/>
                  <w:sz w:val="18"/>
                  <w:szCs w:val="18"/>
                  <w:color w:val="0000EE"/>
                  <w:w w:val="97"/>
                </w:rPr>
                <w:t>EXHIBITS</w:t>
              </w:r>
            </w:hyperlink>
          </w:p>
        </w:tc>
        <w:tc>
          <w:tcPr>
            <w:tcW w:w="1060" w:type="dxa"/>
            <w:vAlign w:val="bottom"/>
            <w:gridSpan w:val="3"/>
          </w:tcPr>
          <w:p>
            <w:pPr>
              <w:spacing w:after="0"/>
              <w:rPr>
                <w:sz w:val="24"/>
                <w:szCs w:val="24"/>
                <w:color w:val="auto"/>
              </w:rPr>
            </w:pPr>
          </w:p>
        </w:tc>
        <w:tc>
          <w:tcPr>
            <w:tcW w:w="7640" w:type="dxa"/>
            <w:vAlign w:val="bottom"/>
            <w:gridSpan w:val="12"/>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55</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700" w:type="dxa"/>
            <w:vAlign w:val="bottom"/>
            <w:gridSpan w:val="15"/>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1160" w:type="dxa"/>
            <w:vAlign w:val="bottom"/>
            <w:gridSpan w:val="2"/>
          </w:tcPr>
          <w:p>
            <w:pPr>
              <w:spacing w:after="0"/>
              <w:rPr>
                <w:rFonts w:ascii="Arial" w:cs="Arial" w:eastAsia="Arial" w:hAnsi="Arial"/>
                <w:sz w:val="18"/>
                <w:szCs w:val="18"/>
                <w:b w:val="1"/>
                <w:bCs w:val="1"/>
                <w:color w:val="0000EE"/>
                <w:w w:val="96"/>
              </w:rPr>
            </w:pPr>
            <w:hyperlink w:anchor="page60">
              <w:r>
                <w:rPr>
                  <w:rFonts w:ascii="Arial" w:cs="Arial" w:eastAsia="Arial" w:hAnsi="Arial"/>
                  <w:sz w:val="18"/>
                  <w:szCs w:val="18"/>
                  <w:b w:val="1"/>
                  <w:bCs w:val="1"/>
                  <w:color w:val="0000EE"/>
                  <w:w w:val="96"/>
                </w:rPr>
                <w:t>SIGNATURES</w:t>
              </w:r>
            </w:hyperlink>
          </w:p>
        </w:tc>
        <w:tc>
          <w:tcPr>
            <w:tcW w:w="9280" w:type="dxa"/>
            <w:vAlign w:val="bottom"/>
            <w:gridSpan w:val="16"/>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56</w:t>
              </w:r>
            </w:hyperlink>
          </w:p>
        </w:tc>
        <w:tc>
          <w:tcPr>
            <w:tcW w:w="100" w:type="dxa"/>
            <w:vAlign w:val="bottom"/>
          </w:tcPr>
          <w:p>
            <w:pPr>
              <w:spacing w:after="0"/>
              <w:rPr>
                <w:sz w:val="24"/>
                <w:szCs w:val="24"/>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60"/>
          </w:cols>
          <w:pgMar w:left="240" w:top="125" w:right="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4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Par Value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89"/>
              </w:rPr>
              <w:t>September 30, 2018</w:t>
            </w:r>
            <w:r>
              <w:rPr>
                <w:rFonts w:ascii="Arial" w:cs="Arial" w:eastAsia="Arial" w:hAnsi="Arial"/>
                <w:sz w:val="21"/>
                <w:szCs w:val="21"/>
                <w:b w:val="1"/>
                <w:bCs w:val="1"/>
                <w:color w:val="auto"/>
                <w:w w:val="89"/>
                <w:vertAlign w:val="superscript"/>
              </w:rPr>
              <w:t>1</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w w:val="95"/>
              </w:rPr>
              <w:t>December 31, 2017</w:t>
            </w:r>
          </w:p>
        </w:tc>
      </w:tr>
      <w:tr>
        <w:trPr>
          <w:trHeight w:val="237"/>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924,442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913,595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264,108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217,275</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and other receivables (less allowance for doubtful accounts of $52,022 at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7"/>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2018 and $46,031 at 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1,811,339</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1,420,011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Securitized accounts receivable—restricted for securitization investors</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931,000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811,000</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202,102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187,820</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4,132,991</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3,549,701</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184,979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180,057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4,517,348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4,715,823</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2,438,627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2,724,957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33,032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32,859</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143,913</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11,450,890</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11,318,359</w:t>
            </w:r>
          </w:p>
        </w:tc>
      </w:tr>
      <w:tr>
        <w:trPr>
          <w:trHeight w:val="67"/>
        </w:trPr>
        <w:tc>
          <w:tcPr>
            <w:tcW w:w="73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231"/>
        </w:trPr>
        <w:tc>
          <w:tcPr>
            <w:tcW w:w="7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1,616,949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1,437,314</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252,069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238,472</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825,371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732,171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Securitization facility</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931,000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811,000</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notes payable and lines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768,548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805,512</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90,531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71,033</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4,484,468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4,095,502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Notes payable and other obligations, less current portion</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2,773,378</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2,902,104</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506,310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518,912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124,486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125,319</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3,404,174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3,546,335</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29"/>
        </w:trPr>
        <w:tc>
          <w:tcPr>
            <w:tcW w:w="7320" w:type="dxa"/>
            <w:vAlign w:val="bottom"/>
          </w:tcPr>
          <w:p>
            <w:pPr>
              <w:ind w:left="380"/>
              <w:spacing w:after="0"/>
              <w:rPr>
                <w:sz w:val="20"/>
                <w:szCs w:val="20"/>
                <w:color w:val="auto"/>
              </w:rPr>
            </w:pPr>
            <w:r>
              <w:rPr>
                <w:rFonts w:ascii="Arial" w:cs="Arial" w:eastAsia="Arial" w:hAnsi="Arial"/>
                <w:sz w:val="18"/>
                <w:szCs w:val="18"/>
                <w:color w:val="auto"/>
                <w:w w:val="92"/>
              </w:rPr>
              <w:t>Common stock, $0.001 par value; 475,000,000 shares authorized; 122,823,669 shares issued</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w w:val="90"/>
              </w:rPr>
              <w:t>and 88,648,486 shares outstanding at September 30, 2018; and 122,083,059 shares issued and</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89,803,982 shares outstanding at December 31, 2017</w:t>
            </w:r>
          </w:p>
        </w:tc>
        <w:tc>
          <w:tcPr>
            <w:tcW w:w="20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2,316,753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2,214,224</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3,515,657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2,958,921</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(944,746)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(551,857)</w:t>
            </w:r>
          </w:p>
        </w:tc>
      </w:tr>
      <w:tr>
        <w:trPr>
          <w:trHeight w:val="229"/>
        </w:trPr>
        <w:tc>
          <w:tcPr>
            <w:tcW w:w="7320" w:type="dxa"/>
            <w:vAlign w:val="bottom"/>
          </w:tcPr>
          <w:p>
            <w:pPr>
              <w:ind w:left="380"/>
              <w:spacing w:after="0"/>
              <w:rPr>
                <w:sz w:val="20"/>
                <w:szCs w:val="20"/>
                <w:color w:val="auto"/>
              </w:rPr>
            </w:pPr>
            <w:r>
              <w:rPr>
                <w:rFonts w:ascii="Arial" w:cs="Arial" w:eastAsia="Arial" w:hAnsi="Arial"/>
                <w:sz w:val="18"/>
                <w:szCs w:val="18"/>
                <w:color w:val="auto"/>
                <w:w w:val="97"/>
              </w:rPr>
              <w:t>Less treasury stock (34,175,183 shares at September 30, 2018 and 32,279,077 shares at</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December 31, 2017)</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(1,325,539)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(944,888)</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3,562,248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3,676,522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11,450,890</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11,318,359</w:t>
            </w:r>
          </w:p>
        </w:tc>
      </w:tr>
      <w:tr>
        <w:trPr>
          <w:trHeight w:val="27"/>
        </w:trPr>
        <w:tc>
          <w:tcPr>
            <w:tcW w:w="7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40" w:right="80"/>
        <w:spacing w:after="0" w:line="255"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Reflects the impact of the Company's adoption of Accounting Standards Update 2014-09, "Revenue from Contracts with Customers (Topic 606)"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 See footnote 1, "Summary of Significant Accounting Policies", in the accompanying notes to the unaudited consolidated financial statements.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20"/>
          </w:cols>
          <w:pgMar w:left="240" w:top="125" w:right="239" w:bottom="665"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665"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270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2018¹</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2018¹</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619,586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1,790,070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1,639,547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Merchant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82,690</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Processing</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128,400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356,086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316,429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122,854</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98,023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92,054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284,718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275,095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67,267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207,379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198,731</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281,090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232,637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805,961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643,748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52,497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(173,626)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76,322</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107,899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(41,511)</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237,568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327,502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698,062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685,259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79,874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124,679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188,579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227,756</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157,694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202,823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509,483</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457,503</w:t>
            </w:r>
          </w:p>
        </w:tc>
        <w:tc>
          <w:tcPr>
            <w:tcW w:w="0" w:type="dxa"/>
            <w:vAlign w:val="bottom"/>
          </w:tcPr>
          <w:p>
            <w:pPr>
              <w:spacing w:after="0"/>
              <w:rPr>
                <w:sz w:val="1"/>
                <w:szCs w:val="1"/>
                <w:color w:val="auto"/>
              </w:rPr>
            </w:pP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Basic shares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88,456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90,751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89,126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91,619</w:t>
            </w:r>
          </w:p>
        </w:tc>
        <w:tc>
          <w:tcPr>
            <w:tcW w:w="0" w:type="dxa"/>
            <w:vAlign w:val="bottom"/>
          </w:tcPr>
          <w:p>
            <w:pPr>
              <w:spacing w:after="0"/>
              <w:rPr>
                <w:sz w:val="1"/>
                <w:szCs w:val="1"/>
                <w:color w:val="auto"/>
              </w:rPr>
            </w:pP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 shares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92,671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93,923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left="160" w:right="140" w:firstLine="3"/>
        <w:spacing w:after="0" w:line="298" w:lineRule="auto"/>
        <w:tabs>
          <w:tab w:leader="none" w:pos="241"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 See footnote 1, "Summary of Significant Accounting Policies", in the accompanying notes to the unaudited consolidated financial statements.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28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157,694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202,823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509,483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457,503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 gains,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168,655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4"/>
              </w:rPr>
              <w:t>Reclassification of foreign currency translation loss to investment, net of tax</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31,381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31,381</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comprehensive (loss) income</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143,682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200,036</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83,636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346,505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116,594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657,539</w:t>
            </w: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2018¹</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2017¹</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509,483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457,503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38,174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35,096</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68,897</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35,949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discounts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165,002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158,897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 on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4,738</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3,296</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Investment loss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52,497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disposition of business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(174,984)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 non-cash operating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Accounts and other receivables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(640,859)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(440,011)</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(86,648)</w:t>
            </w: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(15,378)</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 accrued expenses and customer deposits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416,483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364,473</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555,380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431,595</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(602,298)</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(49,459)</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Proceeds from disposal of a business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316,501</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(71,303)</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(341,583)</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48,322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20,192</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(402,392)</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Borrowings on securitization facility, net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203,000</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costs paid and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Proceeds from issuance of notes payable</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780,656</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notes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(388,656)</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Borrowings from revolver</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834,019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845,000</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on revolver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(897,861)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(804,808)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Borrowings on swing line of credit, net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23,735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7,800</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(356,332)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250,099</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34,390</w:t>
            </w:r>
          </w:p>
        </w:tc>
      </w:tr>
      <w:tr>
        <w:trPr>
          <w:trHeight w:val="20"/>
        </w:trPr>
        <w:tc>
          <w:tcPr>
            <w:tcW w:w="8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125" w:right="259" w:bottom="1440" w:gutter="0" w:footer="0" w:header="0"/>
        </w:sectPr>
      </w:pPr>
    </w:p>
    <w:p>
      <w:pPr>
        <w:ind w:left="40"/>
        <w:spacing w:after="0"/>
        <w:rPr>
          <w:sz w:val="20"/>
          <w:szCs w:val="20"/>
          <w:color w:val="auto"/>
        </w:rPr>
      </w:pPr>
      <w:r>
        <w:rPr>
          <w:rFonts w:ascii="Arial" w:cs="Arial" w:eastAsia="Arial" w:hAnsi="Arial"/>
          <w:sz w:val="17"/>
          <w:szCs w:val="17"/>
          <w:color w:val="auto"/>
        </w:rPr>
        <w:t>Net increase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47625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7" w:lineRule="exact"/>
        <w:rPr>
          <w:sz w:val="20"/>
          <w:szCs w:val="20"/>
          <w:color w:val="auto"/>
        </w:rPr>
      </w:pPr>
    </w:p>
    <w:p>
      <w:pPr>
        <w:ind w:left="40" w:right="2800"/>
        <w:spacing w:after="0" w:line="367" w:lineRule="auto"/>
        <w:rPr>
          <w:sz w:val="20"/>
          <w:szCs w:val="20"/>
          <w:color w:val="auto"/>
        </w:rPr>
      </w:pPr>
      <w:r>
        <w:rPr>
          <w:rFonts w:ascii="Arial" w:cs="Arial" w:eastAsia="Arial" w:hAnsi="Arial"/>
          <w:sz w:val="16"/>
          <w:szCs w:val="16"/>
          <w:color w:val="auto"/>
        </w:rPr>
        <w:t>Cash and cash equivalents and restricted cash, beginning of period Cash and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722947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br w:type="column"/>
      </w:r>
    </w:p>
    <w:p>
      <w:pPr>
        <w:jc w:val="both"/>
        <w:ind w:left="860"/>
        <w:spacing w:after="0"/>
        <w:tabs>
          <w:tab w:leader="none" w:pos="2340" w:val="left"/>
        </w:tabs>
        <w:rPr>
          <w:sz w:val="20"/>
          <w:szCs w:val="20"/>
          <w:color w:val="auto"/>
        </w:rPr>
      </w:pPr>
      <w:r>
        <w:rPr>
          <w:rFonts w:ascii="Arial" w:cs="Arial" w:eastAsia="Arial" w:hAnsi="Arial"/>
          <w:sz w:val="18"/>
          <w:szCs w:val="18"/>
          <w:color w:val="auto"/>
        </w:rPr>
        <w:t>57,680</w:t>
      </w:r>
      <w:r>
        <w:rPr>
          <w:sz w:val="20"/>
          <w:szCs w:val="20"/>
          <w:color w:val="auto"/>
        </w:rPr>
        <w:tab/>
      </w:r>
      <w:r>
        <w:rPr>
          <w:rFonts w:ascii="Arial" w:cs="Arial" w:eastAsia="Arial" w:hAnsi="Arial"/>
          <w:sz w:val="18"/>
          <w:szCs w:val="18"/>
          <w:color w:val="auto"/>
        </w:rPr>
        <w:t>374,501</w:t>
      </w:r>
    </w:p>
    <w:p>
      <w:pPr>
        <w:spacing w:after="0" w:line="63" w:lineRule="exact"/>
        <w:rPr>
          <w:sz w:val="20"/>
          <w:szCs w:val="20"/>
          <w:color w:val="auto"/>
        </w:rPr>
      </w:pPr>
    </w:p>
    <w:p>
      <w:pPr>
        <w:jc w:val="both"/>
        <w:ind w:left="640"/>
        <w:spacing w:after="0"/>
        <w:tabs>
          <w:tab w:leader="none" w:pos="2340" w:val="left"/>
        </w:tabs>
        <w:rPr>
          <w:sz w:val="20"/>
          <w:szCs w:val="20"/>
          <w:color w:val="auto"/>
        </w:rPr>
      </w:pPr>
      <w:r>
        <w:rPr>
          <w:rFonts w:ascii="Arial" w:cs="Arial" w:eastAsia="Arial" w:hAnsi="Arial"/>
          <w:sz w:val="18"/>
          <w:szCs w:val="18"/>
          <w:color w:val="auto"/>
        </w:rPr>
        <w:t>1,130,870</w:t>
      </w:r>
      <w:r>
        <w:rPr>
          <w:sz w:val="20"/>
          <w:szCs w:val="20"/>
          <w:color w:val="auto"/>
        </w:rPr>
        <w:tab/>
      </w:r>
      <w:r>
        <w:rPr>
          <w:rFonts w:ascii="Arial" w:cs="Arial" w:eastAsia="Arial" w:hAnsi="Arial"/>
          <w:sz w:val="18"/>
          <w:szCs w:val="18"/>
          <w:color w:val="auto"/>
        </w:rPr>
        <w:t>643,770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620" w:val="left"/>
          <w:tab w:leader="none" w:pos="1580" w:val="left"/>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1,188,550</w:t>
        <w:tab/>
        <w:t>$</w:t>
      </w:r>
      <w:r>
        <w:rPr>
          <w:sz w:val="20"/>
          <w:szCs w:val="20"/>
          <w:color w:val="auto"/>
        </w:rPr>
        <w:tab/>
      </w:r>
      <w:r>
        <w:rPr>
          <w:rFonts w:ascii="Arial" w:cs="Arial" w:eastAsia="Arial" w:hAnsi="Arial"/>
          <w:sz w:val="16"/>
          <w:szCs w:val="16"/>
          <w:color w:val="auto"/>
        </w:rPr>
        <w:t>1,018,271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7640" w:space="720"/>
            <w:col w:w="304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113,785</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79,144</w:t>
            </w:r>
          </w:p>
        </w:tc>
      </w:tr>
      <w:tr>
        <w:trPr>
          <w:trHeight w:val="67"/>
        </w:trPr>
        <w:tc>
          <w:tcPr>
            <w:tcW w:w="83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6"/>
        </w:trPr>
        <w:tc>
          <w:tcPr>
            <w:tcW w:w="8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income taxes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257,349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both"/>
        <w:ind w:left="60" w:firstLine="2"/>
        <w:spacing w:after="0" w:line="262" w:lineRule="auto"/>
        <w:tabs>
          <w:tab w:leader="none" w:pos="141"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Reflects the impact of the Company's adoption of Accounting Standards Update 2016-18, "Statement of Cash Flows (Topic 230)", which was adopted by the Company on January 1, 2018 and applied retrospectively to results for 2017. The adoption of Topic 230 resulted in the statement of cash flows presenting the changes in the total of cash, cash equivalents and restricted cash. As a result, the Company will no longer present transfers between cash and cash equivalents and restricted cash in the statement of cash flows.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125" w:right="3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07" w:lineRule="exact"/>
        <w:rPr>
          <w:sz w:val="20"/>
          <w:szCs w:val="20"/>
          <w:color w:val="auto"/>
        </w:rPr>
      </w:pPr>
    </w:p>
    <w:p>
      <w:pPr>
        <w:ind w:right="784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0"/>
        <w:spacing w:after="0" w:line="276" w:lineRule="auto"/>
        <w:rPr>
          <w:sz w:val="20"/>
          <w:szCs w:val="20"/>
          <w:color w:val="auto"/>
        </w:rPr>
      </w:pPr>
      <w:r>
        <w:rPr>
          <w:rFonts w:ascii="Arial" w:cs="Arial" w:eastAsia="Arial" w:hAnsi="Arial"/>
          <w:sz w:val="17"/>
          <w:szCs w:val="17"/>
          <w:color w:val="auto"/>
        </w:rPr>
        <w:t>Throughout this report, the terms “our,” “we,” “us,” and the “Company” refers to FLEETCOR Technologies, Inc. and its subsidiaries. The Company prepared the accompanying interim consolidated financial statements in accordance with Rule 10-01 of Regulation S-X. Accordingly, they do not include all of the information and footnotes required by accounting principles generally accepted in the United States (“GAAP”). The unaudited consolidated financial statements reflect all adjustments considered necessary for fair presentation. These adjustments consist of normal recurring accruals and estimates that impact the carrying value of assets and liabilities. Actual results may differ from these estimates.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Assets and liabilities of foreign subsidiaries are translated into U.S. dollars at the rates of exchange in effect at period-end. The related translation adjustments are made directly to accumulated other comprehensive income. Income and expenses are translated at the average monthly rates of exchange in effect during the period. Gains and losses from foreign currency transactions of these subsidiaries are included in net income. The Company recognized foreign exchange losses of $0.2 million and foreign exchange gains of $0.6 million in the three months ended September 30, 2018 and 2017, respectively, which are recorded within other (income) expense, net in the Unaudited Consolidated Statements of Income. The Company recognized foreign exchange gains of $0.2 million and foreign exchange losses of $0.2 million in the nine months ended September 30, 2018 and 2017,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through its Cambridge Global Payments ("Cambridge") subsidiary, facilitates cross-currency corporate payments by writing derivatives to customers, which are not designated as hedging instruments. The majority of this business' revenue is from exchanges of currency at spot rates, which enable customers to make cross-currency payments. In addition, the Company also writes foreign currency forward and option contracts for its customers to facilitate future payments. The duration of these derivative contracts at inception is generally less than one year. The Company aggregates its foreign exchange exposures arising from customer contracts, including forwards, options and spot exchanges of currency, and hedges (economic hedge) the resulting net currency risks by entering into offsetting contracts with established financial institution counterparties. The changes in fair value related to these contracts are recorded in the Unaudited Consolidated Statements of Income.</w:t>
      </w:r>
    </w:p>
    <w:p>
      <w:pPr>
        <w:spacing w:after="0" w:line="70"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The Company recognizes all derivatives in "prepaid expenses and other current assets" and "other current liabilities" in the accompanying Unaudited Consolidated Balance Sheets at their fair value. All cash flows associated with derivatives are included in cash flows from operating activities in the Unaudited Consolidated Statements of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 of ASC 606</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which replaces numerous requirements in U.S. GAAP, including industry-specific requirements, and provides companies with a single revenue recognition model for recognizing revenue from contracts with customers. The core principle of ASU 2014-09 is that an entity should recognize revenue to depict the transfer of promised goods or services in an amount that reflects the consideration to which the entity expects to be entitled in exchange for those goods or services.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ASU 2014-09, as amended by ASU 2015-14, "Revenue from Contracts with Customers (Topic 606): Deferral of the Effective Date", is effective for years beginning after December 15, 2017, including interim periods, with early adoption permitted for years beginning after December 15, 2016. Since the issuance of ASU 2014-09, the FASB has issued additional interpretive guidance, including new accounting standard updates, which clarifies certain points of the standard and modifies certain requirements.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Effective January 1, 2018, we adopted ASC 606 using the modified retrospective method, for contracts that were not completed as of the date of initial application, resulting in a cumulative effect adjustment to retained earnings on January 1, 2018. For contracts that were modified before January 1, 2018, the Company has not retrospectively restated contracts for those modifications but instead reflected the aggregate effect of these modifications when identifying the satisfied and unsatisfied performance obligations, as allowed within the transition practical expedients. The cumulative impact to our retained earnings at January 1, 2018 was $30.9 million, due to the capitalization of costs to acquire contracts under the new standard, with a corresponding increase to prepaid expense and other current assets of $10.2 million, other assets of $30.3 million and deferred income taxes (liabilities) of $9.6 million. Additionally, under the new standard certain costs (e.g., merchant commissions and fees paid to credit card associations) will be presented net in revenues as the amounts represent payments to our customers that are not considered in exchange for a distinct good or service that the customer transfers to the Company.</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impact to the Company's revenue, operating expenses, income from continuing operations after taxes, net income and basic and diluted earnings per share (EPS) for the three and nine months ended September 30, 2018 was as follows:</w:t>
      </w:r>
    </w:p>
    <w:p>
      <w:pPr>
        <w:spacing w:after="0" w:line="29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2018 As Reported</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Impact of ASC 606</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2018 Prior to</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2018 As Reported</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Impact of ASC 606</w:t>
            </w:r>
          </w:p>
        </w:tc>
        <w:tc>
          <w:tcPr>
            <w:tcW w:w="160" w:type="dxa"/>
            <w:vAlign w:val="bottom"/>
          </w:tcPr>
          <w:p>
            <w:pPr>
              <w:spacing w:after="0"/>
              <w:rPr>
                <w:sz w:val="13"/>
                <w:szCs w:val="13"/>
                <w:color w:val="auto"/>
              </w:rPr>
            </w:pPr>
          </w:p>
        </w:tc>
        <w:tc>
          <w:tcPr>
            <w:tcW w:w="1100" w:type="dxa"/>
            <w:vAlign w:val="bottom"/>
          </w:tcPr>
          <w:p>
            <w:pPr>
              <w:jc w:val="right"/>
              <w:ind w:right="140"/>
              <w:spacing w:after="0" w:line="153" w:lineRule="exact"/>
              <w:rPr>
                <w:sz w:val="20"/>
                <w:szCs w:val="20"/>
                <w:color w:val="auto"/>
              </w:rPr>
            </w:pPr>
            <w:r>
              <w:rPr>
                <w:rFonts w:ascii="Arial" w:cs="Arial" w:eastAsia="Arial" w:hAnsi="Arial"/>
                <w:sz w:val="14"/>
                <w:szCs w:val="14"/>
                <w:b w:val="1"/>
                <w:bCs w:val="1"/>
                <w:color w:val="auto"/>
              </w:rPr>
              <w:t>2018 Prior to</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Adoption</w:t>
            </w:r>
          </w:p>
        </w:tc>
        <w:tc>
          <w:tcPr>
            <w:tcW w:w="138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36"/>
        </w:trPr>
        <w:tc>
          <w:tcPr>
            <w:tcW w:w="2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net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619,586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647,544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1,790,070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1,865,583</w:t>
            </w:r>
          </w:p>
        </w:tc>
        <w:tc>
          <w:tcPr>
            <w:tcW w:w="0" w:type="dxa"/>
            <w:vAlign w:val="bottom"/>
          </w:tcPr>
          <w:p>
            <w:pPr>
              <w:spacing w:after="0"/>
              <w:rPr>
                <w:sz w:val="1"/>
                <w:szCs w:val="1"/>
                <w:color w:val="auto"/>
              </w:rPr>
            </w:pPr>
          </w:p>
        </w:tc>
      </w:tr>
      <w:tr>
        <w:trPr>
          <w:trHeight w:val="224"/>
        </w:trPr>
        <w:tc>
          <w:tcPr>
            <w:tcW w:w="2500" w:type="dxa"/>
            <w:vAlign w:val="bottom"/>
          </w:tcPr>
          <w:p>
            <w:pPr>
              <w:ind w:left="40"/>
              <w:spacing w:after="0"/>
              <w:rPr>
                <w:sz w:val="20"/>
                <w:szCs w:val="20"/>
                <w:color w:val="auto"/>
              </w:rPr>
            </w:pPr>
            <w:r>
              <w:rPr>
                <w:rFonts w:ascii="Arial" w:cs="Arial" w:eastAsia="Arial" w:hAnsi="Arial"/>
                <w:sz w:val="16"/>
                <w:szCs w:val="16"/>
                <w:color w:val="auto"/>
              </w:rPr>
              <w:t>Expenses: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Merchant commissions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84,199</w:t>
            </w:r>
          </w:p>
        </w:tc>
        <w:tc>
          <w:tcPr>
            <w:tcW w:w="0" w:type="dxa"/>
            <w:vAlign w:val="bottom"/>
          </w:tcPr>
          <w:p>
            <w:pPr>
              <w:spacing w:after="0"/>
              <w:rPr>
                <w:sz w:val="1"/>
                <w:szCs w:val="1"/>
                <w:color w:val="auto"/>
              </w:rPr>
            </w:pPr>
          </w:p>
        </w:tc>
      </w:tr>
      <w:tr>
        <w:trPr>
          <w:trHeight w:val="237"/>
        </w:trPr>
        <w:tc>
          <w:tcPr>
            <w:tcW w:w="2500" w:type="dxa"/>
            <w:vAlign w:val="bottom"/>
          </w:tcPr>
          <w:p>
            <w:pPr>
              <w:ind w:left="380"/>
              <w:spacing w:after="0"/>
              <w:rPr>
                <w:sz w:val="20"/>
                <w:szCs w:val="20"/>
                <w:color w:val="auto"/>
              </w:rPr>
            </w:pPr>
            <w:r>
              <w:rPr>
                <w:rFonts w:ascii="Arial" w:cs="Arial" w:eastAsia="Arial" w:hAnsi="Arial"/>
                <w:sz w:val="16"/>
                <w:szCs w:val="16"/>
                <w:color w:val="auto"/>
              </w:rPr>
              <w:t>Processing</w:t>
            </w:r>
          </w:p>
        </w:tc>
        <w:tc>
          <w:tcPr>
            <w:tcW w:w="1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128,400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125,902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356,086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348,804</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Selling</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139,318</w:t>
            </w:r>
          </w:p>
        </w:tc>
        <w:tc>
          <w:tcPr>
            <w:tcW w:w="0" w:type="dxa"/>
            <w:vAlign w:val="bottom"/>
          </w:tcPr>
          <w:p>
            <w:pPr>
              <w:spacing w:after="0"/>
              <w:rPr>
                <w:sz w:val="1"/>
                <w:szCs w:val="1"/>
                <w:color w:val="auto"/>
              </w:rPr>
            </w:pPr>
          </w:p>
        </w:tc>
      </w:tr>
      <w:tr>
        <w:trPr>
          <w:trHeight w:val="237"/>
        </w:trPr>
        <w:tc>
          <w:tcPr>
            <w:tcW w:w="250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98,023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284,718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284,718</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Depreciation and</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67,267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67,267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207,379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207,379</w:t>
            </w:r>
          </w:p>
        </w:tc>
        <w:tc>
          <w:tcPr>
            <w:tcW w:w="0" w:type="dxa"/>
            <w:vAlign w:val="bottom"/>
          </w:tcPr>
          <w:p>
            <w:pPr>
              <w:spacing w:after="0"/>
              <w:rPr>
                <w:sz w:val="1"/>
                <w:szCs w:val="1"/>
                <w:color w:val="auto"/>
              </w:rPr>
            </w:pPr>
          </w:p>
        </w:tc>
      </w:tr>
      <w:tr>
        <w:trPr>
          <w:trHeight w:val="217"/>
        </w:trPr>
        <w:tc>
          <w:tcPr>
            <w:tcW w:w="25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281,090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279,762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805,961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801,165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expense</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107,899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107,899</w:t>
            </w:r>
          </w:p>
        </w:tc>
        <w:tc>
          <w:tcPr>
            <w:tcW w:w="0" w:type="dxa"/>
            <w:vAlign w:val="bottom"/>
          </w:tcPr>
          <w:p>
            <w:pPr>
              <w:spacing w:after="0"/>
              <w:rPr>
                <w:sz w:val="1"/>
                <w:szCs w:val="1"/>
                <w:color w:val="auto"/>
              </w:rPr>
            </w:pPr>
          </w:p>
        </w:tc>
      </w:tr>
      <w:tr>
        <w:trPr>
          <w:trHeight w:val="217"/>
        </w:trPr>
        <w:tc>
          <w:tcPr>
            <w:tcW w:w="25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237,568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236,240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698,062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693,266</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79,874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188,579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187,233</w:t>
            </w:r>
          </w:p>
        </w:tc>
        <w:tc>
          <w:tcPr>
            <w:tcW w:w="0" w:type="dxa"/>
            <w:vAlign w:val="bottom"/>
          </w:tcPr>
          <w:p>
            <w:pPr>
              <w:spacing w:after="0"/>
              <w:rPr>
                <w:sz w:val="1"/>
                <w:szCs w:val="1"/>
                <w:color w:val="auto"/>
              </w:rPr>
            </w:pPr>
          </w:p>
        </w:tc>
      </w:tr>
      <w:tr>
        <w:trPr>
          <w:trHeight w:val="217"/>
        </w:trPr>
        <w:tc>
          <w:tcPr>
            <w:tcW w:w="25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157,694</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156,864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509,483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506,033</w:t>
            </w:r>
          </w:p>
        </w:tc>
        <w:tc>
          <w:tcPr>
            <w:tcW w:w="0" w:type="dxa"/>
            <w:vAlign w:val="bottom"/>
          </w:tcPr>
          <w:p>
            <w:pPr>
              <w:spacing w:after="0"/>
              <w:rPr>
                <w:sz w:val="1"/>
                <w:szCs w:val="1"/>
                <w:color w:val="auto"/>
              </w:rPr>
            </w:pPr>
          </w:p>
        </w:tc>
      </w:tr>
      <w:tr>
        <w:trPr>
          <w:trHeight w:val="73"/>
        </w:trPr>
        <w:tc>
          <w:tcPr>
            <w:tcW w:w="25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5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earnings 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0"/>
                <w:szCs w:val="20"/>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adoption of ASC 606 did not impact our accounting for revenues derived from late fees, finance charges, and certain other charge card fees or certain of our foreign currency contracts, which continue to be accounted for under existing authoritative guidance, as discussed further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2016, the FASB issued ASU 2016-02, “Leases”, which requires lessees to recognize a right-of-use asset and a lease liability on the balance sheet for all leases with the exception of short-term leases. This ASU also requires disclosures to provide additional information about the amounts recorded in the financial statements. This ASU is effective for the Company for annual periods beginning after December 15, 2018 and interim periods therein. Early adoption is permitted. On July 31, 2018, the FASB issued ASU 2018-11, “Leases (Topic 842): Targeted Improvements”, which provides (1) an optional transition method that entities can use when adopting ASC 842 and (2) a practical expedient that permits lessors to not separate nonlease components from the associated lease component if certain conditions are met. Under this new transition method, an entity initially applies the new leases standard at the adoption date and recognizes a cumulative-effect adjustment to the opening balance of retained earnings in the period of adoption. The Company expects to elect this transition method at the adoption date of January 1, 2019 and will not restate comparative periods. The Company is assessing the practical expedients available for adoption under the new standard and expects to adopt the package of practical expedients. The Company is analyzing our lease portfolio and updating accounting policies and internal controls that will be impacted by the new guidance. The Company has also selected lease accounting software to support the new reporting requirements. The Company expects to record right of use assets and liabilities for its leases in the consolidated balance sheet upon adoption.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Breakage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March 2016, the FASB issued ASU 2016-04, “Liabilities-Extinguishments of Liabilities: Recognition of Breakage for Certain Prepaid Stored-Value Products”, which requires entities that sell prepaid stored value products redeemable for goods, services or cash at third-party merchants to derecognize liabilities related to those products for breakage. This ASU is effective for the Company for reporting periods beginning after December 15, 2017. The ASU must be adopted using either a modified</w:t>
      </w:r>
    </w:p>
    <w:p>
      <w:pPr>
        <w:sectPr>
          <w:pgSz w:w="11900" w:h="16838" w:orient="portrait"/>
          <w:cols w:equalWidth="0" w:num="1">
            <w:col w:w="11380"/>
          </w:cols>
          <w:pgMar w:left="240" w:top="125" w:right="27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125" w:right="2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retrospective approach with a cumulative effect adjustment to retained earnings as of the beginning of the period of adoption or a full retrospective approach. The Company adopted this guidance on January 1, 2018, which did not have a material impact on the Company's results of operations, financial condition,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Transfers</w:t>
      </w:r>
    </w:p>
    <w:p>
      <w:pPr>
        <w:spacing w:after="0" w:line="11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In October 2016, the FASB issued ASU 2016-16 “Income Taxes (Topic 740): Intra-Entity Transfers of Assets Other Than Inventory.” The new guidance requires the recognition of the income tax consequences of an intercompany asset transfer, other than transfers of inventory, when the transfer occurs. For intercompany transfers of inventory, the income tax effects will continue to be deferred until the inventory has been sold to a third party. The Company adopted this ASU on January 1, 2018, which resulted in an increase of approximately $17.1 million to retained earnings and deferred tax assets net of valuation allowances.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Classification</w:t>
      </w:r>
    </w:p>
    <w:p>
      <w:pPr>
        <w:spacing w:after="0" w:line="11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amends the guidance in ASC 230, Statement of Cash Flows. This amended guidance reduces the diversity in practice that has resulted from the lack of consistent principles related to the classification of certain cash receipts and payments in the statement of cash flows. This ASU is effective for the Company for reporting periods beginning after December 15, 2017. Entities must apply the guidance retrospectively to all periods presented but may apply it prospectively from the earliest date practicable if retrospective application would be impracticable. The Company adopted this new guidance on January 1, 2018. The adoption of this new guidance did not have a material impact on the results of operations, financial condition, or cash flows.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November 2016, the FASB issued ASU 2016-18, "Statement of Cash Flows (Topic 230): Restricted Cash", which amends the guidance in ASC 230, Statement of Cash Flows, on the classification and presentation of restricted cash in the statement of cash flows. This ASU is effective for the Company for reporting periods beginning after December 15, 2017 and changes due to adoption are applied using a retrospective transition method to each period presented. The Company adopted this new guidance on January 1, 2018, and applied retrospectively to results for 2017. The adoption of Topic 230 resulted in the statement of cash flows presenting the changes in the total of cash, cash equivalents and restricted cash.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 Impairment</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2017, the FASB issued ASU 2017-04, "Simplifying the Test for Goodwill Impairment", which eliminates the requirement to calculate the implied fair value of goodwill (i.e., Step 2 of the goodwill impairment test) to measure a goodwill impairment charge. Instead, entities will record an impairment charge based on the excess of a reporting unit’s carrying amount over its fair value (i.e., measure the charge based on Step 1). The standard has tiered effective dates, starting in 2020 for calendar-year public business entities that meet the definition of an SEC filer. Early adoption is permitted for interim and annual goodwill impairment testing dates after January 1, 2017. The adoption of this ASU on January 1, 2018 did not have a material impact on the results of operations, financial condition,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2017, the FASB issued ASU 2017-01, "Clarifying the Definition of a Business", which amends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The guidance is effective for the Company for reporting periods beginning after December 15, 2017, and interim periods within those years. The Company adopted this new guidance on January 1, 2018. The adoption of this new guidance did not have a material impact on the results of operations, financial condition, or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Modifications to Stock-Based Compensation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guidance is effective for the Company for reporting periods beginning after December 15, 2017, and interim periods within those years. The Company adopted this new guidance on January 1, 2018. The adoption of this new guidance did not have a material impact on the results of operations, financial condition,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Financial Instruments</w:t>
      </w:r>
    </w:p>
    <w:p>
      <w:pPr>
        <w:spacing w:after="0" w:line="11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which amends the hedge accounting recognition and presentation requirements in ASC 815. The FASB issued accounting guidance to better align hedge accounting with a company’s risk management activities, simplify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application of hedge accounting and improve the disclosures of hedging arrangements. The guidance is effective for the Company for reporting periods beginning after December 15, 2018, and interim periods within those years. Early adoption is permitted. The Company's adoption of this ASU is not expected to have a material impact on the results of operations, financial condition,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Classification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February 2018, the FASB issued ASU 2018-02, "Income Statement - Reporting Comprehensive Income (Topic 220): Reclassification of Certain Tax Effects from Accumulated Other Comprehensive Income", that gives entities the option to reclassify to retained earnings tax effects related to items that have been stranded in accumulated other comprehensive income as a result of the Tax Cuts and Jobs Act (the "Tax Act"). An entity that elects to reclassify these amounts must reclassify stranded tax effects related to the Tax Act’s change in U.S. federal tax rate for all items accounted for in other comprehensive income. These entities can also elect to reclassify other stranded effects that relate to the Tax Act but do not directly relate to the change in the federal rate. For all entities, the guidance is effective for fiscal years beginning after December 15, 2018, and interim periods within those fiscal years. Early adoption is permitted for periods for which financial statements have not yet been issued or made available for issuance. Entities can choose whether to apply the amendments retrospectively to each period in which the effect of the Tax Act is recognized or to apply the amendments in the period of adoption. The Company's adoption of this ASU is not expected to have a material impact on the results of operations, financial condition, or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Share-Based Payments</w:t>
      </w:r>
    </w:p>
    <w:p>
      <w:pPr>
        <w:spacing w:after="0" w:line="11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June 2018, the FASB issued ASU 2018-07, "Compensation—Stock Compensation (Topic 718): Improvements to Non-employee Share-Based Payment Accounting", that supersedes ASC 505-50 and expands the scope of ASC 718 to include all share-based payment arrangements related to the acquisition of goods and services from both non-employees and employees. Under the new guidance,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will be able to be used in lieu of an expected term in the option-pricing model for non-employee awards. The guidance is effective for the Company for fiscal years beginning after December 15, 2018, including interim periods within that fiscal year. Early adoption is permitted, including in interim periods, but no earlier than an entity’s adoption of ASC 606. The Company's adoption of this ASU is not expected to have a material impact on the results of operations, financial condition, or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29, 2018, the FASB issued ASU 2018-15, "Intangibles—Goodwill and Other— Internal-Use Software (Subtopic 350-40): Customer’s Accounting for Implementation Costs Incurred in a Cloud Computing Arrangement That Is a Service Contract", that provides guidance on implementation costs incurred in a cloud computing arrangement (CCA) that is a service contract. The ASU, which was released in response to a consensus reached by the EITF at its June 2018 meeting, aligns the accounting for such costs with the guidance on capitalizing costs associated with developing or obtaining internal-use software.</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Specifically, the ASU amends ASC 350 to include in its scope implementation costs of a CCA that is a service contract and clarifies that a customer should apply ASC 350-40 to determine which implementation costs should be capitalized in such a CCA. The guidance is effective for the Company for fiscal years beginning after December 15, 2019, including interim periods within those fiscal years. Early adoption is permitted, including in interim periods. The guidance should be applied either retrospectively or prospectively to all implementation costs incurred after the date of adoption. The Company's adoption of this ASU is not expected to have a material impact on the results of operations, financial condition, or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On August 28, 2018, the FASB issued ASU 2018-13, "Fair Value Measurement (Topic 820): Disclosure Framework—Changes to the Disclosure Requirements for Fair Value Measurement", which removes, modifies, and adds certain disclosure requirements related to fair value measurements in ASC</w:t>
      </w:r>
    </w:p>
    <w:p>
      <w:pPr>
        <w:ind w:right="180" w:firstLine="8"/>
        <w:spacing w:after="0" w:line="252"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guidance is effective for the Company for fiscal years, and interim periods within those fiscal years, beginning after December 15, 2019. The guidance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guidance should be applied retrospectively to all periods presented upon their effective date. The Company is permitted to early adopt any removed or modified disclosures upon issuance of this guidance and delay adoption of the additional disclosures until their effective date. The Company's adoption of this ASU is not expected to have a material impact on the results of operations, financial condition,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provides payment solutions to our business, merchant, consumer and payment network customers. Our payment solutions are primarily focused on specific commercial spend categories, including fuel, lodging, tolls, and general corporate payments, as well as gift card solutions (stored value cards). The Company provides products that help businesses of all sizes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control, simplify and secure payment of various domestic and cross-border payables using specialized payment products. The Company also provides other payment solutions for fleet maintenance, employee benefits and long haul transportation-related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Payment Services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primary performance obligation for the majority of its payment solution products (fuel, lodging, tolls, corporate payments, among others) is to stand-ready to provide authorization and processing services ("payment services") for an unknown or unspecified quantity of transactions and the consideration received is contingent upon the customer’s use (e.g., number of transactions submitted and processed) of the related payment services. Accordingly, the total transaction price is variable. Payment services involve a series of distinct daily services that are substantially the same, with the same pattern of transfer to the customer. As a result, the Company allocates and recognizes variable consideration in the period it has the contractual right to invoice the customer.</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records revenue for its payment services net of (i) the cost of the underlying products and services; (ii) assessments and other fees charged by the credit and debit payment networks (along with any rebates provided by them); (iii) customer rebates and other discounts; and (iv) taxes assessed (e.g. VAT and VAT-like taxes) by a government, imposed concurrent with, a revenue producing transaction.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majority of the transaction price the Company receives for fulfilling the Payment Services performance obligation are comprised of one or a combination of the following: 1) interchange fees earned from the payment networks; 2) discount fees earned from merchants; 3) fees calculated based on a number of transactions processed; and 4) fees calculated based upon a percentage of the transaction value for the underlying goods or services (i.e. fuel, food, toll and transportation cards and vouchers).</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recognizes revenue when the underlying transactions are complete and its performance obligations are satisfied. Transactions are considered complete depending upon the related payment solution but generally when the Company has authorized the transaction, validated that the transaction has no errors and accepted and posted the data to the Company’s records.</w:t>
      </w:r>
    </w:p>
    <w:p>
      <w:pPr>
        <w:spacing w:after="0" w:line="3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performance obligation for its foreign exchange payment services is providing a foreign currency payment to a customer’s designated recipient and therefore, the Company recognizes revenue on foreign exchange payment services when the underlying payment is made. Revenues from foreign exchange and payment services are primarily comprised of the difference between the exchange rate set by the Company to the customer and the rate available in the wholesale foreign exchange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Gift Card Products and Services</w:t>
      </w:r>
    </w:p>
    <w:p>
      <w:pPr>
        <w:spacing w:after="0" w:line="3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Gift product line delivers both stored value cards and card-based services primarily in the form of gift cards to retailers. These activities each represent performance obligations that are separate and distinct. Revenue for stored valued cards are recognized (gross of the underlying cost of the related card) at the point in time when control passes to the Company's customer, which is generally upon shipment.</w:t>
      </w:r>
    </w:p>
    <w:p>
      <w:pPr>
        <w:spacing w:after="0" w:line="30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Card-based services consist of transaction processing and reporting of gift card transactions where the Company recognizes revenue based on an output measure of elapsed time for an unknown or unspecified quantity of transactions. As a result, the Company allocates and recognizes variable consideration over the estimated period of time over which the performance obligation is satisfied.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revenue from late fees and finance charges, in jurisdictions where permitted under local regulations, primarily in the U.S. and Canada in accordance with ASC 310, "Receivables". Such fees are recognized net of a provision for estimated uncollectible amounts, at the time the fees and finance charges are assessed and services are provided. The Company ceases billing and accruing for late fees and finance charges approximately 30 - 40 days after the customer’s balance becomes delinquent.</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also writes foreign currency forward and option contracts for its customers to facilitate future payments in foreign currencies, and recognizes revenue in accordance with authoritative fair value and derivative accounting (ASC 815, "Derivatives").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is also derived from the sale of equipment in certain of the Company’s businesses, which is recognized at the time the device is sold and control has passed to the customer. This revenue is recognized gross of the cost of sales related to the equipment in "revenues, net" within the Unaudited Consolidated Statements of Income. The related cost of sales for the equipment is recorded within "processing expenses" in the Unaudited Consolidated Statements of Income.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3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provides its services to customers across different payment solutions and geographies. Revenue by product (in millions) for the three and nine months ended September 30, 2018 was as follows:</w:t>
      </w:r>
    </w:p>
    <w:p>
      <w:pPr>
        <w:spacing w:after="0" w:line="200" w:lineRule="exact"/>
        <w:rPr>
          <w:sz w:val="20"/>
          <w:szCs w:val="20"/>
          <w:color w:val="auto"/>
        </w:rPr>
      </w:pP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0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8"/>
              </w:rPr>
              <w:t>Nine Months Ended</w:t>
            </w:r>
          </w:p>
        </w:tc>
      </w:tr>
      <w:tr>
        <w:trPr>
          <w:trHeight w:val="194"/>
        </w:trPr>
        <w:tc>
          <w:tcPr>
            <w:tcW w:w="34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Revenue, net by Product Category*</w:t>
            </w:r>
          </w:p>
        </w:tc>
        <w:tc>
          <w:tcPr>
            <w:tcW w:w="220" w:type="dxa"/>
            <w:vAlign w:val="bottom"/>
          </w:tcPr>
          <w:p>
            <w:pPr>
              <w:spacing w:after="0"/>
              <w:rPr>
                <w:sz w:val="16"/>
                <w:szCs w:val="16"/>
                <w:color w:val="auto"/>
              </w:rPr>
            </w:pPr>
          </w:p>
        </w:tc>
        <w:tc>
          <w:tcPr>
            <w:tcW w:w="2140" w:type="dxa"/>
            <w:vAlign w:val="bottom"/>
            <w:gridSpan w:val="4"/>
          </w:tcPr>
          <w:p>
            <w:pPr>
              <w:jc w:val="center"/>
              <w:ind w:right="28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6"/>
                <w:szCs w:val="16"/>
                <w:color w:val="auto"/>
              </w:rPr>
            </w:pPr>
          </w:p>
        </w:tc>
        <w:tc>
          <w:tcPr>
            <w:tcW w:w="2020" w:type="dxa"/>
            <w:vAlign w:val="bottom"/>
            <w:gridSpan w:val="2"/>
          </w:tcPr>
          <w:p>
            <w:pPr>
              <w:jc w:val="right"/>
              <w:ind w:right="47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72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Fuel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805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Corporate Payments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300</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Tolls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Lodging</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132</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Gift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164</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1,790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geography (in millions) for the three and nine months ended September 30, 2018 was as follows:</w:t>
      </w:r>
    </w:p>
    <w:p>
      <w:pPr>
        <w:spacing w:after="0" w:line="31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1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31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Revenue, net by Geography*</w:t>
            </w:r>
          </w:p>
        </w:tc>
        <w:tc>
          <w:tcPr>
            <w:tcW w:w="240" w:type="dxa"/>
            <w:vAlign w:val="bottom"/>
          </w:tcPr>
          <w:p>
            <w:pPr>
              <w:spacing w:after="0"/>
              <w:rPr>
                <w:sz w:val="16"/>
                <w:szCs w:val="16"/>
                <w:color w:val="auto"/>
              </w:rPr>
            </w:pPr>
          </w:p>
        </w:tc>
        <w:tc>
          <w:tcPr>
            <w:tcW w:w="2260" w:type="dxa"/>
            <w:vAlign w:val="bottom"/>
            <w:gridSpan w:val="4"/>
          </w:tcPr>
          <w:p>
            <w:pPr>
              <w:jc w:val="center"/>
              <w:ind w:right="32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6"/>
                <w:szCs w:val="16"/>
                <w:color w:val="auto"/>
              </w:rPr>
            </w:pPr>
          </w:p>
        </w:tc>
        <w:tc>
          <w:tcPr>
            <w:tcW w:w="2180" w:type="dxa"/>
            <w:vAlign w:val="bottom"/>
            <w:gridSpan w:val="2"/>
          </w:tcPr>
          <w:p>
            <w:pPr>
              <w:jc w:val="right"/>
              <w:ind w:right="5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1,082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Brazil</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296</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220</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1,790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1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Revenues from contracts with customers, within the scope of Topic 606, represents approximately 90% of total consolidated revenues, net, in the three and nine month periods ended September 30,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Deferred revenue contract liabilities for customers subject to ASC 606 were $19.9 million and $24.7 million as of September 30, 2018 and January 1, 2018, respectively. We expect to recognize substantially all of these amounts in revenues within approximately 12 months. Revenue recognized in the three and nine months ended September 30, 2018, that was included in the deferred revenue contract liability as of January 1, 2018 was approximately $17.1 million and $56.2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to Obtain or Fulfill a Contract</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With the adoption of ASC 606, the Company began capitalizing the incremental costs of obtaining a contract with a customer if the Company expects to recover those costs. The incremental costs of obtaining a contract are those that the Company incurs to obtain a contract with a customer that it would not have incurred if the contract had not been obtained (for example, a sales commission).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fulfill a contract are capitalized if those costs meet all of the following criteria:</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relate directly to a contract or to an anticipated contract that the Company can specifically identify.</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generate or enhance resources of the Company that will be used in satisfying (or in continuing to satisfy) performance obligations in the future.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10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order to determine the appropriate amortization period for contract costs, the Company considered a combination of factors, including customer attrition rates, estimated terms of customer relationships, the useful lives of technology used by the Company to provide products and services to its customers, whether further contract renewals are expected and if there is any</w:t>
      </w:r>
    </w:p>
    <w:p>
      <w:pPr>
        <w:sectPr>
          <w:pgSz w:w="11900" w:h="16838" w:orient="portrait"/>
          <w:cols w:equalWidth="0" w:num="1">
            <w:col w:w="11300"/>
          </w:cols>
          <w:pgMar w:left="240" w:top="125" w:right="359" w:bottom="1440" w:gutter="0" w:footer="0" w:header="0"/>
        </w:sect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00"/>
          </w:cols>
          <w:pgMar w:left="240" w:top="125"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incremental commission to be paid on a contract renewal. Contract acquisition and fulfillment costs are amortized using the straight-line method over the expected period of benefit (ranging from five to ten years). Costs to obtain a contract with an expected period of benefit of one year or less are recognized as an expense when incurred. The amortization of contract acquisition costs associated with sales commissions that qualify for capitalization will be recorded as selling expense in the Company’s Unaudited Consolidated Statements of Income. The amortization of contract acquisition costs associated with cash payments for client incentives is included as a reduction of revenues in the Company’s Unaudited Consolidated Statements of Income. During the three and nine months ended September 30, 2018, amortization of capitalized contract costs recorded in selling expense was $3.0 million and $9 million, respectively.</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Costs to obtain or fulfill a contract are classified as contract cost assets within "prepaid expenses and other current assets" and "other assets" in the Company’s Unaudited Consolidated Balance Sheets. At September 30, 2018, the Company had capitalized costs to obtain a contract of $12.2 million within prepaid expenses and $32.6 million within "other assets" in the Company’s Unaudited Consolidated Balance Sheets,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Practical Expedients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ASC 606 requires disclosure of the aggregate amount of the transaction price allocated to unsatisfied performance obligations; however, as allowed by ASC 606, the Company has elected to exclude this disclosure for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5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has elected to exclude all sales taxes and other similar taxes from the transaction price. Accordingly, the Company presents all collections from customers for these taxes on a net basis, rather than having to assess whether the Company is acting as an agent or a principal in each taxing jurisdiction.</w:t>
      </w:r>
    </w:p>
    <w:p>
      <w:pPr>
        <w:spacing w:after="0" w:line="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certain arrangements with customers, the Company has determined that certain promised services and products are immaterial in the context of the contract, both quantitatively and qualitatively.</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practical expedient, the Company is not required to adjust the promised amount of consideration for the effects of a significant financing component if the Company expects, at contract inception, that the period between when the Company transfers a promised service or product to a customer and when the customer pays for the service or product will be one year or less. As of September 30, 2018, the Company’s contracts with customers did not contain a significant financing component.</w:t>
      </w:r>
    </w:p>
    <w:p>
      <w:pPr>
        <w:spacing w:after="0" w:line="7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adopted Topic 606 as of January 1, 2018, using the modified retrospective method for all contracts not completed as of the date of adoption. For contracts that were modified before the effective date, the Company utilized a practical expedient to consider the aggregate effect of all modifications when identifying performance obligations and allocating transaction price.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a $1.2 billion revolving trade accounts receivable Securitization Facility. Accounts receivable collateralized within our Securitization Facility relate to our U.S. trade receivables resulting from charge card activity. Pursuant to the terms of the Securitization Facility, the Company transfers certain of its domestic receivables, on a revolving basis, to FLEETCOR Funding LLC (Funding) a wholly-owned bankruptcy remote subsidiary. In turn, Funding transfers, on a revolving basis, up to $1.2 billion of undivided ownership interests in this pool of accounts receivable to a multi-seller, asset-backed commercial paper conduit (Conduit). Funding maintains a subordinated interest, in the form of over-collateralization, in a portion of the receivables sold to the Conduit. Purchases by the Conduit are financed with the sale of highly-rated commercial paper.</w:t>
      </w:r>
    </w:p>
    <w:p>
      <w:pPr>
        <w:spacing w:after="0" w:line="17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utilizes proceeds from the transferred assets as an alternative to other forms of financing to reduce its overall borrowing costs. The Company has agreed to continue servicing the sold receivables for the financial institution at market rates, which approximates the Company’s cost of servicing. The Company retains a residual interest in the accounts receivable sold as a form of credit enhancement. The residual interest’s fair value approximates carrying value due to its short-term nature. Funding determines the level of funding achieved by the sale of trade accounts receivable, subject to a maximum amount.</w:t>
      </w:r>
    </w:p>
    <w:p>
      <w:pPr>
        <w:spacing w:after="0" w:line="154"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The Company’s Unaudited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780"/>
        <w:spacing w:after="0" w:line="340" w:lineRule="auto"/>
        <w:rPr>
          <w:sz w:val="20"/>
          <w:szCs w:val="20"/>
          <w:color w:val="auto"/>
        </w:rPr>
      </w:pPr>
      <w:r>
        <w:rPr>
          <w:rFonts w:ascii="Arial" w:cs="Arial" w:eastAsia="Arial" w:hAnsi="Arial"/>
          <w:sz w:val="18"/>
          <w:szCs w:val="18"/>
          <w:color w:val="auto"/>
        </w:rPr>
        <w:t>The Company’s accounts receivable and securitized accounts receivable include the following at September 30, 2018 and December 31, 2017 (in thousands):</w:t>
      </w:r>
    </w:p>
    <w:p>
      <w:pPr>
        <w:spacing w:after="0" w:line="76" w:lineRule="exact"/>
        <w:rPr>
          <w:sz w:val="20"/>
          <w:szCs w:val="20"/>
          <w:color w:val="auto"/>
        </w:rPr>
      </w:pPr>
    </w:p>
    <w:tbl>
      <w:tblPr>
        <w:tblLayout w:type="fixed"/>
        <w:tblInd w:w="210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domestic accounts receivable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661,677</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Gross domestic securitized accounts receivable</w:t>
            </w:r>
          </w:p>
        </w:tc>
        <w:tc>
          <w:tcPr>
            <w:tcW w:w="1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931,000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811,000</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foreign receivables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912,030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804,365</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gross receivables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2,794,361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2,277,042</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(46,031)</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Net accounts and securitized accounts receivable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2,742,339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2,231,011</w:t>
            </w:r>
          </w:p>
        </w:tc>
      </w:tr>
      <w:tr>
        <w:trPr>
          <w:trHeight w:val="27"/>
        </w:trPr>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rollforward of the Company’s allowance for doubtful accounts related to accounts receivable for the nine month period ended September 30 is as follows (in thousands):</w:t>
      </w:r>
    </w:p>
    <w:p>
      <w:pPr>
        <w:spacing w:after="0" w:line="130" w:lineRule="exact"/>
        <w:rPr>
          <w:sz w:val="20"/>
          <w:szCs w:val="20"/>
          <w:color w:val="auto"/>
        </w:rPr>
      </w:pPr>
    </w:p>
    <w:tbl>
      <w:tblPr>
        <w:tblLayout w:type="fixed"/>
        <w:tblInd w:w="180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32,506</w:t>
            </w:r>
          </w:p>
        </w:tc>
      </w:tr>
      <w:tr>
        <w:trPr>
          <w:trHeight w:val="243"/>
        </w:trPr>
        <w:tc>
          <w:tcPr>
            <w:tcW w:w="4980" w:type="dxa"/>
            <w:vAlign w:val="bottom"/>
          </w:tcPr>
          <w:p>
            <w:pPr>
              <w:ind w:left="700"/>
              <w:spacing w:after="0"/>
              <w:rPr>
                <w:sz w:val="20"/>
                <w:szCs w:val="20"/>
                <w:color w:val="auto"/>
              </w:rPr>
            </w:pPr>
            <w:r>
              <w:rPr>
                <w:rFonts w:ascii="Arial" w:cs="Arial" w:eastAsia="Arial" w:hAnsi="Arial"/>
                <w:sz w:val="18"/>
                <w:szCs w:val="18"/>
                <w:color w:val="auto"/>
              </w:rPr>
              <w:t>Provision for bad debts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43,520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35,949</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Write-offs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(20,676)</w:t>
            </w: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Allowance for doubtful accounts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52,022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47,779</w:t>
            </w: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spacing w:after="0" w:line="327" w:lineRule="auto"/>
        <w:rPr>
          <w:sz w:val="20"/>
          <w:szCs w:val="20"/>
          <w:color w:val="auto"/>
        </w:rPr>
      </w:pPr>
      <w:r>
        <w:rPr>
          <w:rFonts w:ascii="Arial" w:cs="Arial" w:eastAsia="Arial" w:hAnsi="Arial"/>
          <w:sz w:val="15"/>
          <w:szCs w:val="15"/>
          <w:color w:val="auto"/>
        </w:rPr>
        <w:t>Fair value is a market-based measurement that reflects assumptions that market participants would use in pricing an asset or liability. GAAP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the basis for evaluating such inputs, a three-tier value hierarchy prioritizes the inputs used in measuring fair value as follows:</w:t>
      </w:r>
    </w:p>
    <w:p>
      <w:pPr>
        <w:spacing w:after="0" w:line="131"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rFonts w:ascii="Arial" w:cs="Arial" w:eastAsia="Arial" w:hAnsi="Arial"/>
          <w:sz w:val="18"/>
          <w:szCs w:val="18"/>
          <w:color w:val="auto"/>
        </w:rPr>
      </w:pPr>
    </w:p>
    <w:p>
      <w:pPr>
        <w:ind w:left="640" w:right="200" w:hanging="321"/>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1" w:lineRule="exact"/>
        <w:rPr>
          <w:rFonts w:ascii="Arial" w:cs="Arial" w:eastAsia="Arial" w:hAnsi="Arial"/>
          <w:sz w:val="18"/>
          <w:szCs w:val="18"/>
          <w:color w:val="auto"/>
        </w:rPr>
      </w:pPr>
    </w:p>
    <w:p>
      <w:pPr>
        <w:ind w:left="640" w:hanging="321"/>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 The fair value hierarchy also requires an entity to maximize the use of observable inputs and minimize the use of unobservable inputs when measuring fair value.</w:t>
      </w: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125" w:right="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80"/>
        <w:spacing w:after="0" w:line="340" w:lineRule="auto"/>
        <w:rPr>
          <w:sz w:val="20"/>
          <w:szCs w:val="20"/>
          <w:color w:val="auto"/>
        </w:rPr>
      </w:pPr>
      <w:r>
        <w:rPr>
          <w:rFonts w:ascii="Arial" w:cs="Arial" w:eastAsia="Arial" w:hAnsi="Arial"/>
          <w:sz w:val="18"/>
          <w:szCs w:val="18"/>
          <w:color w:val="auto"/>
        </w:rPr>
        <w:t>The following table presents the Company’s financial assets and liabilities which are measured at fair values on a recurring basis at September 30, 2018 and December 31, 2017,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526,730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526,730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605,590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605,590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collateral for 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28,626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28,626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3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Cash collateral obligation for 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Money market</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50,423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39,035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517,723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collateral for foreign exchange contracts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26,888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26,821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collateral obligation for foreign exchange contracts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10,882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highly-liquid investments classified as cash equivalents, with original maturities of 90 days or less, included in our Unaudited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on an overnight basis in repurchase agreements, money markets and certificates of deposit. The value of overnight repurchase agreements is determined based upon the quoted market prices for the treasury securities associated with the repurchase agreements. The value of money market instruments is the financial institutions' month-end statement, as these instruments are not tradeable and must be settled directly by us with the respective financial institution. Certificates of deposit are valued at cost, plus interest accrued. Given the short-term nature of these instruments, the carrying value approximates fair value. Foreign exchange derivative contracts are carried at fair value, with changes in fair value recognized in the Unaudited Consolidated Statements of Income. The fair value of the Company's derivatives is derived with reference to a valuation from a derivatives dealer operating in an active market, which approximates the fair value of these instruments. The fair value represents what would be received and or paid by the Company if the contracts were terminated as of the reporting date. Cash collateral received for foreign exchange derivatives is recorded within customer deposits in the Company's Unaudited Consolidated Balance Sheet at September 30, 2018. Cash collateral paid for foreign exchange derivatives is recorded within restricted cash in the Company's Unaudited Consolidated Balance Sheet at September 30, 2018.</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2018 and 2017.</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assets that are measured at fair value on a nonrecurring basis or are evaluated with periodic testing for impairment include property, plant and equipment, investments, goodwill and other intangible assets. Estimates of the fair value of assets acquired and liabilities assumed in business combinations are generally developed using key inputs such as management’s projections of cash flows on a held-and-used basis (if applicable), discounted as appropriate, management’s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projections of cash flows upon disposition and discount rates. Accordingly, these fair value measurements are in Level 3 of the fair value hierarchy.</w:t>
      </w:r>
    </w:p>
    <w:p>
      <w:pPr>
        <w:spacing w:after="0" w:line="23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regularly evaluates the carrying value of its cost method investments and during the third quarter of 2018, determined that the fair value of its investment in Qui was impaired as a result of a decline in operating results and difficulty in obtaining financing. The Company concluded that this decline in fair value was other than temporary and recorded a full write-off of the investment of $7.1 million.</w:t>
      </w:r>
    </w:p>
    <w:p>
      <w:pPr>
        <w:spacing w:after="0" w:line="181"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 Company’s debt obligations approximates fair value as the interest rates on the debt are variable market based interest rates that reset on a quarterly basis. These are each Level 2 fair value measurements, except for cash, which is a Level 1 fair value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4, 2016, the Company's Board of Directors approved a stock repurchase program (the "Program") under which the Company may purchase up to an aggregate of $500 million of its common stock over the following 18 month period. On July 27, 2017, the Company's Board of Directors authorized an increase in the size of the Program by an additional $250 million and an extension of the Program by an additional 18 months. On November 1, 2017, the Company announced that its Board of Directors had authorized an increase in the size of the Program by an additional $350 million, and on July 17, 2018, our Board of Directors authorized an additional increase of $500 million in the size of the Program resulting in total aggregate repurchases authorized under the Program of $1.6 billion. With the increase and giving effect to the Company's $970.8 million of previous repurchases, the Company may repurchase up to $629.2 million in shares of its common stock at any time prior to February 1, 2019.</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Since the beginning of the Program, 6,010,210 shares for an aggregate purchase price of $970.8 million have been repurchased. There were 1,896,106 shares totaling $380.7 million repurchased under the Program during the nine months ended September 30, 2018. No repurchases were made during the three months ended September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has Stock Incentive Plans (the Plans) pursuant to which the Company’s board of directors may grant stock options or restricted stock to employees.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February 7, 2018, the stockholders of the Company approved the FleetCor Technologies, Inc. Amended and Restated 2010 Equity Incentive Plan (the "Amended Plan"). The Amended Plan was authorized and approved by the Company's Board of Directors on December 20, 2017, and Company's stockholders at a meeting held on February 7, 2018. The Amended Plan amends the Registrant’s existing 2010 Equity Incentive Plan (as amended, the "Prior Plan") to, among other things, increase the number of shares of common stock available for issuance from 13,250,000 to 16,750,000 and make certain other amendments to the Prior Plan.</w:t>
      </w:r>
    </w:p>
    <w:p>
      <w:pPr>
        <w:spacing w:after="0" w:line="107" w:lineRule="exact"/>
        <w:rPr>
          <w:sz w:val="20"/>
          <w:szCs w:val="20"/>
          <w:color w:val="auto"/>
        </w:rPr>
      </w:pPr>
    </w:p>
    <w:p>
      <w:pPr>
        <w:ind w:right="20"/>
        <w:spacing w:after="0" w:line="340" w:lineRule="auto"/>
        <w:rPr>
          <w:sz w:val="20"/>
          <w:szCs w:val="20"/>
          <w:color w:val="auto"/>
        </w:rPr>
      </w:pPr>
      <w:r>
        <w:rPr>
          <w:rFonts w:ascii="Arial" w:cs="Arial" w:eastAsia="Arial" w:hAnsi="Arial"/>
          <w:sz w:val="18"/>
          <w:szCs w:val="18"/>
          <w:color w:val="auto"/>
        </w:rPr>
        <w:t>The table below summarizes the expense recognized related to share-based payments recognized for the three and nine month periods ended September 30 (in thousands):</w:t>
      </w:r>
    </w:p>
    <w:p>
      <w:pPr>
        <w:spacing w:after="0" w:line="76"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6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33,205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42,254</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9,548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21,002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26,643</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54,207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68,897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tax benefits recorded on stock based compensation were $31.2 million and $36.1 million for the nine month period ended September 30, 2018 and 2017,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Company’s total unrecognized compensation cost related to stock-based compensation as of September 30, 2018 (cost in thousands):</w:t>
      </w:r>
    </w:p>
    <w:p>
      <w:pPr>
        <w:spacing w:after="0" w:line="117"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8"/>
              </w:rPr>
              <w:t>Unrecognized</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Period of Expense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54"/>
              <w:spacing w:after="0"/>
              <w:rPr>
                <w:sz w:val="20"/>
                <w:szCs w:val="20"/>
                <w:color w:val="auto"/>
              </w:rPr>
            </w:pPr>
            <w:r>
              <w:rPr>
                <w:rFonts w:ascii="Arial" w:cs="Arial" w:eastAsia="Arial" w:hAnsi="Arial"/>
                <w:sz w:val="16"/>
                <w:szCs w:val="16"/>
                <w:b w:val="1"/>
                <w:bCs w:val="1"/>
                <w:color w:val="auto"/>
                <w:w w:val="89"/>
              </w:rPr>
              <w:t>Compensation</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Recognition</w:t>
            </w: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4"/>
              </w:rPr>
              <w:t>Cost</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3"/>
              </w:rPr>
              <w:t>(in Years)</w:t>
            </w:r>
          </w:p>
        </w:tc>
      </w:tr>
      <w:tr>
        <w:trPr>
          <w:trHeight w:val="33"/>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68,687</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13,456</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0.53</w:t>
            </w:r>
          </w:p>
        </w:tc>
      </w:tr>
      <w:tr>
        <w:trPr>
          <w:trHeight w:val="27"/>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Stock options are granted with an exercise price estimated to be equal to the fair market value on the date of grant as authorized by the Company’s board of directors. Options granted have vesting provisions ranging from one to five years and vesting of the options is generally based on the passage of time or performance. Stock option grants are subject to forfeiture if employment terminates prior to vesting.</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summarizes the changes in the number of shares of common stock under option for the nine month period ended September 30, 2018 (shares/options and aggregate intrinsic value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8"/>
              </w:rPr>
              <w:t>Weighted</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Average Fair</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Options</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Value of</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Price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Options</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at End of</w:t>
            </w:r>
          </w:p>
        </w:tc>
        <w:tc>
          <w:tcPr>
            <w:tcW w:w="200" w:type="dxa"/>
            <w:vAlign w:val="bottom"/>
          </w:tcPr>
          <w:p>
            <w:pPr>
              <w:spacing w:after="0"/>
              <w:rPr>
                <w:sz w:val="17"/>
                <w:szCs w:val="17"/>
                <w:color w:val="auto"/>
              </w:rPr>
            </w:pPr>
          </w:p>
        </w:tc>
        <w:tc>
          <w:tcPr>
            <w:tcW w:w="1180" w:type="dxa"/>
            <w:vAlign w:val="bottom"/>
          </w:tcPr>
          <w:p>
            <w:pPr>
              <w:jc w:val="center"/>
              <w:ind w:right="137"/>
              <w:spacing w:after="0"/>
              <w:rPr>
                <w:sz w:val="20"/>
                <w:szCs w:val="20"/>
                <w:color w:val="auto"/>
              </w:rPr>
            </w:pPr>
            <w:r>
              <w:rPr>
                <w:rFonts w:ascii="Arial" w:cs="Arial" w:eastAsia="Arial" w:hAnsi="Arial"/>
                <w:sz w:val="16"/>
                <w:szCs w:val="16"/>
                <w:b w:val="1"/>
                <w:bCs w:val="1"/>
                <w:color w:val="auto"/>
                <w:w w:val="89"/>
              </w:rPr>
              <w:t>Exercisable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7"/>
              </w:rPr>
              <w:t>Granted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344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Period</w:t>
            </w:r>
          </w:p>
        </w:tc>
        <w:tc>
          <w:tcPr>
            <w:tcW w:w="200" w:type="dxa"/>
            <w:vAlign w:val="bottom"/>
          </w:tcPr>
          <w:p>
            <w:pPr>
              <w:spacing w:after="0"/>
              <w:rPr>
                <w:sz w:val="18"/>
                <w:szCs w:val="18"/>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2"/>
              </w:rPr>
              <w:t>During the Period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109.78</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663,815</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204.57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108,164</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149.22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7,707</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118.03</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846,395</w:t>
            </w: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8"/>
                <w:szCs w:val="18"/>
                <w:color w:val="auto"/>
                <w:w w:val="97"/>
              </w:rPr>
              <w:t>Expected to vest as of September 30, 2018</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7,707</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118.03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aggregate intrinsic value of stock options exercisable at September 30, 2018 was $626.5 million. The weighted average remaining contractual term of options exercisable at September 30, 2018 was 5.2 years.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stock option awards granted was estimated using the Black-Scholes option pricing model with the following weighted-average assumptions for grants or modifications during the nine month periods ended September 30, 2018 and 2017:</w:t>
      </w:r>
    </w:p>
    <w:p>
      <w:pPr>
        <w:spacing w:after="0" w:line="130" w:lineRule="exact"/>
        <w:rPr>
          <w:sz w:val="20"/>
          <w:szCs w:val="20"/>
          <w:color w:val="auto"/>
        </w:rPr>
      </w:pPr>
    </w:p>
    <w:tbl>
      <w:tblPr>
        <w:tblLayout w:type="fixed"/>
        <w:tblInd w:w="206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2140" w:type="dxa"/>
            <w:vAlign w:val="bottom"/>
            <w:gridSpan w:val="3"/>
          </w:tcPr>
          <w:p>
            <w:pPr>
              <w:ind w:left="1100"/>
              <w:spacing w:after="0"/>
              <w:rPr>
                <w:sz w:val="20"/>
                <w:szCs w:val="20"/>
                <w:color w:val="auto"/>
              </w:rPr>
            </w:pPr>
            <w:r>
              <w:rPr>
                <w:rFonts w:ascii="Arial" w:cs="Arial" w:eastAsia="Arial" w:hAnsi="Arial"/>
                <w:sz w:val="16"/>
                <w:szCs w:val="16"/>
                <w:b w:val="1"/>
                <w:bCs w:val="1"/>
                <w:color w:val="auto"/>
                <w:w w:val="93"/>
              </w:rPr>
              <w:t>September 30,</w:t>
            </w:r>
          </w:p>
        </w:tc>
        <w:tc>
          <w:tcPr>
            <w:tcW w:w="1020" w:type="dxa"/>
            <w:vAlign w:val="bottom"/>
          </w:tcPr>
          <w:p>
            <w:pPr>
              <w:spacing w:after="0"/>
              <w:rPr>
                <w:sz w:val="18"/>
                <w:szCs w:val="18"/>
                <w:color w:val="auto"/>
              </w:rPr>
            </w:pPr>
          </w:p>
        </w:tc>
      </w:tr>
      <w:tr>
        <w:trPr>
          <w:trHeight w:val="33"/>
        </w:trPr>
        <w:tc>
          <w:tcPr>
            <w:tcW w:w="4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140" w:type="dxa"/>
            <w:vAlign w:val="bottom"/>
          </w:tcPr>
          <w:p>
            <w:pPr>
              <w:spacing w:after="0"/>
              <w:rPr>
                <w:sz w:val="20"/>
                <w:szCs w:val="20"/>
                <w:color w:val="auto"/>
              </w:rPr>
            </w:pPr>
          </w:p>
        </w:tc>
        <w:tc>
          <w:tcPr>
            <w:tcW w:w="1400" w:type="dxa"/>
            <w:vAlign w:val="bottom"/>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572"/>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41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4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Awards of restricted stock and restricted stock units are independent of stock option grants and are subject to forfeiture if employment terminates prior to vesting. The vesting of shares granted is generally based on the passage of time, performance or market conditions, or a combination of these. Shares vesting based on the passage of time have vesting provisions of one to three years.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80"/>
        <w:spacing w:after="0" w:line="340" w:lineRule="auto"/>
        <w:rPr>
          <w:sz w:val="20"/>
          <w:szCs w:val="20"/>
          <w:color w:val="auto"/>
        </w:rPr>
      </w:pPr>
      <w:r>
        <w:rPr>
          <w:rFonts w:ascii="Arial" w:cs="Arial" w:eastAsia="Arial" w:hAnsi="Arial"/>
          <w:sz w:val="18"/>
          <w:szCs w:val="18"/>
          <w:color w:val="auto"/>
        </w:rPr>
        <w:t>The following table summarizes the changes in the number of shares of restricted stock and restricted stock units for the nine months ended September 30, 2018 (shares in thousands):</w:t>
      </w:r>
    </w:p>
    <w:p>
      <w:pPr>
        <w:spacing w:after="0" w:line="76" w:lineRule="exact"/>
        <w:rPr>
          <w:sz w:val="20"/>
          <w:szCs w:val="20"/>
          <w:color w:val="auto"/>
        </w:rPr>
      </w:pPr>
    </w:p>
    <w:tbl>
      <w:tblPr>
        <w:tblLayout w:type="fixed"/>
        <w:tblInd w:w="168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1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4240" w:type="dxa"/>
            <w:vAlign w:val="bottom"/>
          </w:tcPr>
          <w:p>
            <w:pPr>
              <w:spacing w:after="0"/>
              <w:rPr>
                <w:sz w:val="18"/>
                <w:szCs w:val="18"/>
                <w:color w:val="auto"/>
              </w:rPr>
            </w:pPr>
          </w:p>
        </w:tc>
        <w:tc>
          <w:tcPr>
            <w:tcW w:w="1320" w:type="dxa"/>
            <w:vAlign w:val="bottom"/>
          </w:tcPr>
          <w:p>
            <w:pPr>
              <w:ind w:left="700"/>
              <w:spacing w:after="0"/>
              <w:rPr>
                <w:sz w:val="20"/>
                <w:szCs w:val="20"/>
                <w:color w:val="auto"/>
              </w:rPr>
            </w:pPr>
            <w:r>
              <w:rPr>
                <w:rFonts w:ascii="Arial" w:cs="Arial" w:eastAsia="Arial" w:hAnsi="Arial"/>
                <w:sz w:val="16"/>
                <w:szCs w:val="16"/>
                <w:b w:val="1"/>
                <w:bCs w:val="1"/>
                <w:color w:val="auto"/>
              </w:rPr>
              <w:t>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6"/>
              </w:rPr>
              <w:t>Fair Value</w:t>
            </w:r>
          </w:p>
        </w:tc>
      </w:tr>
      <w:tr>
        <w:trPr>
          <w:trHeight w:val="33"/>
        </w:trPr>
        <w:tc>
          <w:tcPr>
            <w:tcW w:w="4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155.58</w:t>
            </w:r>
          </w:p>
        </w:tc>
      </w:tr>
      <w:tr>
        <w:trPr>
          <w:trHeight w:val="243"/>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190.18</w:t>
            </w:r>
          </w:p>
        </w:tc>
      </w:tr>
      <w:tr>
        <w:trPr>
          <w:trHeight w:val="27"/>
        </w:trPr>
        <w:tc>
          <w:tcPr>
            <w:tcW w:w="4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157.66</w:t>
            </w:r>
          </w:p>
        </w:tc>
      </w:tr>
      <w:tr>
        <w:trPr>
          <w:trHeight w:val="243"/>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Canceled or 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157.39</w:t>
            </w:r>
          </w:p>
        </w:tc>
      </w:tr>
      <w:tr>
        <w:trPr>
          <w:trHeight w:val="27"/>
        </w:trPr>
        <w:tc>
          <w:tcPr>
            <w:tcW w:w="4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2018</w:t>
            </w:r>
          </w:p>
        </w:tc>
        <w:tc>
          <w:tcPr>
            <w:tcW w:w="13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2018, the Company made payments of $3.8 million related to acquisitions occurring in prior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2017, the Company completed acquisitions with an aggregate purchase price of $725.1 million, net of cash acquired of $96.3 million and inclusive of notes payable of $29.3 million. During 2017, the Company made investments in other businesses of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Global Payments</w:t>
      </w:r>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August 9, 2017, the Company acquired Cambridge, a business to business (B2B) international payments provider, for approximately $616.0 million in cash, net of cash acquired of $94.5 million and inclusive of a note payable of $23.8 million. Cambridge processes B2B cross-border payments, assisting business clients in making international payments. The purpose of this acquisition is to further expand the Company's corporate payments footprint. The Company financed the acquisition using a combination of existing cash and borrowings under its existing credit facility. The results from Cambridge are reported in its North America segment. The following table summarizes the acquisition accounting for Cambridge (in thousands):</w:t>
      </w:r>
    </w:p>
    <w:p>
      <w:pPr>
        <w:spacing w:after="0" w:line="91"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37,666</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61,806</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7,106</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500,212</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and other identifiable 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271,793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(197,335)</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(93,364)</w:t>
            </w:r>
          </w:p>
        </w:tc>
      </w:tr>
      <w:tr>
        <w:trPr>
          <w:trHeight w:val="257"/>
        </w:trPr>
        <w:tc>
          <w:tcPr>
            <w:tcW w:w="6560" w:type="dxa"/>
            <w:vAlign w:val="bottom"/>
          </w:tcPr>
          <w:p>
            <w:pPr>
              <w:ind w:left="20"/>
              <w:spacing w:after="0"/>
              <w:rPr>
                <w:sz w:val="20"/>
                <w:szCs w:val="20"/>
                <w:color w:val="auto"/>
              </w:rPr>
            </w:pPr>
            <w:r>
              <w:rPr>
                <w:rFonts w:ascii="Arial" w:cs="Arial" w:eastAsia="Arial" w:hAnsi="Arial"/>
                <w:sz w:val="18"/>
                <w:szCs w:val="18"/>
                <w:color w:val="auto"/>
              </w:rPr>
              <w:t>Aggregate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615,980</w:t>
            </w:r>
          </w:p>
        </w:tc>
      </w:tr>
      <w:tr>
        <w:trPr>
          <w:trHeight w:val="20"/>
        </w:trPr>
        <w:tc>
          <w:tcPr>
            <w:tcW w:w="6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intangible assets acquired and the related estimated useful lives consisted of the following (in thousands):</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Banking relationships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Trade name and trademarks</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35,110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Customer relationships - excluding Accounts Payable Solutions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7-18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178,190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 Accounts Payable Solutions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41,749</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271,793</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20"/>
          </w:cols>
          <w:pgMar w:left="24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Along with the Company's acquisition of Cambridge, the Company signed noncompete agreements with certain parties with an estimated fair value of $5.8 million. Goodwill recorded is comprised primarily of expected synergies from combining the operations of the Company and Cambridge, as well as assembled workforce.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2017, the Company acquired Creative Lodging Solutions ("CLS"), a lodging business, and a fuel card provider in Russia for approximately $109.1 million, net of cash acquired of $1.8 million and inclusive of a note payable of $5.5 million. The Company financed the acquisitions using a combination of existing cash and borrowings under its existing credit facility. The following table summarizes the acquisition accounting for the acquisitions (in thousands):</w:t>
      </w:r>
    </w:p>
    <w:p>
      <w:pPr>
        <w:spacing w:after="0" w:line="80"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receivables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38,038</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1,426</w:t>
            </w:r>
          </w:p>
        </w:tc>
      </w:tr>
      <w:tr>
        <w:trPr>
          <w:trHeight w:val="27"/>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59,946</w:t>
            </w:r>
          </w:p>
        </w:tc>
      </w:tr>
      <w:tr>
        <w:trPr>
          <w:trHeight w:val="27"/>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53,459</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8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(32,274)</w:t>
            </w:r>
          </w:p>
        </w:tc>
      </w:tr>
      <w:tr>
        <w:trPr>
          <w:trHeight w:val="27"/>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8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(17,217)</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Aggregate purchase prices</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109,123</w:t>
            </w:r>
          </w:p>
        </w:tc>
      </w:tr>
      <w:tr>
        <w:trPr>
          <w:trHeight w:val="20"/>
        </w:trPr>
        <w:tc>
          <w:tcPr>
            <w:tcW w:w="6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and trademarks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51,529</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17145</wp:posOffset>
            </wp:positionV>
            <wp:extent cx="943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Company's acquisition of CLS, the Company signed noncompete agreements with certain parties with an estimated fair value of $3.9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-115570</wp:posOffset>
            </wp:positionV>
            <wp:extent cx="943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the Company’s goodwill by reportable business segment is as follows (in thousands):</w:t>
      </w:r>
    </w:p>
    <w:p>
      <w:pPr>
        <w:spacing w:after="0" w:line="185" w:lineRule="exact"/>
        <w:rPr>
          <w:sz w:val="20"/>
          <w:szCs w:val="20"/>
          <w:color w:val="auto"/>
        </w:rPr>
      </w:pPr>
    </w:p>
    <w:tbl>
      <w:tblPr>
        <w:tblLayout w:type="fixed"/>
        <w:tblInd w:w="14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Acquisition</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Accounting</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Foreign</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27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September 30, 2018</w:t>
            </w:r>
          </w:p>
        </w:tc>
      </w:tr>
      <w:tr>
        <w:trPr>
          <w:trHeight w:val="33"/>
        </w:trPr>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3,084,123</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3,081,007</w:t>
            </w:r>
          </w:p>
        </w:tc>
      </w:tr>
      <w:tr>
        <w:trPr>
          <w:trHeight w:val="27"/>
        </w:trPr>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1,631,700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1,436,341</w:t>
            </w:r>
          </w:p>
        </w:tc>
      </w:tr>
      <w:tr>
        <w:trPr>
          <w:trHeight w:val="237"/>
        </w:trPr>
        <w:tc>
          <w:tcPr>
            <w:tcW w:w="27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4,715,823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(202,531)</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4,517,348</w:t>
            </w:r>
          </w:p>
        </w:tc>
      </w:tr>
      <w:tr>
        <w:trPr>
          <w:trHeight w:val="27"/>
        </w:trPr>
        <w:tc>
          <w:tcPr>
            <w:tcW w:w="2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18</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and December 31, 2017, other intangible assets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w w:val="96"/>
              </w:rPr>
              <w:t>September 30, 2018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Avg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Useful</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Lives</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Carrying</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Amounts</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96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and vendor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relationships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2,609,056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(734,726)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1,874,330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2,698,428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2,093,081</w:t>
            </w:r>
          </w:p>
        </w:tc>
        <w:tc>
          <w:tcPr>
            <w:tcW w:w="0" w:type="dxa"/>
            <w:vAlign w:val="bottom"/>
          </w:tcPr>
          <w:p>
            <w:pPr>
              <w:spacing w:after="0"/>
              <w:rPr>
                <w:sz w:val="1"/>
                <w:szCs w:val="1"/>
                <w:color w:val="auto"/>
              </w:rPr>
            </w:pPr>
          </w:p>
        </w:tc>
      </w:tr>
      <w:tr>
        <w:trPr>
          <w:trHeight w:val="229"/>
        </w:trPr>
        <w:tc>
          <w:tcPr>
            <w:tcW w:w="2080" w:type="dxa"/>
            <w:vAlign w:val="bottom"/>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0"/>
              <w:spacing w:after="0"/>
              <w:rPr>
                <w:sz w:val="20"/>
                <w:szCs w:val="20"/>
                <w:color w:val="auto"/>
              </w:rPr>
            </w:pPr>
            <w:r>
              <w:rPr>
                <w:rFonts w:ascii="Arial" w:cs="Arial" w:eastAsia="Arial" w:hAnsi="Arial"/>
                <w:sz w:val="18"/>
                <w:szCs w:val="18"/>
                <w:color w:val="auto"/>
              </w:rPr>
              <w:t>trademarks—indefinite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lived</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476,820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476,820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499,587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499,587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trademarks—other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Software</w:t>
            </w: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212,288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67,408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219,019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102,365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Non-compete agreements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45,786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8"/>
                <w:szCs w:val="18"/>
                <w:color w:val="auto"/>
              </w:rPr>
              <w:t>Total other intangibles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3,346,913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(908,286)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2,438,627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3,468,241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(743,284)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2,724,957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Changes in foreign exchange rates resulted in a $125.2 million decrease to the carrying values of other intangible assets in the nine months ended September 30, 2018. Amortization expense related to intangible assets for the nine months ended September 30, 2018 and 2017 was $165.0 million and $158.9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instruments consist primarily of term notes, revolving lines of credit and a Securitization Facility as follows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notes payable—domestic(a), net of discounts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2,993,667</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A Facility—domestic(a)</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635,000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line of credit B Facility—foreign(a)</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28,334</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B Facility—swing line(a)</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29,407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debt(c)</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43,736</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and other obligations</w:t>
            </w:r>
          </w:p>
        </w:tc>
        <w:tc>
          <w:tcPr>
            <w:tcW w:w="1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3,541,926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3,707,616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Facility(b)</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811,000</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4,472,926</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4,518,616</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w:t>
            </w:r>
          </w:p>
        </w:tc>
        <w:tc>
          <w:tcPr>
            <w:tcW w:w="180" w:type="dxa"/>
            <w:vAlign w:val="bottom"/>
            <w:tcBorders>
              <w:bottom w:val="single" w:sz="8" w:color="auto"/>
            </w:tcBorders>
            <w:vMerge w:val="continue"/>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1,699,548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1,616,512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2,773,378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2,902,104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4,472,926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4,518,616</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540" w:right="80" w:hanging="316"/>
        <w:spacing w:after="0" w:line="268"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has a Credit Agreement, which has been amended multiple times, most recently on August 30, 2018, and provides for senior secured credit facilities consisting of a revolving A credit facility (Revolver) in the amount of $1.285 billion, a term loan A facility in the amount of $2.69 billion and a term loan B facility in the amount of $350 million as of September 30, 2018. The revolving credit facility consists of (a) a revolving A credit facility in the amount of $800 million, with sublimits for letters of credit and swing line loans, (b) a revolving B facility in the amount of $450 million for swing line loans and multi-currency borrowings and, (c) a revolving C facility in the amount of $35 million for multi-currency borrowings in Australian Dollars or New Zealand Dollars. The Credit Agreement also includes an accordion feature for borrowing an additional $750 million in term A, term B, revolver A or revolver B debt. Proceeds from the credit facilities may be used for working capital purposes, acquisitions, and other general corporate purposes. The maturity dates are August 2, 2022 for term A loan, revolving loans, and letters of credit under the Credit Agreement and August 2, 2024 for the term B loan.</w:t>
      </w:r>
    </w:p>
    <w:p>
      <w:pPr>
        <w:spacing w:after="0" w:line="182" w:lineRule="exact"/>
        <w:rPr>
          <w:rFonts w:ascii="Arial" w:cs="Arial" w:eastAsia="Arial" w:hAnsi="Arial"/>
          <w:sz w:val="17"/>
          <w:szCs w:val="17"/>
          <w:color w:val="auto"/>
        </w:rPr>
      </w:pPr>
    </w:p>
    <w:p>
      <w:pPr>
        <w:ind w:left="540" w:right="180"/>
        <w:spacing w:after="0" w:line="264" w:lineRule="auto"/>
        <w:rPr>
          <w:rFonts w:ascii="Arial" w:cs="Arial" w:eastAsia="Arial" w:hAnsi="Arial"/>
          <w:sz w:val="17"/>
          <w:szCs w:val="17"/>
          <w:color w:val="auto"/>
        </w:rPr>
      </w:pPr>
      <w:r>
        <w:rPr>
          <w:rFonts w:ascii="Arial" w:cs="Arial" w:eastAsia="Arial" w:hAnsi="Arial"/>
          <w:sz w:val="18"/>
          <w:szCs w:val="18"/>
          <w:color w:val="auto"/>
        </w:rPr>
        <w:t>Interest on amounts outstanding under the Credit Agreement (other than the term B loan) accrues based on the British Bankers Association LIBOR Rate (the Eurocurrency Rate), plus a margin based on a leverage ratio, or our option, the Base Rate (defined as the rate equal to the highest of (a) the Federal Funds Rate plus 0.50%, (b) the prime rate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100"/>
        <w:spacing w:after="0" w:line="273" w:lineRule="auto"/>
        <w:rPr>
          <w:sz w:val="20"/>
          <w:szCs w:val="20"/>
          <w:color w:val="auto"/>
        </w:rPr>
      </w:pPr>
      <w:r>
        <w:rPr>
          <w:rFonts w:ascii="Arial" w:cs="Arial" w:eastAsia="Arial" w:hAnsi="Arial"/>
          <w:sz w:val="17"/>
          <w:szCs w:val="17"/>
          <w:color w:val="auto"/>
        </w:rPr>
        <w:t>announced by Bank of America, N.A., or (c) the Eurocurrency Rate plus 1.00%) plus a margin based on a leverage ratio. Interest on the term B loan facility accrues based on the Eurocurrency Rate plus 2.00% for Eurocurrency Loans or 1.00% for Base Rate Loans. In addition, the Company pays a quarterly commitment fee at a rate per annum ranging from 0.20% to 0.40% of the daily unused portion of the credit facility. The Company has unamortized debt issuance costs of $8.0 million related to the Revolver as of September 30, 2018 recorded within other assets in the unaudited consolidated balance sheet. The Company has unamortized debt discounts of $4.9 million related to the term A facility and $0.6 million related to the term B facility, and deferred financings costs of $4.3 million at September 30, 2018.</w:t>
      </w:r>
    </w:p>
    <w:p>
      <w:pPr>
        <w:spacing w:after="0" w:line="70" w:lineRule="exact"/>
        <w:rPr>
          <w:sz w:val="20"/>
          <w:szCs w:val="20"/>
          <w:color w:val="auto"/>
        </w:rPr>
      </w:pPr>
    </w:p>
    <w:p>
      <w:pPr>
        <w:ind w:left="540" w:right="60"/>
        <w:spacing w:after="0" w:line="264" w:lineRule="auto"/>
        <w:rPr>
          <w:sz w:val="20"/>
          <w:szCs w:val="20"/>
          <w:color w:val="auto"/>
        </w:rPr>
      </w:pPr>
      <w:r>
        <w:rPr>
          <w:rFonts w:ascii="Arial" w:cs="Arial" w:eastAsia="Arial" w:hAnsi="Arial"/>
          <w:sz w:val="18"/>
          <w:szCs w:val="18"/>
          <w:color w:val="auto"/>
        </w:rPr>
        <w:t>At September 30, 2018, the interest rate on the term A loan and the domestic revolving A facility was 3.74%, the interest rate on the foreign revolving B facility was 2.23%, the interest rate on the revolving B facility foreign swing line of credit was 2.20% and the interest rate on the term B loan was 4.24%. The unused credit facility fee was 0.30% for all revolving facilities at September 30, 2018.</w:t>
      </w:r>
    </w:p>
    <w:p>
      <w:pPr>
        <w:spacing w:after="0" w:line="73" w:lineRule="exact"/>
        <w:rPr>
          <w:sz w:val="20"/>
          <w:szCs w:val="20"/>
          <w:color w:val="auto"/>
        </w:rPr>
      </w:pPr>
    </w:p>
    <w:p>
      <w:pPr>
        <w:ind w:left="540" w:right="160" w:hanging="316"/>
        <w:spacing w:after="0" w:line="27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is party to a $1.2 billion receivables purchase agreement (Securitization Facility) that was amended on August 30, 2018. There is a program fee equal to one month LIBOR plus 0.90% or the Commercial Paper Rate plus 0.80%. The program fee was 2.28% plus 0.87% as of September 30, 2018 and 1.55% plus 0.86% as of December 31, 2017. The unused facility fee is payable at a rate of 0.40% per annum as of September 30, 2018 and December 31, 2017. The Company has unamortized debt issuance costs of $1.4 million related to the Securitization Facility as of September 30, 2018 recorded within other assets in the consolidated balance sheet.</w:t>
      </w:r>
    </w:p>
    <w:p>
      <w:pPr>
        <w:spacing w:after="0" w:line="64" w:lineRule="exact"/>
        <w:rPr>
          <w:rFonts w:ascii="Arial" w:cs="Arial" w:eastAsia="Arial" w:hAnsi="Arial"/>
          <w:sz w:val="17"/>
          <w:szCs w:val="17"/>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debt includes the long-term portion of deferred payments associated with business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and non-financial covenants at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 Our quarterly tax provision and our quarterly estimate of our annual effective tax rate are subject to variation due to several factors, including variability in accurately predicting our pre-tax and taxable income and loss and the mix of jurisdictions to which they relate.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U.S. government enacted tax legislation referred to as the Tax Act. The Tax Act makes broad and complex changes to the U.S. tax code, including, but not limited to, (1) reducing the U.S. federal corporate tax rate from 35 percent to 21 percent; (2) requiring companies to pay a one-time Deemed Repatriation Transition Tax (“Transition Tax”) on certain unrepatriated earnings of foreign subsidiaries that can be paid over eight years; (3) a new provision designed to tax global intangible low-taxed income (GILTI), which allows for the possibility of using foreign tax credits (FTCs) and a deduction of up to 50 percent to offset the income tax liability (subject to some limitations); (4) the repeal of the domestic production activity deduction beginning January 1, 2018; (5) limitations on the deductibility of certain executive compensation; and (6) a new limitation on deductible interest expense beginning January 1, 2018.</w:t>
      </w:r>
    </w:p>
    <w:p>
      <w:pPr>
        <w:spacing w:after="0" w:line="2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not completed its accounting for the tax effects of enactment of the Tax Act. However, the Company has made a reasonable estimate of the effects on its existing deferred tax balances and the one-time Transition Tax. During the three month period ended September 30, 2018, the Company recognized adjustments totaling $22.7 million to the provisional amounts recorded at December 31, 2017 and included these adjustments as a component of income tax expense from continuing operations.</w:t>
      </w:r>
    </w:p>
    <w:p>
      <w:pPr>
        <w:spacing w:after="0" w:line="2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will continue to make and refine its calculations as additional analysis is completed. The Company is continuing to gather additional information, including, but not limited to, finalizing the calculation of post-1986 prescribed foreign E&amp;P, finalizing foreign tax pools for foreign tax credit purposes, and finalizing the amounts held in cash or other specified assets, to complete the Company's accounting for these items and expect to complete its accounting within the measurement period.</w:t>
      </w:r>
    </w:p>
    <w:p>
      <w:pPr>
        <w:spacing w:after="0" w:line="29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SEC staff issued Staff Accounting Bulletin No. 118, "Income Tax Accounting Implications of the Tax Cuts and Jobs Act"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those items for which it was able to determine a reasonable estimate, the Company recognized a provisional net tax benefit of $128.2 million during 2017. This net benefit primarily consists of a net benefit for the corporate rate reduction on the deferred tax assets and liabilities of $210 million and a net expense for the Transition Tax of $81.8 million. After the adjustments recognized during the three months ended September 30, 2018, the provisional net tax benefit was adjusted to $105.5 million. This net benefit primarily consists of a net benefit on deferred tax assets and liabilities of $202.9 million and a net expense for the Transition Tax of $97.4 million.</w:t>
      </w:r>
    </w:p>
    <w:p>
      <w:pPr>
        <w:spacing w:after="0" w:line="29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Previously, the Company was not able to make a reasonable estimate of the impact of state taxes on adjustments made to federal temporary differences as a result of the Tax Act, or the impact of the new limitations on the deductibility of certain executive compensation. Included in the adjustments recognized during the three months ended September 30, 2018 in the amount of $22.7 million is an adjustment in the amount of $9.3 million. The adjustment is to recognize the impact of state taxes on adjustments made to federal temporary differences as a result of the Tax Act.</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provision for income taxes differs from amounts computed by applying the U.S. federal tax rate of 21% for 2018 and 35% for 2017 to income before income taxes for the three months ended September 30, 2018 and 2017 due to the following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2018</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1190"/>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 expense at the U.S. federal tax rate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114,626</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Changes resulting from:</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income tax differential</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Excess tax benefits related to stock-based compensation</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(4,360)</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taxes net of federal benefits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Foreign-sourced nontaxable income</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Foreign withholding taxes</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4,578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GILTI tax, net of foreign tax credits</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 on investment loss</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16,718</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Transition tax, net of foreign tax credits</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22,731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4,804</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79,874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33.6 %</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124,679</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38.1 %</w:t>
            </w:r>
          </w:p>
        </w:tc>
      </w:tr>
      <w:tr>
        <w:trPr>
          <w:trHeight w:val="27"/>
        </w:trPr>
        <w:tc>
          <w:tcPr>
            <w:tcW w:w="5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Certain amounts have been reclassified within the schedule above for comparative purposes.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for the three and nine month periods ended September 30 follows (in thousands, except per share data):</w:t>
      </w:r>
    </w:p>
    <w:p>
      <w:pPr>
        <w:spacing w:after="0" w:line="390"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80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157,694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202,823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509,483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457,503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 for basic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88,456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90,751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89,126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91,619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Denominator for diluted earnings per share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92,081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93,001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92,671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93,923</w:t>
            </w:r>
          </w:p>
        </w:tc>
        <w:tc>
          <w:tcPr>
            <w:tcW w:w="0" w:type="dxa"/>
            <w:vAlign w:val="bottom"/>
          </w:tcPr>
          <w:p>
            <w:pPr>
              <w:spacing w:after="0"/>
              <w:rPr>
                <w:sz w:val="1"/>
                <w:szCs w:val="1"/>
                <w:color w:val="auto"/>
              </w:rPr>
            </w:pPr>
          </w:p>
        </w:tc>
      </w:tr>
      <w:tr>
        <w:trPr>
          <w:trHeight w:val="67"/>
        </w:trPr>
        <w:tc>
          <w:tcPr>
            <w:tcW w:w="44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Diluted earnings per share for the three months ended September 30, 2018 and 2017 excludes the effect of 0.1 million and 3.5 million shares of common stock, respectively, that may be issued upon the exercise of employee stock options because such effect would be anti-dilutive. Diluted earnings per share also excludes the effect of 0.2 million and 0.3 million shares of performance based restricted stock for which the performance criteria have not yet been achieved for the three month periods ended September 30, 2018 and 2017, respectively.</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There were no inter-segment sales.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results are as follows for the three and nine month periods ended September 30 (in thousands):</w:t>
      </w:r>
    </w:p>
    <w:p>
      <w:pPr>
        <w:spacing w:after="0" w:line="185" w:lineRule="exact"/>
        <w:rPr>
          <w:sz w:val="20"/>
          <w:szCs w:val="20"/>
          <w:color w:val="auto"/>
        </w:rPr>
      </w:pPr>
    </w:p>
    <w:tbl>
      <w:tblPr>
        <w:tblLayout w:type="fixed"/>
        <w:tblInd w:w="48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286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3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2</w:t>
            </w:r>
          </w:p>
        </w:tc>
      </w:tr>
      <w:tr>
        <w:trPr>
          <w:trHeight w:val="270"/>
        </w:trPr>
        <w:tc>
          <w:tcPr>
            <w:tcW w:w="3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Revenues, net:</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412,816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368,006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1,148,034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1,040,949</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206,770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642,036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598,598</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619,586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577,877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1,790,070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1,639,547</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1"/>
        </w:trPr>
        <w:tc>
          <w:tcPr>
            <w:tcW w:w="398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177,769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138,480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495,095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394,378</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310,866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249,370</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281,090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232,637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805,961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643,748</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39,049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38,399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116,041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104,960</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91,338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93,771</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67,267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207,379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198,731</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12,604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32,700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30,901</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23,612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18,558</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21,698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56,312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49,459</w:t>
            </w: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Form 10-K and quarterly reports on Form 10-Q will not be restated to reflect ASC 606.</w:t>
      </w:r>
    </w:p>
    <w:p>
      <w:pPr>
        <w:spacing w:after="0" w:line="199" w:lineRule="exact"/>
        <w:rPr>
          <w:sz w:val="20"/>
          <w:szCs w:val="20"/>
          <w:color w:val="auto"/>
        </w:rPr>
      </w:pPr>
    </w:p>
    <w:p>
      <w:pPr>
        <w:ind w:right="140"/>
        <w:spacing w:after="0" w:line="22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The results from our Cambridge business acquired in the third quarter of 2017 are reported in our North America segment. As we have concluded that this business is part of our North America segment, the results for this business have been recast from International segment into our North America segment for the three and nine month periods ended September 30, 2017.</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w:t>
      </w:r>
    </w:p>
    <w:p>
      <w:pPr>
        <w:sectPr>
          <w:pgSz w:w="11900" w:h="16838" w:orient="portrait"/>
          <w:cols w:equalWidth="0" w:num="1">
            <w:col w:w="11420"/>
          </w:cols>
          <w:pgMar w:left="240" w:top="125"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The defendants dispute the allegations in the complaint and intend to vigorously defend against the claims.</w:t>
      </w:r>
    </w:p>
    <w:p>
      <w:pPr>
        <w:spacing w:after="0" w:line="167"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Telematics Businesses</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part of the Company's plan to exit the telematics business, on July 27, 2017, the Company sold NexTraq, a U.S. fleet telematics business, to Michelin Group for $316 million. The Company recorded a pre-tax gain on the disposal of NexTraq of $175.0 million during the third quarter of 2017, which was net of transaction closing costs. The Company recorded tax on the gain of disposal of $65.8 million. NexTraq was historically included in the Company's North America segment.</w:t>
      </w:r>
    </w:p>
    <w:p>
      <w:pPr>
        <w:spacing w:after="0" w:line="1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September 30, 2017, the Company entered into an amended Masternaut investment agreement that resulted in the loss of significant influence, and the Company began accounting for the Masternaut investment by applying the cost method.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in October 2018, the Company reached an agreement on the terms for the sale and transition of the Chevron portfolio for approximately $160 million, which will be recorded as a pre-tax gain, less any transaction costs.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w:t>
      </w:r>
    </w:p>
    <w:p>
      <w:pPr>
        <w:spacing w:after="0" w:line="229"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As a result of the Cambridge acquisition during 2017, the Company writes derivatives, primarily foreign currency forward contracts, option contracts, and swaps, mostly with small and medium size enterprises that are customers and derives a currency spread from this activity. Derivative transactions include:</w:t>
      </w:r>
    </w:p>
    <w:p>
      <w:pPr>
        <w:spacing w:after="0" w:line="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Forward contracts</w:t>
      </w:r>
      <w:r>
        <w:rPr>
          <w:rFonts w:ascii="Arial" w:cs="Arial" w:eastAsia="Arial" w:hAnsi="Arial"/>
          <w:sz w:val="18"/>
          <w:szCs w:val="18"/>
          <w:color w:val="auto"/>
        </w:rPr>
        <w:t>, which are commitments to buy or sell at a future date a currency at a contract price and will be settled in cash.</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Option contracts, </w:t>
      </w:r>
      <w:r>
        <w:rPr>
          <w:rFonts w:ascii="Arial" w:cs="Arial" w:eastAsia="Arial" w:hAnsi="Arial"/>
          <w:sz w:val="18"/>
          <w:szCs w:val="18"/>
          <w:color w:val="auto"/>
        </w:rPr>
        <w:t>which gives the purchaser, the right, but not the obligation to buy or sell within a specified time a currency at a contracted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settled in cash.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Swap contracts, </w:t>
      </w:r>
      <w:r>
        <w:rPr>
          <w:rFonts w:ascii="Arial" w:cs="Arial" w:eastAsia="Arial" w:hAnsi="Arial"/>
          <w:sz w:val="18"/>
          <w:szCs w:val="18"/>
          <w:color w:val="auto"/>
        </w:rPr>
        <w:t>which are commitments to settlement in cash at a future date or dates, usually on an overnight basis.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credit risk inherent in derivative agreements represents the possibility that a loss may occur from the nonperformance of a counterparty to the agreements.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the possible termination of the related contracts. The Company does not designate any of its foreign exchange derivatives as hedging instruments in accordance with ASC 815.</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aggregate equivalent U.S. dollar notional amount of foreign exchange derivative customer contracts held by the Company as of September 30, 2018 and December 31, 2017 (in millions) is presented in the table below. Notional amounts do not reflect the netting of offsetting trades, although these offsetting positions may result in minimal overall market risk. Aggregate derivative notional amounts can fluctuate from period to period in the normal course of business based on market conditions, levels of customer activity and other factors.</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Notional</w:t>
            </w:r>
          </w:p>
        </w:tc>
        <w:tc>
          <w:tcPr>
            <w:tcW w:w="1680" w:type="dxa"/>
            <w:vAlign w:val="bottom"/>
          </w:tcPr>
          <w:p>
            <w:pPr>
              <w:spacing w:after="0"/>
              <w:rPr>
                <w:sz w:val="18"/>
                <w:szCs w:val="18"/>
                <w:color w:val="auto"/>
              </w:rPr>
            </w:pPr>
          </w:p>
        </w:tc>
      </w:tr>
      <w:tr>
        <w:trPr>
          <w:trHeight w:val="33"/>
        </w:trPr>
        <w:tc>
          <w:tcPr>
            <w:tcW w:w="5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ind w:right="273"/>
              <w:spacing w:after="0"/>
              <w:rPr>
                <w:sz w:val="20"/>
                <w:szCs w:val="20"/>
                <w:color w:val="auto"/>
              </w:rPr>
            </w:pPr>
            <w:r>
              <w:rPr>
                <w:rFonts w:ascii="Arial" w:cs="Arial" w:eastAsia="Arial" w:hAnsi="Arial"/>
                <w:sz w:val="16"/>
                <w:szCs w:val="16"/>
                <w:b w:val="1"/>
                <w:bCs w:val="1"/>
                <w:color w:val="auto"/>
                <w:w w:val="95"/>
              </w:rPr>
              <w:t>September 30, 2018</w:t>
            </w:r>
          </w:p>
        </w:tc>
        <w:tc>
          <w:tcPr>
            <w:tcW w:w="400" w:type="dxa"/>
            <w:vAlign w:val="bottom"/>
          </w:tcPr>
          <w:p>
            <w:pPr>
              <w:spacing w:after="0"/>
              <w:rPr>
                <w:sz w:val="20"/>
                <w:szCs w:val="20"/>
                <w:color w:val="auto"/>
              </w:rPr>
            </w:pPr>
          </w:p>
        </w:tc>
        <w:tc>
          <w:tcPr>
            <w:tcW w:w="1680" w:type="dxa"/>
            <w:vAlign w:val="bottom"/>
          </w:tcPr>
          <w:p>
            <w:pPr>
              <w:jc w:val="right"/>
              <w:ind w:right="231"/>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5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exchange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Swaps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330.4</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515.4</w:t>
            </w:r>
          </w:p>
        </w:tc>
      </w:tr>
      <w:tr>
        <w:trPr>
          <w:trHeight w:val="27"/>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Futures, forwards and spot</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2,905.7</w:t>
            </w: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3,274.5</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Written options</w:t>
            </w:r>
          </w:p>
        </w:tc>
        <w:tc>
          <w:tcPr>
            <w:tcW w:w="200" w:type="dxa"/>
            <w:vAlign w:val="bottom"/>
          </w:tcPr>
          <w:p>
            <w:pPr>
              <w:spacing w:after="0"/>
              <w:rPr>
                <w:sz w:val="21"/>
                <w:szCs w:val="21"/>
                <w:color w:val="auto"/>
              </w:rPr>
            </w:pP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3,033.1</w:t>
            </w:r>
          </w:p>
        </w:tc>
        <w:tc>
          <w:tcPr>
            <w:tcW w:w="40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2,934.2</w:t>
            </w:r>
          </w:p>
        </w:tc>
      </w:tr>
      <w:tr>
        <w:trPr>
          <w:trHeight w:val="27"/>
        </w:trPr>
        <w:tc>
          <w:tcPr>
            <w:tcW w:w="5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Purchased options</w:t>
            </w: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2,435.8</w:t>
            </w:r>
          </w:p>
        </w:tc>
        <w:tc>
          <w:tcPr>
            <w:tcW w:w="4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2,314.1</w:t>
            </w: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8,705.0</w:t>
            </w:r>
          </w:p>
        </w:tc>
        <w:tc>
          <w:tcPr>
            <w:tcW w:w="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9,038.1</w:t>
            </w: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majority of customer foreign exchange contracts are written in currencies such as the U.S. Dollar, Canadian Dollar, British Pound, Euro and Australian Dollar.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derivatives reported in the Unaudited Consolidated Balance Sheet as of September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ind w:left="26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ind w:left="340"/>
              <w:spacing w:after="0"/>
              <w:rPr>
                <w:sz w:val="20"/>
                <w:szCs w:val="20"/>
                <w:color w:val="auto"/>
              </w:rPr>
            </w:pPr>
            <w:r>
              <w:rPr>
                <w:rFonts w:ascii="Arial" w:cs="Arial" w:eastAsia="Arial" w:hAnsi="Arial"/>
                <w:sz w:val="16"/>
                <w:szCs w:val="16"/>
                <w:b w:val="1"/>
                <w:bCs w:val="1"/>
                <w:color w:val="auto"/>
              </w:rPr>
              <w:t>Fair Value, Gross</w:t>
            </w:r>
          </w:p>
        </w:tc>
        <w:tc>
          <w:tcPr>
            <w:tcW w:w="12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Arial" w:cs="Arial" w:eastAsia="Arial" w:hAnsi="Arial"/>
                <w:sz w:val="16"/>
                <w:szCs w:val="16"/>
                <w:b w:val="1"/>
                <w:bCs w:val="1"/>
                <w:color w:val="auto"/>
              </w:rPr>
              <w:t>Fair Value, Net</w:t>
            </w:r>
          </w:p>
        </w:tc>
        <w:tc>
          <w:tcPr>
            <w:tcW w:w="120" w:type="dxa"/>
            <w:vAlign w:val="bottom"/>
          </w:tcPr>
          <w:p>
            <w:pPr>
              <w:spacing w:after="0"/>
              <w:rPr>
                <w:sz w:val="20"/>
                <w:szCs w:val="20"/>
                <w:color w:val="auto"/>
              </w:rPr>
            </w:pPr>
          </w:p>
        </w:tc>
        <w:tc>
          <w:tcPr>
            <w:tcW w:w="2100" w:type="dxa"/>
            <w:vAlign w:val="bottom"/>
            <w:gridSpan w:val="5"/>
          </w:tcPr>
          <w:p>
            <w:pPr>
              <w:ind w:left="340"/>
              <w:spacing w:after="0"/>
              <w:rPr>
                <w:sz w:val="20"/>
                <w:szCs w:val="20"/>
                <w:color w:val="auto"/>
              </w:rPr>
            </w:pPr>
            <w:r>
              <w:rPr>
                <w:rFonts w:ascii="Arial" w:cs="Arial" w:eastAsia="Arial" w:hAnsi="Arial"/>
                <w:sz w:val="16"/>
                <w:szCs w:val="16"/>
                <w:b w:val="1"/>
                <w:bCs w:val="1"/>
                <w:color w:val="auto"/>
              </w:rPr>
              <w:t>Fair Value, Gross</w:t>
            </w:r>
          </w:p>
        </w:tc>
        <w:tc>
          <w:tcPr>
            <w:tcW w:w="120" w:type="dxa"/>
            <w:vAlign w:val="bottom"/>
          </w:tcPr>
          <w:p>
            <w:pPr>
              <w:spacing w:after="0"/>
              <w:rPr>
                <w:sz w:val="20"/>
                <w:szCs w:val="20"/>
                <w:color w:val="auto"/>
              </w:rPr>
            </w:pPr>
          </w:p>
        </w:tc>
        <w:tc>
          <w:tcPr>
            <w:tcW w:w="198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rPr>
              <w:t>Fair Value, Net</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6"/>
                <w:szCs w:val="16"/>
                <w:b w:val="1"/>
                <w:bCs w:val="1"/>
                <w:color w:val="auto"/>
                <w:w w:val="94"/>
              </w:rPr>
              <w:t>Derivative</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Assets</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Assets</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Assets</w:t>
            </w:r>
          </w:p>
        </w:tc>
        <w:tc>
          <w:tcPr>
            <w:tcW w:w="12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6"/>
                <w:szCs w:val="16"/>
                <w:b w:val="1"/>
                <w:bCs w:val="1"/>
                <w:color w:val="auto"/>
                <w:w w:val="94"/>
              </w:rPr>
              <w:t>Liabilities</w:t>
            </w:r>
          </w:p>
        </w:tc>
        <w:tc>
          <w:tcPr>
            <w:tcW w:w="0" w:type="dxa"/>
            <w:vAlign w:val="bottom"/>
          </w:tcPr>
          <w:p>
            <w:pPr>
              <w:spacing w:after="0"/>
              <w:rPr>
                <w:sz w:val="1"/>
                <w:szCs w:val="1"/>
                <w:color w:val="auto"/>
              </w:rPr>
            </w:pPr>
          </w:p>
        </w:tc>
      </w:tr>
      <w:tr>
        <w:trPr>
          <w:trHeight w:val="33"/>
        </w:trPr>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6"/>
              </w:rPr>
              <w:t>Derivatives - undesignated:</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Over the counter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traded</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68.3</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collateral</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8"/>
                <w:szCs w:val="18"/>
                <w:color w:val="auto"/>
                <w:w w:val="93"/>
              </w:rPr>
              <w:t>Total net derivative assets and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57.4</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values of derivative assets and liabilities associated with contracts which include netting language that the Company believes to be enforceable have been netted to present the Company's net exposure with these counterparties. The Company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25" w:right="3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recognizes all derivative assets, net in prepaid expense and other current assets and all derivative liabilities, net in other current liabilities, after netting at the customer level, as right of offset exists, in its Unaudited Consolidated Balance Sheets at their fair value. The gain or loss on the fair value is recognized immediately within revenues, net in the Unaudited Consolidated Statements of Income. The Company does not offset fair value amounts recognized for the right to reclaim cash collateral or the obligation to return cash collateral. The derivative assets and derivative liabilities in the preceding table were recorded in "other current assets" and "other current liabilities" at each balance sheet date, respectively, in the Unaudited Consolidated Balance Sheet. The Company receives cash from customers as collateral for trade exposures, which is recorded within "cash and cash equivalents: and "customer deposits" in the Unaudited Consolidated Balance Sheet. The customer has the right to recall their collateral in the event exposures move in their favor, they unwind all outstanding trades or they cease to do business with the Company.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See “Special Cautionary Notice Regarding Forward-Looking Statements”. All foreign currency amounts that have been converted into U.S. dollars in this discussion are based on the exchange rate as reported by OANDA for the applicable periods.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management’s discussion and analysis should also be read in conjunction with the management’s discussion and analysis and consolidated financial statements and related notes included in our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FLEETCOR is a leading global provider of commercial payment solutions. We help businesses of all sizes control, simplify and secure payment of various domestic and cross-border payables using specialized payment products. We serve businesses, merchants and partners in North America, Latin America, Europe, and Australasia. FLEETCOR’s predecessor company was organized in the United States in 1986, and FLEETCOR had its initial public offering in 2010 (NYSE: FLT).</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FLEETCOR has two reportable segments, North America and International. We report these two segments as they align with our senior executive organizational structure, reflect how we organize and manage our employees around the world, manage operating performance, contemplate the differing regulatory environments in North America versus other geographies, and help us isolate the impact of foreign exchange fluctuations on our financial results.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payment solutions provide our customers with a payment method designed to be superior to and more robust and effective than what they use currently, whether they use a competitor’s product or another alternative method such as cash or check. Our solutions are comprised of payment products, networks and associated services.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payment products function like a charge card or prepaid card and tend to be specialized for specific spend categories, such as fuel or lodging, and/or specific customer groups, such as long haul transportation. FLEETCOR’s five primary product lines are Fuel, Lodging, Tolls, Corporate Payments and Gift. Additionally, we provide other payment products including fleet maintenance, employee benefits and long haul transportation-related services. Our products are used in 56 countries around the world, with our primary geographies being the U.S., Brazil and the United Kingdom, which combined accounted for approximately 90% of our revenue in 2017.</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FLEETCOR uses both proprietary and third-party networks to deliver our payment solutions. FLEETCOR owns and operates proprietary networks with well-established brands throughout the world, bringing incremental sales and loyalty to affiliated merchants. Third-party networks are used to broaden payment product acceptance and use. In 2017, we processed approximately 3 billion transactions within these networks, of which approximately 1.4 billion were related to our Gift product line.</w:t>
      </w:r>
    </w:p>
    <w:p>
      <w:pPr>
        <w:spacing w:after="0" w:line="18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FLEETCOR capitalizes on its products’ specialization with sales and marketing efforts by deploying product-dedicated sales forces to target specific customer segments. We market our products directly through multiple sales channels, including field sales, telesales and digital marketing, and indirectly through our partners, which include major oil companies, leasing companies, petroleum marketers, value-added resellers and referral partners.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our size and scale, product breadth and specialization, geographic reach, proprietary networks, robust distribution capabilities and advanced technology contribute to our industry leading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operate in two segments, which we refer to as our North America and International segments. Our revenue is generally reported net of the cost for underlying products and services. In this report, we refer to this net revenue as “revenues, net". See “Results of Operations” for additional segment information.</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Results presented for 2018 reflects the impact of the Company's adoption of Accounting Standards Update 2014-09, "Revenue from Contracts with Customers" ("Topic 606") ("ASC 606") and related cost capitalization guidance, which was adopted by the Company on January 1, 2018, using the modified retrospective transition method. The adoption of Topic 606 resulted in the classification of certain amounts previously classified as merchant commissions and processing expense net with revenues. As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result of the application of the modified retrospective transition method, the Company's prior period results within its annual report on Form 10-K and quarterly reports on Form 10-Q will not be restated to reflect the impact of Topic 606.</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adoption of Topic 606 had the impact of reducing revenues by approximately $28.0 million and $75.5 million for the three and nine months ended September 30, 2018, respectively. Such expenses were not reflected as a reduction of revenues in the 2017 amounts presented. This lack of comparability should be considered in reviewing the transaction analysis and the various breakdowns of revenue by geography, product and source in this discussion and analysis.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Revenues, net, by Segment. </w:t>
      </w:r>
      <w:r>
        <w:rPr>
          <w:rFonts w:ascii="Arial" w:cs="Arial" w:eastAsia="Arial" w:hAnsi="Arial"/>
          <w:sz w:val="18"/>
          <w:szCs w:val="18"/>
          <w:color w:val="auto"/>
        </w:rPr>
        <w:t>For the three and nine months ended September 30, 2018 and 2017, our North America and International segments generated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revenue (in millions):</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7"/>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6"/>
          </w:tcPr>
          <w:p>
            <w:pPr>
              <w:jc w:val="right"/>
              <w:ind w:right="11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w w:val="95"/>
              </w:rPr>
              <w:t>2017</w:t>
            </w:r>
            <w:r>
              <w:rPr>
                <w:rFonts w:ascii="Arial" w:cs="Arial" w:eastAsia="Arial" w:hAnsi="Arial"/>
                <w:sz w:val="8"/>
                <w:szCs w:val="8"/>
                <w:b w:val="1"/>
                <w:bCs w:val="1"/>
                <w:color w:val="auto"/>
                <w:w w:val="95"/>
              </w:rPr>
              <w:t>1</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Revenues, net</w:t>
            </w:r>
          </w:p>
        </w:tc>
        <w:tc>
          <w:tcPr>
            <w:tcW w:w="10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Revenues, net</w:t>
            </w:r>
          </w:p>
        </w:tc>
        <w:tc>
          <w:tcPr>
            <w:tcW w:w="100" w:type="dxa"/>
            <w:vAlign w:val="bottom"/>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total</w:t>
            </w: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0"/>
              </w:rPr>
              <w:t>Revenues, net</w:t>
            </w:r>
          </w:p>
        </w:tc>
        <w:tc>
          <w:tcPr>
            <w:tcW w:w="1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Revenues, net</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12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revenues, net</w:t>
            </w: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revenues, net</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revenues, net</w:t>
            </w: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0" w:type="dxa"/>
            <w:vAlign w:val="bottom"/>
          </w:tcPr>
          <w:p>
            <w:pPr>
              <w:spacing w:after="0"/>
              <w:rPr>
                <w:sz w:val="1"/>
                <w:szCs w:val="1"/>
                <w:color w:val="auto"/>
              </w:rPr>
            </w:pPr>
          </w:p>
        </w:tc>
      </w:tr>
      <w:tr>
        <w:trPr>
          <w:trHeight w:val="215"/>
        </w:trPr>
        <w:tc>
          <w:tcPr>
            <w:tcW w:w="1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w:t>
            </w: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12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2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results from our Cambridge business acquired in the third quarter of 2017 are reported in our North America segment. As we have concluded that this business is part of our North America segment, the results for this business have been recast from our International segment into our North America segment for the three and nine month periods ended September 30, 2017.</w:t>
      </w:r>
    </w:p>
    <w:p>
      <w:pPr>
        <w:spacing w:after="0" w:line="2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Revenues, net, Net Income and Net Income Per Diluted Share. </w:t>
      </w:r>
      <w:r>
        <w:rPr>
          <w:rFonts w:ascii="Arial" w:cs="Arial" w:eastAsia="Arial" w:hAnsi="Arial"/>
          <w:sz w:val="18"/>
          <w:szCs w:val="18"/>
          <w:color w:val="auto"/>
        </w:rPr>
        <w:t>Set forth below are revenues, net, net income and net income per diluted share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nine months ended September 30, 2018 and 2017 (in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1,639.5</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457.5</w:t>
            </w: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diluted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4.87</w:t>
            </w:r>
          </w:p>
        </w:tc>
      </w:tr>
      <w:tr>
        <w:trPr>
          <w:trHeight w:val="27"/>
        </w:trPr>
        <w:tc>
          <w:tcPr>
            <w:tcW w:w="4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Adjusted Net Income and Adjusted Net Income Per Diluted Share. </w:t>
      </w:r>
      <w:r>
        <w:rPr>
          <w:rFonts w:ascii="Arial" w:cs="Arial" w:eastAsia="Arial" w:hAnsi="Arial"/>
          <w:sz w:val="18"/>
          <w:szCs w:val="18"/>
          <w:color w:val="auto"/>
        </w:rPr>
        <w:t>Set forth below are adjusted net income and adjusted net income per diluted share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and nine months ended September 30, 2018 and 2017 (in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1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8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r>
      <w:tr>
        <w:trPr>
          <w:trHeight w:val="27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(Unaudited)</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246.6</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717.9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574.8</w:t>
            </w:r>
          </w:p>
        </w:tc>
      </w:tr>
      <w:tr>
        <w:trPr>
          <w:trHeight w:val="27"/>
        </w:trPr>
        <w:tc>
          <w:tcPr>
            <w:tcW w:w="4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diluted share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4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Adjusted net income and adjusted net income per diluted share are supplemental non-GAAP financial measures of operating performance. See the heading entitled “Management’s Use of Non-GAAP Financial Measures.” We use adjusted net income and adjusted net income per diluted share to eliminate the effect of items that we do not consider indicative of our core operating performance on a consistent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both of our segments, we derive revenue from transactions. A transaction is defined as a purchase by a customer utilizing one of our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a participating merchant. The following diagram illustrates a typical transaction flow, which is representative of many, but not all, of our businesses.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Illustrative Transaction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85725</wp:posOffset>
            </wp:positionV>
            <wp:extent cx="5866130" cy="1800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613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revenue we derive from transactions is generated from both customers and merchants. Customers may include commercial businesses (obtained through direct and indirect channels), as well as partners for whom we manage payment programs. Merchants, who may also be customers under relevant accounting guidance, may include those merchants affiliated with our proprietary networks or those participating in the third-party networks we utilize.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From our customers and partners, we generate revenue through a variety of program fees, including transaction fees, card fees, network fees and charges.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fees may be charged as fixed amounts, costs plus a mark-up, or based on a percentage of the transaction purchase amounts, or a combination thereof.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programs include other fees and charges associated with late payments and based on customer credit risk.</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our merchants and third-party networks, we generate revenue mostly from the difference between the amount charged to a customer and the amount paid to the merchant or network for a given transaction, as well as network fees and charges in certain businesses. The amount paid to a merchant or network may be calculated as (i) the merchant’s wholesale product cost plus a markup; (ii) the transaction purchase amount less a percentage discount; or (iii) the transaction purchase amount less a fixed fee per unit. The following table provides illustrations of these three merchant payment models, which are representative of many, but not all, of our businesses.</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Illustrative Merchant Payment Models</w:t>
      </w:r>
    </w:p>
    <w:p>
      <w:pPr>
        <w:spacing w:after="0" w:line="81"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2560" w:type="dxa"/>
            <w:vAlign w:val="bottom"/>
          </w:tcPr>
          <w:p>
            <w:pPr>
              <w:ind w:left="200"/>
              <w:spacing w:after="0"/>
              <w:rPr>
                <w:sz w:val="20"/>
                <w:szCs w:val="20"/>
                <w:color w:val="auto"/>
              </w:rPr>
            </w:pPr>
            <w:r>
              <w:rPr>
                <w:rFonts w:ascii="Arial" w:cs="Arial" w:eastAsia="Arial" w:hAnsi="Arial"/>
                <w:sz w:val="16"/>
                <w:szCs w:val="16"/>
                <w:b w:val="1"/>
                <w:bCs w:val="1"/>
                <w:color w:val="auto"/>
              </w:rPr>
              <w:t>i) Cost Plus Mark-up:</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ii) Percentage Discount: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iii) Fixed Fee:</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Wholesale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2560" w:type="dxa"/>
            <w:vAlign w:val="bottom"/>
          </w:tcPr>
          <w:p>
            <w:pPr>
              <w:ind w:left="200"/>
              <w:spacing w:after="0"/>
              <w:rPr>
                <w:sz w:val="20"/>
                <w:szCs w:val="20"/>
                <w:color w:val="auto"/>
              </w:rPr>
            </w:pPr>
            <w:r>
              <w:rPr>
                <w:rFonts w:ascii="Arial" w:cs="Arial" w:eastAsia="Arial" w:hAnsi="Arial"/>
                <w:sz w:val="18"/>
                <w:szCs w:val="18"/>
                <w:color w:val="auto"/>
              </w:rPr>
              <w:t>Mark-up</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0.05</w:t>
            </w:r>
          </w:p>
        </w:tc>
        <w:tc>
          <w:tcPr>
            <w:tcW w:w="2500" w:type="dxa"/>
            <w:vAlign w:val="bottom"/>
          </w:tcPr>
          <w:p>
            <w:pPr>
              <w:ind w:left="140"/>
              <w:spacing w:after="0"/>
              <w:rPr>
                <w:sz w:val="20"/>
                <w:szCs w:val="20"/>
                <w:color w:val="auto"/>
              </w:rPr>
            </w:pPr>
            <w:r>
              <w:rPr>
                <w:rFonts w:ascii="Arial" w:cs="Arial" w:eastAsia="Arial" w:hAnsi="Arial"/>
                <w:sz w:val="18"/>
                <w:szCs w:val="18"/>
                <w:color w:val="auto"/>
              </w:rPr>
              <w:t>Discount (3%)</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2500" w:type="dxa"/>
            <w:vAlign w:val="bottom"/>
          </w:tcPr>
          <w:p>
            <w:pPr>
              <w:ind w:left="140"/>
              <w:spacing w:after="0"/>
              <w:rPr>
                <w:sz w:val="20"/>
                <w:szCs w:val="20"/>
                <w:color w:val="auto"/>
              </w:rPr>
            </w:pPr>
            <w:r>
              <w:rPr>
                <w:rFonts w:ascii="Arial" w:cs="Arial" w:eastAsia="Arial" w:hAnsi="Arial"/>
                <w:sz w:val="18"/>
                <w:szCs w:val="18"/>
                <w:color w:val="auto"/>
              </w:rPr>
              <w:t>Fixed Fee</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2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2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Price Paid to Merchant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Price Paid to Merchant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Price Paid to Merchant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0"/>
        </w:trPr>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a transaction involving the purchase of fuel where the amount paid to the merchant is calculated under the cost plus markup model, we refer to the difference between the amount charged to the customer and the amount paid to the merchant as revenue tied to fuel-price spreads. In all other cases, we refer to the difference between the amount charged to the customer and the amount paid to the merchant for a given transaction as interchange revenue.</w:t>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line="298" w:lineRule="auto"/>
        <w:rPr>
          <w:sz w:val="20"/>
          <w:szCs w:val="20"/>
          <w:color w:val="auto"/>
        </w:rPr>
      </w:pPr>
      <w:r>
        <w:rPr>
          <w:rFonts w:ascii="Arial" w:cs="Arial" w:eastAsia="Arial" w:hAnsi="Arial"/>
          <w:sz w:val="18"/>
          <w:szCs w:val="18"/>
          <w:i w:val="1"/>
          <w:iCs w:val="1"/>
          <w:color w:val="auto"/>
        </w:rPr>
        <w:t xml:space="preserve">Revenue per transaction. </w:t>
      </w:r>
      <w:r>
        <w:rPr>
          <w:rFonts w:ascii="Arial" w:cs="Arial" w:eastAsia="Arial" w:hAnsi="Arial"/>
          <w:sz w:val="18"/>
          <w:szCs w:val="18"/>
          <w:color w:val="auto"/>
        </w:rPr>
        <w:t>Set forth below is revenue per transaction by segment information for the three and nine months ended September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r>
        <w:rPr>
          <w:rFonts w:ascii="Arial" w:cs="Arial" w:eastAsia="Arial" w:hAnsi="Arial"/>
          <w:sz w:val="21"/>
          <w:szCs w:val="21"/>
          <w:color w:val="auto"/>
        </w:rPr>
        <w:t>.</w:t>
      </w:r>
      <w:r>
        <w:rPr>
          <w:rFonts w:ascii="Arial" w:cs="Arial" w:eastAsia="Arial" w:hAnsi="Arial"/>
          <w:sz w:val="18"/>
          <w:szCs w:val="18"/>
          <w:color w:val="auto"/>
        </w:rPr>
        <w:t xml:space="preserve"> Revenue per transactions by segment is affected by the mix of products and acquisitions, as well as the impact of the adoption of ASC 606, which may result in revenue per transaction by product providing more meaningful data for analysis.</w:t>
      </w:r>
    </w:p>
    <w:p>
      <w:pPr>
        <w:spacing w:after="0" w:line="164"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6"/>
              </w:rPr>
              <w:t>Nine Months Ended September 30,</w:t>
            </w:r>
          </w:p>
        </w:tc>
        <w:tc>
          <w:tcPr>
            <w:tcW w:w="200" w:type="dxa"/>
            <w:vAlign w:val="bottom"/>
          </w:tcPr>
          <w:p>
            <w:pPr>
              <w:spacing w:after="0"/>
              <w:rPr>
                <w:sz w:val="16"/>
                <w:szCs w:val="16"/>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22"/>
                <w:szCs w:val="2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Transactions (in millions)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1,256.9</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200" w:type="dxa"/>
            <w:vAlign w:val="bottom"/>
            <w:tcBorders>
              <w:bottom w:val="single" w:sz="8" w:color="auto"/>
            </w:tcBorders>
            <w:shd w:val="clear" w:color="auto" w:fill="CCEEFF"/>
          </w:tcPr>
          <w:p>
            <w:pPr>
              <w:spacing w:after="0"/>
              <w:rPr>
                <w:sz w:val="23"/>
                <w:szCs w:val="23"/>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transactions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2,062.9</w:t>
            </w:r>
          </w:p>
        </w:tc>
        <w:tc>
          <w:tcPr>
            <w:tcW w:w="200" w:type="dxa"/>
            <w:vAlign w:val="bottom"/>
          </w:tcPr>
          <w:p>
            <w:pPr>
              <w:spacing w:after="0"/>
              <w:rPr>
                <w:sz w:val="20"/>
                <w:szCs w:val="20"/>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r>
      <w:tr>
        <w:trPr>
          <w:trHeight w:val="231"/>
        </w:trPr>
        <w:tc>
          <w:tcPr>
            <w:tcW w:w="3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Revenue per transaction</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0.92</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0.83</w:t>
            </w:r>
          </w:p>
        </w:tc>
        <w:tc>
          <w:tcPr>
            <w:tcW w:w="2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Consolidated revenue per transaction</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Pr>
          <w:p>
            <w:pPr>
              <w:spacing w:after="0"/>
              <w:rPr>
                <w:sz w:val="21"/>
                <w:szCs w:val="21"/>
                <w:color w:val="auto"/>
              </w:rPr>
            </w:pPr>
          </w:p>
        </w:tc>
      </w:tr>
    </w:tbl>
    <w:p>
      <w:pPr>
        <w:spacing w:after="0" w:line="175" w:lineRule="exact"/>
        <w:rPr>
          <w:sz w:val="20"/>
          <w:szCs w:val="20"/>
          <w:color w:val="auto"/>
        </w:rPr>
      </w:pPr>
    </w:p>
    <w:p>
      <w:pPr>
        <w:ind w:left="1240" w:right="1180" w:hanging="3"/>
        <w:spacing w:after="0" w:line="216" w:lineRule="auto"/>
        <w:tabs>
          <w:tab w:leader="none" w:pos="1348"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For purposes of comparability, reflects adjustment for 44.3 million non-recurring transactions at SVS in the first quarter of 2017 due to system driven balance inquiries.</w:t>
      </w:r>
    </w:p>
    <w:p>
      <w:pPr>
        <w:spacing w:after="0" w:line="41" w:lineRule="exact"/>
        <w:rPr>
          <w:rFonts w:ascii="Arial" w:cs="Arial" w:eastAsia="Arial" w:hAnsi="Arial"/>
          <w:sz w:val="25"/>
          <w:szCs w:val="25"/>
          <w:color w:val="auto"/>
          <w:vertAlign w:val="superscript"/>
        </w:rPr>
      </w:pPr>
    </w:p>
    <w:p>
      <w:pPr>
        <w:ind w:left="12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Reflects adjustments from previously disclosed amounts for the prior period to conform to current presentation.</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25"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breakdown of revenue per transaction by product for the three months ended September 30, 2018 and 2017.</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3"/>
              </w:rPr>
              <w:t>As Reported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Pro Forma and Macro Adjusted</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8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3180" w:type="dxa"/>
            <w:vAlign w:val="bottom"/>
            <w:gridSpan w:val="10"/>
          </w:tcPr>
          <w:p>
            <w:pPr>
              <w:ind w:left="40"/>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22"/>
                <w:szCs w:val="22"/>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2018¹</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2"/>
                <w:szCs w:val="22"/>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2018¹</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2017¹</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tcPr>
          <w:p>
            <w:pPr>
              <w:spacing w:after="0"/>
              <w:rPr>
                <w:sz w:val="22"/>
                <w:szCs w:val="22"/>
                <w:color w:val="auto"/>
              </w:rPr>
            </w:pPr>
          </w:p>
        </w:tc>
      </w:tr>
      <w:tr>
        <w:trPr>
          <w:trHeight w:val="202"/>
        </w:trPr>
        <w:tc>
          <w:tcPr>
            <w:tcW w:w="3180" w:type="dxa"/>
            <w:vAlign w:val="bottom"/>
            <w:tcBorders>
              <w:top w:val="single" w:sz="8" w:color="CCEEFF"/>
              <w:left w:val="single" w:sz="8" w:color="CCEEFF"/>
            </w:tcBorders>
            <w:gridSpan w:val="10"/>
            <w:shd w:val="clear" w:color="auto" w:fill="CCEEFF"/>
          </w:tcPr>
          <w:p>
            <w:pPr>
              <w:ind w:left="40"/>
              <w:spacing w:after="0" w:line="202" w:lineRule="exact"/>
              <w:rPr>
                <w:sz w:val="20"/>
                <w:szCs w:val="20"/>
                <w:color w:val="auto"/>
              </w:rPr>
            </w:pPr>
            <w:r>
              <w:rPr>
                <w:rFonts w:ascii="Arial" w:cs="Arial" w:eastAsia="Arial" w:hAnsi="Arial"/>
                <w:sz w:val="16"/>
                <w:szCs w:val="16"/>
                <w:b w:val="1"/>
                <w:bCs w:val="1"/>
                <w:color w:val="auto"/>
              </w:rPr>
              <w:t xml:space="preserve">FUEL </w:t>
            </w:r>
            <w:r>
              <w:rPr>
                <w:rFonts w:ascii="Arial" w:cs="Arial" w:eastAsia="Arial" w:hAnsi="Arial"/>
                <w:sz w:val="21"/>
                <w:szCs w:val="21"/>
                <w:b w:val="1"/>
                <w:bCs w:val="1"/>
                <w:color w:val="auto"/>
                <w:vertAlign w:val="superscript"/>
              </w:rPr>
              <w:t>4</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119.3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276.0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276.2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263.8</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CORPORATE PAYMENTS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105.5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72.2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106.2</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TOLLS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r>
              <w:rPr>
                <w:rFonts w:ascii="Arial" w:cs="Arial" w:eastAsia="Arial" w:hAnsi="Arial"/>
                <w:sz w:val="21"/>
                <w:szCs w:val="21"/>
                <w:color w:val="000000"/>
                <w:vertAlign w:val="superscript"/>
              </w:rPr>
              <w:t>2</w:t>
            </w:r>
          </w:p>
        </w:tc>
        <w:tc>
          <w:tcPr>
            <w:tcW w:w="200" w:type="dxa"/>
            <w:vAlign w:val="bottom"/>
          </w:tcPr>
          <w:p>
            <w:pPr>
              <w:spacing w:after="0"/>
              <w:rPr>
                <w:sz w:val="23"/>
                <w:szCs w:val="23"/>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226.1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3"/>
                <w:szCs w:val="23"/>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77.8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82.9</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97.0</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LODGING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33.2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GIFT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294.1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54.8</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80" w:type="dxa"/>
            <w:vAlign w:val="bottom"/>
            <w:tcBorders>
              <w:left w:val="single" w:sz="8" w:color="CCEEFF"/>
            </w:tcBorders>
            <w:gridSpan w:val="10"/>
            <w:shd w:val="clear" w:color="auto" w:fill="CCEEFF"/>
          </w:tcPr>
          <w:p>
            <w:pPr>
              <w:ind w:left="40"/>
              <w:spacing w:after="0" w:line="20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3,4</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8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20" w:type="dxa"/>
            <w:vAlign w:val="bottom"/>
          </w:tcPr>
          <w:p>
            <w:pPr>
              <w:spacing w:after="0"/>
              <w:rPr>
                <w:sz w:val="21"/>
                <w:szCs w:val="21"/>
                <w:color w:val="auto"/>
              </w:rPr>
            </w:pPr>
          </w:p>
        </w:tc>
      </w:tr>
      <w:tr>
        <w:trPr>
          <w:trHeight w:val="237"/>
        </w:trPr>
        <w:tc>
          <w:tcPr>
            <w:tcW w:w="318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58.5</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58.1</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4 %</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40" w:type="dxa"/>
            <w:vAlign w:val="bottom"/>
            <w:tcBorders>
              <w:left w:val="single" w:sz="8" w:color="auto"/>
            </w:tcBorders>
            <w:shd w:val="clear" w:color="auto" w:fill="CCEEFF"/>
          </w:tcPr>
          <w:p>
            <w:pPr>
              <w:spacing w:after="0"/>
              <w:rPr>
                <w:sz w:val="15"/>
                <w:szCs w:val="15"/>
                <w:color w:val="auto"/>
              </w:rPr>
            </w:pPr>
          </w:p>
        </w:tc>
        <w:tc>
          <w:tcPr>
            <w:tcW w:w="3140" w:type="dxa"/>
            <w:vAlign w:val="bottom"/>
            <w:gridSpan w:val="9"/>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FLEETCOR CONSOLIDATED</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r>
      <w:tr>
        <w:trPr>
          <w:trHeight w:val="230"/>
        </w:trPr>
        <w:tc>
          <w:tcPr>
            <w:tcW w:w="40" w:type="dxa"/>
            <w:vAlign w:val="bottom"/>
            <w:tcBorders>
              <w:top w:val="single" w:sz="8" w:color="CCEEFF"/>
              <w:left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6"/>
            <w:shd w:val="clear" w:color="auto" w:fill="CCEEFF"/>
          </w:tcPr>
          <w:p>
            <w:pPr>
              <w:spacing w:after="0" w:line="183" w:lineRule="exact"/>
              <w:rPr>
                <w:sz w:val="20"/>
                <w:szCs w:val="20"/>
                <w:color w:val="auto"/>
              </w:rPr>
            </w:pPr>
            <w:r>
              <w:rPr>
                <w:rFonts w:ascii="Arial" w:cs="Arial" w:eastAsia="Arial" w:hAnsi="Arial"/>
                <w:sz w:val="16"/>
                <w:szCs w:val="16"/>
                <w:b w:val="1"/>
                <w:bCs w:val="1"/>
                <w:color w:val="auto"/>
                <w:w w:val="99"/>
              </w:rPr>
              <w:t>REVENUES</w:t>
            </w:r>
          </w:p>
        </w:tc>
        <w:tc>
          <w:tcPr>
            <w:tcW w:w="1340" w:type="dxa"/>
            <w:vAlign w:val="bottom"/>
            <w:tcBorders>
              <w:top w:val="single" w:sz="8" w:color="auto"/>
              <w:bottom w:val="single" w:sz="8" w:color="CCEEFF"/>
            </w:tcBorders>
            <w:gridSpan w:val="2"/>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658.6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674.3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658.6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676.7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000000"/>
          </w:tcPr>
          <w:p>
            <w:pPr>
              <w:spacing w:after="0"/>
              <w:rPr>
                <w:sz w:val="20"/>
                <w:szCs w:val="20"/>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20" w:type="dxa"/>
            <w:vAlign w:val="bottom"/>
            <w:tcBorders>
              <w:bottom w:val="single" w:sz="8" w:color="auto"/>
            </w:tcBorders>
            <w:shd w:val="clear" w:color="auto" w:fill="000000"/>
          </w:tcPr>
          <w:p>
            <w:pPr>
              <w:spacing w:after="0"/>
              <w:rPr>
                <w:sz w:val="21"/>
                <w:szCs w:val="2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619.6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577.9</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629.8</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566.8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11 %</w:t>
            </w:r>
          </w:p>
        </w:tc>
        <w:tc>
          <w:tcPr>
            <w:tcW w:w="20" w:type="dxa"/>
            <w:vAlign w:val="bottom"/>
            <w:shd w:val="clear" w:color="auto" w:fill="000000"/>
          </w:tcPr>
          <w:p>
            <w:pPr>
              <w:spacing w:after="0"/>
              <w:rPr>
                <w:sz w:val="20"/>
                <w:szCs w:val="20"/>
                <w:color w:val="auto"/>
              </w:rPr>
            </w:pP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15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Columns may not calculate due to rounding.</w:t>
      </w:r>
    </w:p>
    <w:p>
      <w:pPr>
        <w:spacing w:after="0" w:line="73" w:lineRule="exact"/>
        <w:rPr>
          <w:sz w:val="20"/>
          <w:szCs w:val="20"/>
          <w:color w:val="auto"/>
        </w:rPr>
      </w:pPr>
    </w:p>
    <w:p>
      <w:pPr>
        <w:ind w:left="60" w:right="160" w:firstLine="9"/>
        <w:spacing w:after="0" w:line="278" w:lineRule="auto"/>
        <w:tabs>
          <w:tab w:leader="none" w:pos="14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Reflects the impact of the Company's adoption of Accounting Standards Update 2014-09, "Revenue from Contracts with Customers (Topic 606)"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 For purposes of comparability, 2017 has been recast and is reconciled to GAAP in the section entitled “Management’s Use of Non-GAAP Financial Measures”, which includes certain estimates and assumptions made by the Company for the impact of ASC 606 on 2017 revenues, as the Company did not apply a full retrospective adoption.</w:t>
      </w:r>
    </w:p>
    <w:p>
      <w:pPr>
        <w:ind w:left="160" w:hanging="91"/>
        <w:spacing w:after="0" w:line="217" w:lineRule="auto"/>
        <w:tabs>
          <w:tab w:leader="none" w:pos="1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Reflects adjustments from previously disclosed amounts for the prior period to conform to current presentation.</w:t>
      </w:r>
    </w:p>
    <w:p>
      <w:pPr>
        <w:spacing w:after="0" w:line="64" w:lineRule="exact"/>
        <w:rPr>
          <w:rFonts w:ascii="Arial" w:cs="Arial" w:eastAsia="Arial" w:hAnsi="Arial"/>
          <w:sz w:val="22"/>
          <w:szCs w:val="22"/>
          <w:color w:val="auto"/>
          <w:vertAlign w:val="superscript"/>
        </w:rPr>
      </w:pPr>
    </w:p>
    <w:p>
      <w:pPr>
        <w:ind w:left="6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Other includes telematics, maintenance, food, and transportation related businesses.</w:t>
      </w:r>
    </w:p>
    <w:p>
      <w:pPr>
        <w:spacing w:after="0" w:line="9" w:lineRule="exact"/>
        <w:rPr>
          <w:sz w:val="20"/>
          <w:szCs w:val="20"/>
          <w:color w:val="auto"/>
        </w:rPr>
      </w:pPr>
    </w:p>
    <w:p>
      <w:pPr>
        <w:ind w:left="60" w:right="200" w:firstLine="9"/>
        <w:spacing w:after="0" w:line="253" w:lineRule="auto"/>
        <w:tabs>
          <w:tab w:leader="none" w:pos="141"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Fuel Cards product category further refined to Fuel, to reflect different ways that fuel is paid for by our customers and as a result, reflects immaterial reclassifications from previously disclosed amounts for the prior period.</w:t>
      </w:r>
    </w:p>
    <w:p>
      <w:pPr>
        <w:spacing w:after="0" w:line="2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 per transaction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spread margins. Revenue per transaction per customer changes as the level of services we provide to a customer increases or decreases, as macroeconomic factors change</w:t>
      </w:r>
    </w:p>
    <w:p>
      <w:pPr>
        <w:sectPr>
          <w:pgSz w:w="11900" w:h="16838" w:orient="portrait"/>
          <w:cols w:equalWidth="0" w:num="1">
            <w:col w:w="11440"/>
          </w:cols>
          <w:pgMar w:left="240" w:top="125" w:right="219" w:bottom="1440" w:gutter="0" w:footer="0" w:header="0"/>
        </w:sectPr>
      </w:pP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40"/>
          </w:cols>
          <w:pgMar w:left="240" w:top="125" w:right="2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as adjustments are made to merchant and customer rates. See “Results of Operations” for further discussion of transaction volumes and revenue per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incur expenses in the following categories:</w:t>
      </w:r>
    </w:p>
    <w:p>
      <w:pPr>
        <w:spacing w:after="0" w:line="131" w:lineRule="exact"/>
        <w:rPr>
          <w:sz w:val="20"/>
          <w:szCs w:val="20"/>
          <w:color w:val="auto"/>
        </w:rPr>
      </w:pPr>
    </w:p>
    <w:p>
      <w:pPr>
        <w:ind w:left="640" w:right="240" w:hanging="321"/>
        <w:spacing w:after="0" w:line="29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Merchant commissions</w:t>
      </w:r>
      <w:r>
        <w:rPr>
          <w:rFonts w:ascii="Arial" w:cs="Arial" w:eastAsia="Arial" w:hAnsi="Arial"/>
          <w:sz w:val="16"/>
          <w:szCs w:val="16"/>
          <w:color w:val="auto"/>
        </w:rPr>
        <w:t>—In certain of our card programs, we incur merchant commissions expense when we reimburse merchants with whom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direct, contractual relationships for specific transactions where a customer purchases products or services from the merchant. In the card programs where it is paid, merchant commissions equal the difference between the price paid by us to the merchant and the merchant’s wholesale cost of the underlying products or services. The adoption of ASC 606 on January 1, 2018, resulted in a change in the presentation of amounts previously classified as merchant commissions, resulting in these amounts being recorded within revenues, net in periods beginning in 2018.</w:t>
      </w:r>
    </w:p>
    <w:p>
      <w:pPr>
        <w:spacing w:after="0" w:line="3" w:lineRule="exact"/>
        <w:rPr>
          <w:rFonts w:ascii="Arial" w:cs="Arial" w:eastAsia="Arial" w:hAnsi="Arial"/>
          <w:sz w:val="16"/>
          <w:szCs w:val="16"/>
          <w:color w:val="auto"/>
        </w:rPr>
      </w:pPr>
    </w:p>
    <w:p>
      <w:pPr>
        <w:jc w:val="both"/>
        <w:ind w:left="640" w:right="420" w:hanging="321"/>
        <w:spacing w:after="0" w:line="30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Processing</w:t>
      </w:r>
      <w:r>
        <w:rPr>
          <w:rFonts w:ascii="Arial" w:cs="Arial" w:eastAsia="Arial" w:hAnsi="Arial"/>
          <w:sz w:val="16"/>
          <w:szCs w:val="16"/>
          <w:color w:val="auto"/>
        </w:rPr>
        <w:t>—Our processing expense consists of expenses related to processing transactions, servicing our customers and merchants, bad debt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cost of goods sold related to our hardware sales in certain businesses. Effective with the adoption of ASC 606 on January 1, 2018, certain third party processing expenses are netted with consolidated revenues, where the network is considered to be our customer.</w:t>
      </w:r>
    </w:p>
    <w:p>
      <w:pPr>
        <w:ind w:left="640" w:right="12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Selling</w:t>
      </w:r>
      <w:r>
        <w:rPr>
          <w:rFonts w:ascii="Arial" w:cs="Arial" w:eastAsia="Arial" w:hAnsi="Arial"/>
          <w:sz w:val="18"/>
          <w:szCs w:val="18"/>
          <w:color w:val="auto"/>
        </w:rPr>
        <w:t>—Our selling expenses consist primarily of wages, benefits, sales commissions (other than merchant commissions) and related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marketing and account management personnel and activities.</w:t>
      </w:r>
    </w:p>
    <w:p>
      <w:pPr>
        <w:spacing w:after="0" w:line="8" w:lineRule="exact"/>
        <w:rPr>
          <w:rFonts w:ascii="Arial" w:cs="Arial" w:eastAsia="Arial" w:hAnsi="Arial"/>
          <w:sz w:val="18"/>
          <w:szCs w:val="18"/>
          <w:color w:val="auto"/>
        </w:rPr>
      </w:pPr>
    </w:p>
    <w:p>
      <w:pPr>
        <w:ind w:left="640" w:right="60" w:hanging="321"/>
        <w:spacing w:after="0" w:line="30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—Our general and administrative expenses include compensation and related expenses (including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our executives, finance and accounting, information technology, human resources, legal and other administrative personnel. Also included are facilities expenses, third-party professional services fees, travel and entertainment expenses, and other corporate-level expenses.</w:t>
      </w:r>
    </w:p>
    <w:p>
      <w:pPr>
        <w:ind w:left="640" w:right="20" w:hanging="321"/>
        <w:spacing w:after="0" w:line="276"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—Our depreciation expenses include depreciation of property and equipment, consisting of computer hardware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10" w:lineRule="exact"/>
        <w:rPr>
          <w:rFonts w:ascii="Arial" w:cs="Arial" w:eastAsia="Arial" w:hAnsi="Arial"/>
          <w:sz w:val="17"/>
          <w:szCs w:val="17"/>
          <w:color w:val="auto"/>
        </w:rPr>
      </w:pPr>
    </w:p>
    <w:p>
      <w:pPr>
        <w:ind w:left="640" w:right="16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Other operating, net</w:t>
      </w:r>
      <w:r>
        <w:rPr>
          <w:rFonts w:ascii="Arial" w:cs="Arial" w:eastAsia="Arial" w:hAnsi="Arial"/>
          <w:sz w:val="18"/>
          <w:szCs w:val="18"/>
          <w:color w:val="auto"/>
        </w:rPr>
        <w:t>—Our other operating, net includes other operating expenses and income items that do not relate to our core operations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 infrequently.</w:t>
      </w:r>
    </w:p>
    <w:p>
      <w:pPr>
        <w:spacing w:after="0" w:line="8" w:lineRule="exact"/>
        <w:rPr>
          <w:rFonts w:ascii="Arial" w:cs="Arial" w:eastAsia="Arial" w:hAnsi="Arial"/>
          <w:sz w:val="18"/>
          <w:szCs w:val="18"/>
          <w:color w:val="auto"/>
        </w:rPr>
      </w:pPr>
    </w:p>
    <w:p>
      <w:pPr>
        <w:ind w:left="640" w:right="280" w:hanging="321"/>
        <w:spacing w:after="0" w:line="299"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Investment loss</w:t>
      </w:r>
      <w:r>
        <w:rPr>
          <w:rFonts w:ascii="Arial" w:cs="Arial" w:eastAsia="Arial" w:hAnsi="Arial"/>
          <w:sz w:val="16"/>
          <w:szCs w:val="16"/>
          <w:color w:val="auto"/>
        </w:rPr>
        <w:t>—Our investment results relate to our minority interest in Masternaut, a provider of telematics solutions to commercial fleets in</w:t>
      </w:r>
      <w:r>
        <w:rPr>
          <w:rFonts w:ascii="Arial" w:cs="Arial" w:eastAsia="Arial" w:hAnsi="Arial"/>
          <w:sz w:val="16"/>
          <w:szCs w:val="16"/>
          <w:i w:val="1"/>
          <w:iCs w:val="1"/>
          <w:color w:val="auto"/>
        </w:rPr>
        <w:t xml:space="preserve"> </w:t>
      </w:r>
      <w:r>
        <w:rPr>
          <w:rFonts w:ascii="Arial" w:cs="Arial" w:eastAsia="Arial" w:hAnsi="Arial"/>
          <w:sz w:val="16"/>
          <w:szCs w:val="16"/>
          <w:color w:val="auto"/>
        </w:rPr>
        <w:t>Europe, which we historically accounted for using the equity method and recorded our share of earnings and losses. On September 30, 2017, we entered into an amended Masternaut investment agreement that resulted in the loss of significant influence, and we began accounting for the Masternaut investment by applying the cost method. Also includes impairment charges related to Masternaut and other cost method investments.</w:t>
      </w:r>
    </w:p>
    <w:p>
      <w:pPr>
        <w:spacing w:after="0" w:line="1" w:lineRule="exact"/>
        <w:rPr>
          <w:rFonts w:ascii="Arial" w:cs="Arial" w:eastAsia="Arial" w:hAnsi="Arial"/>
          <w:sz w:val="16"/>
          <w:szCs w:val="16"/>
          <w:color w:val="auto"/>
        </w:rPr>
      </w:pPr>
    </w:p>
    <w:p>
      <w:pPr>
        <w:ind w:left="640" w:right="6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—Our other expense (income), net includes proceeds/costs from the sale of assets, foreign currency transaction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other miscellaneous operating costs and revenue.</w:t>
      </w:r>
    </w:p>
    <w:p>
      <w:pPr>
        <w:spacing w:after="0" w:line="8" w:lineRule="exact"/>
        <w:rPr>
          <w:rFonts w:ascii="Arial" w:cs="Arial" w:eastAsia="Arial" w:hAnsi="Arial"/>
          <w:sz w:val="18"/>
          <w:szCs w:val="18"/>
          <w:color w:val="auto"/>
        </w:rPr>
      </w:pPr>
    </w:p>
    <w:p>
      <w:pPr>
        <w:ind w:left="640" w:right="160" w:hanging="321"/>
        <w:spacing w:after="0" w:line="298"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—Our interest expense, net includes interest income on our cash balances and interest expense on our outstanding debt and on</w:t>
      </w:r>
      <w:r>
        <w:rPr>
          <w:rFonts w:ascii="Arial" w:cs="Arial" w:eastAsia="Arial" w:hAnsi="Arial"/>
          <w:sz w:val="17"/>
          <w:szCs w:val="17"/>
          <w:i w:val="1"/>
          <w:iCs w:val="1"/>
          <w:color w:val="auto"/>
        </w:rPr>
        <w:t xml:space="preserve"> </w:t>
      </w:r>
      <w:r>
        <w:rPr>
          <w:rFonts w:ascii="Arial" w:cs="Arial" w:eastAsia="Arial" w:hAnsi="Arial"/>
          <w:sz w:val="17"/>
          <w:szCs w:val="17"/>
          <w:color w:val="auto"/>
        </w:rPr>
        <w:t>our Securitization Facility. We have historically invested our cash primarily in short-term money market funds.</w:t>
      </w:r>
    </w:p>
    <w:p>
      <w:pPr>
        <w:ind w:left="64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—Loss on extinguishment of debt relates to our write-off of debt issuance costs associated with the refinancing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Credit Facility.</w:t>
      </w:r>
    </w:p>
    <w:p>
      <w:pPr>
        <w:spacing w:after="0" w:line="8"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—Our provision for income taxes consists primarily of corporate income taxes related to profits resulting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and services on a global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and trends are important in understanding our financial performance:</w:t>
      </w:r>
    </w:p>
    <w:p>
      <w:pPr>
        <w:spacing w:after="0" w:line="185" w:lineRule="exact"/>
        <w:rPr>
          <w:sz w:val="20"/>
          <w:szCs w:val="20"/>
          <w:color w:val="auto"/>
        </w:rPr>
      </w:pPr>
    </w:p>
    <w:p>
      <w:pPr>
        <w:ind w:left="640" w:right="40" w:hanging="321"/>
        <w:spacing w:after="0" w:line="264" w:lineRule="auto"/>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Global economic conditions</w:t>
      </w:r>
      <w:r>
        <w:rPr>
          <w:rFonts w:ascii="Arial" w:cs="Arial" w:eastAsia="Arial" w:hAnsi="Arial"/>
          <w:sz w:val="18"/>
          <w:szCs w:val="18"/>
          <w:color w:val="auto"/>
        </w:rPr>
        <w:t>—Our results of operations are materially affected by conditions in the economy generally, both in North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internationally. Factors affected by the economy include our transaction volumes, the credit risk of our customers and changes in tax laws across the globe. These factors affected our businesses in both our North America and International segments.</w:t>
      </w:r>
    </w:p>
    <w:p>
      <w:pPr>
        <w:spacing w:after="0" w:line="19" w:lineRule="exact"/>
        <w:rPr>
          <w:rFonts w:ascii="Arial" w:cs="Arial" w:eastAsia="Arial" w:hAnsi="Arial"/>
          <w:sz w:val="18"/>
          <w:szCs w:val="18"/>
          <w:i w:val="1"/>
          <w:iCs w:val="1"/>
          <w:color w:val="auto"/>
        </w:rPr>
      </w:pPr>
    </w:p>
    <w:p>
      <w:pPr>
        <w:jc w:val="both"/>
        <w:ind w:left="640" w:right="20" w:hanging="321"/>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Foreign currency changes</w:t>
      </w:r>
      <w:r>
        <w:rPr>
          <w:rFonts w:ascii="Arial" w:cs="Arial" w:eastAsia="Arial" w:hAnsi="Arial"/>
          <w:sz w:val="18"/>
          <w:szCs w:val="18"/>
          <w:color w:val="auto"/>
        </w:rPr>
        <w:t>—Our results of operations are significantly impacted by changes in foreign currency rates; namely, by movements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Australian dollar, Brazilian real, British pound, Canadian dollar, Czech koruna, Euro, Mexican peso, New Zealand dollar and Russian ruble, relative to the U.S. dollar. Approximately 60% and 63% of our revenue in the nine months ended September 30, 2018 and 2017, respectively, was derived in U.S. dollars and was not</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affected by foreign currency exchange rates. See “Results of Operations” for information related to foreign currency impact on our total revenue, net.</w:t>
      </w:r>
    </w:p>
    <w:p>
      <w:pPr>
        <w:spacing w:after="0" w:line="100" w:lineRule="exact"/>
        <w:rPr>
          <w:sz w:val="20"/>
          <w:szCs w:val="20"/>
          <w:color w:val="auto"/>
        </w:rPr>
      </w:pPr>
    </w:p>
    <w:p>
      <w:pPr>
        <w:ind w:left="640" w:right="140" w:hanging="321"/>
        <w:spacing w:after="0" w:line="257" w:lineRule="auto"/>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Fuel prices</w:t>
      </w:r>
      <w:r>
        <w:rPr>
          <w:rFonts w:ascii="Arial" w:cs="Arial" w:eastAsia="Arial" w:hAnsi="Arial"/>
          <w:sz w:val="18"/>
          <w:szCs w:val="18"/>
          <w:color w:val="auto"/>
        </w:rPr>
        <w:t>—Our fleet customers use our products and services primarily in connection with the purchase of fuel. Accordingly, our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See “Sources of Revenue” above for further information related to the absolute price of fuel.</w:t>
      </w:r>
    </w:p>
    <w:p>
      <w:pPr>
        <w:spacing w:after="0" w:line="26" w:lineRule="exact"/>
        <w:rPr>
          <w:rFonts w:ascii="Arial" w:cs="Arial" w:eastAsia="Arial" w:hAnsi="Arial"/>
          <w:sz w:val="18"/>
          <w:szCs w:val="18"/>
          <w:i w:val="1"/>
          <w:iCs w:val="1"/>
          <w:color w:val="auto"/>
        </w:rPr>
      </w:pPr>
    </w:p>
    <w:p>
      <w:pPr>
        <w:ind w:left="640" w:right="80" w:hanging="321"/>
        <w:spacing w:after="0" w:line="271"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Fuel-price spread volatility</w:t>
      </w:r>
      <w:r>
        <w:rPr>
          <w:rFonts w:ascii="Arial" w:cs="Arial" w:eastAsia="Arial" w:hAnsi="Arial"/>
          <w:sz w:val="17"/>
          <w:szCs w:val="17"/>
          <w:color w:val="auto"/>
        </w:rPr>
        <w:t>—A portion of our revenue involves transactions where we derive revenue from fuel-price spreads, which is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See “Sources of Revenue” above for further information related to fuel-price spreads.</w:t>
      </w:r>
    </w:p>
    <w:p>
      <w:pPr>
        <w:spacing w:after="0" w:line="16" w:lineRule="exact"/>
        <w:rPr>
          <w:rFonts w:ascii="Arial" w:cs="Arial" w:eastAsia="Arial" w:hAnsi="Arial"/>
          <w:sz w:val="17"/>
          <w:szCs w:val="17"/>
          <w:color w:val="auto"/>
        </w:rPr>
      </w:pPr>
    </w:p>
    <w:p>
      <w:pPr>
        <w:ind w:left="640" w:right="80" w:hanging="321"/>
        <w:spacing w:after="0" w:line="25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—Since 2002, we have completed over 75 acquisitions of companies and commercial account portfolios. Acquisitions have been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24" w:lineRule="exact"/>
        <w:rPr>
          <w:rFonts w:ascii="Arial" w:cs="Arial" w:eastAsia="Arial" w:hAnsi="Arial"/>
          <w:sz w:val="18"/>
          <w:szCs w:val="18"/>
          <w:color w:val="auto"/>
        </w:rPr>
      </w:pPr>
    </w:p>
    <w:p>
      <w:pPr>
        <w:ind w:left="640" w:right="70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—Our results of operations are affected by interest rates. We are exposed to market risk to changes in interest rates on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debt.</w:t>
      </w:r>
    </w:p>
    <w:p>
      <w:pPr>
        <w:spacing w:after="0" w:line="8" w:lineRule="exact"/>
        <w:rPr>
          <w:rFonts w:ascii="Arial" w:cs="Arial" w:eastAsia="Arial" w:hAnsi="Arial"/>
          <w:sz w:val="18"/>
          <w:szCs w:val="18"/>
          <w:color w:val="auto"/>
        </w:rPr>
      </w:pPr>
    </w:p>
    <w:p>
      <w:pPr>
        <w:ind w:left="640" w:right="30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Over the long term, we expect that our general and administrative expense will decrease as a percentage of revenue as our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support our expected revenue growth, we plan to continue to incur additional sales and marketing expense by investing in our direct marketing, third-party agents, internet marketing, telemarketing and field sales force.</w:t>
      </w:r>
    </w:p>
    <w:p>
      <w:pPr>
        <w:spacing w:after="0" w:line="19" w:lineRule="exact"/>
        <w:rPr>
          <w:rFonts w:ascii="Arial" w:cs="Arial" w:eastAsia="Arial" w:hAnsi="Arial"/>
          <w:sz w:val="18"/>
          <w:szCs w:val="18"/>
          <w:color w:val="auto"/>
        </w:rPr>
      </w:pPr>
    </w:p>
    <w:p>
      <w:pPr>
        <w:ind w:left="640" w:right="24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We pay taxes in many different taxing jurisdictions, including the U.S., most U.S. states and many non-U.S. jurisdictions. The tax rates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non-U.S. taxing jurisdictions are higher than the U.S. tax rate. Consequently, as our earnings fluctuate between taxing jurisdictions, our effective tax rate fluctuates.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2018, the Company made deferred payments of $3.8 million related to acquisitions occurring in prior years.</w:t>
      </w:r>
    </w:p>
    <w:p>
      <w:pPr>
        <w:spacing w:after="0" w:line="14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2017, the Company completed acquisitions with an aggregate purchase price of $725.1 million, net of cash acquired of $96.3 million. During 2017, the Company made investments in other businesses of $39 million.</w:t>
      </w:r>
    </w:p>
    <w:p>
      <w:pPr>
        <w:spacing w:after="0" w:line="170" w:lineRule="exact"/>
        <w:rPr>
          <w:sz w:val="20"/>
          <w:szCs w:val="20"/>
          <w:color w:val="auto"/>
        </w:rPr>
      </w:pPr>
    </w:p>
    <w:p>
      <w:pPr>
        <w:ind w:left="660" w:hanging="328"/>
        <w:spacing w:after="0" w:line="28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August 9, 2017, we acquired Cambridge, a business to business (B2B) international payments provider, for approximately $616.0 million in cash, net of cash acquired of $94.5 million and inclusive of a note payable of $23.8 million. Cambridge processes B2B cross-border payments, assisting business clients in making international payments. The purpose of this acquisition is to further expand our corporate payments footprint.</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September 26, 2017, we acquired a fuel card provider in Russia.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October 13, 2017, we completed the acquisition of CLS, a small lodging business, in the United States.</w:t>
      </w:r>
    </w:p>
    <w:p>
      <w:pPr>
        <w:spacing w:after="0" w:line="2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report our results from Cambridge and CLS acquired in the third and fourth quarters of 2017, respectively, in our North America segment, from the date of acquisition. The results of operations from the fuel card business in Russia are included within our International segment, from the date of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Telematics Businesses</w:t>
      </w:r>
    </w:p>
    <w:p>
      <w:pPr>
        <w:spacing w:after="0" w:line="2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As part of our plan to exit the telematics business, on July 27, 2017, we sold NexTraq, a U.S. fleet telematics business, to Michelin Group for $316 million. We recorded a pre-tax gain on the disposal of NexTraq of $175.0 million during the third quarter of 2017, which was net of transaction closing costs. We recorded tax on the gain of disposal of $65.8 million. NexTraq was historically included in our North America segment.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September 30, 2017, we entered into an amended Masternaut investment agreement that resulted in the loss of significant influence, and we began accounting for the Masternaut investment by applying the cost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Chevron Portfolio</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October 2018, we reached an agreement on the terms for the sale and transition of the Chevron portfolio for approximately $160 million, which will be recorded as a pre-tax gain, less any transaction costs.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to the three months ended September 30, 2017</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selected consolidated statement of income and selected operational data for the three months ended September 30, 2018 and 2017 (in millions,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Three Months Ended</w:t>
            </w:r>
          </w:p>
        </w:tc>
        <w:tc>
          <w:tcPr>
            <w:tcW w:w="2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 of total</w:t>
            </w:r>
          </w:p>
        </w:tc>
        <w:tc>
          <w:tcPr>
            <w:tcW w:w="160" w:type="dxa"/>
            <w:vAlign w:val="bottom"/>
          </w:tcPr>
          <w:p>
            <w:pPr>
              <w:spacing w:after="0"/>
              <w:rPr>
                <w:sz w:val="17"/>
                <w:szCs w:val="17"/>
                <w:color w:val="auto"/>
              </w:rPr>
            </w:pPr>
          </w:p>
        </w:tc>
        <w:tc>
          <w:tcPr>
            <w:tcW w:w="174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Three Months Ended</w:t>
            </w: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 of total</w:t>
            </w:r>
          </w:p>
        </w:tc>
        <w:tc>
          <w:tcPr>
            <w:tcW w:w="220" w:type="dxa"/>
            <w:vAlign w:val="bottom"/>
          </w:tcPr>
          <w:p>
            <w:pPr>
              <w:spacing w:after="0"/>
              <w:rPr>
                <w:sz w:val="17"/>
                <w:szCs w:val="17"/>
                <w:color w:val="auto"/>
              </w:rPr>
            </w:pPr>
          </w:p>
        </w:tc>
        <w:tc>
          <w:tcPr>
            <w:tcW w:w="1160" w:type="dxa"/>
            <w:vAlign w:val="bottom"/>
          </w:tcPr>
          <w:p>
            <w:pPr>
              <w:jc w:val="right"/>
              <w:ind w:right="311"/>
              <w:spacing w:after="0"/>
              <w:rPr>
                <w:sz w:val="20"/>
                <w:szCs w:val="20"/>
                <w:color w:val="auto"/>
              </w:rPr>
            </w:pPr>
            <w:r>
              <w:rPr>
                <w:rFonts w:ascii="Arial" w:cs="Arial" w:eastAsia="Arial" w:hAnsi="Arial"/>
                <w:sz w:val="16"/>
                <w:szCs w:val="16"/>
                <w:b w:val="1"/>
                <w:bCs w:val="1"/>
                <w:color w:val="auto"/>
              </w:rPr>
              <w:t>Increase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6"/>
                <w:szCs w:val="16"/>
                <w:b w:val="1"/>
                <w:bCs w:val="1"/>
                <w:color w:val="auto"/>
                <w:w w:val="94"/>
              </w:rPr>
              <w:t>June 30, 2018</w:t>
            </w:r>
            <w:r>
              <w:rPr>
                <w:rFonts w:ascii="Arial" w:cs="Arial" w:eastAsia="Arial" w:hAnsi="Arial"/>
                <w:sz w:val="21"/>
                <w:szCs w:val="21"/>
                <w:b w:val="1"/>
                <w:bCs w:val="1"/>
                <w:color w:val="auto"/>
                <w:w w:val="94"/>
                <w:vertAlign w:val="superscript"/>
              </w:rPr>
              <w:t>1</w:t>
            </w:r>
          </w:p>
        </w:tc>
        <w:tc>
          <w:tcPr>
            <w:tcW w:w="22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21"/>
                <w:szCs w:val="21"/>
                <w:color w:val="auto"/>
              </w:rPr>
            </w:pPr>
          </w:p>
        </w:tc>
        <w:tc>
          <w:tcPr>
            <w:tcW w:w="174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September 30, 2017</w:t>
            </w:r>
            <w:r>
              <w:rPr>
                <w:rFonts w:ascii="Arial" w:cs="Arial" w:eastAsia="Arial" w:hAnsi="Arial"/>
                <w:sz w:val="21"/>
                <w:szCs w:val="21"/>
                <w:b w:val="1"/>
                <w:bCs w:val="1"/>
                <w:color w:val="auto"/>
                <w:w w:val="94"/>
                <w:vertAlign w:val="superscript"/>
              </w:rPr>
              <w:t>2</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116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(decrease)</w:t>
            </w:r>
          </w:p>
        </w:tc>
        <w:tc>
          <w:tcPr>
            <w:tcW w:w="120" w:type="dxa"/>
            <w:vAlign w:val="bottom"/>
          </w:tcPr>
          <w:p>
            <w:pPr>
              <w:spacing w:after="0"/>
              <w:rPr>
                <w:sz w:val="21"/>
                <w:szCs w:val="21"/>
                <w:color w:val="auto"/>
              </w:rPr>
            </w:pPr>
          </w:p>
        </w:tc>
        <w:tc>
          <w:tcPr>
            <w:tcW w:w="124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2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2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412.8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368.0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206.8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91"/>
              <w:spacing w:after="0"/>
              <w:rPr>
                <w:sz w:val="20"/>
                <w:szCs w:val="20"/>
                <w:color w:val="auto"/>
              </w:rPr>
            </w:pPr>
            <w:r>
              <w:rPr>
                <w:rFonts w:ascii="Arial" w:cs="Arial" w:eastAsia="Arial" w:hAnsi="Arial"/>
                <w:sz w:val="18"/>
                <w:szCs w:val="18"/>
                <w:color w:val="auto"/>
              </w:rPr>
              <w:t>209.9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619.6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577.9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29"/>
        </w:trPr>
        <w:tc>
          <w:tcPr>
            <w:tcW w:w="2240" w:type="dxa"/>
            <w:vAlign w:val="bottom"/>
          </w:tcPr>
          <w:p>
            <w:pPr>
              <w:ind w:left="40"/>
              <w:spacing w:after="0"/>
              <w:rPr>
                <w:sz w:val="20"/>
                <w:szCs w:val="20"/>
                <w:color w:val="auto"/>
              </w:rPr>
            </w:pPr>
            <w:r>
              <w:rPr>
                <w:rFonts w:ascii="Arial" w:cs="Arial" w:eastAsia="Arial" w:hAnsi="Arial"/>
                <w:sz w:val="18"/>
                <w:szCs w:val="18"/>
                <w:color w:val="auto"/>
              </w:rPr>
              <w:t>Consolidated operating</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2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128.4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91"/>
              <w:spacing w:after="0"/>
              <w:rPr>
                <w:sz w:val="20"/>
                <w:szCs w:val="20"/>
                <w:color w:val="auto"/>
              </w:rPr>
            </w:pPr>
            <w:r>
              <w:rPr>
                <w:rFonts w:ascii="Arial" w:cs="Arial" w:eastAsia="Arial" w:hAnsi="Arial"/>
                <w:sz w:val="18"/>
                <w:szCs w:val="18"/>
                <w:color w:val="auto"/>
              </w:rPr>
              <w:t>111.3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15.4 %</w:t>
            </w: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98.0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91"/>
              <w:spacing w:after="0"/>
              <w:rPr>
                <w:sz w:val="20"/>
                <w:szCs w:val="20"/>
                <w:color w:val="auto"/>
              </w:rPr>
            </w:pPr>
            <w:r>
              <w:rPr>
                <w:rFonts w:ascii="Arial" w:cs="Arial" w:eastAsia="Arial" w:hAnsi="Arial"/>
                <w:sz w:val="18"/>
                <w:szCs w:val="18"/>
                <w:color w:val="auto"/>
              </w:rPr>
              <w:t>92.1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2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281.1</w:t>
            </w:r>
          </w:p>
        </w:tc>
        <w:tc>
          <w:tcPr>
            <w:tcW w:w="2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20.8 %</w:t>
            </w:r>
          </w:p>
        </w:tc>
      </w:tr>
      <w:tr>
        <w:trPr>
          <w:trHeight w:val="27"/>
        </w:trPr>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loss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w w:val="95"/>
              </w:rPr>
              <w:t>Other expense (income), net</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(175.3)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NM</w:t>
            </w: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22.9 %</w:t>
            </w:r>
          </w:p>
        </w:tc>
      </w:tr>
      <w:tr>
        <w:trPr>
          <w:trHeight w:val="229"/>
        </w:trPr>
        <w:tc>
          <w:tcPr>
            <w:tcW w:w="2240" w:type="dxa"/>
            <w:vAlign w:val="bottom"/>
          </w:tcPr>
          <w:p>
            <w:pPr>
              <w:ind w:left="40"/>
              <w:spacing w:after="0"/>
              <w:rPr>
                <w:sz w:val="20"/>
                <w:szCs w:val="20"/>
                <w:color w:val="auto"/>
              </w:rPr>
            </w:pPr>
            <w:r>
              <w:rPr>
                <w:rFonts w:ascii="Arial" w:cs="Arial" w:eastAsia="Arial" w:hAnsi="Arial"/>
                <w:sz w:val="18"/>
                <w:szCs w:val="18"/>
                <w:color w:val="auto"/>
              </w:rPr>
              <w:t>Loss on extinguishment of</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240" w:type="dxa"/>
            <w:vAlign w:val="bottom"/>
          </w:tcPr>
          <w:p>
            <w:pPr>
              <w:ind w:left="4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74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7"/>
        </w:trPr>
        <w:tc>
          <w:tcPr>
            <w:tcW w:w="2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35.1 %</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67"/>
        </w:trPr>
        <w:tc>
          <w:tcPr>
            <w:tcW w:w="2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182"/>
        </w:trPr>
        <w:tc>
          <w:tcPr>
            <w:tcW w:w="2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Operating income for</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177.8</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91"/>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28.4 %</w:t>
            </w: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103.3</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97"/>
        </w:trPr>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281.1</w:t>
            </w:r>
          </w:p>
        </w:tc>
        <w:tc>
          <w:tcPr>
            <w:tcW w:w="2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48.5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20.8 %</w:t>
            </w:r>
          </w:p>
        </w:tc>
      </w:tr>
      <w:tr>
        <w:trPr>
          <w:trHeight w:val="189"/>
        </w:trPr>
        <w:tc>
          <w:tcPr>
            <w:tcW w:w="22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Operating margin for</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columns and rows may not calculate due to rounding.</w:t>
      </w:r>
    </w:p>
    <w:p>
      <w:pPr>
        <w:spacing w:after="0" w:line="5" w:lineRule="exact"/>
        <w:rPr>
          <w:sz w:val="20"/>
          <w:szCs w:val="20"/>
          <w:color w:val="auto"/>
        </w:rPr>
      </w:pPr>
    </w:p>
    <w:p>
      <w:pPr>
        <w:ind w:right="40" w:firstLine="8"/>
        <w:spacing w:after="0" w:line="253" w:lineRule="auto"/>
        <w:tabs>
          <w:tab w:leader="none" w:pos="94"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w:t>
      </w:r>
    </w:p>
    <w:p>
      <w:pPr>
        <w:spacing w:after="0" w:line="193" w:lineRule="exact"/>
        <w:rPr>
          <w:sz w:val="20"/>
          <w:szCs w:val="20"/>
          <w:color w:val="auto"/>
        </w:rPr>
      </w:pPr>
    </w:p>
    <w:p>
      <w:pPr>
        <w:ind w:right="100"/>
        <w:spacing w:after="0" w:line="22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The results from our Cambridge business acquired in the third quarter of 2017 are reported in our North America segment. As we have concluded that this business is part of our North America segment, the results for this business have been recast from our International segment into our North America segment for the three and nine month periods ended September 30, 2017.</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Our consolidated revenues were $619.6 million in the three months ended September 30, 2018, an increase of $41.7 million or 7.2%, from $577.9 million in the three months ended September 30, 2017. The increase in our consolidated revenue was primarily due to:</w:t>
      </w:r>
    </w:p>
    <w:p>
      <w:pPr>
        <w:spacing w:after="0" w:line="1" w:lineRule="exact"/>
        <w:rPr>
          <w:sz w:val="20"/>
          <w:szCs w:val="20"/>
          <w:color w:val="auto"/>
        </w:rPr>
      </w:pPr>
    </w:p>
    <w:p>
      <w:pPr>
        <w:ind w:left="540" w:right="40" w:hanging="316"/>
        <w:spacing w:after="0" w:line="281"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Organic growth of approximately 11% on a constant fuel price, fuel spread margin, foreign currency and acquisition and disposition basis, driven by increases in both volume and revenue per transaction in certain of our payment programs. Organic revenue growth has been calculated assuming ASC 606 was implemented on January 1, 2017, in order to calculate organic growth using comparable revenue results in each period.</w:t>
      </w:r>
    </w:p>
    <w:p>
      <w:pPr>
        <w:spacing w:after="0" w:line="2" w:lineRule="exact"/>
        <w:rPr>
          <w:rFonts w:ascii="Arial" w:cs="Arial" w:eastAsia="Arial" w:hAnsi="Arial"/>
          <w:sz w:val="16"/>
          <w:szCs w:val="16"/>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acquisitions during 2017, which contributed approximately $20 million in additional revenue.</w:t>
      </w:r>
    </w:p>
    <w:p>
      <w:pPr>
        <w:spacing w:after="0" w:line="9" w:lineRule="exact"/>
        <w:rPr>
          <w:rFonts w:ascii="Arial" w:cs="Arial" w:eastAsia="Arial" w:hAnsi="Arial"/>
          <w:sz w:val="18"/>
          <w:szCs w:val="18"/>
          <w:color w:val="auto"/>
        </w:rPr>
      </w:pPr>
    </w:p>
    <w:p>
      <w:pPr>
        <w:ind w:left="540" w:hanging="316"/>
        <w:spacing w:after="0" w:line="25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negative impact on our consolidated revenue for the three months ended September 30, 2018 over the comparable period in 2017 of approximately $9 million. Foreign exchange rates had an unfavorable impact on consolidated revenues in the three months ended September 30, 2018 over the comparable period in 2017 of approximately $26 million, primarily due to unfavorable changes in foreign exchange rates mostly in Brazil, partially offset by the favorable impact of higher fuel prices of approximately $14 million and favorable fuel spread margins of approximately $3 million, in the three months ended September 30, 2018 over the comparable period in 2017.</w:t>
      </w:r>
    </w:p>
    <w:p>
      <w:pPr>
        <w:spacing w:after="0" w:line="194" w:lineRule="exact"/>
        <w:rPr>
          <w:sz w:val="20"/>
          <w:szCs w:val="20"/>
          <w:color w:val="auto"/>
        </w:rPr>
      </w:pPr>
    </w:p>
    <w:p>
      <w:pPr>
        <w:ind w:left="60" w:right="240"/>
        <w:spacing w:after="0" w:line="264" w:lineRule="auto"/>
        <w:rPr>
          <w:sz w:val="20"/>
          <w:szCs w:val="20"/>
          <w:color w:val="auto"/>
        </w:rPr>
      </w:pPr>
      <w:r>
        <w:rPr>
          <w:rFonts w:ascii="Arial" w:cs="Arial" w:eastAsia="Arial" w:hAnsi="Arial"/>
          <w:sz w:val="18"/>
          <w:szCs w:val="18"/>
          <w:color w:val="auto"/>
        </w:rPr>
        <w:t>These increases were partially offset by the impact of the adoption of ASC 606, which decreased consolidated revenues, net by netting approximately $28 million of amounts previously classified as merchant commissions and processing expense against revenues and by approximately $2 million due to the disposition of the NexTraq business in July 2017.</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North America segment revenues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North America revenues were $412.8 million in the three months ended September 30, 2018, an increase of $44.8 million or 12.2%, from $368.0 million in the three months ended September 30, 2017. The increase in our North America segment revenue was primarily due to:</w:t>
      </w:r>
    </w:p>
    <w:p>
      <w:pPr>
        <w:spacing w:after="0" w:line="170" w:lineRule="exact"/>
        <w:rPr>
          <w:sz w:val="20"/>
          <w:szCs w:val="20"/>
          <w:color w:val="auto"/>
        </w:rPr>
      </w:pPr>
    </w:p>
    <w:p>
      <w:pPr>
        <w:ind w:left="540" w:right="160" w:hanging="316"/>
        <w:spacing w:after="0" w:line="271"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Organic growth of approximately 11%, on a constant fuel price, fuel spread margin and acquisition and disposition basis, driven by increases in both volume and revenue per transaction in certain of our payment programs. Organic revenue growth has been calculated assuming ASC 606 was implemented on January 1, 2017, in order to calculate organic growth using comparable revenue results in each period.</w:t>
      </w: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our Cambridge and CLS acquisitions during 2017, which contributed approximately $18 million in additional revenue.</w:t>
      </w:r>
    </w:p>
    <w:p>
      <w:pPr>
        <w:spacing w:after="0" w:line="9" w:lineRule="exact"/>
        <w:rPr>
          <w:rFonts w:ascii="Arial" w:cs="Arial" w:eastAsia="Arial" w:hAnsi="Arial"/>
          <w:sz w:val="18"/>
          <w:szCs w:val="18"/>
          <w:color w:val="auto"/>
        </w:rPr>
      </w:pPr>
    </w:p>
    <w:p>
      <w:pPr>
        <w:ind w:left="540" w:right="20" w:hanging="316"/>
        <w:spacing w:after="0" w:line="302"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Although we cannot precisely measure the impact of the macroeconomic environment, in total we believe it had a positive impact on our North America segment revenue in three months ended September 30, 2018 over the comparable period in 2017 of approximately $14 million, primarily due to the favorable impact of higher fuel prices of approximately $11 million and favorable fuel spread margins of approximately $3 million.</w:t>
      </w:r>
    </w:p>
    <w:p>
      <w:pPr>
        <w:spacing w:after="0" w:line="155"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These increases were partially offset by the impact of the adoption of ASC 606, which decreased North America revenues, net by approximately $23 million and by approximately $2 million due to the disposition of the NexTraq business in July 2017.</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segment revenues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International segment revenues were $206.8 million in the three months ended September 30, 2018, a decrease of $3.1 million or 1.5%, from $209.9 million in the three months ended September 30, 2017. The decrease in our International segment revenue was primarily due to:</w:t>
      </w:r>
    </w:p>
    <w:p>
      <w:pPr>
        <w:spacing w:after="0" w:line="76" w:lineRule="exact"/>
        <w:rPr>
          <w:sz w:val="20"/>
          <w:szCs w:val="20"/>
          <w:color w:val="auto"/>
        </w:rPr>
      </w:pPr>
    </w:p>
    <w:p>
      <w:pPr>
        <w:ind w:left="640" w:right="120" w:hanging="321"/>
        <w:spacing w:after="0" w:line="253"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negative impact on our International segment revenue for the three months ended September 30, 2018 over the comparable period in 2017 of approximately $23 million. Unfavorable foreign exchange rates negatively impacted consolidated revenues by approximately $25 million primarily due to unfavorable changes in foreign exchange rates mostly in Brazil, partially offset by the favorable impact of higher fuel prices on consolidated revenues of approximately $3 million.</w:t>
      </w:r>
    </w:p>
    <w:p>
      <w:pPr>
        <w:spacing w:after="0" w:line="3" w:lineRule="exact"/>
        <w:rPr>
          <w:rFonts w:ascii="Arial" w:cs="Arial" w:eastAsia="Arial" w:hAnsi="Arial"/>
          <w:sz w:val="18"/>
          <w:szCs w:val="18"/>
          <w:color w:val="auto"/>
        </w:rPr>
      </w:pPr>
    </w:p>
    <w:p>
      <w:pPr>
        <w:ind w:left="640" w:right="280" w:hanging="321"/>
        <w:spacing w:after="0" w:line="265"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Organic growth of approximately 11% on a constant fuel price, fuel spread margin and acquisition basis, driven by increases in both volume and revenue per transaction in certain of our payment programs. Organic revenue growth has been calculated assuming ASC 606 was implemented in January 2017 in order to calculate organic growth using a consistent revenue standard in both periods.</w:t>
      </w: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 small fuel card acquisition during 2017, which contributed approximately $2 million in additional revenue.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impact of the adoption of ASC 606 also decreased International revenues, net by approximately $5 million.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Revenues by geography, product and source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below are further breakdowns of revenue by geography, product and source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2018 and 2017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393"/>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6"/>
        </w:trPr>
        <w:tc>
          <w:tcPr>
            <w:tcW w:w="250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 net by Geography*</w:t>
            </w:r>
          </w:p>
        </w:tc>
        <w:tc>
          <w:tcPr>
            <w:tcW w:w="380" w:type="dxa"/>
            <w:vAlign w:val="bottom"/>
          </w:tcPr>
          <w:p>
            <w:pPr>
              <w:spacing w:after="0"/>
              <w:rPr>
                <w:sz w:val="17"/>
                <w:szCs w:val="17"/>
                <w:color w:val="auto"/>
              </w:rPr>
            </w:pPr>
          </w:p>
        </w:tc>
        <w:tc>
          <w:tcPr>
            <w:tcW w:w="2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2018¹</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 of total</w:t>
            </w: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533"/>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25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18"/>
                <w:szCs w:val="18"/>
                <w:color w:val="auto"/>
              </w:rPr>
            </w:pPr>
          </w:p>
        </w:tc>
        <w:tc>
          <w:tcPr>
            <w:tcW w:w="22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Revenues, net</w:t>
            </w: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revenues, net</w:t>
            </w:r>
          </w:p>
        </w:tc>
        <w:tc>
          <w:tcPr>
            <w:tcW w:w="1700" w:type="dxa"/>
            <w:vAlign w:val="bottom"/>
          </w:tcPr>
          <w:p>
            <w:pPr>
              <w:jc w:val="right"/>
              <w:ind w:right="33"/>
              <w:spacing w:after="0"/>
              <w:rPr>
                <w:sz w:val="20"/>
                <w:szCs w:val="20"/>
                <w:color w:val="auto"/>
              </w:rPr>
            </w:pPr>
            <w:r>
              <w:rPr>
                <w:rFonts w:ascii="Arial" w:cs="Arial" w:eastAsia="Arial" w:hAnsi="Arial"/>
                <w:sz w:val="16"/>
                <w:szCs w:val="16"/>
                <w:b w:val="1"/>
                <w:bCs w:val="1"/>
                <w:color w:val="auto"/>
              </w:rPr>
              <w:t>Revenues,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433"/>
              <w:spacing w:after="0"/>
              <w:rPr>
                <w:sz w:val="20"/>
                <w:szCs w:val="20"/>
                <w:color w:val="auto"/>
              </w:rPr>
            </w:pPr>
            <w:r>
              <w:rPr>
                <w:rFonts w:ascii="Arial" w:cs="Arial" w:eastAsia="Arial" w:hAnsi="Arial"/>
                <w:sz w:val="16"/>
                <w:szCs w:val="16"/>
                <w:b w:val="1"/>
                <w:bCs w:val="1"/>
                <w:color w:val="auto"/>
              </w:rPr>
              <w:t>revenues, net</w:t>
            </w:r>
          </w:p>
        </w:tc>
      </w:tr>
      <w:tr>
        <w:trPr>
          <w:trHeight w:val="33"/>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40" w:type="dxa"/>
            <w:vAlign w:val="bottom"/>
          </w:tcPr>
          <w:p>
            <w:pPr>
              <w:spacing w:after="0"/>
              <w:rPr>
                <w:sz w:val="21"/>
                <w:szCs w:val="21"/>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Brazil</w:t>
            </w:r>
          </w:p>
        </w:tc>
        <w:tc>
          <w:tcPr>
            <w:tcW w:w="38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2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6"/>
        </w:trPr>
        <w:tc>
          <w:tcPr>
            <w:tcW w:w="358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 net by Product Category*</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w w:val="92"/>
              </w:rPr>
              <w:t>2018¹</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20" w:type="dxa"/>
            <w:vAlign w:val="bottom"/>
            <w:gridSpan w:val="3"/>
          </w:tcPr>
          <w:p>
            <w:pPr>
              <w:jc w:val="right"/>
              <w:ind w:right="1599"/>
              <w:spacing w:after="0"/>
              <w:rPr>
                <w:sz w:val="20"/>
                <w:szCs w:val="20"/>
                <w:color w:val="auto"/>
              </w:rPr>
            </w:pPr>
            <w:r>
              <w:rPr>
                <w:rFonts w:ascii="Arial" w:cs="Arial" w:eastAsia="Arial" w:hAnsi="Arial"/>
                <w:sz w:val="16"/>
                <w:szCs w:val="16"/>
                <w:b w:val="1"/>
                <w:bCs w:val="1"/>
                <w:color w:val="auto"/>
                <w:w w:val="89"/>
              </w:rPr>
              <w:t>2017</w:t>
            </w:r>
          </w:p>
        </w:tc>
      </w:tr>
      <w:tr>
        <w:trPr>
          <w:trHeight w:val="48"/>
        </w:trPr>
        <w:tc>
          <w:tcPr>
            <w:tcW w:w="4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72"/>
              <w:spacing w:after="0"/>
              <w:rPr>
                <w:sz w:val="20"/>
                <w:szCs w:val="20"/>
                <w:color w:val="auto"/>
              </w:rPr>
            </w:pPr>
            <w:r>
              <w:rPr>
                <w:rFonts w:ascii="Arial" w:cs="Arial" w:eastAsia="Arial" w:hAnsi="Arial"/>
                <w:sz w:val="16"/>
                <w:szCs w:val="16"/>
                <w:b w:val="1"/>
                <w:bCs w:val="1"/>
                <w:color w:val="auto"/>
              </w:rPr>
              <w:t>Revenues,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358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1300" w:type="dxa"/>
            <w:vAlign w:val="bottom"/>
          </w:tcPr>
          <w:p>
            <w:pPr>
              <w:jc w:val="right"/>
              <w:ind w:right="214"/>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total revenues, net</w:t>
            </w:r>
          </w:p>
        </w:tc>
        <w:tc>
          <w:tcPr>
            <w:tcW w:w="320" w:type="dxa"/>
            <w:vAlign w:val="bottom"/>
          </w:tcPr>
          <w:p>
            <w:pPr>
              <w:spacing w:after="0"/>
              <w:rPr>
                <w:sz w:val="18"/>
                <w:szCs w:val="18"/>
                <w:color w:val="auto"/>
              </w:rPr>
            </w:pPr>
          </w:p>
        </w:tc>
        <w:tc>
          <w:tcPr>
            <w:tcW w:w="1360" w:type="dxa"/>
            <w:vAlign w:val="bottom"/>
          </w:tcPr>
          <w:p>
            <w:pPr>
              <w:jc w:val="right"/>
              <w:ind w:right="612"/>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379"/>
              <w:spacing w:after="0"/>
              <w:rPr>
                <w:sz w:val="20"/>
                <w:szCs w:val="20"/>
                <w:color w:val="auto"/>
              </w:rPr>
            </w:pPr>
            <w:r>
              <w:rPr>
                <w:rFonts w:ascii="Arial" w:cs="Arial" w:eastAsia="Arial" w:hAnsi="Arial"/>
                <w:sz w:val="16"/>
                <w:szCs w:val="16"/>
                <w:b w:val="1"/>
                <w:bCs w:val="1"/>
                <w:color w:val="auto"/>
              </w:rPr>
              <w:t>revenues, net</w:t>
            </w:r>
          </w:p>
        </w:tc>
      </w:tr>
      <w:tr>
        <w:trPr>
          <w:trHeight w:val="33"/>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Fuel</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4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Corporate Payments</w:t>
            </w:r>
          </w:p>
        </w:tc>
        <w:tc>
          <w:tcPr>
            <w:tcW w:w="1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Tolls</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Lodging</w:t>
            </w:r>
          </w:p>
        </w:tc>
        <w:tc>
          <w:tcPr>
            <w:tcW w:w="1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Gift</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Major Sources of Revenue, net</w:t>
            </w: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1720" w:type="dxa"/>
            <w:vAlign w:val="bottom"/>
          </w:tcPr>
          <w:p>
            <w:pPr>
              <w:spacing w:after="0"/>
              <w:rPr>
                <w:sz w:val="17"/>
                <w:szCs w:val="17"/>
                <w:color w:val="auto"/>
              </w:rPr>
            </w:pPr>
          </w:p>
        </w:tc>
      </w:tr>
      <w:tr>
        <w:trPr>
          <w:trHeight w:val="61"/>
        </w:trPr>
        <w:tc>
          <w:tcPr>
            <w:tcW w:w="40" w:type="dxa"/>
            <w:vAlign w:val="bottom"/>
          </w:tcPr>
          <w:p>
            <w:pPr>
              <w:spacing w:after="0"/>
              <w:rPr>
                <w:sz w:val="5"/>
                <w:szCs w:val="5"/>
                <w:color w:val="auto"/>
              </w:rPr>
            </w:pPr>
          </w:p>
        </w:tc>
        <w:tc>
          <w:tcPr>
            <w:tcW w:w="2120" w:type="dxa"/>
            <w:vAlign w:val="bottom"/>
            <w:tcBorders>
              <w:top w:val="single" w:sz="8" w:color="auto"/>
            </w:tcBorders>
          </w:tcPr>
          <w:p>
            <w:pPr>
              <w:spacing w:after="0"/>
              <w:rPr>
                <w:sz w:val="5"/>
                <w:szCs w:val="5"/>
                <w:color w:val="auto"/>
              </w:rPr>
            </w:pPr>
          </w:p>
        </w:tc>
        <w:tc>
          <w:tcPr>
            <w:tcW w:w="18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231"/>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36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2018¹</w:t>
            </w:r>
          </w:p>
        </w:tc>
        <w:tc>
          <w:tcPr>
            <w:tcW w:w="186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720" w:type="dxa"/>
            <w:vAlign w:val="bottom"/>
          </w:tcPr>
          <w:p>
            <w:pPr>
              <w:jc w:val="right"/>
              <w:ind w:right="691"/>
              <w:spacing w:after="0"/>
              <w:rPr>
                <w:sz w:val="20"/>
                <w:szCs w:val="20"/>
                <w:color w:val="auto"/>
              </w:rPr>
            </w:pPr>
            <w:r>
              <w:rPr>
                <w:rFonts w:ascii="Arial" w:cs="Arial" w:eastAsia="Arial" w:hAnsi="Arial"/>
                <w:sz w:val="16"/>
                <w:szCs w:val="16"/>
                <w:b w:val="1"/>
                <w:bCs w:val="1"/>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40" w:type="dxa"/>
            <w:vAlign w:val="bottom"/>
            <w:shd w:val="clear" w:color="auto" w:fill="CCEEFF"/>
          </w:tcPr>
          <w:p>
            <w:pPr>
              <w:spacing w:after="0"/>
              <w:rPr>
                <w:sz w:val="22"/>
                <w:szCs w:val="22"/>
                <w:color w:val="auto"/>
              </w:rPr>
            </w:pPr>
          </w:p>
        </w:tc>
        <w:tc>
          <w:tcPr>
            <w:tcW w:w="3960" w:type="dxa"/>
            <w:vAlign w:val="bottom"/>
            <w:gridSpan w:val="2"/>
            <w:shd w:val="clear" w:color="auto" w:fill="CCEEFF"/>
          </w:tcPr>
          <w:p>
            <w:pPr>
              <w:ind w:left="140"/>
              <w:spacing w:after="0" w:line="264" w:lineRule="exact"/>
              <w:rPr>
                <w:sz w:val="20"/>
                <w:szCs w:val="20"/>
                <w:color w:val="auto"/>
              </w:rPr>
            </w:pPr>
            <w:r>
              <w:rPr>
                <w:rFonts w:ascii="Arial" w:cs="Arial" w:eastAsia="Arial" w:hAnsi="Arial"/>
                <w:sz w:val="18"/>
                <w:szCs w:val="18"/>
                <w:color w:val="auto"/>
              </w:rPr>
              <w:t>Processing and Program Revenue</w:t>
            </w:r>
            <w:r>
              <w:rPr>
                <w:rFonts w:ascii="Arial" w:cs="Arial" w:eastAsia="Arial" w:hAnsi="Arial"/>
                <w:sz w:val="25"/>
                <w:szCs w:val="25"/>
                <w:color w:val="auto"/>
                <w:vertAlign w:val="superscript"/>
              </w:rPr>
              <w:t>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Late Fees and Finance Charges</w:t>
            </w:r>
            <w:r>
              <w:rPr>
                <w:rFonts w:ascii="Arial" w:cs="Arial" w:eastAsia="Arial" w:hAnsi="Arial"/>
                <w:sz w:val="25"/>
                <w:szCs w:val="25"/>
                <w:color w:val="auto"/>
                <w:vertAlign w:val="superscript"/>
              </w:rPr>
              <w:t>3</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Miscellaneous Fees</w:t>
            </w:r>
            <w:r>
              <w:rPr>
                <w:rFonts w:ascii="Arial" w:cs="Arial" w:eastAsia="Arial" w:hAnsi="Arial"/>
                <w:sz w:val="25"/>
                <w:szCs w:val="25"/>
                <w:color w:val="auto"/>
                <w:vertAlign w:val="superscript"/>
              </w:rPr>
              <w:t>4</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Discount Revenue (Fuel)</w:t>
            </w:r>
            <w:r>
              <w:rPr>
                <w:rFonts w:ascii="Arial" w:cs="Arial" w:eastAsia="Arial" w:hAnsi="Arial"/>
                <w:sz w:val="25"/>
                <w:szCs w:val="25"/>
                <w:color w:val="auto"/>
                <w:vertAlign w:val="superscript"/>
              </w:rPr>
              <w:t>5</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Discount Revenue (NonFuel)</w:t>
            </w:r>
            <w:r>
              <w:rPr>
                <w:rFonts w:ascii="Arial" w:cs="Arial" w:eastAsia="Arial" w:hAnsi="Arial"/>
                <w:sz w:val="25"/>
                <w:szCs w:val="25"/>
                <w:color w:val="auto"/>
                <w:vertAlign w:val="superscript"/>
              </w:rPr>
              <w:t>6</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Tied to Fuel-Price Spreads</w:t>
            </w:r>
            <w:r>
              <w:rPr>
                <w:rFonts w:ascii="Arial" w:cs="Arial" w:eastAsia="Arial" w:hAnsi="Arial"/>
                <w:sz w:val="25"/>
                <w:szCs w:val="25"/>
                <w:color w:val="auto"/>
                <w:vertAlign w:val="superscript"/>
              </w:rPr>
              <w:t>7</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Merchant Program Revenue</w:t>
            </w:r>
            <w:r>
              <w:rPr>
                <w:rFonts w:ascii="Arial" w:cs="Arial" w:eastAsia="Arial" w:hAnsi="Arial"/>
                <w:sz w:val="25"/>
                <w:szCs w:val="25"/>
                <w:color w:val="auto"/>
                <w:vertAlign w:val="superscript"/>
              </w:rPr>
              <w:t>8</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Consolidated revenues,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620</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gridSpan w:val="3"/>
          </w:tcPr>
          <w:p>
            <w:pPr>
              <w:jc w:val="right"/>
              <w:ind w:right="1554"/>
              <w:spacing w:after="0"/>
              <w:rPr>
                <w:sz w:val="20"/>
                <w:szCs w:val="20"/>
                <w:color w:val="auto"/>
              </w:rPr>
            </w:pPr>
            <w:r>
              <w:rPr>
                <w:rFonts w:ascii="Arial" w:cs="Arial" w:eastAsia="Arial" w:hAnsi="Arial"/>
                <w:sz w:val="18"/>
                <w:szCs w:val="18"/>
                <w:color w:val="auto"/>
                <w:w w:val="99"/>
              </w:rPr>
              <w:t>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120"/>
          </w:cols>
          <w:pgMar w:left="240" w:top="125" w:right="5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right="240" w:hanging="5"/>
        <w:spacing w:after="0" w:line="251" w:lineRule="auto"/>
        <w:tabs>
          <w:tab w:leader="none" w:pos="121"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w:t>
      </w:r>
    </w:p>
    <w:p>
      <w:pPr>
        <w:spacing w:after="0" w:line="43" w:lineRule="exact"/>
        <w:rPr>
          <w:sz w:val="20"/>
          <w:szCs w:val="20"/>
          <w:color w:val="auto"/>
        </w:rPr>
      </w:pPr>
    </w:p>
    <w:p>
      <w:pPr>
        <w:ind w:left="40" w:right="500" w:hanging="5"/>
        <w:spacing w:after="0" w:line="293" w:lineRule="auto"/>
        <w:tabs>
          <w:tab w:leader="none" w:pos="135"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revenue from customers based on accounts, cards, devices, transactions, load amounts and/or purchase amounts, etc. for participation in our various fleet and workforce related programs, as well as revenue from partners (e.g., major retailers, leasing companies, oil companies, petroleum marketers, etc.) for processing and network management services. Primarily represents revenue from North American trucking, lodging, prepaid benefits, telematics, gift cards and toll related businesses.</w:t>
      </w:r>
    </w:p>
    <w:p>
      <w:pPr>
        <w:ind w:left="120" w:hanging="85"/>
        <w:spacing w:after="0" w:line="210" w:lineRule="auto"/>
        <w:tabs>
          <w:tab w:leader="none" w:pos="12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Fees for late payment and interest charges for carrying a balance charged to a customer.</w:t>
      </w:r>
    </w:p>
    <w:p>
      <w:pPr>
        <w:spacing w:after="0" w:line="59" w:lineRule="exact"/>
        <w:rPr>
          <w:sz w:val="20"/>
          <w:szCs w:val="20"/>
          <w:color w:val="auto"/>
        </w:rPr>
      </w:pPr>
    </w:p>
    <w:p>
      <w:pPr>
        <w:ind w:left="40" w:right="420" w:hanging="5"/>
        <w:spacing w:after="0" w:line="220" w:lineRule="auto"/>
        <w:tabs>
          <w:tab w:leader="none" w:pos="135"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Non-standard fees charged to customers based on customer behavior or optional participation, primarily including high credit risk surcharges, over credit limit charges, minimum processing fees, printing and mailing fees, etc.</w:t>
      </w:r>
    </w:p>
    <w:p>
      <w:pPr>
        <w:spacing w:after="0" w:line="4" w:lineRule="exact"/>
        <w:rPr>
          <w:sz w:val="20"/>
          <w:szCs w:val="20"/>
          <w:color w:val="auto"/>
        </w:rPr>
      </w:pPr>
    </w:p>
    <w:p>
      <w:pPr>
        <w:ind w:left="120" w:hanging="85"/>
        <w:spacing w:after="0"/>
        <w:tabs>
          <w:tab w:leader="none" w:pos="12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Interchange revenue directly influenced by the absolute price of fuel and other interchange related to fuel products.</w:t>
      </w:r>
    </w:p>
    <w:p>
      <w:pPr>
        <w:spacing w:after="0" w:line="64" w:lineRule="exact"/>
        <w:rPr>
          <w:rFonts w:ascii="Arial" w:cs="Arial" w:eastAsia="Arial" w:hAnsi="Arial"/>
          <w:sz w:val="22"/>
          <w:szCs w:val="22"/>
          <w:color w:val="auto"/>
          <w:vertAlign w:val="superscript"/>
        </w:rPr>
      </w:pPr>
    </w:p>
    <w:p>
      <w:pPr>
        <w:ind w:left="4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Interchange revenue related to nonfuel products.</w:t>
      </w:r>
    </w:p>
    <w:p>
      <w:pPr>
        <w:spacing w:after="0" w:line="15" w:lineRule="exact"/>
        <w:rPr>
          <w:rFonts w:ascii="Arial" w:cs="Arial" w:eastAsia="Arial" w:hAnsi="Arial"/>
          <w:sz w:val="22"/>
          <w:szCs w:val="22"/>
          <w:color w:val="auto"/>
          <w:vertAlign w:val="superscript"/>
        </w:rPr>
      </w:pPr>
    </w:p>
    <w:p>
      <w:pPr>
        <w:ind w:left="40" w:right="940"/>
        <w:spacing w:after="0" w:line="255"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7</w:t>
      </w:r>
      <w:r>
        <w:rPr>
          <w:rFonts w:ascii="Arial" w:cs="Arial" w:eastAsia="Arial" w:hAnsi="Arial"/>
          <w:sz w:val="16"/>
          <w:szCs w:val="16"/>
          <w:color w:val="auto"/>
        </w:rPr>
        <w:t xml:space="preserve"> Revenue derived from the difference between the price charged to a fleet customer for a transaction and the price paid to the merchant for the same transaction. </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Revenue derived primarily from the sale of equipment, software and related maintenance to merchants.</w:t>
      </w:r>
    </w:p>
    <w:p>
      <w:pPr>
        <w:ind w:left="40"/>
        <w:spacing w:after="0"/>
        <w:rPr>
          <w:rFonts w:ascii="Arial" w:cs="Arial" w:eastAsia="Arial" w:hAnsi="Arial"/>
          <w:sz w:val="22"/>
          <w:szCs w:val="22"/>
          <w:color w:val="auto"/>
          <w:vertAlign w:val="superscript"/>
        </w:rPr>
      </w:pPr>
      <w:r>
        <w:rPr>
          <w:rFonts w:ascii="Arial" w:cs="Arial" w:eastAsia="Arial" w:hAnsi="Arial"/>
          <w:sz w:val="15"/>
          <w:szCs w:val="15"/>
          <w:color w:val="auto"/>
        </w:rPr>
        <w:t>* We may not be able to precisely calculate revenue by source, as certain estimates were made in these allocations. Columns may not calculate due to rounding.</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Merchant commissions. </w:t>
      </w:r>
      <w:r>
        <w:rPr>
          <w:rFonts w:ascii="Arial" w:cs="Arial" w:eastAsia="Arial" w:hAnsi="Arial"/>
          <w:sz w:val="18"/>
          <w:szCs w:val="18"/>
          <w:color w:val="auto"/>
        </w:rPr>
        <w:t>The adoption of ASC 606 on January 1, 2018, resulted in a change in the presentation of amounts previously classified as merchant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of $30.9 million in the three months ended September 30, 2018. As of January 1, 2018, these amounts are recorded within revenues, net. Merchant commissions were $27.7 million in the three months ended September 30, 2017.</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Processing. </w:t>
      </w:r>
      <w:r>
        <w:rPr>
          <w:rFonts w:ascii="Arial" w:cs="Arial" w:eastAsia="Arial" w:hAnsi="Arial"/>
          <w:sz w:val="17"/>
          <w:szCs w:val="17"/>
          <w:color w:val="auto"/>
        </w:rPr>
        <w:t>Processing expenses were $128.4 million in the three months ended September 30, 2018, an increase of $17.1 million or 15.4%, from $111.3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comparable prior period. Increases in processing expenses were primarily due to incremental bad debt expense of approximately $9 million, expenses related to acquisitions completed in 2017 of approximately $7 million and increased volumes in certain product lines. Additionally, the adoption of ASC 606 on January 1, 2018, resulted in a $2 million increase to processing expenses in the three months ended September 30, 2018. As of January 1, 2018, these amounts are recorded within revenues, net. These increases were partially offset by the favorable impact of fluctuations in foreign exchange rates of approximately $6 million and the impact of disposition of the NexTraq business.</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Selling. </w:t>
      </w:r>
      <w:r>
        <w:rPr>
          <w:rFonts w:ascii="Arial" w:cs="Arial" w:eastAsia="Arial" w:hAnsi="Arial"/>
          <w:sz w:val="16"/>
          <w:szCs w:val="16"/>
          <w:color w:val="auto"/>
        </w:rPr>
        <w:t>Selling expenses were $44.8 million in the three months ended September 30, 2018, a decrease of $0.3 million or 0.6%, from $45.1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prior period. Selling expenses decreased primarily due the favorable impact of fluctuations in foreign exchange rates of approximately $2 million and the impact of disposition of the NexTraq business, mostly offset by expenses related to acquisitions completed in 2017 of approximately $2 million. Additionally, the adoption of ASC 606 and related cost capitalization guidance on January 1, 2018, resulted in the capitalization of certain costs incurred to obtain a contract (sales commissions) and deferral over the period of benefit, resulting in reduced selling expenses of approximately $1 million.</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were $98.0 million in the three months ended September 30, 2018, an increase of $6.0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6.5%, from $92.1 million in the comparable prior period. The increase was primarily due to expenses related to acquisitions completed in 2017 of approximately $5 million and additional other professional and legal expenses of approximately $3 million over the comparable prior period. These increases were partially offset by a decrease in stock compensation expense of approximately $4 million and by the favorable impacts from fluctuations in foreign exchange rates of approximately $3 million and the impact of disposition of the NexTraq business.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expenses were $67.3 million in the three months ended September 30, 2018, a decrease of</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$1.9 million or 2.7%, from $69.2 million in the comparable prior period. The decrease was primarily due to the favorable impact of foreign exchange rates of approximately $4 million and the impact of disposition of the NexTraq business, partially offset by the impact of expenses related to acquisitions completed in 2017 of approximately $4 million.</w:t>
      </w:r>
    </w:p>
    <w:p>
      <w:pPr>
        <w:spacing w:after="0" w:line="190"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 xml:space="preserve">Investment loss. </w:t>
      </w:r>
      <w:r>
        <w:rPr>
          <w:rFonts w:ascii="Arial" w:cs="Arial" w:eastAsia="Arial" w:hAnsi="Arial"/>
          <w:sz w:val="16"/>
          <w:szCs w:val="16"/>
          <w:color w:val="auto"/>
        </w:rPr>
        <w:t>Investment loss was $7.1 million in the three months ended September 30, 2018, a decrease of $40.6 million or 85.0%, from $47.8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comparable prior period. The decrease in investment loss was due to a non-cash impairment charge of $7.1 million recorded to a cost method investment in the third quarter of 2018 as compared to a non-cash impairment charge of $44.6 million recorded to our Masternaut investment in the third quarter of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net was $0.3 million in the three months ended September 30, 2018, compared to other income, net of $175.3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September 30, 2017. The decrease was due primarily to the pre-tax gain on the sale of our NexTraq business of $175 million in the third quarter of 2017.</w:t>
      </w:r>
    </w:p>
    <w:p>
      <w:pPr>
        <w:spacing w:after="0" w:line="181"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expense was $36.1 million in the three months ended September 30, 2018, an increase of $6.7 million or 22.9%, from $29.3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comparable prior period. The increase in interest expense is primarily due to the impact of additional borrowings to finance the acquisition of Cambridge completed in 2017 and to repurchase our common stock, as well as increases in LIBOR. The following table sets forth the average interest rates paid on borrowings under our Credit Facility, excluding the related unused credit facility fees.</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7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Three Months Ended September 30,</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78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Foreign Revolver A</w:t>
            </w:r>
          </w:p>
        </w:tc>
        <w:tc>
          <w:tcPr>
            <w:tcW w:w="17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swing line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4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average unused credit facility fee for Domestic Revolver A was 0.30% and 0.35% in the three month periods ending September 30, 2018 and 2017, respectively.</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Loss on early extinguishment of debt of $3.3 million related to our write-of of debt issuance costs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of our existing credit facility during the third quarter of 2017.</w:t>
      </w:r>
    </w:p>
    <w:p>
      <w:pPr>
        <w:spacing w:after="0" w:line="27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The provision for income taxes was $79.9 million in the three months ended September 30, 2018, a decrease of $44.8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35.9%, from $124.7 million in the comparable prior period. We provide for income taxes during interim periods based on an estimate of our effective tax rate for the year. Discrete items and changes in the estimate of the annual tax rate are recorded in the period they occur. Our effective tax rate for the three months ended September 30, 2018 was 33.6% compared to 38.1% for three months ended September 30, 2017.</w:t>
      </w:r>
    </w:p>
    <w:p>
      <w:pPr>
        <w:spacing w:after="0" w:line="2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2018 rate included a $23 million true-up of our provisional transition tax liability originally recorded at the end of 2017 in connection with US tax reform. If we exclude the impact of the transitional tax adjustment, the tax rate for the quarter was 23.4%. The reduction in the tax rate was primarily due to the effect of the Tax Act, which went into effect on December 22, 2017. Also, the third quarter of 2017 rate was impacted by the non-recurring gain realized on the sale of the Nextraq business and the Masternaut impairment charge.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pay taxes in many different taxing jurisdictions, including the U.S., most U.S. states and many non-U.S. jurisdictions. The tax rates in certain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taxing jurisdictions are lower than the U.S. tax rate. Consequently, as our earnings fluctuate between taxing jurisdictions, our effective tax rate fluctuates.</w:t>
      </w:r>
    </w:p>
    <w:p>
      <w:pPr>
        <w:spacing w:after="0" w:line="2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decreased to $157.7 million in the three months ended September 30, 2018, a decrease of $45.1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22.3%, from $202.8 million in the three months ended September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Consolidated operating income. </w:t>
      </w:r>
      <w:r>
        <w:rPr>
          <w:rFonts w:ascii="Arial" w:cs="Arial" w:eastAsia="Arial" w:hAnsi="Arial"/>
          <w:sz w:val="18"/>
          <w:szCs w:val="18"/>
          <w:color w:val="auto"/>
        </w:rPr>
        <w:t>Operating income was $281.1 million in the three months ended September 30, 2018, an increase of $48.5 million or 20.8%,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$232.6 million in the comparable prior period. Our operating margin was 45.4% and 40.3% for the three months ended September 30, 2018 and 2017, respectively. These increases were driven primarily by organic growth, acquisitions completed in 2017 and the positive impact of the macroeconomic environment of approximately $5 million, driven by higher fuel prices and fuel price spreads. Increases were also driven by lower stock based compensation expense of $4 million. These increases were partially offset by the negative impact of unfavorable movements in foreign exchange rates, as well as the disposition of NexTraq of approximately $1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North America segment operating income. </w:t>
      </w:r>
      <w:r>
        <w:rPr>
          <w:rFonts w:ascii="Arial" w:cs="Arial" w:eastAsia="Arial" w:hAnsi="Arial"/>
          <w:sz w:val="18"/>
          <w:szCs w:val="18"/>
          <w:color w:val="auto"/>
        </w:rPr>
        <w:t>North America operating income was $177.8 million in the three months ended September 30, 2018,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$39.3 million or 28.4%, from $138.5 million in the comparable prior period. North America operating margin was 43.1% and 37.6% for the three months ended September 30, 2018 and 2017, respectively. These increases were due primarily to organic growth and the positive impact of the macroeconomic environment of approximately $14 million, driven by higher fuel prices and fuel price spreads and the impact of acquisitions completed in 2017. These increases were also driven by lower stock based compensation expense of $4 million. These increases were partially offset by the disposition of NexTraq of approximately $1 million.</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International segment operating income. </w:t>
      </w:r>
      <w:r>
        <w:rPr>
          <w:rFonts w:ascii="Arial" w:cs="Arial" w:eastAsia="Arial" w:hAnsi="Arial"/>
          <w:sz w:val="18"/>
          <w:szCs w:val="18"/>
          <w:color w:val="auto"/>
        </w:rPr>
        <w:t>International operating income was $103.3 million in the three months ended September 30, 2018,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$9.2 million or 9.7%, from $94.2 million in the comparable prior period. International operating margin was 50.0% and 44.9% for the three months ended September 30, 2018 and 2017, respectively. These increases were due primarily to organic growth and acquisitions completed in 2017. These increases were partially offset by the negative impact of the macroeconomic environment of approximately $9 million, driven primarily by unfavorable movements in foreign exchange rates.</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compared to the Nine months ended September 30, 2017</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forth selected consolidated statement of income and selected operational data for the nine months ended September 30, 2018 and 2017 (in millions,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ind w:right="151"/>
              <w:spacing w:after="0"/>
              <w:rPr>
                <w:sz w:val="20"/>
                <w:szCs w:val="20"/>
                <w:color w:val="auto"/>
              </w:rPr>
            </w:pPr>
            <w:r>
              <w:rPr>
                <w:rFonts w:ascii="Arial" w:cs="Arial" w:eastAsia="Arial" w:hAnsi="Arial"/>
                <w:sz w:val="16"/>
                <w:szCs w:val="16"/>
                <w:b w:val="1"/>
                <w:bCs w:val="1"/>
                <w:color w:val="auto"/>
                <w:w w:val="96"/>
              </w:rPr>
              <w:t>Nine Months Ended</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 of total</w:t>
            </w:r>
          </w:p>
        </w:tc>
        <w:tc>
          <w:tcPr>
            <w:tcW w:w="180" w:type="dxa"/>
            <w:vAlign w:val="bottom"/>
          </w:tcPr>
          <w:p>
            <w:pPr>
              <w:spacing w:after="0"/>
              <w:rPr>
                <w:sz w:val="17"/>
                <w:szCs w:val="17"/>
                <w:color w:val="auto"/>
              </w:rPr>
            </w:pPr>
          </w:p>
        </w:tc>
        <w:tc>
          <w:tcPr>
            <w:tcW w:w="1700" w:type="dxa"/>
            <w:vAlign w:val="bottom"/>
          </w:tcPr>
          <w:p>
            <w:pPr>
              <w:jc w:val="right"/>
              <w:ind w:right="151"/>
              <w:spacing w:after="0"/>
              <w:rPr>
                <w:sz w:val="20"/>
                <w:szCs w:val="20"/>
                <w:color w:val="auto"/>
              </w:rPr>
            </w:pPr>
            <w:r>
              <w:rPr>
                <w:rFonts w:ascii="Arial" w:cs="Arial" w:eastAsia="Arial" w:hAnsi="Arial"/>
                <w:sz w:val="16"/>
                <w:szCs w:val="16"/>
                <w:b w:val="1"/>
                <w:bCs w:val="1"/>
                <w:color w:val="auto"/>
                <w:w w:val="96"/>
              </w:rPr>
              <w:t>Nine Months Ended</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200" w:type="dxa"/>
            <w:vAlign w:val="bottom"/>
          </w:tcPr>
          <w:p>
            <w:pPr>
              <w:spacing w:after="0"/>
              <w:rPr>
                <w:sz w:val="17"/>
                <w:szCs w:val="17"/>
                <w:color w:val="auto"/>
              </w:rPr>
            </w:pPr>
          </w:p>
        </w:tc>
        <w:tc>
          <w:tcPr>
            <w:tcW w:w="1080" w:type="dxa"/>
            <w:vAlign w:val="bottom"/>
          </w:tcPr>
          <w:p>
            <w:pPr>
              <w:jc w:val="right"/>
              <w:ind w:right="251"/>
              <w:spacing w:after="0"/>
              <w:rPr>
                <w:sz w:val="20"/>
                <w:szCs w:val="20"/>
                <w:color w:val="auto"/>
              </w:rPr>
            </w:pPr>
            <w:r>
              <w:rPr>
                <w:rFonts w:ascii="Arial" w:cs="Arial" w:eastAsia="Arial" w:hAnsi="Arial"/>
                <w:sz w:val="16"/>
                <w:szCs w:val="16"/>
                <w:b w:val="1"/>
                <w:bCs w:val="1"/>
                <w:color w:val="auto"/>
              </w:rPr>
              <w:t>Increase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700" w:type="dxa"/>
            <w:vAlign w:val="bottom"/>
          </w:tcPr>
          <w:p>
            <w:pPr>
              <w:jc w:val="right"/>
              <w:ind w:right="151"/>
              <w:spacing w:after="0"/>
              <w:rPr>
                <w:sz w:val="20"/>
                <w:szCs w:val="20"/>
                <w:color w:val="auto"/>
              </w:rPr>
            </w:pPr>
            <w:r>
              <w:rPr>
                <w:rFonts w:ascii="Arial" w:cs="Arial" w:eastAsia="Arial" w:hAnsi="Arial"/>
                <w:sz w:val="16"/>
                <w:szCs w:val="16"/>
                <w:b w:val="1"/>
                <w:bCs w:val="1"/>
                <w:color w:val="auto"/>
                <w:w w:val="91"/>
              </w:rPr>
              <w:t>September 30, 2018</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revenue</w:t>
            </w:r>
          </w:p>
        </w:tc>
        <w:tc>
          <w:tcPr>
            <w:tcW w:w="180" w:type="dxa"/>
            <w:vAlign w:val="bottom"/>
          </w:tcPr>
          <w:p>
            <w:pPr>
              <w:spacing w:after="0"/>
              <w:rPr>
                <w:sz w:val="21"/>
                <w:szCs w:val="21"/>
                <w:color w:val="auto"/>
              </w:rPr>
            </w:pPr>
          </w:p>
        </w:tc>
        <w:tc>
          <w:tcPr>
            <w:tcW w:w="1700" w:type="dxa"/>
            <w:vAlign w:val="bottom"/>
          </w:tcPr>
          <w:p>
            <w:pPr>
              <w:jc w:val="right"/>
              <w:ind w:right="151"/>
              <w:spacing w:after="0"/>
              <w:rPr>
                <w:sz w:val="20"/>
                <w:szCs w:val="20"/>
                <w:color w:val="auto"/>
              </w:rPr>
            </w:pPr>
            <w:r>
              <w:rPr>
                <w:rFonts w:ascii="Arial" w:cs="Arial" w:eastAsia="Arial" w:hAnsi="Arial"/>
                <w:sz w:val="16"/>
                <w:szCs w:val="16"/>
                <w:b w:val="1"/>
                <w:bCs w:val="1"/>
                <w:color w:val="auto"/>
                <w:w w:val="91"/>
              </w:rPr>
              <w:t>September 30, 2017</w:t>
            </w:r>
            <w:r>
              <w:rPr>
                <w:rFonts w:ascii="Arial" w:cs="Arial" w:eastAsia="Arial" w:hAnsi="Arial"/>
                <w:sz w:val="21"/>
                <w:szCs w:val="21"/>
                <w:b w:val="1"/>
                <w:bCs w:val="1"/>
                <w:color w:val="auto"/>
                <w:w w:val="91"/>
                <w:vertAlign w:val="superscript"/>
              </w:rPr>
              <w:t>2</w:t>
            </w:r>
          </w:p>
        </w:tc>
        <w:tc>
          <w:tcPr>
            <w:tcW w:w="1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w:t>
            </w:r>
          </w:p>
        </w:tc>
        <w:tc>
          <w:tcPr>
            <w:tcW w:w="200" w:type="dxa"/>
            <w:vAlign w:val="bottom"/>
          </w:tcPr>
          <w:p>
            <w:pPr>
              <w:spacing w:after="0"/>
              <w:rPr>
                <w:sz w:val="21"/>
                <w:szCs w:val="21"/>
                <w:color w:val="auto"/>
              </w:rPr>
            </w:pPr>
          </w:p>
        </w:tc>
        <w:tc>
          <w:tcPr>
            <w:tcW w:w="108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(decrease)</w:t>
            </w:r>
          </w:p>
        </w:tc>
        <w:tc>
          <w:tcPr>
            <w:tcW w:w="12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3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2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1,148.0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1,040.9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642.0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598.6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1,790.1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1,639.5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29"/>
        </w:trPr>
        <w:tc>
          <w:tcPr>
            <w:tcW w:w="2340" w:type="dxa"/>
            <w:vAlign w:val="bottom"/>
          </w:tcPr>
          <w:p>
            <w:pPr>
              <w:ind w:left="40"/>
              <w:spacing w:after="0"/>
              <w:rPr>
                <w:sz w:val="20"/>
                <w:szCs w:val="20"/>
                <w:color w:val="auto"/>
              </w:rPr>
            </w:pPr>
            <w:r>
              <w:rPr>
                <w:rFonts w:ascii="Arial" w:cs="Arial" w:eastAsia="Arial" w:hAnsi="Arial"/>
                <w:sz w:val="18"/>
                <w:szCs w:val="18"/>
                <w:color w:val="auto"/>
              </w:rPr>
              <w:t>Consolidated operating</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180" w:type="dxa"/>
            <w:vAlign w:val="bottom"/>
          </w:tcPr>
          <w:p>
            <w:pPr>
              <w:spacing w:after="0"/>
              <w:rPr>
                <w:sz w:val="21"/>
                <w:szCs w:val="21"/>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356.1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316.4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12.5 %</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284.7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275.1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207.4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198.7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643.7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25.2 %</w:t>
            </w:r>
          </w:p>
        </w:tc>
      </w:tr>
      <w:tr>
        <w:trPr>
          <w:trHeight w:val="27"/>
        </w:trPr>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loss</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w w:val="99"/>
              </w:rPr>
              <w:t>Other expense (income), net</w:t>
            </w:r>
          </w:p>
        </w:tc>
        <w:tc>
          <w:tcPr>
            <w:tcW w:w="180" w:type="dxa"/>
            <w:vAlign w:val="bottom"/>
          </w:tcPr>
          <w:p>
            <w:pPr>
              <w:spacing w:after="0"/>
              <w:rPr>
                <w:sz w:val="21"/>
                <w:szCs w:val="21"/>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(173.6)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NM</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29"/>
        </w:trPr>
        <w:tc>
          <w:tcPr>
            <w:tcW w:w="2340" w:type="dxa"/>
            <w:vAlign w:val="bottom"/>
          </w:tcPr>
          <w:p>
            <w:pPr>
              <w:ind w:left="40"/>
              <w:spacing w:after="0"/>
              <w:rPr>
                <w:sz w:val="20"/>
                <w:szCs w:val="20"/>
                <w:color w:val="auto"/>
              </w:rPr>
            </w:pPr>
            <w:r>
              <w:rPr>
                <w:rFonts w:ascii="Arial" w:cs="Arial" w:eastAsia="Arial" w:hAnsi="Arial"/>
                <w:sz w:val="18"/>
                <w:szCs w:val="18"/>
                <w:color w:val="auto"/>
              </w:rPr>
              <w:t>Loss on extinguishment of</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0"/>
                <w:szCs w:val="20"/>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227.8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457.5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11.4 %</w:t>
            </w:r>
          </w:p>
        </w:tc>
      </w:tr>
      <w:tr>
        <w:trPr>
          <w:trHeight w:val="67"/>
        </w:trPr>
        <w:tc>
          <w:tcPr>
            <w:tcW w:w="23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82"/>
        </w:trPr>
        <w:tc>
          <w:tcPr>
            <w:tcW w:w="23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Operating income for</w:t>
            </w: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7"/>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25.5 %</w:t>
            </w: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97"/>
        </w:trPr>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806.0</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643.7</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162.2</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25.2 %</w:t>
            </w:r>
          </w:p>
        </w:tc>
      </w:tr>
      <w:tr>
        <w:trPr>
          <w:trHeight w:val="189"/>
        </w:trPr>
        <w:tc>
          <w:tcPr>
            <w:tcW w:w="2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Operating margin for</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7"/>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columns and rows may not calculate due to rounding.</w:t>
      </w:r>
    </w:p>
    <w:p>
      <w:pPr>
        <w:spacing w:after="0" w:line="19" w:lineRule="exact"/>
        <w:rPr>
          <w:sz w:val="20"/>
          <w:szCs w:val="20"/>
          <w:color w:val="auto"/>
        </w:rPr>
      </w:pPr>
    </w:p>
    <w:p>
      <w:pPr>
        <w:ind w:firstLine="8"/>
        <w:spacing w:after="0" w:line="253" w:lineRule="auto"/>
        <w:tabs>
          <w:tab w:leader="none" w:pos="94"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w:t>
      </w:r>
    </w:p>
    <w:p>
      <w:pPr>
        <w:spacing w:after="0" w:line="193" w:lineRule="exact"/>
        <w:rPr>
          <w:sz w:val="20"/>
          <w:szCs w:val="20"/>
          <w:color w:val="auto"/>
        </w:rPr>
      </w:pPr>
    </w:p>
    <w:p>
      <w:pPr>
        <w:ind w:right="60"/>
        <w:spacing w:after="0" w:line="22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The results from our Cambridge business acquired in the third quarter of 2017 are reported in our North America segment. As we have concluded that this business is part of our North America segment, the results for this business have been recast from our International segment into our North America segment for the three and nine month periods ended September 30, 2017.</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revenues were $1,790.1 million in the nine months ended September 30, 2018, an increase of $150.5 million or 9.2%, from $1,639.5 million in the nine months ended September 30, 2017. The increase in our consolidated revenue was primarily due to:</w:t>
      </w:r>
    </w:p>
    <w:p>
      <w:pPr>
        <w:spacing w:after="0" w:line="62" w:lineRule="exact"/>
        <w:rPr>
          <w:sz w:val="20"/>
          <w:szCs w:val="20"/>
          <w:color w:val="auto"/>
        </w:rPr>
      </w:pPr>
    </w:p>
    <w:p>
      <w:pPr>
        <w:ind w:left="540" w:right="40" w:hanging="316"/>
        <w:spacing w:after="0" w:line="288"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Organic growth of approximately 10% on a constant fuel price, fuel spread margin, foreign currency and acquisition, and disposition basis, driven by increases in both volume and revenue per transaction in certain of our payment programs. Organic revenue growth has been calculated assuming ASC 606 was implemented on January 1, 2017, in order to calculate organic growth using comparable revenue results in each period.</w:t>
      </w:r>
    </w:p>
    <w:p>
      <w:pPr>
        <w:ind w:left="540" w:hanging="316"/>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acquisitions during 2017, which contributed approximately $96 million in additional revenue.</w:t>
      </w:r>
    </w:p>
    <w:p>
      <w:pPr>
        <w:spacing w:after="0" w:line="9" w:lineRule="exact"/>
        <w:rPr>
          <w:rFonts w:ascii="Arial" w:cs="Arial" w:eastAsia="Arial" w:hAnsi="Arial"/>
          <w:sz w:val="18"/>
          <w:szCs w:val="18"/>
          <w:color w:val="auto"/>
        </w:rPr>
      </w:pPr>
    </w:p>
    <w:p>
      <w:pPr>
        <w:ind w:left="540" w:right="20" w:hanging="316"/>
        <w:spacing w:after="0" w:line="292"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Although we cannot precisely measure the impact of the macroeconomic environment, in total we believe it had a favorable impact on our consolidated revenue for the nine months ended September 30, 2018 over the comparable period in 2017 of approximately $7 million. We believe the higher fuel priced, had a favorable impact on consolidated revenues in the nine months ended September 30, 2018 over the comparable period in 2017 of approximately $36 million. Conversely, foreign exchange rates and fuel spread margins had an unfavorable impact on consolidated revenues in the nine months ended September 30, 2018 compared to the comparable period in 2017 of approximately $25 million and $4 million, respectively.</w:t>
      </w:r>
    </w:p>
    <w:p>
      <w:pPr>
        <w:spacing w:after="0" w:line="163" w:lineRule="exact"/>
        <w:rPr>
          <w:sz w:val="20"/>
          <w:szCs w:val="20"/>
          <w:color w:val="auto"/>
        </w:rPr>
      </w:pPr>
    </w:p>
    <w:p>
      <w:pPr>
        <w:jc w:val="both"/>
        <w:ind w:left="60" w:right="240"/>
        <w:spacing w:after="0" w:line="264" w:lineRule="auto"/>
        <w:rPr>
          <w:sz w:val="20"/>
          <w:szCs w:val="20"/>
          <w:color w:val="auto"/>
        </w:rPr>
      </w:pPr>
      <w:r>
        <w:rPr>
          <w:rFonts w:ascii="Arial" w:cs="Arial" w:eastAsia="Arial" w:hAnsi="Arial"/>
          <w:sz w:val="18"/>
          <w:szCs w:val="18"/>
          <w:color w:val="auto"/>
        </w:rPr>
        <w:t>These increases were partially offset by the impact of the adoption of ASC 606, which decreased consolidated revenues, net by netting approximately $76 million of amounts previously classified as merchant commissions and processing expense against revenues and by approximately $26 million due to the disposition of the NexTraq business in July 2017.</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North America segment revenues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North America revenues were $1,148.0 million in the nine months ended September 30, 2018, an increase of $107.1 million or 10.3%, from $1,040.9 million in the nine months ended September 30, 2017. The increase in our North America segment revenue was primarily due to:</w:t>
      </w:r>
    </w:p>
    <w:p>
      <w:pPr>
        <w:spacing w:after="0" w:line="62" w:lineRule="exact"/>
        <w:rPr>
          <w:sz w:val="20"/>
          <w:szCs w:val="20"/>
          <w:color w:val="auto"/>
        </w:rPr>
      </w:pPr>
    </w:p>
    <w:p>
      <w:pPr>
        <w:ind w:left="540" w:right="240" w:hanging="316"/>
        <w:spacing w:after="0" w:line="271"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Organic growth of approximately 9%, on a constant fuel price, fuel spread margin and acquisition and disposition basis, driven by increases in both volume and revenue per transaction in certain of our payment programs. Organic revenue growth has been calculated assuming ASC 606 was implemented on January 1, 2017, in order to calculate organic growth using comparable revenue results in each period.</w:t>
      </w: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our Cambridge and CLS acquisitions during 2017, which contributed approximately $90 million in additional revenue.</w:t>
      </w:r>
    </w:p>
    <w:p>
      <w:pPr>
        <w:spacing w:after="0" w:line="9" w:lineRule="exact"/>
        <w:rPr>
          <w:rFonts w:ascii="Arial" w:cs="Arial" w:eastAsia="Arial" w:hAnsi="Arial"/>
          <w:sz w:val="18"/>
          <w:szCs w:val="18"/>
          <w:color w:val="auto"/>
        </w:rPr>
      </w:pPr>
    </w:p>
    <w:p>
      <w:pPr>
        <w:ind w:left="540" w:right="380" w:hanging="316"/>
        <w:spacing w:after="0" w:line="25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positive impact on our North America segment revenue in the nine month period ended September 30, 2018 over the comparable period in 2017 of approximately $27 million, primarily due to the favorable impact of higher fuel prices of approximately $31 million, partially offset by lower fuel spread margins of approximately $4 million.</w:t>
      </w:r>
    </w:p>
    <w:p>
      <w:pPr>
        <w:spacing w:after="0" w:line="190"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These increases were partially offset by the impact of the adoption of ASC 606, which decreased North America revenues, net by approximately $60 million and by approximately $26 million due to the disposition of the NexTraq business in July 2017.</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segment revenues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International segment revenues were $642.0 million in the nine months ended September 30, 2018, an increase of $43.4 million or 7.3%, from $598.6 million in the nine months ended September 30, 2017. The increase in our International segment revenue was primarily due to:</w:t>
      </w:r>
    </w:p>
    <w:p>
      <w:pPr>
        <w:spacing w:after="0" w:line="62" w:lineRule="exact"/>
        <w:rPr>
          <w:sz w:val="20"/>
          <w:szCs w:val="20"/>
          <w:color w:val="auto"/>
        </w:rPr>
      </w:pPr>
    </w:p>
    <w:p>
      <w:pPr>
        <w:ind w:left="640" w:right="280" w:hanging="321"/>
        <w:spacing w:after="0" w:line="271"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Organic growth of approximately 12% on a constant fuel price, fuel spread margin and acquisition basis, driven by increases in both volume and revenue per transaction in certain of our payment programs. Organic revenue growth has been calculated assuming ASC 606 was implemented in January 2017 in order to calculate organic growth using a consistent revenue standard in both periods.</w:t>
      </w:r>
    </w:p>
    <w:p>
      <w:pPr>
        <w:ind w:left="640" w:right="360" w:hanging="32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negative impact on our International segment revenue for the nine months ended September 30, 2018 over the comparable period in 2017 of approximately $20 million. Changes in foreign exchange rates had an unfavorable impact on consolidated revenues of approximately $25 million, partially offset by the favorable impact of higher fuel prices of approximately $5 million.</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a small fuel card acquisition during 2017, which contributed approximately $7 million in additional revenue.</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These increases were partially offset by the impact of the adoption of ASC 606, which decreased International revenues, net by approximately $15 million.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Revenues by geography, product and source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below are further breakdowns of revenue by geography, product and source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2018 and 2017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00" w:type="dxa"/>
            <w:vAlign w:val="bottom"/>
            <w:gridSpan w:val="10"/>
          </w:tcPr>
          <w:p>
            <w:pPr>
              <w:jc w:val="right"/>
              <w:ind w:right="540"/>
              <w:spacing w:after="0"/>
              <w:rPr>
                <w:sz w:val="20"/>
                <w:szCs w:val="20"/>
                <w:color w:val="auto"/>
              </w:rPr>
            </w:pPr>
            <w:r>
              <w:rPr>
                <w:rFonts w:ascii="Arial" w:cs="Arial" w:eastAsia="Arial" w:hAnsi="Arial"/>
                <w:sz w:val="16"/>
                <w:szCs w:val="16"/>
                <w:b w:val="1"/>
                <w:bCs w:val="1"/>
                <w:color w:val="auto"/>
              </w:rPr>
              <w:t>Nine Months Ended 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4"/>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0" w:type="dxa"/>
            <w:vAlign w:val="bottom"/>
            <w:gridSpan w:val="5"/>
          </w:tcPr>
          <w:p>
            <w:pPr>
              <w:ind w:left="40"/>
              <w:spacing w:after="0"/>
              <w:rPr>
                <w:sz w:val="20"/>
                <w:szCs w:val="20"/>
                <w:color w:val="auto"/>
              </w:rPr>
            </w:pPr>
            <w:r>
              <w:rPr>
                <w:rFonts w:ascii="Arial" w:cs="Arial" w:eastAsia="Arial" w:hAnsi="Arial"/>
                <w:sz w:val="16"/>
                <w:szCs w:val="16"/>
                <w:b w:val="1"/>
                <w:bCs w:val="1"/>
                <w:color w:val="auto"/>
              </w:rPr>
              <w:t>Revenue, net by Geography*</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gridSpan w:val="8"/>
          </w:tcPr>
          <w:p>
            <w:pPr>
              <w:jc w:val="right"/>
              <w:ind w:right="1279"/>
              <w:spacing w:after="0"/>
              <w:rPr>
                <w:sz w:val="20"/>
                <w:szCs w:val="20"/>
                <w:color w:val="auto"/>
              </w:rPr>
            </w:pPr>
            <w:r>
              <w:rPr>
                <w:rFonts w:ascii="Arial" w:cs="Arial" w:eastAsia="Arial" w:hAnsi="Arial"/>
                <w:sz w:val="16"/>
                <w:szCs w:val="16"/>
                <w:b w:val="1"/>
                <w:bCs w:val="1"/>
                <w:color w:val="auto"/>
              </w:rPr>
              <w:t>2018¹</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7"/>
          </w:tcPr>
          <w:p>
            <w:pPr>
              <w:jc w:val="right"/>
              <w:ind w:right="1239"/>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 of total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10"/>
        </w:trPr>
        <w:tc>
          <w:tcPr>
            <w:tcW w:w="4000" w:type="dxa"/>
            <w:vAlign w:val="bottom"/>
            <w:gridSpan w:val="5"/>
          </w:tcPr>
          <w:p>
            <w:pPr>
              <w:ind w:left="4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Revenues,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ind w:left="360"/>
              <w:spacing w:after="0"/>
              <w:rPr>
                <w:sz w:val="20"/>
                <w:szCs w:val="20"/>
                <w:color w:val="auto"/>
              </w:rPr>
            </w:pPr>
            <w:r>
              <w:rPr>
                <w:rFonts w:ascii="Arial" w:cs="Arial" w:eastAsia="Arial" w:hAnsi="Arial"/>
                <w:sz w:val="16"/>
                <w:szCs w:val="16"/>
                <w:b w:val="1"/>
                <w:bCs w:val="1"/>
                <w:color w:val="auto"/>
              </w:rPr>
              <w:t>revenues,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w w:val="92"/>
              </w:rPr>
              <w:t>Revenues,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revenues, net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Brazil</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21"/>
                <w:szCs w:val="21"/>
                <w:color w:val="auto"/>
              </w:rPr>
            </w:pPr>
          </w:p>
        </w:tc>
        <w:tc>
          <w:tcPr>
            <w:tcW w:w="1880" w:type="dxa"/>
            <w:vAlign w:val="bottom"/>
            <w:gridSpan w:val="7"/>
          </w:tcPr>
          <w:p>
            <w:pPr>
              <w:jc w:val="right"/>
              <w:ind w:right="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21"/>
                <w:szCs w:val="21"/>
                <w:color w:val="auto"/>
              </w:rPr>
            </w:pPr>
          </w:p>
        </w:tc>
        <w:tc>
          <w:tcPr>
            <w:tcW w:w="182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1"/>
                <w:szCs w:val="21"/>
                <w:color w:val="auto"/>
              </w:rPr>
            </w:pPr>
          </w:p>
        </w:tc>
        <w:tc>
          <w:tcPr>
            <w:tcW w:w="1880" w:type="dxa"/>
            <w:vAlign w:val="bottom"/>
            <w:gridSpan w:val="7"/>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1"/>
                <w:szCs w:val="21"/>
                <w:color w:val="auto"/>
              </w:rPr>
            </w:pPr>
          </w:p>
        </w:tc>
        <w:tc>
          <w:tcPr>
            <w:tcW w:w="182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1,790</w:t>
            </w:r>
          </w:p>
        </w:tc>
        <w:tc>
          <w:tcPr>
            <w:tcW w:w="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c>
          <w:tcPr>
            <w:tcW w:w="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0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gridSpan w:val="10"/>
          </w:tcPr>
          <w:p>
            <w:pPr>
              <w:jc w:val="center"/>
              <w:ind w:left="99"/>
              <w:spacing w:after="0"/>
              <w:rPr>
                <w:sz w:val="20"/>
                <w:szCs w:val="20"/>
                <w:color w:val="auto"/>
              </w:rPr>
            </w:pPr>
            <w:r>
              <w:rPr>
                <w:rFonts w:ascii="Arial" w:cs="Arial" w:eastAsia="Arial" w:hAnsi="Arial"/>
                <w:sz w:val="16"/>
                <w:szCs w:val="16"/>
                <w:b w:val="1"/>
                <w:bCs w:val="1"/>
                <w:color w:val="auto"/>
                <w:w w:val="91"/>
              </w:rPr>
              <w:t>Nine Months Ended 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0" w:type="dxa"/>
            <w:vAlign w:val="bottom"/>
            <w:gridSpan w:val="5"/>
          </w:tcPr>
          <w:p>
            <w:pPr>
              <w:ind w:left="40"/>
              <w:spacing w:after="0"/>
              <w:rPr>
                <w:sz w:val="20"/>
                <w:szCs w:val="20"/>
                <w:color w:val="auto"/>
              </w:rPr>
            </w:pPr>
            <w:r>
              <w:rPr>
                <w:rFonts w:ascii="Arial" w:cs="Arial" w:eastAsia="Arial" w:hAnsi="Arial"/>
                <w:sz w:val="16"/>
                <w:szCs w:val="16"/>
                <w:b w:val="1"/>
                <w:bCs w:val="1"/>
                <w:color w:val="auto"/>
              </w:rPr>
              <w:t>Revenue, net by Product Category*</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5"/>
          </w:tcPr>
          <w:p>
            <w:pPr>
              <w:jc w:val="right"/>
              <w:ind w:right="1219"/>
              <w:spacing w:after="0"/>
              <w:rPr>
                <w:sz w:val="20"/>
                <w:szCs w:val="20"/>
                <w:color w:val="auto"/>
              </w:rPr>
            </w:pPr>
            <w:r>
              <w:rPr>
                <w:rFonts w:ascii="Arial" w:cs="Arial" w:eastAsia="Arial" w:hAnsi="Arial"/>
                <w:sz w:val="16"/>
                <w:szCs w:val="16"/>
                <w:b w:val="1"/>
                <w:bCs w:val="1"/>
                <w:color w:val="auto"/>
                <w:w w:val="87"/>
              </w:rPr>
              <w:t>2018¹</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3"/>
          </w:tcPr>
          <w:p>
            <w:pPr>
              <w:jc w:val="right"/>
              <w:ind w:right="1139"/>
              <w:spacing w:after="0"/>
              <w:rPr>
                <w:sz w:val="20"/>
                <w:szCs w:val="20"/>
                <w:color w:val="auto"/>
              </w:rPr>
            </w:pPr>
            <w:r>
              <w:rPr>
                <w:rFonts w:ascii="Arial" w:cs="Arial" w:eastAsia="Arial" w:hAnsi="Arial"/>
                <w:sz w:val="16"/>
                <w:szCs w:val="16"/>
                <w:b w:val="1"/>
                <w:bCs w:val="1"/>
                <w:color w:val="auto"/>
                <w:w w:val="89"/>
              </w:rPr>
              <w:t>2017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7"/>
              </w:rPr>
              <w:t>Revenues,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Revenues,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10"/>
        </w:trPr>
        <w:tc>
          <w:tcPr>
            <w:tcW w:w="4000" w:type="dxa"/>
            <w:vAlign w:val="bottom"/>
            <w:gridSpan w:val="5"/>
          </w:tcPr>
          <w:p>
            <w:pPr>
              <w:ind w:left="4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3"/>
              </w:rPr>
              <w:t>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w w:val="93"/>
              </w:rPr>
              <w:t>% of total revenues,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revenues, net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Fuel cards</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805</w:t>
            </w:r>
          </w:p>
        </w:tc>
        <w:tc>
          <w:tcPr>
            <w:tcW w:w="1980" w:type="dxa"/>
            <w:vAlign w:val="bottom"/>
            <w:tcBorders>
              <w:bottom w:val="single" w:sz="8" w:color="CCEEFF"/>
            </w:tcBorders>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19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Corporate Payments</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300</w:t>
            </w:r>
          </w:p>
        </w:tc>
        <w:tc>
          <w:tcPr>
            <w:tcW w:w="1980" w:type="dxa"/>
            <w:vAlign w:val="bottom"/>
            <w:gridSpan w:val="8"/>
          </w:tcPr>
          <w:p>
            <w:pPr>
              <w:jc w:val="right"/>
              <w:ind w:right="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150</w:t>
            </w:r>
          </w:p>
        </w:tc>
        <w:tc>
          <w:tcPr>
            <w:tcW w:w="1960" w:type="dxa"/>
            <w:vAlign w:val="bottom"/>
            <w:gridSpan w:val="5"/>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Tolls</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980" w:type="dxa"/>
            <w:vAlign w:val="bottom"/>
            <w:tcBorders>
              <w:bottom w:val="single" w:sz="8" w:color="CCEEFF"/>
            </w:tcBorders>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19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Lodging</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86</w:t>
            </w:r>
          </w:p>
        </w:tc>
        <w:tc>
          <w:tcPr>
            <w:tcW w:w="196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Gift</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19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209</w:t>
            </w:r>
          </w:p>
        </w:tc>
        <w:tc>
          <w:tcPr>
            <w:tcW w:w="1960" w:type="dxa"/>
            <w:vAlign w:val="bottom"/>
            <w:gridSpan w:val="5"/>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1,790</w:t>
            </w:r>
          </w:p>
        </w:tc>
        <w:tc>
          <w:tcPr>
            <w:tcW w:w="1980" w:type="dxa"/>
            <w:vAlign w:val="bottom"/>
            <w:tcBorders>
              <w:bottom w:val="single" w:sz="8" w:color="CCEEFF"/>
            </w:tcBorders>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1,640</w:t>
            </w:r>
          </w:p>
        </w:tc>
        <w:tc>
          <w:tcPr>
            <w:tcW w:w="19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0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4000" w:type="dxa"/>
            <w:vAlign w:val="bottom"/>
            <w:gridSpan w:val="5"/>
          </w:tcPr>
          <w:p>
            <w:pPr>
              <w:ind w:left="40"/>
              <w:spacing w:after="0"/>
              <w:rPr>
                <w:sz w:val="20"/>
                <w:szCs w:val="20"/>
                <w:color w:val="auto"/>
              </w:rPr>
            </w:pPr>
            <w:r>
              <w:rPr>
                <w:rFonts w:ascii="Arial" w:cs="Arial" w:eastAsia="Arial" w:hAnsi="Arial"/>
                <w:sz w:val="16"/>
                <w:szCs w:val="16"/>
                <w:b w:val="1"/>
                <w:bCs w:val="1"/>
                <w:color w:val="auto"/>
              </w:rPr>
              <w:t>Major Sources of Revenue, net</w:t>
            </w: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gridSpan w:val="10"/>
          </w:tcPr>
          <w:p>
            <w:pPr>
              <w:ind w:left="340"/>
              <w:spacing w:after="0"/>
              <w:rPr>
                <w:sz w:val="20"/>
                <w:szCs w:val="20"/>
                <w:color w:val="auto"/>
              </w:rPr>
            </w:pPr>
            <w:r>
              <w:rPr>
                <w:rFonts w:ascii="Arial" w:cs="Arial" w:eastAsia="Arial" w:hAnsi="Arial"/>
                <w:sz w:val="16"/>
                <w:szCs w:val="16"/>
                <w:b w:val="1"/>
                <w:bCs w:val="1"/>
                <w:color w:val="auto"/>
              </w:rPr>
              <w:t>Nine Months Ended 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 of total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920"/>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10"/>
        </w:trPr>
        <w:tc>
          <w:tcPr>
            <w:tcW w:w="4000" w:type="dxa"/>
            <w:vAlign w:val="bottom"/>
            <w:gridSpan w:val="5"/>
          </w:tcPr>
          <w:p>
            <w:pPr>
              <w:ind w:left="4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2018¹</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revenues,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w w:val="93"/>
              </w:rPr>
              <w:t>revenues, net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960" w:type="dxa"/>
            <w:vAlign w:val="bottom"/>
            <w:gridSpan w:val="4"/>
            <w:shd w:val="clear" w:color="auto" w:fill="CCEEFF"/>
          </w:tcPr>
          <w:p>
            <w:pPr>
              <w:ind w:left="140"/>
              <w:spacing w:after="0" w:line="264" w:lineRule="exact"/>
              <w:rPr>
                <w:sz w:val="20"/>
                <w:szCs w:val="20"/>
                <w:color w:val="auto"/>
              </w:rPr>
            </w:pPr>
            <w:r>
              <w:rPr>
                <w:rFonts w:ascii="Arial" w:cs="Arial" w:eastAsia="Arial" w:hAnsi="Arial"/>
                <w:sz w:val="18"/>
                <w:szCs w:val="18"/>
                <w:color w:val="auto"/>
              </w:rPr>
              <w:t>Processing and Program Revenue</w:t>
            </w:r>
            <w:r>
              <w:rPr>
                <w:rFonts w:ascii="Arial" w:cs="Arial" w:eastAsia="Arial" w:hAnsi="Arial"/>
                <w:sz w:val="25"/>
                <w:szCs w:val="25"/>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60" w:type="dxa"/>
            <w:vAlign w:val="bottom"/>
            <w:gridSpan w:val="4"/>
          </w:tcPr>
          <w:p>
            <w:pPr>
              <w:ind w:left="140"/>
              <w:spacing w:after="0" w:line="270" w:lineRule="exact"/>
              <w:rPr>
                <w:sz w:val="20"/>
                <w:szCs w:val="20"/>
                <w:color w:val="auto"/>
              </w:rPr>
            </w:pPr>
            <w:r>
              <w:rPr>
                <w:rFonts w:ascii="Arial" w:cs="Arial" w:eastAsia="Arial" w:hAnsi="Arial"/>
                <w:sz w:val="18"/>
                <w:szCs w:val="18"/>
                <w:color w:val="auto"/>
              </w:rPr>
              <w:t>Late Fees and Finance Charges</w:t>
            </w:r>
            <w:r>
              <w:rPr>
                <w:rFonts w:ascii="Arial" w:cs="Arial" w:eastAsia="Arial" w:hAnsi="Arial"/>
                <w:sz w:val="25"/>
                <w:szCs w:val="25"/>
                <w:color w:val="auto"/>
                <w:vertAlign w:val="superscript"/>
              </w:rPr>
              <w:t>3</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4"/>
            <w:shd w:val="clear" w:color="auto" w:fill="CCEEFF"/>
          </w:tcPr>
          <w:p>
            <w:pPr>
              <w:ind w:left="140"/>
              <w:spacing w:after="0" w:line="270" w:lineRule="exact"/>
              <w:rPr>
                <w:sz w:val="20"/>
                <w:szCs w:val="20"/>
                <w:color w:val="auto"/>
              </w:rPr>
            </w:pPr>
            <w:r>
              <w:rPr>
                <w:rFonts w:ascii="Arial" w:cs="Arial" w:eastAsia="Arial" w:hAnsi="Arial"/>
                <w:sz w:val="18"/>
                <w:szCs w:val="18"/>
                <w:color w:val="auto"/>
              </w:rPr>
              <w:t>Miscellaneous Fees</w:t>
            </w:r>
            <w:r>
              <w:rPr>
                <w:rFonts w:ascii="Arial" w:cs="Arial" w:eastAsia="Arial" w:hAnsi="Arial"/>
                <w:sz w:val="25"/>
                <w:szCs w:val="25"/>
                <w:color w:val="auto"/>
                <w:vertAlign w:val="superscript"/>
              </w:rPr>
              <w:t>4</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60" w:type="dxa"/>
            <w:vAlign w:val="bottom"/>
            <w:gridSpan w:val="4"/>
          </w:tcPr>
          <w:p>
            <w:pPr>
              <w:ind w:left="140"/>
              <w:spacing w:after="0" w:line="270" w:lineRule="exact"/>
              <w:rPr>
                <w:sz w:val="20"/>
                <w:szCs w:val="20"/>
                <w:color w:val="auto"/>
              </w:rPr>
            </w:pPr>
            <w:r>
              <w:rPr>
                <w:rFonts w:ascii="Arial" w:cs="Arial" w:eastAsia="Arial" w:hAnsi="Arial"/>
                <w:sz w:val="18"/>
                <w:szCs w:val="18"/>
                <w:color w:val="auto"/>
              </w:rPr>
              <w:t>Discount Revenue (Fuel)</w:t>
            </w:r>
            <w:r>
              <w:rPr>
                <w:rFonts w:ascii="Arial" w:cs="Arial" w:eastAsia="Arial" w:hAnsi="Arial"/>
                <w:sz w:val="25"/>
                <w:szCs w:val="25"/>
                <w:color w:val="auto"/>
                <w:vertAlign w:val="superscript"/>
              </w:rPr>
              <w:t>5</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4"/>
            <w:shd w:val="clear" w:color="auto" w:fill="CCEEFF"/>
          </w:tcPr>
          <w:p>
            <w:pPr>
              <w:ind w:left="140"/>
              <w:spacing w:after="0" w:line="270" w:lineRule="exact"/>
              <w:rPr>
                <w:sz w:val="20"/>
                <w:szCs w:val="20"/>
                <w:color w:val="auto"/>
              </w:rPr>
            </w:pPr>
            <w:r>
              <w:rPr>
                <w:rFonts w:ascii="Arial" w:cs="Arial" w:eastAsia="Arial" w:hAnsi="Arial"/>
                <w:sz w:val="18"/>
                <w:szCs w:val="18"/>
                <w:color w:val="auto"/>
              </w:rPr>
              <w:t>Discount Revenue (NonFuel)</w:t>
            </w:r>
            <w:r>
              <w:rPr>
                <w:rFonts w:ascii="Arial" w:cs="Arial" w:eastAsia="Arial" w:hAnsi="Arial"/>
                <w:sz w:val="25"/>
                <w:szCs w:val="25"/>
                <w:color w:val="auto"/>
                <w:vertAlign w:val="superscript"/>
              </w:rPr>
              <w:t>6</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60" w:type="dxa"/>
            <w:vAlign w:val="bottom"/>
            <w:gridSpan w:val="4"/>
          </w:tcPr>
          <w:p>
            <w:pPr>
              <w:ind w:left="120"/>
              <w:spacing w:after="0" w:line="270" w:lineRule="exact"/>
              <w:rPr>
                <w:sz w:val="20"/>
                <w:szCs w:val="20"/>
                <w:color w:val="auto"/>
              </w:rPr>
            </w:pPr>
            <w:r>
              <w:rPr>
                <w:rFonts w:ascii="Arial" w:cs="Arial" w:eastAsia="Arial" w:hAnsi="Arial"/>
                <w:sz w:val="18"/>
                <w:szCs w:val="18"/>
                <w:color w:val="auto"/>
              </w:rPr>
              <w:t>Tied to Fuel-Price Spreads</w:t>
            </w:r>
            <w:r>
              <w:rPr>
                <w:rFonts w:ascii="Arial" w:cs="Arial" w:eastAsia="Arial" w:hAnsi="Arial"/>
                <w:sz w:val="25"/>
                <w:szCs w:val="25"/>
                <w:color w:val="auto"/>
                <w:vertAlign w:val="superscript"/>
              </w:rPr>
              <w:t>7</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4"/>
            <w:shd w:val="clear" w:color="auto" w:fill="CCEEFF"/>
          </w:tcPr>
          <w:p>
            <w:pPr>
              <w:ind w:left="140"/>
              <w:spacing w:after="0" w:line="270" w:lineRule="exact"/>
              <w:rPr>
                <w:sz w:val="20"/>
                <w:szCs w:val="20"/>
                <w:color w:val="auto"/>
              </w:rPr>
            </w:pPr>
            <w:r>
              <w:rPr>
                <w:rFonts w:ascii="Arial" w:cs="Arial" w:eastAsia="Arial" w:hAnsi="Arial"/>
                <w:sz w:val="18"/>
                <w:szCs w:val="18"/>
                <w:color w:val="auto"/>
              </w:rPr>
              <w:t>Merchant Program Revenue</w:t>
            </w:r>
            <w:r>
              <w:rPr>
                <w:rFonts w:ascii="Arial" w:cs="Arial" w:eastAsia="Arial" w:hAnsi="Arial"/>
                <w:sz w:val="25"/>
                <w:szCs w:val="25"/>
                <w:color w:val="auto"/>
                <w:vertAlign w:val="superscript"/>
              </w:rPr>
              <w:t>8</w:t>
            </w:r>
          </w:p>
        </w:tc>
        <w:tc>
          <w:tcPr>
            <w:tcW w:w="1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0" w:type="dxa"/>
            <w:vAlign w:val="bottom"/>
            <w:gridSpan w:val="5"/>
          </w:tcPr>
          <w:p>
            <w:pPr>
              <w:ind w:left="40"/>
              <w:spacing w:after="0"/>
              <w:rPr>
                <w:sz w:val="20"/>
                <w:szCs w:val="20"/>
                <w:color w:val="auto"/>
              </w:rPr>
            </w:pPr>
            <w:r>
              <w:rPr>
                <w:rFonts w:ascii="Arial" w:cs="Arial" w:eastAsia="Arial" w:hAnsi="Arial"/>
                <w:sz w:val="18"/>
                <w:szCs w:val="18"/>
                <w:color w:val="auto"/>
              </w:rPr>
              <w:t>Consolidated revenues,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5"/>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right="240" w:hanging="5"/>
        <w:spacing w:after="0" w:line="251" w:lineRule="auto"/>
        <w:tabs>
          <w:tab w:leader="none" w:pos="135"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Reflects the impact of the Company's adoption of ASC 606 and related cost capitalization guidance, which was adopted by the Company on January 1, 2018 using the modified retrospective transition method. The adoption of ASC 606 resulted in an adjustment to retained earnings in our consolidated balance sheet for the cumulative effect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ASC 606.</w:t>
      </w:r>
    </w:p>
    <w:p>
      <w:pPr>
        <w:spacing w:after="0" w:line="43" w:lineRule="exact"/>
        <w:rPr>
          <w:sz w:val="20"/>
          <w:szCs w:val="20"/>
          <w:color w:val="auto"/>
        </w:rPr>
      </w:pPr>
    </w:p>
    <w:p>
      <w:pPr>
        <w:ind w:left="40" w:right="500" w:hanging="5"/>
        <w:spacing w:after="0" w:line="293" w:lineRule="auto"/>
        <w:tabs>
          <w:tab w:leader="none" w:pos="135"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Includes revenue from customers based on accounts, cards, devices, transactions, load amounts and/or purchase amounts, etc. for participation in our various fleet and workforce related programs, as well as revenue from partners (e.g., major retailers, leasing companies, oil companies, petroleum marketers, etc.) for processing and network management services. Primarily represents revenue from North American trucking, lodging, prepaid benefits, telematics, gift cards and toll related businesses.</w:t>
      </w:r>
    </w:p>
    <w:p>
      <w:pPr>
        <w:ind w:left="120" w:hanging="85"/>
        <w:spacing w:after="0" w:line="210" w:lineRule="auto"/>
        <w:tabs>
          <w:tab w:leader="none" w:pos="1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Fees for late payment and interest charges for carrying a balance charged to a customer.</w:t>
      </w:r>
    </w:p>
    <w:p>
      <w:pPr>
        <w:spacing w:after="0" w:line="59" w:lineRule="exact"/>
        <w:rPr>
          <w:sz w:val="20"/>
          <w:szCs w:val="20"/>
          <w:color w:val="auto"/>
        </w:rPr>
      </w:pPr>
    </w:p>
    <w:p>
      <w:pPr>
        <w:ind w:left="40" w:right="420" w:hanging="5"/>
        <w:spacing w:after="0" w:line="220" w:lineRule="auto"/>
        <w:tabs>
          <w:tab w:leader="none" w:pos="135"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Non-standard fees charged to customers based on customer behavior or optional participation, primarily including high credit risk surcharges, over credit limit charges, minimum processing fees, printing and mailing fees, etc.</w:t>
      </w:r>
    </w:p>
    <w:p>
      <w:pPr>
        <w:spacing w:after="0" w:line="4" w:lineRule="exact"/>
        <w:rPr>
          <w:sz w:val="20"/>
          <w:szCs w:val="20"/>
          <w:color w:val="auto"/>
        </w:rPr>
      </w:pPr>
    </w:p>
    <w:p>
      <w:pPr>
        <w:ind w:left="120" w:hanging="85"/>
        <w:spacing w:after="0"/>
        <w:tabs>
          <w:tab w:leader="none" w:pos="12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Interchange revenue directly influenced by the absolute price of fuel and other interchange related to fuel products.</w:t>
      </w:r>
    </w:p>
    <w:p>
      <w:pPr>
        <w:spacing w:after="0" w:line="64" w:lineRule="exact"/>
        <w:rPr>
          <w:rFonts w:ascii="Arial" w:cs="Arial" w:eastAsia="Arial" w:hAnsi="Arial"/>
          <w:sz w:val="22"/>
          <w:szCs w:val="22"/>
          <w:color w:val="auto"/>
          <w:vertAlign w:val="superscript"/>
        </w:rPr>
      </w:pPr>
    </w:p>
    <w:p>
      <w:pPr>
        <w:ind w:left="4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Interchange revenue related to nonfuel products.</w:t>
      </w:r>
    </w:p>
    <w:p>
      <w:pPr>
        <w:spacing w:after="0" w:line="15" w:lineRule="exact"/>
        <w:rPr>
          <w:rFonts w:ascii="Arial" w:cs="Arial" w:eastAsia="Arial" w:hAnsi="Arial"/>
          <w:sz w:val="22"/>
          <w:szCs w:val="22"/>
          <w:color w:val="auto"/>
          <w:vertAlign w:val="superscript"/>
        </w:rPr>
      </w:pPr>
    </w:p>
    <w:p>
      <w:pPr>
        <w:ind w:left="40" w:right="940"/>
        <w:spacing w:after="0" w:line="255"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7</w:t>
      </w:r>
      <w:r>
        <w:rPr>
          <w:rFonts w:ascii="Arial" w:cs="Arial" w:eastAsia="Arial" w:hAnsi="Arial"/>
          <w:sz w:val="16"/>
          <w:szCs w:val="16"/>
          <w:color w:val="auto"/>
        </w:rPr>
        <w:t xml:space="preserve"> Revenue derived from the difference between the price charged to a fleet customer for a transaction and the price paid to the merchant for the same transaction. </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Revenue derived primarily from the sale of equipment, software and related maintenance to merchants.</w:t>
      </w:r>
    </w:p>
    <w:p>
      <w:pPr>
        <w:ind w:left="40"/>
        <w:spacing w:after="0"/>
        <w:rPr>
          <w:rFonts w:ascii="Arial" w:cs="Arial" w:eastAsia="Arial" w:hAnsi="Arial"/>
          <w:sz w:val="22"/>
          <w:szCs w:val="22"/>
          <w:color w:val="auto"/>
          <w:vertAlign w:val="superscript"/>
        </w:rPr>
      </w:pPr>
      <w:r>
        <w:rPr>
          <w:rFonts w:ascii="Arial" w:cs="Arial" w:eastAsia="Arial" w:hAnsi="Arial"/>
          <w:sz w:val="15"/>
          <w:szCs w:val="15"/>
          <w:color w:val="auto"/>
        </w:rPr>
        <w:t>* We may not be able to precisely calculate revenue by source, as certain estimates were made in these allocations. Columns may not calculate due to rounding.</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Merchant commissions. </w:t>
      </w:r>
      <w:r>
        <w:rPr>
          <w:rFonts w:ascii="Arial" w:cs="Arial" w:eastAsia="Arial" w:hAnsi="Arial"/>
          <w:sz w:val="18"/>
          <w:szCs w:val="18"/>
          <w:color w:val="auto"/>
        </w:rPr>
        <w:t>The adoption of ASC 606 on January 1, 2018, resulted in a change in the presentation of amounts previously classified as merchant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of $84.2 million in the nine months ended September 30, 2018. As of January 1, 2018, these amounts are recorded within revenues, net. Merchant commissions were $83 million in the nine months ended September 30, 2017.</w:t>
      </w:r>
    </w:p>
    <w:p>
      <w:pPr>
        <w:spacing w:after="0" w:line="18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 xml:space="preserve">Processing. </w:t>
      </w:r>
      <w:r>
        <w:rPr>
          <w:rFonts w:ascii="Arial" w:cs="Arial" w:eastAsia="Arial" w:hAnsi="Arial"/>
          <w:sz w:val="16"/>
          <w:szCs w:val="16"/>
          <w:color w:val="auto"/>
        </w:rPr>
        <w:t>Processing expenses were $356.1 million in the nine months ended September 30, 2018, an increase of $39.7 million or 12.5%, from $316.4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comparable prior period. Increases in processing expenses were primarily due to expenses related to acquisitions completed in 2017 of approximately $35 million, incremental bad debt expense of approximately $8 million and increased volumes in certain lines of business. Additionally, the adoption of ASC 606 on January 1, 2018, resulted in an increase of $7 million to processing expenses in the nine months ended September 30, 2018. As of January 1, 2018, these amounts are recorded within revenues, net. These increases were partially offset by the favorable impact of fluctuations in foreign exchange rates of approximately $8 million and the impact of disposition of the NexTraq business of approximately $6 million.</w:t>
      </w:r>
    </w:p>
    <w:p>
      <w:pPr>
        <w:spacing w:after="0" w:line="16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 xml:space="preserve">Selling. </w:t>
      </w:r>
      <w:r>
        <w:rPr>
          <w:rFonts w:ascii="Arial" w:cs="Arial" w:eastAsia="Arial" w:hAnsi="Arial"/>
          <w:sz w:val="16"/>
          <w:szCs w:val="16"/>
          <w:color w:val="auto"/>
        </w:rPr>
        <w:t>Selling expenses were $135.9 million in the nine months ended September 30, 2018, an increase of $13.1 million or 10.6% from $122.9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comparable prior period. Increases in spending were primarily due to ongoing incremental expenses related to acquisitions completed in 2017 of approximately $15 million and additional spending in certain lines of business. These increases were partially offset by the impact of disposition of the NexTraq business of approximately $3 million and the favorable impact of fluctuations in foreign exchange rates of approximately $2 million. Additionally, the adoption of ASC 606 and related cost capitalization guidance on January 1, 2018, resulted in the capitalization of certain costs incurred to obtain a contract (sales commissions) and deferral over the period of benefit, resulting in reduced selling expenses of approximately $3 million.</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were $284.7 million in the nine months ended September 30, 2018, an increase of $9.6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3.5%, from $275.1 million in the comparable prior period. The increase was primarily due to expenses related to acquisitions completed in 2017 of approximately $23 million and additional spending in certain lines of business. These increases were partially offset by a decrease in stock compensation expense of approximately $15 million, the impact of disposition of the NexTraq business of approximately $3 million and the favorable impact of fluctuations in foreign exchange rates of approximately $3 million.</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expenses were $207.4 million in the nine months ended September 30, 2018,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$8.6 million or 4.4%, from $198.7 million in the comparable prior period. The increase was primarily due to amortization of intangible assets related to acquisitions completed in 2017 of approximately $20 million. These increases were partially offset by the impact of disposition of the NexTraq business of approximately $5 million and the favorable impact of fluctuations in foreign exchange rates of approximately $5 million.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Investment loss. </w:t>
      </w:r>
      <w:r>
        <w:rPr>
          <w:rFonts w:ascii="Arial" w:cs="Arial" w:eastAsia="Arial" w:hAnsi="Arial"/>
          <w:sz w:val="16"/>
          <w:szCs w:val="16"/>
          <w:color w:val="auto"/>
        </w:rPr>
        <w:t>Investment loss was $7.1 million in the nine months ended September 30, 2018, a decrease of $45.4 million or 86.4%, from $52.5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comparable prior period. The decrease in investment loss was due to a non-cash impairment charge of $7.1 million recorded to a cost method investment in the third quarter of 2018 as compared to a non-cash impairment charge of $44.6 million recorded to our Masternaut investment in the third quarter of 2017.</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net was $0.5 million in the nine months ended September 30, 2018, compared to other income, net of $173.6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nine months ended September 30, 2017. The decrease was due primarily to the pre-tax gain on the sale of our NexTraq business of $175 million in the third quarter of 2017.</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expense was $100.3 million in the nine months ended September 30, 2018, an increase of $24.0 million or 31.4%, from $76.3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comparable prior period. The increase in interest expense is primarily due to the impact of additional borrowings to repurchase our common stock, to finance the acquisition of Cambridge completed in 2017 and increases in LIBOR. The following table sets forth the average interest rates paid on borrowings under our Credit Facility, excluding the related unused credit facility fees.</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78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Foreign Revolver A</w:t>
            </w:r>
          </w:p>
        </w:tc>
        <w:tc>
          <w:tcPr>
            <w:tcW w:w="178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swing line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4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average unused credit facility fee for Domestic Revolver A was 0.31% and 0.35% in the nine months period ending September 30, 2018 and 2017, respectively.</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Loss on early extinguishment of debt of $3.3 million related to our write-of of debt issuance costs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of our existing credit facility during the third quarter of 2017.</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The provision for income taxes was $188.6 million in the nine months ended September 30, 2018, a decrease of $39.2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17.2%, from $227.8 million in the comparable prior period. We provide for income taxes during interim periods based on an estimate of our effective tax rate for the year. Discrete items and changes in the estimate of the annual tax rate are recorded in the period they occur. Our effective tax rate decreased to 27.0% for the nine months ended September 30, 2018 from 33.2% for nine months ended September 30, 2017.</w:t>
      </w:r>
    </w:p>
    <w:p>
      <w:pPr>
        <w:spacing w:after="0" w:line="28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2018 rate included a $23 million true-up of our provisional transition tax liability originally recorded at the end of 2017 in connection with US tax reform. The reduction in the tax rate was primarily due to the effect of the Tax Act, which went into effect on December 22, 2017. Also, the third quarter of 2017 rate was impacted by the non-recurring gain realized on the sale of the Nextraq business and the Masternaut impairment charge.</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We pay taxes in many different taxing jurisdictions, including the U.S., most U.S. states and many non-U.S. jurisdictions. The tax rates in certain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taxing jurisdictions are lower than the U.S. tax rate. Consequently, as our earnings fluctuate between taxing jurisdictions, our effective tax rate fluctuates.</w:t>
      </w:r>
    </w:p>
    <w:p>
      <w:pPr>
        <w:spacing w:after="0" w:line="2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to $509.5 million in the nine months ended September 30, 2018, an increase of $52.0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11.4%, from $457.5 million in the nine months ended September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Consolidated operating income. </w:t>
      </w:r>
      <w:r>
        <w:rPr>
          <w:rFonts w:ascii="Arial" w:cs="Arial" w:eastAsia="Arial" w:hAnsi="Arial"/>
          <w:sz w:val="16"/>
          <w:szCs w:val="16"/>
          <w:color w:val="auto"/>
        </w:rPr>
        <w:t>Operating income was $806.0 million in the nine months ended September 30, 2018, an increase of $162.2 million or</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25.2%, from $643.7 million in the comparable prior period. Our operating margin was 45.0% and 39.3% for the nine months ended September 30, 2018 and 2017, respectively. These increases were driven by organic growth, acquisitions completed in 2017 and the positive impact of the macroeconomic environment of approximately $23 million, driven by higher fuel prices. The increase was also driven by lower stock based compensation of $15 million. These increases were partially offset by the unfavorable impact of foreign exchange rates and unfavorable fuel spread margins, as well as the negative impact of the disposition of NexTraq of approximately $9 million.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North America segment operating income. </w:t>
      </w:r>
      <w:r>
        <w:rPr>
          <w:rFonts w:ascii="Arial" w:cs="Arial" w:eastAsia="Arial" w:hAnsi="Arial"/>
          <w:sz w:val="18"/>
          <w:szCs w:val="18"/>
          <w:color w:val="auto"/>
        </w:rPr>
        <w:t>North America operating income was $495.1 million in the nine months ended September 30, 2018,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$100.7 million or 25.5%, from $394.4 million in the comparable prior period. North America operating margin was 43.1% and 37.9% for the nine months ended September 30, 2018 and 2017, respectively. These increases were due primarily to organic growth, acquisitions completed in 2017 and the positive impact of the macroeconomic environment of approximately $27 million, driven by higher fuel prices. The increase was also driven by lower stock based compensation of $14 million. These increases were partially offset by unfavorable fuel spread margins and the negative impact of the disposition of NexTraq of approximately $9 million.</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 xml:space="preserve">International segment operating income. </w:t>
      </w:r>
      <w:r>
        <w:rPr>
          <w:rFonts w:ascii="Arial" w:cs="Arial" w:eastAsia="Arial" w:hAnsi="Arial"/>
          <w:sz w:val="17"/>
          <w:szCs w:val="17"/>
          <w:color w:val="auto"/>
        </w:rPr>
        <w:t>International operating income was $310.9 million in the nine months ended September 30, 2018,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$61.5 million or 24.7%, from $249.4 million in the comparable prior period. International operating margin was 48.4% and 41.7% for the nine months ended September 30, 2018 and 2017, respectively. These increases were due primarily to organic growth and acquisitions completed in 2017, partially offset by the negative impact of the macroeconomic environment of approximately $4 million, driven by unfavorable movements in foreign exchange rates. Unfavorable movements in foreign exchange rates were partially offset by higher fuel prices.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At September 30, 2018, our cash balances totaled $1,188.6 million, with approximately $264.1 million restricted. Restricted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customer deposits in the Czech Republic and in our Comdata business in the U.S., as well as collateral received from customers for cross-currency transactions in our Cambridge business, which are restricted from use other than to repay customer deposits, as well as secure and settle cross-currency transactions.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September 30, 2018, cash and cash equivalents held in foreign subsidiaries where we have determined we are permanently reinvested is $630.2 million. All of the cash and cash equivalents held by our foreign subsidiaries, excluding restricted cash, are available for general corporate purposes. Our current intent is to permanently reinvest these funds outside of the U.S. Our current expectation for funds held in our foreign subsidiaries is to use the funds to finance foreign organic growth, to pay for potential future foreign acquisitions and to repay any foreign borrowings that may arise from time to time. We currently believe that funds generated from our U.S. operations, along with available borrowing capacity in the U.S. will be sufficient to fund our U.S. operations for the foreseeable future, and therefore do not foresee a need to repatriate cash held by our foreign subsidiaries to fund our U.S. operations.</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fourth quarter of 2017, the U.S. government enacted the Tax Act, which includes provisions for a tax on all previously undistributed earnings in foreign jurisdictions. We have provisionally recorded an $81.8 million charge on these undistributed earnings in 2017. We recognized adjustments totaling $22.7 million to these provisional amounts during the nine months ended September 30, 2018 and included these adjustments as a component of income tax expense from continuing operations. We are continuing to gather additional information to complete our accounting for these items and expect to complete our accounting within the measurement period. As permitted by the Tax Act, we intend to pay the one-time transition tax in eight annual interest-free installments beginning in 2018. We are currently evaluating the remaining undistributed foreign earnings for which we have not provided deferred taxes for foreign withholding tax, as these earnings are considered to be indefinitely reinvested. The amount of these unrecorded deferred taxes is not expected to be material.</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utilize an accounts receivable Securitization Facility to finance a majority of our domestic fuel card receivables, to lower our cost of borrowing and more efficiently use capital. We generate and record accounts receivable when a customer makes a purchase from a merchant using one of our card products and generally pay merchants before collecting the receivable. As a result, we utilize the Securitization Facility as a source of liquidity to provide the cash flow required to fund merchant payments while we collect customer balances. These balances are primarily composed of charge balances, which are typically billed to the customer on a weekly, semimonthly or monthly basis, and are generally required to be paid within 14 days of billing. We also consider the undrawn amounts under our Securitization Facility and Credit Facility as funds available for working capital purposes and acquisitions. At September 30, 2018, we had no additional liquidity under our Securitization Facility. At September 30, 2018, we had approximately $675 million available under our Credit Facility.</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Based on our current forecasts and anticipated market conditions, we believe that our current cash balances, our available borrowing capacity and our ability to generate cash from operations, will be sufficient to fund our liquidity needs for at least the next twelve months. However, we regularly evaluate our cash requirements for current operations, commitments, capital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requirements and acquisitions, and we may elect to raise additional funds for these purposes in the future, either through the issuance of debt or equity securities. We may not be able to obtain additional financing on terms favorable to us, if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 periods ended September 30, 2018 and 2017 (in millions).</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431.6</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(341.6)</w:t>
            </w:r>
          </w:p>
        </w:tc>
      </w:tr>
      <w:tr>
        <w:trPr>
          <w:trHeight w:val="27"/>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250.1</w:t>
            </w:r>
          </w:p>
        </w:tc>
      </w:tr>
      <w:tr>
        <w:trPr>
          <w:trHeight w:val="27"/>
        </w:trPr>
        <w:tc>
          <w:tcPr>
            <w:tcW w:w="4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$555.4 million in the nine months ended September 30, 2018, an increase from $431.6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comparable prior period. The increase in operating cash flows was primarily due to higher net income, partially offset by unfavorable working capital adjustments primarily due to the timing of cash receipts and payments in the nine months ended September 30, 2018 over the comparable period in 2017.</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$71.3 million in the nine months ended September 30, 2018 compared to $341.6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2017. The decrease was primarily due to a reduction in cash outlay for acquisitions, net of the proceeds received from the sale of our NexTraq business during the third quarter of 2017.</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was $356.3 million in the nine months ended September 30, 2018, compared to net cash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$250.1 million in the nine months ended September 30, 2017. The increased use of cash is primarily due to a reduction in net borrowings of $583.6 million on our Credit Facility and a reduction in borrowings of $83 million on our Securitization Facility. These additional uses of cash were partially offset by fewer repurchases of our common stock of $22 million in the nine months ended September 30, 2018 over the comparable period in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 summary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capital expenditures were $56.3 million in the nine months ended September 30, 2018, an increase of $6.9 million or 13.9%, from $49.5 million in the comparable prior period. This increase is primarily due to increased spending on strategic projects, including continued investment in our operating systems, as well as incremental spending related to acquisitions completed in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FLEETCOR Technologies Operating Company, LLC, and certain of our domestic and foreign owned subsidiaries, as designated co-borrowers (the “Borrowers”), are parties to a $4.33 billion Credit Agreement (the "Credit Agreement"), with Bank of America, N.A., as administrative agent, swing line lender and local currency issuer, and a syndicate of financial institutions (the “Lenders”), which has been amended multiple times. On August 30, 2018, the Credit Agreement was amended to change the consolidated leverage ratio definition and the negative covenant related to indebtedness. The Credit Agreement provides for senior secured credit facilities consisting of a revolving A credit facility in the amount of $1.285 billion, a term loan A facility in the amount of $2.69 billion and a term loan B facility in the amount of $350.0 million as of September 30, 2018. The revolving credit facility consists of (a) a revolving A credit facility in the amount of $800 million, with sublimits for letters of credit and swing line loans, (b) a revolving B facility in the amount of $450 million for swing line loans and multi-currency borrowings and, (c) a revolving C facility in the amount of $35 million for multi-currency borrowings in Australian Dollars or New Zealand Dollars.</w:t>
      </w:r>
    </w:p>
    <w:p>
      <w:pPr>
        <w:spacing w:after="0" w:line="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Credit Agreement also contains an accordion feature for borrowing an additional $750 million in term A, term B, revolver A or revolver B. Proceeds from the Credit Facility may be used for working capital purposes, acquisitions, and other general corporate purposes. The term A and revolver maturity dates are August 2, 2022 and the term B maturity date is August 2, 2024.</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loans are payable in quarterly installments and are due on the last business day of each March, June, September, and December with the final principal payment due on the respective maturity date. Borrowings on the revolving line of credit are repayable at our option of one, two, three or nine months after borrowing, depending on the term of the borrowing on the facility. Borrowings on the foreign swing line of credit are due no later than ten business days after such loan is made.</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Credit Facility contains representations, warranties and events of default, as well as certain affirmative and negative covenants, customary for financings of this nature. These covenants include limitations on the ability to pay dividends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make other restricted payments under certain circumstances and compliance with certain financial ratios. As of September 30, 2018, we were in compliance with each of the covenants under the Credit Facility.</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September 30, 2018, the interest rate on the term A loan and the domestic revolving A facility was 3.74%, the interest rate on the foreign revolving B facility was 2.23%, the interest rate on the revolving B facility foreign swing line of credit was 2.20% and the interest rate on the term B loan was 4.24%. The unused credit facility fee was 0.30% for all revolving facilities at September 30, 2018.</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September 30, 2018, we had $2.6 billion in borrowings outstanding on the term A loan, excluding the related debt discount, $346.5 million in borrowings outstanding on term B loan, excluding the related debt discount, $440 million in borrowings outstanding on the domestic revolving A facility, $140.7 million in borrowings outstanding on the foreign revolving B facility and $29.4 million in borrowings outstanding on the swing line revolving B facility. We have unamortized debt issuance costs of $8.0 million related to the Revolver as of September 30, 2018 recorded within other assets in the unaudited consolidated balance sheet. We have unamortized debt discounts and debt issuance costs related to the term loans of $5.5 million and $4.3 million at September 30, 2018, respectively.</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nine months ended September 30, 2018, we made principal payments of $103.5 million on the term loans, $735.0 million on the domestic revolving A facility, $162.9 million on the foreign revolving B facility and $11.0 million on the swing line revolving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 party to a receivables purchase agreement among FLEETCOR Funding LLC, as seller, PNC Bank, National Association as administrator, and various purchaser agents, conduit purchasers and related committed purchasers parties thereto, which was amended and restated for the fifth time as of November 14, 2014. We refer to this arrangement as the Securitization Facility. There have been several amendments to the Securitization Facility the latest being the Fourth Amendment to the Fifth Amended and Restated Receivables Purchase Agreement executed on August 30, 2018, which increased the current purchase limit under the Securitization Facility from $950 million to $1.2 billion. The Securitization Facility expires on November 14, 2020 and contains certain customary financial covenants.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a program fee equal to one month LIBOR plus 0.90% or the Commercial Paper Rate plus 0.80%. The program fee was 2.28% plus 0.87% and 1.55% plus 0.86% as of September 30, 2018 and December 31, 2017, respectively. The unused facility fee is payable at a rate of 0.40% as of September 30, 2018 and December 31, 2017, respectively. We have unamortized debt issuance costs of $1.4 million related to the Securitization Facility as of September 30, 2018 recorded within other assets in the consolidated balance sheet.</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the financial covenant requirements related to our Securitization Facility as of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4, 2016, our Board of Directors approved a stock repurchase program (the "Program") under which we may purchase up to an aggregate of $500 million of our common stock over the following 18 month period. On July 27, 2017, our Board of Directors authorized an increase in the size of the Program by an additional $250 million and an extension of the Program by an additional 18 months. On November 1, 2017, we announced that our Board of Directors had authorized an increase in the size of the Program by an additional $350 million and on July 17, 2018, our Board of Directors authorized an additional increase of $500 million in the size of the Program, resulting in total aggregate repurchases authorized under the Program of $1.6 billion. With the increase and giving effect to our $970.8 million of previous repurchases, we may repurchase up to $629.2 million in shares of our common stock at any time prior to February 1, 2019.</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the beginning of the Program, 6,010,210 shares for an aggregate purchase price of $970.8 million have been repurchased as of September 30, 2018. There were 1,896,106 shares totaling $380.7 million repurchased under the Program during the nine months ended September 30, 2018. No repurchases were made during the three months ended September 30, 2018. Subsequent to September 30, 2018 and through November 8, 2018, the Company repurchased an additional 519,954 shares totaling $104.7 million under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Chevron Portfolio Disposition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October 2018, we reached an agreement on the terms for the sale and transition of the Chevron portfolio for approximately $160 million, which will be recorded as a pre-tax gain, less any transaction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Accounting estimates necessarily require subjective determinations about future events and conditions. During the three months ended September 30, 2018, other than noted in footnote 1, "Summary of Significant Accounting Policies" and footnote 2, "Revenue Recognition", related to our adoption of new revenue recognition guidance in accordance with ASC 606,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2017. For critical accounting policies, refer to the Critical Accounting Estimates in Item 7 – Management’s Discussion and Analysis of Financial Condition and Results of Operations included in our Annual Report on Form 10-K for the year ended December 31, 2017 and our summary of significant accounting policies in Note 1 of our notes to the unaudited consolidated financial statements in this Form 10-Q.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Financial Measures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the non-GAAP financial measure to the most directly comparable financial measure calculated in accordance with GAAP, and discuss the reasons that we believe this information is useful to management and may be useful to investors.</w:t>
      </w:r>
    </w:p>
    <w:p>
      <w:pPr>
        <w:spacing w:after="0" w:line="2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defined the non-GAAP measure adjusted net income as net income as reflected in our statement of income, adjusted to eliminate (a) non-cash stock based compensation expense related to share based compensation awards, (b) amortization of deferred financing costs, discounts and intangible assets, amortization of the premium recognized on the purchase of receivables, and our proportionate share of amortization of intangible assets at our equity method investment, (c) other non-recurring items, including the impact of the Tax Act, impairment charges, restructuring costs, gains due to disposition of business, loss on extinguishment of debt and the unauthorized access impact.</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defined the non-GAAP measure adjusted net income per diluted share as the calculation previously noted divided by the weighted average diluted shares outstanding as reflected in our statement of income.</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use adjusted net income to eliminate the effect of items that we do not consider indicative of our core operating performance. We believe it is useful to exclude non-cash stock based compensation expense from adjusted net income because non-cash equity grants made at a certain price and point in time do not necessarily reflect how our business is performing at any particular time and stock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We also believe one-time non-recurring gains, losses, and impairment charges do not necessarily reflect how our investment and business is performing. We believe that adjusted net income and adjusted net income per diluted share are appropriate supplemental measures of financial performance and may be useful to investors in understanding our operating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performance on a consistent basis. Adjusted net income and adjusted net income per diluted share are not intended to be a substitute for GAAP financial measures and should not be used as such.</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Set forth below is a reconciliation of adjusted net income and adjusted net income per diluted share to the most directly comparable GAAP measure, net income and net income per diluted share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509,483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457,503</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24,654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54,207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68,897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Amortization of intangible assets, premium on receivables,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 and discounts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60,229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177,387</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Impairment of investment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44,600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disposition of business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(109,205)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(109,205)</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 recurring loss due to merger of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Unauthorized access impact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Total pre-tax adjustments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84,134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240,575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187,003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tax impact of pre-tax adjustments at the effective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tax rate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(69,711)</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Impact of tax reform</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22,731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717,885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574,795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Adjusted net income per diluted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9"/>
                <w:szCs w:val="19"/>
                <w:color w:val="auto"/>
              </w:rPr>
            </w:pPr>
          </w:p>
        </w:tc>
        <w:tc>
          <w:tcPr>
            <w:tcW w:w="340" w:type="dxa"/>
            <w:vAlign w:val="bottom"/>
          </w:tcPr>
          <w:p>
            <w:pPr>
              <w:jc w:val="center"/>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92,671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93,923</w:t>
            </w:r>
          </w:p>
        </w:tc>
        <w:tc>
          <w:tcPr>
            <w:tcW w:w="0" w:type="dxa"/>
            <w:vAlign w:val="bottom"/>
          </w:tcPr>
          <w:p>
            <w:pPr>
              <w:spacing w:after="0"/>
              <w:rPr>
                <w:sz w:val="1"/>
                <w:szCs w:val="1"/>
                <w:color w:val="auto"/>
              </w:rPr>
            </w:pPr>
          </w:p>
        </w:tc>
      </w:tr>
      <w:tr>
        <w:trPr>
          <w:trHeight w:val="27"/>
        </w:trPr>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0" w:right="480"/>
        <w:spacing w:after="0" w:line="267"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5"/>
          <w:szCs w:val="15"/>
          <w:color w:val="auto"/>
        </w:rPr>
        <w:t>Excludes the results of the Company's investments on our effective tax rate, as results from our investments are reported within the consolidated statements of income on a post-tax basis and no tax-over-book outside basis differences related to our investments reversed during 2017. Excludes impact of tax reform adjustments during the period included in our effective tax rate. Also excludes the net gain realized upon our disposition of Nextraq, representing a pretax gain of $175.0 million and tax on gain of $65.8 million. The tax on the gain is included in "Net gain on disposition of business".</w:t>
      </w:r>
    </w:p>
    <w:p>
      <w:pPr>
        <w:spacing w:after="0" w:line="24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240" w:top="125" w:right="6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Macro Adjusted Revenue and Transactions by Product</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define pro forma and macro adjusted revenue as revenue, net as reflected in our statement of income, adjusted to eliminate the impact of the macroeconomic environment and the impact of acquisitions, dispositions and the impact of adoption of ASC 606. The macroeconomic environment includes the impact that market fuel spread margins, fuel prices and foreign exchange rates have on our business. We use pro forma and macro adjusted revenue and transactions to evaluate the organic growth in our revenue and the associated transactions. Set forth below is a reconciliation of pro forma and macro adjusted revenue and transactions to the most directly comparable GAAP measure, revenue, net and transactions (in millions):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25"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23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Revenue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ind w:left="1260"/>
              <w:spacing w:after="0"/>
              <w:rPr>
                <w:sz w:val="20"/>
                <w:szCs w:val="20"/>
                <w:color w:val="auto"/>
              </w:rPr>
            </w:pPr>
            <w:r>
              <w:rPr>
                <w:rFonts w:ascii="Arial" w:cs="Arial" w:eastAsia="Arial" w:hAnsi="Arial"/>
                <w:sz w:val="16"/>
                <w:szCs w:val="16"/>
                <w:b w:val="1"/>
                <w:bCs w:val="1"/>
                <w:color w:val="auto"/>
                <w:w w:val="98"/>
              </w:rPr>
              <w:t>Transactions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20" w:type="dxa"/>
            <w:vAlign w:val="bottom"/>
            <w:tcBorders>
              <w:bottom w:val="single" w:sz="8" w:color="auto"/>
            </w:tcBorders>
            <w:gridSpan w:val="6"/>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34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6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80" w:type="dxa"/>
            <w:vAlign w:val="bottom"/>
            <w:tcBorders>
              <w:left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b w:val="1"/>
                <w:bCs w:val="1"/>
                <w:color w:val="auto"/>
              </w:rPr>
              <w:t>FUEL</w:t>
            </w: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auto"/>
              <w:left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Pro forma and macro adjusted</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263.8</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250.5</w:t>
            </w:r>
          </w:p>
        </w:tc>
        <w:tc>
          <w:tcPr>
            <w:tcW w:w="1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acquisitions/dispositions</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fuel prices/spread</w:t>
            </w:r>
          </w:p>
        </w:tc>
        <w:tc>
          <w:tcPr>
            <w:tcW w:w="1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foreign exchange rates</w:t>
            </w: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adoption of ASC 606</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As reported</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9"/>
            <w:vMerge w:val="restart"/>
          </w:tcPr>
          <w:p>
            <w:pPr>
              <w:ind w:left="20"/>
              <w:spacing w:after="0"/>
              <w:rPr>
                <w:sz w:val="20"/>
                <w:szCs w:val="20"/>
                <w:color w:val="auto"/>
              </w:rPr>
            </w:pPr>
            <w:r>
              <w:rPr>
                <w:rFonts w:ascii="Arial" w:cs="Arial" w:eastAsia="Arial" w:hAnsi="Arial"/>
                <w:sz w:val="16"/>
                <w:szCs w:val="16"/>
                <w:b w:val="1"/>
                <w:bCs w:val="1"/>
                <w:color w:val="auto"/>
              </w:rPr>
              <w:t>CORPORATE PAYMENTS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gridSpan w:val="9"/>
            <w:vMerge w:val="continue"/>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Pro forma and macro adjusted</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acquisitions/dispositions</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fuel prices/spread</w:t>
            </w: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foreign exchange rates</w:t>
            </w:r>
          </w:p>
        </w:tc>
        <w:tc>
          <w:tcPr>
            <w:tcW w:w="1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adoption of ASC 606</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As reported</w:t>
            </w: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1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080" w:type="dxa"/>
            <w:vAlign w:val="bottom"/>
            <w:tcBorders>
              <w:left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b w:val="1"/>
                <w:bCs w:val="1"/>
                <w:color w:val="auto"/>
              </w:rPr>
              <w:t>TOLLS</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auto"/>
              <w:left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Pro forma and macro adjusted</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acquisitions/dispositions</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fuel prices/spread</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foreign exchange rates</w:t>
            </w: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adoption of ASC 606</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As reported</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9"/>
            <w:vMerge w:val="restart"/>
          </w:tcPr>
          <w:p>
            <w:pPr>
              <w:ind w:left="20"/>
              <w:spacing w:after="0"/>
              <w:rPr>
                <w:sz w:val="20"/>
                <w:szCs w:val="20"/>
                <w:color w:val="auto"/>
              </w:rPr>
            </w:pPr>
            <w:r>
              <w:rPr>
                <w:rFonts w:ascii="Arial" w:cs="Arial" w:eastAsia="Arial" w:hAnsi="Arial"/>
                <w:sz w:val="16"/>
                <w:szCs w:val="16"/>
                <w:b w:val="1"/>
                <w:bCs w:val="1"/>
                <w:color w:val="auto"/>
              </w:rPr>
              <w:t>LODGING</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gridSpan w:val="9"/>
            <w:vMerge w:val="continue"/>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Pro forma and macro adjusted</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acquisitions/dispositions</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fuel prices/spread</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foreign exchange rates</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adoption of ASC 606</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As reported</w:t>
            </w: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1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080" w:type="dxa"/>
            <w:vAlign w:val="bottom"/>
            <w:tcBorders>
              <w:left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b w:val="1"/>
                <w:bCs w:val="1"/>
                <w:color w:val="auto"/>
              </w:rPr>
              <w:t>GIFT</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auto"/>
              <w:left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Pro forma and macro adjusted</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277.6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acquisitions/dispositions</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fuel prices/spread</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foreign exchange rates</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adoption of ASC 606</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As reported</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9"/>
            <w:vMerge w:val="restart"/>
          </w:tcPr>
          <w:p>
            <w:pPr>
              <w:ind w:left="20"/>
              <w:spacing w:after="0" w:line="22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gridSpan w:val="9"/>
            <w:vMerge w:val="continue"/>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Pro forma and macro adjusted</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acquisitions/dispositions</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fuel prices/spread</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Impact of foreign exchange rates</w:t>
            </w:r>
          </w:p>
        </w:tc>
        <w:tc>
          <w:tcPr>
            <w:tcW w:w="1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left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Impact of adoption of ASC 606</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80" w:type="dxa"/>
            <w:vAlign w:val="bottom"/>
            <w:gridSpan w:val="9"/>
          </w:tcPr>
          <w:p>
            <w:pPr>
              <w:ind w:left="20"/>
              <w:spacing w:after="0"/>
              <w:rPr>
                <w:sz w:val="20"/>
                <w:szCs w:val="20"/>
                <w:color w:val="auto"/>
              </w:rPr>
            </w:pPr>
            <w:r>
              <w:rPr>
                <w:rFonts w:ascii="Arial" w:cs="Arial" w:eastAsia="Arial" w:hAnsi="Arial"/>
                <w:sz w:val="16"/>
                <w:szCs w:val="16"/>
                <w:color w:val="auto"/>
              </w:rPr>
              <w:t>As reported</w:t>
            </w: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16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CCEEFF"/>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6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040" w:type="dxa"/>
            <w:vAlign w:val="bottom"/>
            <w:gridSpan w:val="8"/>
          </w:tcPr>
          <w:p>
            <w:pPr>
              <w:spacing w:after="0"/>
              <w:rPr>
                <w:sz w:val="20"/>
                <w:szCs w:val="20"/>
                <w:color w:val="auto"/>
              </w:rPr>
            </w:pPr>
            <w:r>
              <w:rPr>
                <w:rFonts w:ascii="Arial" w:cs="Arial" w:eastAsia="Arial" w:hAnsi="Arial"/>
                <w:sz w:val="16"/>
                <w:szCs w:val="16"/>
                <w:b w:val="1"/>
                <w:bCs w:val="1"/>
                <w:color w:val="auto"/>
              </w:rPr>
              <w:t>FLEETCOR CONSOLIDATED REVENUES</w:t>
            </w: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Pro forma and macro adjusted</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676.7</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040" w:type="dxa"/>
            <w:vAlign w:val="bottom"/>
            <w:gridSpan w:val="8"/>
          </w:tcPr>
          <w:p>
            <w:pPr>
              <w:spacing w:after="0"/>
              <w:rPr>
                <w:sz w:val="20"/>
                <w:szCs w:val="20"/>
                <w:color w:val="auto"/>
              </w:rPr>
            </w:pPr>
            <w:r>
              <w:rPr>
                <w:rFonts w:ascii="Arial" w:cs="Arial" w:eastAsia="Arial" w:hAnsi="Arial"/>
                <w:sz w:val="16"/>
                <w:szCs w:val="16"/>
                <w:color w:val="auto"/>
              </w:rPr>
              <w:t>Impact of acquisitions/dispositions</w:t>
            </w:r>
          </w:p>
        </w:tc>
        <w:tc>
          <w:tcPr>
            <w:tcW w:w="1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Impact of fuel prices/spread</w:t>
            </w: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040" w:type="dxa"/>
            <w:vAlign w:val="bottom"/>
            <w:gridSpan w:val="8"/>
          </w:tcPr>
          <w:p>
            <w:pPr>
              <w:spacing w:after="0"/>
              <w:rPr>
                <w:sz w:val="20"/>
                <w:szCs w:val="20"/>
                <w:color w:val="auto"/>
              </w:rPr>
            </w:pPr>
            <w:r>
              <w:rPr>
                <w:rFonts w:ascii="Arial" w:cs="Arial" w:eastAsia="Arial" w:hAnsi="Arial"/>
                <w:sz w:val="16"/>
                <w:szCs w:val="16"/>
                <w:color w:val="auto"/>
              </w:rPr>
              <w:t>Impact of foreign exchange rates</w:t>
            </w:r>
          </w:p>
        </w:tc>
        <w:tc>
          <w:tcPr>
            <w:tcW w:w="1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Impact of adoption of ASC 606</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4040" w:type="dxa"/>
            <w:vAlign w:val="bottom"/>
            <w:gridSpan w:val="8"/>
          </w:tcPr>
          <w:p>
            <w:pPr>
              <w:spacing w:after="0"/>
              <w:rPr>
                <w:sz w:val="20"/>
                <w:szCs w:val="20"/>
                <w:color w:val="auto"/>
              </w:rPr>
            </w:pPr>
            <w:r>
              <w:rPr>
                <w:rFonts w:ascii="Arial" w:cs="Arial" w:eastAsia="Arial" w:hAnsi="Arial"/>
                <w:sz w:val="16"/>
                <w:szCs w:val="16"/>
                <w:color w:val="auto"/>
              </w:rPr>
              <w:t>As reported</w:t>
            </w: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619.6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577.9</w:t>
            </w: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658.6</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674.3</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Borders>
              <w:left w:val="single" w:sz="8" w:color="auto"/>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Columns may not calculate due to rounding.</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Other includes telematics, maintenance, and transportation related businesses.</w:t>
      </w:r>
    </w:p>
    <w:p>
      <w:pPr>
        <w:sectPr>
          <w:pgSz w:w="11900" w:h="16838" w:orient="portrait"/>
          <w:cols w:equalWidth="0" w:num="1">
            <w:col w:w="11240"/>
          </w:cols>
          <w:pgMar w:left="240" w:top="125" w:right="419" w:bottom="344"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9019"/>
          </w:cols>
          <w:pgMar w:left="1440" w:top="368" w:right="1440"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report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such as delays or failures associated with implementation; fuel price and spread volatility; changes in credit risk of customers and associated losses; the actions of regulators relating to payment cards or investigations; failure to maintain or renew key business relationships; failure to maintain competitive offerings; failure to maintain or renew sources of financing; failure to complete, or delays in completing, anticipated new partnership arrangements or acquisitions and the failure to successfully integrate or otherwise achieve anticipated benefits from such partnerships or acquired businesses; failure to successfully expand business internationally; other risks related to our international operations, including the potential impact to our business as a result of the United Kingdom's referendum to leave the European Union; the impact of foreign exchange rates on operations, revenue and income; the effects of general economic and political conditions on fueling patterns and the commercial activity of fleets; risks related to litigation; risks related to unauthorized access to systems and information; as well as the other risks and uncertainties identified under the caption “Risk Factors” in our Annual Report on Form 10-K for the year ended December 31, 2017 filed with the Securities and Exchange Commission on March 1, 2018 and in our Quarterly Reports on Form 10-Q for the three months ended March 31, 2018 and June 30, 2018, filed with the Securities and Exchange Commission on May 10, 2018 and August 9, 2018, respectively, and this Quarterly Report. These factors could cause our actual results and experience to differ materially from any forward-looking statement. 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13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2018, there have been no material changes to our market risk from that disclosed in our Annual Report on Form 10-K for the year ended December 31, 2017.</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September 30, 2018,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which included the previously announced unauthorized system access, our Chief Executive Officer and Chief Financial Officer concluded that, as of September 30, 2018,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added internal controls in support of the accounting, reporting and disclosure requirements of the new revenue accounting standard, Topic 606, which became effective for us as of January 1, 2018. In August 2017, we completed the acquisition of Cambridge Global Payments. In accordance with our integration efforts, we plan to incorporate Cambridge Global Payments operations into our internal control over financial reporting program within the time period provided by the applicable SEC rules and regulations. We have also enhanced information technology internal controls in consideration of the recently announced unauthorized system access.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than as discussed above, there were no changes in our internal control over financial reporting during the quarter ended September 30, 2018, that have materially affected, or are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we are subject to various pending and potential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The defendants dispute the allegations in the complaint and intend to vigorously defend against the claims.</w:t>
      </w:r>
    </w:p>
    <w:p>
      <w:pPr>
        <w:spacing w:after="0" w:line="16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w:t>
      </w:r>
    </w:p>
    <w:p>
      <w:pPr>
        <w:spacing w:after="0" w:line="11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1A, “Risk Factors” in our Annual Report on Form 10-K for the year ended December 31, 2017 filed with the Securities and Exchange Commission on March 1, 2018, which could materially affect our business, financial condition or future results. Other than as set forth herein and in our Quarterly Reports on Form 10-Q for the three months ended March 31, 2018 and June 30, 2018, filed with the Securities and Exchange Commission on May 10, 2018 and August 9, 2018, respectively, there have been no material changes from the risk factors previously disclosed in the Company’s Annual Report on Form 10-K for the year ended December 31, 2017.</w:t>
      </w: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125" w:right="1440"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u w:val="single" w:color="auto"/>
          <w:color w:val="auto"/>
        </w:rPr>
        <w:t>No.</w:t>
      </w:r>
    </w:p>
    <w:p>
      <w:pPr>
        <w:spacing w:after="0" w:line="1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360" w:type="dxa"/>
            <w:vAlign w:val="bottom"/>
            <w:gridSpan w:val="4"/>
          </w:tcPr>
          <w:p>
            <w:pPr>
              <w:jc w:val="center"/>
              <w:spacing w:after="0"/>
              <w:rPr>
                <w:rFonts w:ascii="Arial" w:cs="Arial" w:eastAsia="Arial" w:hAnsi="Arial"/>
                <w:sz w:val="18"/>
                <w:szCs w:val="18"/>
                <w:color w:val="0000FF"/>
                <w:w w:val="87"/>
              </w:rPr>
            </w:pPr>
            <w:hyperlink r:id="rId19">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480" w:type="dxa"/>
            <w:vAlign w:val="bottom"/>
          </w:tcPr>
          <w:p>
            <w:pPr>
              <w:spacing w:after="0"/>
              <w:rPr>
                <w:sz w:val="17"/>
                <w:szCs w:val="17"/>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4"/>
              </w:rPr>
              <w:t>Acquisition agreement to acquire Serviços e Tecnologia de Pagamentos S.A. (incorporated by reference to Exhibit 2.1 to the</w:t>
            </w:r>
          </w:p>
        </w:tc>
      </w:tr>
      <w:tr>
        <w:trPr>
          <w:trHeight w:val="237"/>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5"/>
              </w:rPr>
              <w:t>Registrant's Form 8-K, File No. 001-35004, filed with the Securities and Exchange Commission ("SEC") on March 18, 2016)</w:t>
            </w:r>
          </w:p>
        </w:tc>
      </w:tr>
      <w:tr>
        <w:trPr>
          <w:trHeight w:val="351"/>
        </w:trPr>
        <w:tc>
          <w:tcPr>
            <w:tcW w:w="360" w:type="dxa"/>
            <w:vAlign w:val="bottom"/>
            <w:gridSpan w:val="4"/>
          </w:tcPr>
          <w:p>
            <w:pPr>
              <w:jc w:val="center"/>
              <w:spacing w:after="0"/>
              <w:rPr>
                <w:rFonts w:ascii="Arial" w:cs="Arial" w:eastAsia="Arial" w:hAnsi="Arial"/>
                <w:sz w:val="18"/>
                <w:szCs w:val="18"/>
                <w:color w:val="0000FF"/>
                <w:w w:val="87"/>
              </w:rPr>
            </w:pPr>
            <w:hyperlink r:id="rId2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80" w:type="dxa"/>
            <w:vAlign w:val="bottom"/>
          </w:tcPr>
          <w:p>
            <w:pPr>
              <w:spacing w:after="0"/>
              <w:rPr>
                <w:sz w:val="24"/>
                <w:szCs w:val="24"/>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1"/>
              </w:rPr>
              <w:t>Amended and Restated Certificate of Incorporation of FleetCor Technologies, Inc. (incorporated by reference to Exhibit 3.1 to the</w:t>
            </w:r>
          </w:p>
        </w:tc>
      </w:tr>
      <w:tr>
        <w:trPr>
          <w:trHeight w:val="237"/>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Registrant’s Annual Report on Form 10-K, File No. 001-35004, filed with the SEC on March 25, 2011)</w:t>
            </w:r>
          </w:p>
        </w:tc>
      </w:tr>
      <w:tr>
        <w:trPr>
          <w:trHeight w:val="351"/>
        </w:trPr>
        <w:tc>
          <w:tcPr>
            <w:tcW w:w="360" w:type="dxa"/>
            <w:vAlign w:val="bottom"/>
            <w:gridSpan w:val="4"/>
          </w:tcPr>
          <w:p>
            <w:pPr>
              <w:jc w:val="center"/>
              <w:spacing w:after="0"/>
              <w:rPr>
                <w:rFonts w:ascii="Arial" w:cs="Arial" w:eastAsia="Arial" w:hAnsi="Arial"/>
                <w:sz w:val="18"/>
                <w:szCs w:val="18"/>
                <w:color w:val="0000FF"/>
                <w:w w:val="87"/>
              </w:rPr>
            </w:pPr>
            <w:hyperlink r:id="rId2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80" w:type="dxa"/>
            <w:vAlign w:val="bottom"/>
          </w:tcPr>
          <w:p>
            <w:pPr>
              <w:spacing w:after="0"/>
              <w:rPr>
                <w:sz w:val="24"/>
                <w:szCs w:val="24"/>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2"/>
              </w:rPr>
              <w:t>Certificate of Amendment to the Amended and Restated Certificate of Incorporation of FleetCor Technologies, Inc. (incorporated</w:t>
            </w:r>
          </w:p>
        </w:tc>
      </w:tr>
      <w:tr>
        <w:trPr>
          <w:trHeight w:val="222"/>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5"/>
              </w:rPr>
              <w:t>by reference to Exhibit 3.1 to the Registrant's Current Report on Form 8-K, File No. 001-35004, file with the SEC on June 8,</w:t>
            </w: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2018)</w:t>
            </w:r>
          </w:p>
        </w:tc>
      </w:tr>
      <w:tr>
        <w:trPr>
          <w:trHeight w:val="351"/>
        </w:trPr>
        <w:tc>
          <w:tcPr>
            <w:tcW w:w="360" w:type="dxa"/>
            <w:vAlign w:val="bottom"/>
            <w:gridSpan w:val="4"/>
          </w:tcPr>
          <w:p>
            <w:pPr>
              <w:jc w:val="center"/>
              <w:spacing w:after="0"/>
              <w:rPr>
                <w:rFonts w:ascii="Arial" w:cs="Arial" w:eastAsia="Arial" w:hAnsi="Arial"/>
                <w:sz w:val="18"/>
                <w:szCs w:val="18"/>
                <w:color w:val="0000FF"/>
                <w:w w:val="87"/>
              </w:rPr>
            </w:pPr>
            <w:hyperlink r:id="rId2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480" w:type="dxa"/>
            <w:vAlign w:val="bottom"/>
          </w:tcPr>
          <w:p>
            <w:pPr>
              <w:spacing w:after="0"/>
              <w:rPr>
                <w:sz w:val="24"/>
                <w:szCs w:val="24"/>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6"/>
              </w:rPr>
              <w:t>Amended and Restated Bylaws of FleetCor Technologies, Inc. (incorporated by reference to Exhibit 3.1 to the Registrant’s</w:t>
            </w:r>
          </w:p>
        </w:tc>
      </w:tr>
      <w:tr>
        <w:trPr>
          <w:trHeight w:val="237"/>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Annual Report on Form 8-K, File No. 001-35004, filed with the SEC on January 29, 2018)</w:t>
            </w:r>
          </w:p>
        </w:tc>
      </w:tr>
      <w:tr>
        <w:trPr>
          <w:trHeight w:val="351"/>
        </w:trPr>
        <w:tc>
          <w:tcPr>
            <w:tcW w:w="360" w:type="dxa"/>
            <w:vAlign w:val="bottom"/>
            <w:gridSpan w:val="4"/>
          </w:tcPr>
          <w:p>
            <w:pPr>
              <w:jc w:val="center"/>
              <w:spacing w:after="0"/>
              <w:rPr>
                <w:rFonts w:ascii="Arial" w:cs="Arial" w:eastAsia="Arial" w:hAnsi="Arial"/>
                <w:sz w:val="18"/>
                <w:szCs w:val="18"/>
                <w:color w:val="0000FF"/>
                <w:w w:val="87"/>
              </w:rPr>
            </w:pPr>
            <w:hyperlink r:id="rId2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480" w:type="dxa"/>
            <w:vAlign w:val="bottom"/>
          </w:tcPr>
          <w:p>
            <w:pPr>
              <w:spacing w:after="0"/>
              <w:rPr>
                <w:sz w:val="24"/>
                <w:szCs w:val="24"/>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4"/>
              </w:rPr>
              <w:t>Form of Stock Certificate for Common Stock (incorporated by reference to Exhibit 4.1 to Amendment No. 3 to the Registrant’s</w:t>
            </w:r>
          </w:p>
        </w:tc>
      </w:tr>
      <w:tr>
        <w:trPr>
          <w:trHeight w:val="237"/>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Registration Statement on Form S-1, File No. 333-166092, filed with the SEC on June 29, 2010)</w:t>
            </w:r>
          </w:p>
        </w:tc>
      </w:tr>
      <w:tr>
        <w:trPr>
          <w:trHeight w:val="351"/>
        </w:trPr>
        <w:tc>
          <w:tcPr>
            <w:tcW w:w="840" w:type="dxa"/>
            <w:vAlign w:val="bottom"/>
            <w:gridSpan w:val="5"/>
          </w:tcPr>
          <w:p>
            <w:pPr>
              <w:jc w:val="center"/>
              <w:ind w:right="440"/>
              <w:spacing w:after="0"/>
              <w:rPr>
                <w:rFonts w:ascii="Arial" w:cs="Arial" w:eastAsia="Arial" w:hAnsi="Arial"/>
                <w:sz w:val="18"/>
                <w:szCs w:val="18"/>
                <w:color w:val="0000FF"/>
                <w:w w:val="95"/>
              </w:rPr>
            </w:pPr>
            <w:hyperlink w:anchor="page6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hyperlink>
            <w:r>
              <w:rPr>
                <w:rFonts w:ascii="Arial" w:cs="Arial" w:eastAsia="Arial" w:hAnsi="Arial"/>
                <w:sz w:val="18"/>
                <w:szCs w:val="18"/>
                <w:color w:val="000000"/>
                <w:w w:val="95"/>
              </w:rPr>
              <w:t>*</w:t>
            </w:r>
          </w:p>
        </w:tc>
        <w:tc>
          <w:tcPr>
            <w:tcW w:w="9840" w:type="dxa"/>
            <w:vAlign w:val="bottom"/>
          </w:tcPr>
          <w:p>
            <w:pPr>
              <w:ind w:left="440"/>
              <w:spacing w:after="0"/>
              <w:rPr>
                <w:sz w:val="20"/>
                <w:szCs w:val="20"/>
                <w:color w:val="auto"/>
              </w:rPr>
            </w:pPr>
            <w:r>
              <w:rPr>
                <w:rFonts w:ascii="Arial" w:cs="Arial" w:eastAsia="Arial" w:hAnsi="Arial"/>
                <w:sz w:val="18"/>
                <w:szCs w:val="18"/>
                <w:color w:val="auto"/>
                <w:w w:val="96"/>
              </w:rPr>
              <w:t>Fourth Amendment to Credit Agreement, dated August 30, 2018, among FleetCor Technologies Operating Company, LLC,</w:t>
            </w:r>
          </w:p>
        </w:tc>
      </w:tr>
      <w:tr>
        <w:trPr>
          <w:trHeight w:val="222"/>
        </w:trPr>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0"/>
              </w:rPr>
              <w:t>FleetCor Technologies Operating Company, LLC, FleetCor Technologies, Inc., the designated borrowers party thereto, Cambridge</w:t>
            </w:r>
          </w:p>
        </w:tc>
      </w:tr>
      <w:tr>
        <w:trPr>
          <w:trHeight w:val="216"/>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3"/>
              </w:rPr>
              <w:t>Mercantile Corp. (U.S.A.), the other guarantors party thereto, Bank of America, N.A., as administrative agent, swing line lender</w:t>
            </w: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and l/c issuer, and the other lenders party thereto</w:t>
            </w:r>
          </w:p>
        </w:tc>
      </w:tr>
      <w:tr>
        <w:trPr>
          <w:trHeight w:val="351"/>
        </w:trPr>
        <w:tc>
          <w:tcPr>
            <w:tcW w:w="840" w:type="dxa"/>
            <w:vAlign w:val="bottom"/>
            <w:gridSpan w:val="5"/>
          </w:tcPr>
          <w:p>
            <w:pPr>
              <w:jc w:val="center"/>
              <w:ind w:right="440"/>
              <w:spacing w:after="0"/>
              <w:rPr>
                <w:rFonts w:ascii="Arial" w:cs="Arial" w:eastAsia="Arial" w:hAnsi="Arial"/>
                <w:sz w:val="18"/>
                <w:szCs w:val="18"/>
                <w:color w:val="0000FF"/>
                <w:w w:val="95"/>
              </w:rPr>
            </w:pPr>
            <w:hyperlink w:anchor="page7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hyperlink>
            <w:r>
              <w:rPr>
                <w:rFonts w:ascii="Arial" w:cs="Arial" w:eastAsia="Arial" w:hAnsi="Arial"/>
                <w:sz w:val="18"/>
                <w:szCs w:val="18"/>
                <w:color w:val="000000"/>
                <w:w w:val="95"/>
              </w:rPr>
              <w:t>*</w:t>
            </w:r>
          </w:p>
        </w:tc>
        <w:tc>
          <w:tcPr>
            <w:tcW w:w="9840" w:type="dxa"/>
            <w:vAlign w:val="bottom"/>
          </w:tcPr>
          <w:p>
            <w:pPr>
              <w:ind w:left="440"/>
              <w:spacing w:after="0"/>
              <w:rPr>
                <w:sz w:val="20"/>
                <w:szCs w:val="20"/>
                <w:color w:val="auto"/>
              </w:rPr>
            </w:pPr>
            <w:r>
              <w:rPr>
                <w:rFonts w:ascii="Arial" w:cs="Arial" w:eastAsia="Arial" w:hAnsi="Arial"/>
                <w:sz w:val="18"/>
                <w:szCs w:val="18"/>
                <w:color w:val="auto"/>
                <w:w w:val="93"/>
              </w:rPr>
              <w:t>Fourth Amendment to Fifth Amended and Restated Receivables Purchase Agreement, dated August 30, 2018, by and among</w:t>
            </w:r>
          </w:p>
        </w:tc>
      </w:tr>
      <w:tr>
        <w:trPr>
          <w:trHeight w:val="222"/>
        </w:trPr>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2"/>
              </w:rPr>
              <w:t>FleetCor Funding LLC, FleetCor Technologies Operating Company, LLC, PNC Bank, National Association as administrator for a</w:t>
            </w: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group of purchasers and purchaser agents, and certain other parties thereto</w:t>
            </w:r>
          </w:p>
        </w:tc>
      </w:tr>
      <w:tr>
        <w:trPr>
          <w:trHeight w:val="351"/>
        </w:trPr>
        <w:tc>
          <w:tcPr>
            <w:tcW w:w="360" w:type="dxa"/>
            <w:vAlign w:val="bottom"/>
            <w:gridSpan w:val="4"/>
          </w:tcPr>
          <w:p>
            <w:pPr>
              <w:jc w:val="cente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80" w:type="dxa"/>
            <w:vAlign w:val="bottom"/>
          </w:tcPr>
          <w:p>
            <w:pPr>
              <w:spacing w:after="0"/>
              <w:rPr>
                <w:sz w:val="24"/>
                <w:szCs w:val="24"/>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8"/>
              </w:rPr>
              <w:t>Certification of Chief Executive Officer pursuant to Rule 13a-14(a) and rule 15d-14(a) of the Securities Exchange Act, as</w:t>
            </w:r>
          </w:p>
        </w:tc>
      </w:tr>
      <w:tr>
        <w:trPr>
          <w:trHeight w:val="237"/>
        </w:trPr>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amended</w:t>
            </w:r>
          </w:p>
        </w:tc>
      </w:tr>
      <w:tr>
        <w:trPr>
          <w:trHeight w:val="230"/>
        </w:trPr>
        <w:tc>
          <w:tcPr>
            <w:tcW w:w="360" w:type="dxa"/>
            <w:vAlign w:val="bottom"/>
            <w:gridSpan w:val="4"/>
          </w:tcPr>
          <w:p>
            <w:pPr>
              <w:jc w:val="cente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80" w:type="dxa"/>
            <w:vAlign w:val="bottom"/>
          </w:tcPr>
          <w:p>
            <w:pPr>
              <w:spacing w:after="0"/>
              <w:rPr>
                <w:sz w:val="19"/>
                <w:szCs w:val="19"/>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1"/>
              </w:rPr>
              <w:t>Certification of Chief Financial Officer pursuant to Rule 13a-14(a) and rule 15d-14(a) of the Securities Exchange Act, as amended</w:t>
            </w: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372"/>
        </w:trPr>
        <w:tc>
          <w:tcPr>
            <w:tcW w:w="360" w:type="dxa"/>
            <w:vAlign w:val="bottom"/>
            <w:gridSpan w:val="4"/>
          </w:tcPr>
          <w:p>
            <w:pPr>
              <w:jc w:val="cente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80" w:type="dxa"/>
            <w:vAlign w:val="bottom"/>
          </w:tcPr>
          <w:p>
            <w:pPr>
              <w:spacing w:after="0"/>
              <w:rPr>
                <w:sz w:val="24"/>
                <w:szCs w:val="24"/>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3"/>
              </w:rPr>
              <w:t>Certification of Chief Executive Officer pursuant to 18 U.S.C. 1350, as adopted pursuant to Section 906 of the Sarbanes-Oxley</w:t>
            </w:r>
          </w:p>
        </w:tc>
      </w:tr>
      <w:tr>
        <w:trPr>
          <w:trHeight w:val="237"/>
        </w:trPr>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Act of 2001</w:t>
            </w:r>
          </w:p>
        </w:tc>
      </w:tr>
      <w:tr>
        <w:trPr>
          <w:trHeight w:val="351"/>
        </w:trPr>
        <w:tc>
          <w:tcPr>
            <w:tcW w:w="360" w:type="dxa"/>
            <w:vAlign w:val="bottom"/>
            <w:gridSpan w:val="4"/>
          </w:tcPr>
          <w:p>
            <w:pPr>
              <w:jc w:val="center"/>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480" w:type="dxa"/>
            <w:vAlign w:val="bottom"/>
          </w:tcPr>
          <w:p>
            <w:pPr>
              <w:spacing w:after="0"/>
              <w:rPr>
                <w:sz w:val="24"/>
                <w:szCs w:val="24"/>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7"/>
        </w:trPr>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440"/>
              <w:spacing w:after="0"/>
              <w:rPr>
                <w:sz w:val="20"/>
                <w:szCs w:val="20"/>
                <w:color w:val="auto"/>
              </w:rPr>
            </w:pPr>
            <w:r>
              <w:rPr>
                <w:rFonts w:ascii="Arial" w:cs="Arial" w:eastAsia="Arial" w:hAnsi="Arial"/>
                <w:sz w:val="18"/>
                <w:szCs w:val="18"/>
                <w:color w:val="auto"/>
              </w:rPr>
              <w:t>of 2001</w:t>
            </w:r>
          </w:p>
        </w:tc>
      </w:tr>
    </w:tbl>
    <w:p>
      <w:pPr>
        <w:spacing w:after="0" w:line="161" w:lineRule="exact"/>
        <w:rPr>
          <w:sz w:val="20"/>
          <w:szCs w:val="20"/>
          <w:color w:val="auto"/>
        </w:rPr>
      </w:pPr>
    </w:p>
    <w:p>
      <w:pPr>
        <w:ind w:left="2000" w:right="80" w:hanging="1222"/>
        <w:spacing w:after="0" w:line="259" w:lineRule="auto"/>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of Cash Flows and (v) the Notes to Unaudited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*Filed Herein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their capacities indicated on November 8, 2018.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FleetCor Technologies, Inc.</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42"/>
        </w:trPr>
        <w:tc>
          <w:tcPr>
            <w:tcW w:w="5040" w:type="dxa"/>
            <w:vAlign w:val="bottom"/>
          </w:tcPr>
          <w:p>
            <w:pPr>
              <w:ind w:left="2220"/>
              <w:spacing w:after="0"/>
              <w:rPr>
                <w:sz w:val="20"/>
                <w:szCs w:val="20"/>
                <w:color w:val="auto"/>
              </w:rPr>
            </w:pPr>
            <w:r>
              <w:rPr>
                <w:rFonts w:ascii="Arial" w:cs="Arial" w:eastAsia="Arial" w:hAnsi="Arial"/>
                <w:sz w:val="14"/>
                <w:szCs w:val="14"/>
                <w:b w:val="1"/>
                <w:bCs w:val="1"/>
                <w:color w:val="auto"/>
              </w:rPr>
              <w:t>Signature</w:t>
            </w:r>
          </w:p>
        </w:tc>
        <w:tc>
          <w:tcPr>
            <w:tcW w:w="920" w:type="dxa"/>
            <w:vAlign w:val="bottom"/>
          </w:tcPr>
          <w:p>
            <w:pPr>
              <w:spacing w:after="0"/>
              <w:rPr>
                <w:sz w:val="24"/>
                <w:szCs w:val="24"/>
                <w:color w:val="auto"/>
              </w:rPr>
            </w:pPr>
          </w:p>
        </w:tc>
        <w:tc>
          <w:tcPr>
            <w:tcW w:w="5460" w:type="dxa"/>
            <w:vAlign w:val="bottom"/>
          </w:tcPr>
          <w:p>
            <w:pPr>
              <w:ind w:left="26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80"/>
        </w:trPr>
        <w:tc>
          <w:tcPr>
            <w:tcW w:w="50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6"/>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/s/ Ronald F. Clarke</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82"/>
        </w:trPr>
        <w:tc>
          <w:tcPr>
            <w:tcW w:w="50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Directors (Duly Authorized Officer and Principal</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920" w:type="dxa"/>
            <w:vAlign w:val="bottom"/>
            <w:vMerge w:val="restart"/>
          </w:tcPr>
          <w:p>
            <w:pPr>
              <w:spacing w:after="0"/>
              <w:rPr>
                <w:sz w:val="2"/>
                <w:szCs w:val="2"/>
                <w:color w:val="auto"/>
              </w:rPr>
            </w:pPr>
          </w:p>
        </w:tc>
        <w:tc>
          <w:tcPr>
            <w:tcW w:w="5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Ronald F. Clarke</w:t>
            </w:r>
          </w:p>
        </w:tc>
        <w:tc>
          <w:tcPr>
            <w:tcW w:w="920" w:type="dxa"/>
            <w:vAlign w:val="bottom"/>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1"/>
        </w:trPr>
        <w:tc>
          <w:tcPr>
            <w:tcW w:w="5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5040" w:type="dxa"/>
            <w:vAlign w:val="bottom"/>
          </w:tcPr>
          <w:p>
            <w:pPr>
              <w:ind w:left="40"/>
              <w:spacing w:after="0"/>
              <w:rPr>
                <w:sz w:val="20"/>
                <w:szCs w:val="20"/>
                <w:color w:val="auto"/>
              </w:rPr>
            </w:pPr>
            <w:r>
              <w:rPr>
                <w:rFonts w:ascii="Arial" w:cs="Arial" w:eastAsia="Arial" w:hAnsi="Arial"/>
                <w:sz w:val="18"/>
                <w:szCs w:val="18"/>
                <w:color w:val="auto"/>
              </w:rPr>
              <w:t>/s/ Eric R. Dey</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0" w:type="dxa"/>
            <w:vAlign w:val="bottom"/>
          </w:tcPr>
          <w:p>
            <w:pPr>
              <w:spacing w:after="0"/>
              <w:rPr>
                <w:sz w:val="1"/>
                <w:szCs w:val="1"/>
                <w:color w:val="auto"/>
              </w:rPr>
            </w:pPr>
          </w:p>
        </w:tc>
      </w:tr>
      <w:tr>
        <w:trPr>
          <w:trHeight w:val="41"/>
        </w:trPr>
        <w:tc>
          <w:tcPr>
            <w:tcW w:w="5040" w:type="dxa"/>
            <w:vAlign w:val="bottom"/>
            <w:tcBorders>
              <w:bottom w:val="single" w:sz="8" w:color="auto"/>
            </w:tcBorders>
          </w:tcPr>
          <w:p>
            <w:pPr>
              <w:spacing w:after="0"/>
              <w:rPr>
                <w:sz w:val="3"/>
                <w:szCs w:val="3"/>
                <w:color w:val="auto"/>
              </w:rPr>
            </w:pPr>
          </w:p>
        </w:tc>
        <w:tc>
          <w:tcPr>
            <w:tcW w:w="920" w:type="dxa"/>
            <w:vAlign w:val="bottom"/>
            <w:vMerge w:val="restart"/>
          </w:tcPr>
          <w:p>
            <w:pPr>
              <w:spacing w:after="0"/>
              <w:rPr>
                <w:sz w:val="3"/>
                <w:szCs w:val="3"/>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16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Eric R. Dey</w:t>
            </w:r>
          </w:p>
        </w:tc>
        <w:tc>
          <w:tcPr>
            <w:tcW w:w="920" w:type="dxa"/>
            <w:vAlign w:val="bottom"/>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0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2"/>
        </w:trPr>
        <w:tc>
          <w:tcPr>
            <w:tcW w:w="504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color w:val="auto"/>
        </w:rPr>
        <w:t>FOURTH AMENDMENT TO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August 30, 2018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FLEETCOR TECHNOLOGIES OPERATING COMPANY,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FLEETCOR TECHNOLOGIES,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Parent,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DESIGNATED BORROWERS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CAMBRIDGE MERCANTILE CORP. (U.S.A.),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Additional Borrower,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OTHER GUARANTORS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 Swing Line Lender and L/C Issuer,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OTHER LENDERS PARTY HERETO</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MERRILL LYNCH, PIERCE, FENNER &amp; SMITH INCORPORATED,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Sole Lead Arranger and Sole Bookrunner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AMENDMENT TO CREDIT AGREEMENT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THIS FOURTH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30, 2018 (the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is entered into among FLEETCOR TECHNOLOGIES OPERATING COMPANY, LLC, a Georgia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FLEETCOR TECHNOLOGIES, INC.,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the Designated Borrowers party hereto (including FleetCor Luxembourg Holding2, a société à responsabilité limitée, incorporated under the laws of the Grand-Duchy of Luxembourg, with a share capital of EUR 143,775,650, having its registered office at 5, rue Guillaume Kroll, L-1882 Luxembourg and registered with the Registre de Commerce et des Sociétés, Luxembourg under number B 121.980), Cambridge Mercantile Corp. (U.S.A.), a Delaware corporation (the “</w:t>
      </w:r>
      <w:r>
        <w:rPr>
          <w:rFonts w:ascii="Arial" w:cs="Arial" w:eastAsia="Arial" w:hAnsi="Arial"/>
          <w:sz w:val="18"/>
          <w:szCs w:val="18"/>
          <w:u w:val="single" w:color="auto"/>
          <w:color w:val="auto"/>
        </w:rPr>
        <w:t>Additional Borrower</w:t>
      </w:r>
      <w:r>
        <w:rPr>
          <w:rFonts w:ascii="Arial" w:cs="Arial" w:eastAsia="Arial" w:hAnsi="Arial"/>
          <w:sz w:val="18"/>
          <w:szCs w:val="18"/>
          <w:color w:val="auto"/>
        </w:rPr>
        <w:t>”), the other Guarantors party hereto, the Lenders party hereto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L/C Issuer and Swing Line Lender. Capitalized terms used but not otherwise defined herein shall have the meanings given to such terms in the Credit Agreement (as defined below) as amended hereby.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pursuant to that certain Credit Agreement, dated as of October 24, 2014 (as amended, modified, supplemented, increased or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the Parent, the Designated Borrowers from time to time party thereto, the Additional Borrower, the Lenders from time to time party thereto and Bank of America, N.A., as Administrative Agent, L/C Issuer and Swing Line Lender, the Lenders have agreed to provide the Borrowers with the credit facilities provided for therein;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has requested certain amendments to the Credit Agreement, as more particularly set forth herein.</w:t>
      </w:r>
    </w:p>
    <w:p>
      <w:pPr>
        <w:spacing w:after="0" w:line="2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90" w:lineRule="exact"/>
        <w:rPr>
          <w:sz w:val="20"/>
          <w:szCs w:val="20"/>
          <w:color w:val="auto"/>
        </w:rPr>
      </w:pPr>
    </w:p>
    <w:p>
      <w:pPr>
        <w:ind w:left="1000" w:hanging="344"/>
        <w:spacing w:after="0"/>
        <w:tabs>
          <w:tab w:leader="none" w:pos="100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The Credit Agreement is hereby amended as follows:</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following definitions are added to Section 1.01 of the Credit Agreement in the appropriate alphabetical order to read</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as follows:</w:t>
      </w:r>
    </w:p>
    <w:p>
      <w:pPr>
        <w:spacing w:after="0" w:line="200" w:lineRule="exact"/>
        <w:rPr>
          <w:sz w:val="20"/>
          <w:szCs w:val="20"/>
          <w:color w:val="auto"/>
        </w:rPr>
      </w:pPr>
    </w:p>
    <w:p>
      <w:pPr>
        <w:ind w:left="1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 means August 30, 2018.</w:t>
      </w:r>
    </w:p>
    <w:p>
      <w:pPr>
        <w:sectPr>
          <w:pgSz w:w="11900" w:h="16838" w:orient="portrait"/>
          <w:cols w:equalWidth="0" w:num="1">
            <w:col w:w="11420"/>
          </w:cols>
          <w:pgMar w:left="240" w:top="622" w:right="239" w:bottom="228" w:gutter="0" w:footer="0" w:header="0"/>
        </w:sectPr>
      </w:pPr>
    </w:p>
    <w:bookmarkStart w:id="61" w:name="page62"/>
    <w:bookmarkEnd w:id="61"/>
    <w:p>
      <w:pPr>
        <w:jc w:val="both"/>
        <w:ind w:left="6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3.07</w:t>
      </w:r>
      <w:r>
        <w:rPr>
          <w:rFonts w:ascii="Arial" w:cs="Arial" w:eastAsia="Arial" w:hAnsi="Arial"/>
          <w:sz w:val="20"/>
          <w:szCs w:val="20"/>
          <w:color w:val="auto"/>
        </w:rPr>
        <w:t>.</w:t>
      </w:r>
    </w:p>
    <w:p>
      <w:pPr>
        <w:spacing w:after="0" w:line="216" w:lineRule="exact"/>
        <w:rPr>
          <w:sz w:val="20"/>
          <w:szCs w:val="20"/>
          <w:color w:val="auto"/>
        </w:rPr>
      </w:pPr>
    </w:p>
    <w:p>
      <w:pPr>
        <w:jc w:val="both"/>
        <w:ind w:left="64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Company).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3.07</w:t>
      </w:r>
      <w:r>
        <w:rPr>
          <w:rFonts w:ascii="Arial" w:cs="Arial" w:eastAsia="Arial" w:hAnsi="Arial"/>
          <w:sz w:val="20"/>
          <w:szCs w:val="20"/>
          <w:color w:val="auto"/>
        </w:rPr>
        <w:t>.</w:t>
      </w:r>
    </w:p>
    <w:p>
      <w:pPr>
        <w:spacing w:after="0" w:line="216" w:lineRule="exact"/>
        <w:rPr>
          <w:sz w:val="20"/>
          <w:szCs w:val="20"/>
          <w:color w:val="auto"/>
        </w:rPr>
      </w:pPr>
    </w:p>
    <w:p>
      <w:pPr>
        <w:ind w:right="20" w:firstLine="645"/>
        <w:spacing w:after="0" w:line="260" w:lineRule="auto"/>
        <w:tabs>
          <w:tab w:leader="none" w:pos="107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definition of “Sanction(s)” in Section 1.01 of the Credit Agreement is amended to insert “the Canadian Government,” immediately before “the United Nations Security Council”.</w:t>
      </w:r>
    </w:p>
    <w:p>
      <w:pPr>
        <w:spacing w:after="0" w:line="176" w:lineRule="exact"/>
        <w:rPr>
          <w:rFonts w:ascii="Arial" w:cs="Arial" w:eastAsia="Arial" w:hAnsi="Arial"/>
          <w:sz w:val="20"/>
          <w:szCs w:val="20"/>
          <w:color w:val="auto"/>
        </w:rPr>
      </w:pPr>
    </w:p>
    <w:p>
      <w:pPr>
        <w:ind w:firstLine="645"/>
        <w:spacing w:after="0" w:line="260" w:lineRule="auto"/>
        <w:tabs>
          <w:tab w:leader="none" w:pos="121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reference to “$1,000,000,000” in the definition of “Consolidated Leverage Ratio” of the Credit Agreement is amended to read “$1,200,000,000”.</w:t>
      </w:r>
    </w:p>
    <w:p>
      <w:pPr>
        <w:spacing w:after="0" w:line="176" w:lineRule="exact"/>
        <w:rPr>
          <w:rFonts w:ascii="Arial" w:cs="Arial" w:eastAsia="Arial" w:hAnsi="Arial"/>
          <w:sz w:val="20"/>
          <w:szCs w:val="20"/>
          <w:color w:val="auto"/>
        </w:rPr>
      </w:pPr>
    </w:p>
    <w:p>
      <w:pPr>
        <w:ind w:firstLine="645"/>
        <w:spacing w:after="0" w:line="287" w:lineRule="auto"/>
        <w:tabs>
          <w:tab w:leader="none" w:pos="1142"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Section 2.04(b)(i) of the Credit Agreement, (i) the reference to “1:00 p.m.” is amended to read “3:00 p.m.”, (ii) the reference to “2:00 p.m.” is amended to read “4:00 p.m. and (iii) the reference to “3:00 p.m.” is amended to read “5:00 p.m.</w:t>
      </w:r>
    </w:p>
    <w:p>
      <w:pPr>
        <w:spacing w:after="0" w:line="152" w:lineRule="exact"/>
        <w:rPr>
          <w:rFonts w:ascii="Arial" w:cs="Arial" w:eastAsia="Arial" w:hAnsi="Arial"/>
          <w:sz w:val="19"/>
          <w:szCs w:val="19"/>
          <w:color w:val="auto"/>
        </w:rPr>
      </w:pPr>
    </w:p>
    <w:p>
      <w:pPr>
        <w:ind w:left="1100" w:hanging="455"/>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3.07 of the Credit Agreement is hereby amended to be Section 3.08 of the Credit Agreement and a new Section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3.07 is hereby added to the Credit Agreement to read as follows:</w:t>
      </w:r>
    </w:p>
    <w:p>
      <w:pPr>
        <w:spacing w:after="0" w:line="20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3.07</w:t>
      </w:r>
      <w:r>
        <w:rPr>
          <w:sz w:val="20"/>
          <w:szCs w:val="20"/>
          <w:color w:val="auto"/>
        </w:rPr>
        <w:tab/>
      </w:r>
      <w:r>
        <w:rPr>
          <w:rFonts w:ascii="Arial" w:cs="Arial" w:eastAsia="Arial" w:hAnsi="Arial"/>
          <w:sz w:val="16"/>
          <w:szCs w:val="16"/>
          <w:u w:val="single" w:color="auto"/>
          <w:color w:val="auto"/>
        </w:rPr>
        <w:t>LIBOR Successor Rate</w:t>
      </w:r>
      <w:r>
        <w:rPr>
          <w:rFonts w:ascii="Arial" w:cs="Arial" w:eastAsia="Arial" w:hAnsi="Arial"/>
          <w:sz w:val="16"/>
          <w:szCs w:val="16"/>
          <w:color w:val="auto"/>
        </w:rPr>
        <w:t>.</w:t>
      </w:r>
    </w:p>
    <w:p>
      <w:pPr>
        <w:spacing w:after="0" w:line="216" w:lineRule="exact"/>
        <w:rPr>
          <w:sz w:val="20"/>
          <w:szCs w:val="20"/>
          <w:color w:val="auto"/>
        </w:rPr>
      </w:pPr>
    </w:p>
    <w:p>
      <w:pPr>
        <w:jc w:val="both"/>
        <w:ind w:left="640" w:firstLine="648"/>
        <w:spacing w:after="0" w:line="269" w:lineRule="auto"/>
        <w:rPr>
          <w:sz w:val="20"/>
          <w:szCs w:val="20"/>
          <w:color w:val="auto"/>
        </w:rPr>
      </w:pPr>
      <w:r>
        <w:rPr>
          <w:rFonts w:ascii="Arial" w:cs="Arial" w:eastAsia="Arial" w:hAnsi="Arial"/>
          <w:sz w:val="18"/>
          <w:szCs w:val="18"/>
          <w:color w:val="auto"/>
        </w:rPr>
        <w:t>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Company) that the Company or Required Lenders (as applicable) have determined, that: (a) adequate and reasonable means do not exist for ascertaining LIBOR for any requested Interest Period, including, because the LIBOR Screen Rate is not available or published on a current basis and such circumstances are unlikely to be temporary; (b) 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or (c) syndicated loans currently being executed, or that include language similar to that contained in this </w:t>
      </w:r>
      <w:r>
        <w:rPr>
          <w:rFonts w:ascii="Arial" w:cs="Arial" w:eastAsia="Arial" w:hAnsi="Arial"/>
          <w:sz w:val="18"/>
          <w:szCs w:val="18"/>
          <w:u w:val="single" w:color="auto"/>
          <w:color w:val="auto"/>
        </w:rPr>
        <w:t>Section 3.07</w:t>
      </w:r>
      <w:r>
        <w:rPr>
          <w:rFonts w:ascii="Arial" w:cs="Arial" w:eastAsia="Arial" w:hAnsi="Arial"/>
          <w:sz w:val="18"/>
          <w:szCs w:val="18"/>
          <w:color w:val="auto"/>
        </w:rPr>
        <w:t>, are being executed or amended (as applicable) to incorporate or adopt a new benchmark interest rate to replace LIBOR; then, reasonably promptly after such determination by the Administrative Agent or receipt by the Administrative Agent of such notice, as applicable, the Administrative Agent and the Company may amend this Agreement to replace LIBOR with an alternate benchmark rate (including any mathematical or other adjustments to the benchmark (if any) incorporated therein), giving due consideration to any evolving or then existing convention for similar syndicated credit facilities for such alternative benchmarks (any such proposed rate, a “</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together with any proposed LIBOR Successor Rate Conforming Changes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do not accept such amendment.</w:t>
      </w:r>
    </w:p>
    <w:p>
      <w:pPr>
        <w:spacing w:after="0" w:line="170" w:lineRule="exact"/>
        <w:rPr>
          <w:sz w:val="20"/>
          <w:szCs w:val="20"/>
          <w:color w:val="auto"/>
        </w:rPr>
      </w:pPr>
    </w:p>
    <w:p>
      <w:pPr>
        <w:jc w:val="both"/>
        <w:ind w:left="640" w:firstLine="648"/>
        <w:spacing w:after="0" w:line="256" w:lineRule="auto"/>
        <w:rPr>
          <w:sz w:val="20"/>
          <w:szCs w:val="20"/>
          <w:color w:val="auto"/>
        </w:rPr>
      </w:pPr>
      <w:r>
        <w:rPr>
          <w:rFonts w:ascii="Arial" w:cs="Arial" w:eastAsia="Arial" w:hAnsi="Arial"/>
          <w:sz w:val="19"/>
          <w:szCs w:val="19"/>
          <w:color w:val="auto"/>
        </w:rPr>
        <w:t xml:space="preserve">If no LIBOR Successor Rate has been determined and the circumstances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exist or the Scheduled Unavailability Date has occurred (as applicable), the Administrative Agent will promptly so notify the Company and each Lender. Thereafter, (x) the obligation of the Lenders to make or maintain Eurocurrency Rate Loans (to the extent of the affected Eurocurrency Rate Loans or Interest Periods) shall be suspended, and (y) the Eurocurrency Rate component shall no longer be utilized in determining the Base Rate. Upon receipt of such notice, the Company may revoke any pending request for a Borrowing of, conversion to or continuation of Eurocurrency Rate Loans (to the extent of the affected Eurocurrency Rate Loans or Interest Periods) or, failing that, in the case of any request for a Borrowing of Eurocurrency Rate Loans, will be deemed to have converted any such request into a request for a Borrowing of Base Rate Loans (subject to the foregoing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(y)</w:t>
      </w:r>
      <w:r>
        <w:rPr>
          <w:rFonts w:ascii="Arial" w:cs="Arial" w:eastAsia="Arial" w:hAnsi="Arial"/>
          <w:sz w:val="19"/>
          <w:szCs w:val="19"/>
          <w:color w:val="auto"/>
        </w:rPr>
        <w:t>) in the amount specified therein.</w:t>
      </w:r>
    </w:p>
    <w:p>
      <w:pPr>
        <w:spacing w:after="0" w:line="185"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177" w:lineRule="exact"/>
        <w:rPr>
          <w:sz w:val="20"/>
          <w:szCs w:val="20"/>
          <w:color w:val="auto"/>
        </w:rPr>
      </w:pPr>
    </w:p>
    <w:p>
      <w:pPr>
        <w:ind w:firstLine="645"/>
        <w:spacing w:after="0" w:line="260" w:lineRule="auto"/>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Section 6.15 of the Credit Agreement is amended to (i) insert “(a)” before the existing paragraph in such section and (ii) insert a new paragraph to read as follows:</w:t>
      </w:r>
    </w:p>
    <w:p>
      <w:pPr>
        <w:spacing w:after="0" w:line="176" w:lineRule="exact"/>
        <w:rPr>
          <w:rFonts w:ascii="Arial" w:cs="Arial" w:eastAsia="Arial" w:hAnsi="Arial"/>
          <w:sz w:val="20"/>
          <w:szCs w:val="20"/>
          <w:color w:val="auto"/>
        </w:rPr>
      </w:pPr>
    </w:p>
    <w:p>
      <w:pPr>
        <w:ind w:left="640" w:firstLine="653"/>
        <w:spacing w:after="0" w:line="260" w:lineRule="auto"/>
        <w:tabs>
          <w:tab w:leader="none" w:pos="1727" w:val="left"/>
        </w:tabs>
        <w:numPr>
          <w:ilvl w:val="1"/>
          <w:numId w:val="41"/>
        </w:numPr>
        <w:rPr>
          <w:rFonts w:ascii="Arial" w:cs="Arial" w:eastAsia="Arial" w:hAnsi="Arial"/>
          <w:sz w:val="20"/>
          <w:szCs w:val="20"/>
          <w:color w:val="auto"/>
        </w:rPr>
      </w:pPr>
      <w:r>
        <w:rPr>
          <w:rFonts w:ascii="Arial" w:cs="Arial" w:eastAsia="Arial" w:hAnsi="Arial"/>
          <w:sz w:val="20"/>
          <w:szCs w:val="20"/>
          <w:color w:val="auto"/>
        </w:rPr>
        <w:t>As of the Fourth Amendment Effective Date, the information included in any Beneficial Ownership Certification delivered to the Administrative Agent or any Lender, if applicable, is true and correct in all respects.</w:t>
      </w:r>
    </w:p>
    <w:p>
      <w:pPr>
        <w:spacing w:after="0" w:line="176" w:lineRule="exact"/>
        <w:rPr>
          <w:rFonts w:ascii="Arial" w:cs="Arial" w:eastAsia="Arial" w:hAnsi="Arial"/>
          <w:sz w:val="20"/>
          <w:szCs w:val="20"/>
          <w:color w:val="auto"/>
        </w:rPr>
      </w:pPr>
    </w:p>
    <w:p>
      <w:pPr>
        <w:ind w:left="1060" w:hanging="415"/>
        <w:spacing w:after="0"/>
        <w:tabs>
          <w:tab w:leader="none" w:pos="10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reference to “$1,200,000,000” in Section 8.03(f) of the Credit Agreement is amended to read “$1,500,000,000”.</w:t>
      </w:r>
    </w:p>
    <w:p>
      <w:pPr>
        <w:spacing w:after="0" w:line="227" w:lineRule="exact"/>
        <w:rPr>
          <w:rFonts w:ascii="Arial" w:cs="Arial" w:eastAsia="Arial" w:hAnsi="Arial"/>
          <w:sz w:val="19"/>
          <w:szCs w:val="19"/>
          <w:color w:val="auto"/>
        </w:rPr>
      </w:pPr>
    </w:p>
    <w:p>
      <w:pPr>
        <w:ind w:left="1060" w:hanging="415"/>
        <w:spacing w:after="0"/>
        <w:tabs>
          <w:tab w:leader="none" w:pos="10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reference to “</w:t>
      </w:r>
      <w:r>
        <w:rPr>
          <w:rFonts w:ascii="Arial" w:cs="Arial" w:eastAsia="Arial" w:hAnsi="Arial"/>
          <w:sz w:val="20"/>
          <w:szCs w:val="20"/>
          <w:u w:val="single" w:color="auto"/>
          <w:color w:val="auto"/>
        </w:rPr>
        <w:t>Section 3.07</w:t>
      </w:r>
      <w:r>
        <w:rPr>
          <w:rFonts w:ascii="Arial" w:cs="Arial" w:eastAsia="Arial" w:hAnsi="Arial"/>
          <w:sz w:val="20"/>
          <w:szCs w:val="20"/>
          <w:color w:val="auto"/>
        </w:rPr>
        <w:t>” in Section 10.06 of the Credit Agreement is amended to read “</w:t>
      </w:r>
      <w:r>
        <w:rPr>
          <w:rFonts w:ascii="Arial" w:cs="Arial" w:eastAsia="Arial" w:hAnsi="Arial"/>
          <w:sz w:val="20"/>
          <w:szCs w:val="20"/>
          <w:u w:val="single" w:color="auto"/>
          <w:color w:val="auto"/>
        </w:rPr>
        <w:t>Section 3.08</w:t>
      </w:r>
      <w:r>
        <w:rPr>
          <w:rFonts w:ascii="Arial" w:cs="Arial" w:eastAsia="Arial" w:hAnsi="Arial"/>
          <w:sz w:val="20"/>
          <w:szCs w:val="20"/>
          <w:color w:val="auto"/>
        </w:rPr>
        <w:t>”.</w:t>
      </w:r>
    </w:p>
    <w:p>
      <w:pPr>
        <w:sectPr>
          <w:pgSz w:w="11900" w:h="16838" w:orient="portrait"/>
          <w:cols w:equalWidth="0" w:num="1">
            <w:col w:w="10760"/>
          </w:cols>
          <w:pgMar w:left="900" w:top="122" w:right="239" w:bottom="0" w:gutter="0" w:footer="0" w:header="0"/>
        </w:sectPr>
      </w:pPr>
    </w:p>
    <w:bookmarkStart w:id="62" w:name="page63"/>
    <w:bookmarkEnd w:id="62"/>
    <w:p>
      <w:pPr>
        <w:ind w:left="1720" w:hanging="415"/>
        <w:spacing w:after="0"/>
        <w:tabs>
          <w:tab w:leader="none" w:pos="17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final proviso to Section 11.01 of the Credit Agreement, (i) the reference to “and” prior to clause (ix) is deleted and</w:t>
      </w:r>
    </w:p>
    <w:p>
      <w:pPr>
        <w:spacing w:after="0" w:line="39"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immediately following clause (ix), a new clause (x) is inserted to read as follows:</w:t>
      </w:r>
    </w:p>
    <w:p>
      <w:pPr>
        <w:spacing w:after="0" w:line="200"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 xml:space="preserve">and (x) this Agreement may be amended to replace LIBOR with a LIBOR Successor Rate and to make any necessary LIBOR Successor Rate Conforming Changes in connection therewith, in each case as contemplated by </w:t>
      </w:r>
      <w:r>
        <w:rPr>
          <w:rFonts w:ascii="Arial" w:cs="Arial" w:eastAsia="Arial" w:hAnsi="Arial"/>
          <w:sz w:val="19"/>
          <w:szCs w:val="19"/>
          <w:u w:val="single" w:color="auto"/>
          <w:color w:val="auto"/>
        </w:rPr>
        <w:t>Section 3.07</w:t>
      </w:r>
    </w:p>
    <w:p>
      <w:pPr>
        <w:spacing w:after="0" w:line="153"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16"/>
          <w:szCs w:val="16"/>
          <w:color w:val="auto"/>
        </w:rPr>
        <w:t>The last sentence of Section 11.17 of the Credit Agreement is amended to read as follows:</w:t>
      </w:r>
    </w:p>
    <w:p>
      <w:pPr>
        <w:spacing w:after="0" w:line="216"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20"/>
          <w:szCs w:val="20"/>
          <w:color w:val="auto"/>
        </w:rPr>
        <w:t>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92" w:lineRule="exact"/>
        <w:rPr>
          <w:sz w:val="20"/>
          <w:szCs w:val="20"/>
          <w:color w:val="auto"/>
        </w:rPr>
      </w:pPr>
    </w:p>
    <w:p>
      <w:pPr>
        <w:ind w:left="1000" w:hanging="344"/>
        <w:spacing w:after="0"/>
        <w:tabs>
          <w:tab w:leader="none" w:pos="10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Amendment shall be effective upon satisfaction of the following conditions precedent:</w:t>
      </w:r>
    </w:p>
    <w:p>
      <w:pPr>
        <w:spacing w:after="0" w:line="229" w:lineRule="exact"/>
        <w:rPr>
          <w:rFonts w:ascii="Arial" w:cs="Arial" w:eastAsia="Arial" w:hAnsi="Arial"/>
          <w:sz w:val="20"/>
          <w:szCs w:val="20"/>
          <w:color w:val="auto"/>
        </w:rPr>
      </w:pPr>
    </w:p>
    <w:p>
      <w:pPr>
        <w:ind w:left="660" w:firstLine="645"/>
        <w:spacing w:after="0" w:line="287" w:lineRule="auto"/>
        <w:tabs>
          <w:tab w:leader="none" w:pos="1733" w:val="left"/>
        </w:tabs>
        <w:numPr>
          <w:ilvl w:val="1"/>
          <w:numId w:val="44"/>
        </w:numPr>
        <w:rPr>
          <w:rFonts w:ascii="Arial" w:cs="Arial" w:eastAsia="Arial" w:hAnsi="Arial"/>
          <w:sz w:val="19"/>
          <w:szCs w:val="19"/>
          <w:color w:val="auto"/>
        </w:rPr>
      </w:pPr>
      <w:r>
        <w:rPr>
          <w:rFonts w:ascii="Arial" w:cs="Arial" w:eastAsia="Arial" w:hAnsi="Arial"/>
          <w:sz w:val="19"/>
          <w:szCs w:val="19"/>
          <w:color w:val="auto"/>
        </w:rPr>
        <w:t>Receipt by the Administrative Agent of counterparts of this Amendment duly executed by (i) a Responsible Officer of the Company, the Designated Borrowers, the Additional Borrower and the Guarantors and (ii) the Required Lenders.</w:t>
      </w:r>
    </w:p>
    <w:p>
      <w:pPr>
        <w:spacing w:after="0" w:line="152" w:lineRule="exact"/>
        <w:rPr>
          <w:rFonts w:ascii="Arial" w:cs="Arial" w:eastAsia="Arial" w:hAnsi="Arial"/>
          <w:sz w:val="19"/>
          <w:szCs w:val="19"/>
          <w:color w:val="auto"/>
        </w:rPr>
      </w:pPr>
    </w:p>
    <w:p>
      <w:pPr>
        <w:ind w:left="660" w:firstLine="645"/>
        <w:spacing w:after="0" w:line="316" w:lineRule="auto"/>
        <w:tabs>
          <w:tab w:leader="none" w:pos="1831" w:val="left"/>
        </w:tabs>
        <w:numPr>
          <w:ilvl w:val="1"/>
          <w:numId w:val="44"/>
        </w:numPr>
        <w:rPr>
          <w:rFonts w:ascii="Arial" w:cs="Arial" w:eastAsia="Arial" w:hAnsi="Arial"/>
          <w:sz w:val="18"/>
          <w:szCs w:val="18"/>
          <w:color w:val="auto"/>
        </w:rPr>
      </w:pPr>
      <w:r>
        <w:rPr>
          <w:rFonts w:ascii="Arial" w:cs="Arial" w:eastAsia="Arial" w:hAnsi="Arial"/>
          <w:sz w:val="18"/>
          <w:szCs w:val="18"/>
          <w:color w:val="auto"/>
        </w:rPr>
        <w:t>With respect to any Borrower that qualifies as a “legal entity customer” under the Beneficial Ownership Regulation, delivery by such Borrower, to each Lender that so requests, of a Beneficial Ownership Certification in relation to such Borrower.</w:t>
      </w:r>
    </w:p>
    <w:p>
      <w:pPr>
        <w:spacing w:after="0" w:line="130" w:lineRule="exact"/>
        <w:rPr>
          <w:rFonts w:ascii="Arial" w:cs="Arial" w:eastAsia="Arial" w:hAnsi="Arial"/>
          <w:sz w:val="18"/>
          <w:szCs w:val="18"/>
          <w:color w:val="auto"/>
        </w:rPr>
      </w:pPr>
    </w:p>
    <w:p>
      <w:pPr>
        <w:jc w:val="both"/>
        <w:ind w:left="660" w:firstLine="645"/>
        <w:spacing w:after="0" w:line="321" w:lineRule="auto"/>
        <w:tabs>
          <w:tab w:leader="none" w:pos="1749"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Unless waived by the Administrative Agent, the Company shall have paid all fees, charges and disbursements of counsel to the Administrative Agent (directly to such counsel, if so requested by the Administrative Agent) to the extent invoiced prior to or on the Fourth Amendment Effective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Company and the Administrative Agent).</w:t>
      </w:r>
    </w:p>
    <w:p>
      <w:pPr>
        <w:spacing w:after="0" w:line="1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purposes of determining compliance with the conditions specified in this Section, each Lender that has signed this Amendment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date hereof specifying its objections.</w:t>
      </w:r>
    </w:p>
    <w:p>
      <w:pPr>
        <w:spacing w:after="0" w:line="205" w:lineRule="exact"/>
        <w:rPr>
          <w:sz w:val="20"/>
          <w:szCs w:val="20"/>
          <w:color w:val="auto"/>
        </w:rPr>
      </w:pPr>
    </w:p>
    <w:p>
      <w:pPr>
        <w:ind w:left="1000" w:hanging="344"/>
        <w:spacing w:after="0"/>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firstLine="645"/>
        <w:spacing w:after="0" w:line="287" w:lineRule="auto"/>
        <w:tabs>
          <w:tab w:leader="none" w:pos="173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Credit Agreement and the obligations of the Loan Parties thereunder and under the other Loan Documents are hereby ratified and confirmed and shall remain in full force and effect according to their terms, as amended hereby.</w:t>
      </w:r>
    </w:p>
    <w:p>
      <w:pPr>
        <w:spacing w:after="0" w:line="98" w:lineRule="exact"/>
        <w:rPr>
          <w:rFonts w:ascii="Arial" w:cs="Arial" w:eastAsia="Arial" w:hAnsi="Arial"/>
          <w:sz w:val="19"/>
          <w:szCs w:val="19"/>
          <w:color w:val="auto"/>
        </w:rPr>
      </w:pPr>
    </w:p>
    <w:p>
      <w:pPr>
        <w:jc w:val="both"/>
        <w:ind w:left="660" w:firstLine="645"/>
        <w:spacing w:after="0" w:line="246" w:lineRule="auto"/>
        <w:tabs>
          <w:tab w:leader="none" w:pos="1742" w:val="left"/>
        </w:tabs>
        <w:numPr>
          <w:ilvl w:val="1"/>
          <w:numId w:val="45"/>
        </w:numPr>
        <w:rPr>
          <w:rFonts w:ascii="Arial" w:cs="Arial" w:eastAsia="Arial" w:hAnsi="Arial"/>
          <w:sz w:val="20"/>
          <w:szCs w:val="20"/>
          <w:color w:val="auto"/>
        </w:rPr>
      </w:pPr>
      <w:r>
        <w:rPr>
          <w:rFonts w:ascii="Arial" w:cs="Arial" w:eastAsia="Arial" w:hAnsi="Arial"/>
          <w:sz w:val="20"/>
          <w:szCs w:val="20"/>
          <w:color w:val="auto"/>
        </w:rPr>
        <w:t>Each Loan Party (i) acknowledges and consents to all of the terms and conditions of this Amendment and the transactions contemplated hereby, (ii) affirms all of its obligations under the Loan Documents to which it is a party and (iii) agrees that this Amendment and all documents executed in connection herewith do not operate to reduce or discharge its obligations under the Loan Documents to which it is a party.</w:t>
      </w:r>
    </w:p>
    <w:p>
      <w:pPr>
        <w:spacing w:after="0" w:line="137" w:lineRule="exact"/>
        <w:rPr>
          <w:rFonts w:ascii="Arial" w:cs="Arial" w:eastAsia="Arial" w:hAnsi="Arial"/>
          <w:sz w:val="20"/>
          <w:szCs w:val="20"/>
          <w:color w:val="auto"/>
        </w:rPr>
      </w:pPr>
    </w:p>
    <w:p>
      <w:pPr>
        <w:ind w:left="1720" w:hanging="415"/>
        <w:spacing w:after="0"/>
        <w:tabs>
          <w:tab w:leader="none" w:pos="1720" w:val="left"/>
        </w:tabs>
        <w:numPr>
          <w:ilvl w:val="1"/>
          <w:numId w:val="45"/>
        </w:numPr>
        <w:rPr>
          <w:rFonts w:ascii="Arial" w:cs="Arial" w:eastAsia="Arial" w:hAnsi="Arial"/>
          <w:sz w:val="20"/>
          <w:szCs w:val="20"/>
          <w:color w:val="auto"/>
        </w:rPr>
      </w:pPr>
      <w:r>
        <w:rPr>
          <w:rFonts w:ascii="Arial" w:cs="Arial" w:eastAsia="Arial" w:hAnsi="Arial"/>
          <w:sz w:val="20"/>
          <w:szCs w:val="20"/>
          <w:color w:val="auto"/>
        </w:rPr>
        <w:t>Each Loan Party hereby represents and warrants to the Administrative Agent and the Lenders as follows:</w:t>
      </w:r>
    </w:p>
    <w:p>
      <w:pPr>
        <w:spacing w:after="0" w:line="161" w:lineRule="exact"/>
        <w:rPr>
          <w:rFonts w:ascii="Arial" w:cs="Arial" w:eastAsia="Arial" w:hAnsi="Arial"/>
          <w:sz w:val="20"/>
          <w:szCs w:val="20"/>
          <w:color w:val="auto"/>
        </w:rPr>
      </w:pPr>
    </w:p>
    <w:p>
      <w:pPr>
        <w:jc w:val="both"/>
        <w:ind w:left="1300" w:firstLine="653"/>
        <w:spacing w:after="0" w:line="276" w:lineRule="auto"/>
        <w:tabs>
          <w:tab w:leader="none" w:pos="2358"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execution, delivery and performance by such Loan Party of this Amendment has been duly authorized by all necessary corporate or other organizational action, and do not (A) contravene the terms of any of such Loan Party’s Organization Documents; (B) conflict with or result in any breach or contravention of, or the creation of any Lien under, or require any payment to be made under (I) any material Contractual Obligation to which such Loan Party is a party or affecting such Loan Party or the properties of such Loan Party or any of its Subsidiaries or (II) any order, injunction, writ or decree of any Governmental Authority or any arbitral award to which such Loan Party or its property is subject; or (C) violate any Law.</w:t>
      </w:r>
    </w:p>
    <w:p>
      <w:pPr>
        <w:spacing w:after="0" w:line="111" w:lineRule="exact"/>
        <w:rPr>
          <w:rFonts w:ascii="Arial" w:cs="Arial" w:eastAsia="Arial" w:hAnsi="Arial"/>
          <w:sz w:val="18"/>
          <w:szCs w:val="18"/>
          <w:color w:val="auto"/>
        </w:rPr>
      </w:pPr>
    </w:p>
    <w:p>
      <w:pPr>
        <w:jc w:val="both"/>
        <w:ind w:left="1300" w:firstLine="653"/>
        <w:spacing w:after="0" w:line="250" w:lineRule="auto"/>
        <w:tabs>
          <w:tab w:leader="none" w:pos="2455"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This Amendment has been duly executed and delivered by such Loan Party and constitutes such Loan Party’s legal, valid and binding obligation, enforceable in accordance with its terms, subject to laws generally affecting creditors’ rights, to statutes of limitations and to principles of equity.</w:t>
      </w:r>
    </w:p>
    <w:p>
      <w:pPr>
        <w:spacing w:after="0" w:line="132" w:lineRule="exact"/>
        <w:rPr>
          <w:rFonts w:ascii="Arial" w:cs="Arial" w:eastAsia="Arial" w:hAnsi="Arial"/>
          <w:sz w:val="20"/>
          <w:szCs w:val="20"/>
          <w:color w:val="auto"/>
        </w:rPr>
      </w:pPr>
    </w:p>
    <w:p>
      <w:pPr>
        <w:jc w:val="both"/>
        <w:ind w:left="1300" w:firstLine="653"/>
        <w:spacing w:after="0" w:line="291" w:lineRule="auto"/>
        <w:tabs>
          <w:tab w:leader="none" w:pos="2443" w:val="left"/>
        </w:tabs>
        <w:numPr>
          <w:ilvl w:val="2"/>
          <w:numId w:val="45"/>
        </w:numPr>
        <w:rPr>
          <w:rFonts w:ascii="Arial" w:cs="Arial" w:eastAsia="Arial" w:hAnsi="Arial"/>
          <w:sz w:val="18"/>
          <w:szCs w:val="18"/>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such Loan Party of this Amendment or the Credit Agreement as amended hereby.</w:t>
      </w:r>
    </w:p>
    <w:p>
      <w:pPr>
        <w:spacing w:after="0" w:line="97" w:lineRule="exact"/>
        <w:rPr>
          <w:rFonts w:ascii="Arial" w:cs="Arial" w:eastAsia="Arial" w:hAnsi="Arial"/>
          <w:sz w:val="18"/>
          <w:szCs w:val="18"/>
          <w:color w:val="auto"/>
        </w:rPr>
      </w:pPr>
    </w:p>
    <w:p>
      <w:pPr>
        <w:jc w:val="both"/>
        <w:ind w:left="1300" w:firstLine="653"/>
        <w:spacing w:after="0" w:line="256" w:lineRule="auto"/>
        <w:tabs>
          <w:tab w:leader="none" w:pos="2497" w:val="left"/>
        </w:tabs>
        <w:numPr>
          <w:ilvl w:val="2"/>
          <w:numId w:val="45"/>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such Loan Party set forth in Article VI of the Credit Agreement and in each other Loan Document are true and correct in all material respects (and in all respects if any such representation or warranty is already qualified by materiality) on and as of the Fourth Amendment Effective Date with the same effect as if made on and as of the Fourth Amendment Effective Date, except to the extent such representations and warranties specifically refer to an earlier date, in which case they were true and correct in all material respects (and in all respects if any such representation or warranty is already qualified by materiality) as of such earlier date, and except that for purposes of this </w:t>
      </w:r>
      <w:r>
        <w:rPr>
          <w:rFonts w:ascii="Arial" w:cs="Arial" w:eastAsia="Arial" w:hAnsi="Arial"/>
          <w:sz w:val="19"/>
          <w:szCs w:val="19"/>
          <w:u w:val="single" w:color="auto"/>
          <w:color w:val="auto"/>
        </w:rPr>
        <w:t>Section 3(c)(iv)</w:t>
      </w:r>
      <w:r>
        <w:rPr>
          <w:rFonts w:ascii="Arial" w:cs="Arial" w:eastAsia="Arial" w:hAnsi="Arial"/>
          <w:sz w:val="19"/>
          <w:szCs w:val="19"/>
          <w:color w:val="auto"/>
        </w:rPr>
        <w:t>, the representations and warranties contained in subsections (a) and (b) of Section 6.05 of the Credit Agreement shall be deemed to refer to the most recent financial statements furnished pursuant to subsections (a) and (b), respectively, of Section 7.01 of the Credit Agreement.</w:t>
      </w:r>
    </w:p>
    <w:p>
      <w:pPr>
        <w:spacing w:after="0" w:line="130" w:lineRule="exact"/>
        <w:rPr>
          <w:rFonts w:ascii="Arial" w:cs="Arial" w:eastAsia="Arial" w:hAnsi="Arial"/>
          <w:sz w:val="19"/>
          <w:szCs w:val="19"/>
          <w:color w:val="auto"/>
        </w:rPr>
      </w:pPr>
    </w:p>
    <w:p>
      <w:pPr>
        <w:ind w:left="2600" w:hanging="647"/>
        <w:spacing w:after="0"/>
        <w:tabs>
          <w:tab w:leader="none" w:pos="2600" w:val="left"/>
        </w:tabs>
        <w:numPr>
          <w:ilvl w:val="2"/>
          <w:numId w:val="45"/>
        </w:numPr>
        <w:rPr>
          <w:rFonts w:ascii="Arial" w:cs="Arial" w:eastAsia="Arial" w:hAnsi="Arial"/>
          <w:sz w:val="19"/>
          <w:szCs w:val="19"/>
          <w:color w:val="auto"/>
        </w:rPr>
      </w:pPr>
      <w:r>
        <w:rPr>
          <w:rFonts w:ascii="Arial" w:cs="Arial" w:eastAsia="Arial" w:hAnsi="Arial"/>
          <w:sz w:val="19"/>
          <w:szCs w:val="19"/>
          <w:color w:val="auto"/>
        </w:rPr>
        <w:t>No Default has occurred and is continuing or would result from the transactions contemplated by this</w:t>
      </w:r>
    </w:p>
    <w:p>
      <w:pPr>
        <w:spacing w:after="0" w:line="27"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Amendment.</w:t>
      </w:r>
    </w:p>
    <w:p>
      <w:pPr>
        <w:spacing w:after="0" w:line="145" w:lineRule="exact"/>
        <w:rPr>
          <w:rFonts w:ascii="Arial" w:cs="Arial" w:eastAsia="Arial" w:hAnsi="Arial"/>
          <w:sz w:val="19"/>
          <w:szCs w:val="19"/>
          <w:color w:val="auto"/>
        </w:rPr>
      </w:pPr>
    </w:p>
    <w:p>
      <w:pPr>
        <w:jc w:val="both"/>
        <w:ind w:left="1300" w:right="20" w:firstLine="653"/>
        <w:spacing w:after="0" w:line="316" w:lineRule="auto"/>
        <w:tabs>
          <w:tab w:leader="none" w:pos="2526"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Persons signing this Amendment as Guarantors include all of the Subsidiaries existing as of the Fourth Amendment Effective Date that are required to become Guarantors pursuant to the Credit Agreement on or prior to the Fourth</w:t>
      </w:r>
    </w:p>
    <w:p>
      <w:pPr>
        <w:sectPr>
          <w:pgSz w:w="11900" w:h="16838" w:orient="portrait"/>
          <w:cols w:equalWidth="0" w:num="1">
            <w:col w:w="11420"/>
          </w:cols>
          <w:pgMar w:left="240" w:top="122" w:right="239" w:bottom="0" w:gutter="0" w:footer="0" w:header="0"/>
        </w:sectPr>
      </w:pPr>
    </w:p>
    <w:bookmarkStart w:id="63" w:name="page64"/>
    <w:bookmarkEnd w:id="63"/>
    <w:p>
      <w:pPr>
        <w:ind w:left="1300"/>
        <w:spacing w:after="0"/>
        <w:rPr>
          <w:sz w:val="20"/>
          <w:szCs w:val="20"/>
          <w:color w:val="auto"/>
        </w:rPr>
      </w:pPr>
      <w:r>
        <w:rPr>
          <w:rFonts w:ascii="Arial" w:cs="Arial" w:eastAsia="Arial" w:hAnsi="Arial"/>
          <w:sz w:val="20"/>
          <w:szCs w:val="20"/>
          <w:color w:val="auto"/>
        </w:rPr>
        <w:t>Amendment Effective Date.</w:t>
      </w:r>
    </w:p>
    <w:p>
      <w:pPr>
        <w:spacing w:after="0" w:line="163" w:lineRule="exact"/>
        <w:rPr>
          <w:sz w:val="20"/>
          <w:szCs w:val="20"/>
          <w:color w:val="auto"/>
        </w:rPr>
      </w:pPr>
    </w:p>
    <w:p>
      <w:pPr>
        <w:jc w:val="both"/>
        <w:ind w:left="660" w:firstLine="645"/>
        <w:spacing w:after="0" w:line="263" w:lineRule="auto"/>
        <w:tabs>
          <w:tab w:leader="none" w:pos="19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This Amendment may be executed in any number of counterparts and by the various parties hereto in separate counterparts, each of which when so executed and delivered shall be an original, but all of which shall constitute one and the same instrument. Delivery of an executed counterpart of this Amendment by telecopy or in any other electronic format (such as .pdf format) shall be effective as delivery of a manually executed original counterpart of this Amendment.</w:t>
      </w:r>
    </w:p>
    <w:p>
      <w:pPr>
        <w:spacing w:after="0" w:line="122" w:lineRule="exact"/>
        <w:rPr>
          <w:rFonts w:ascii="Arial" w:cs="Arial" w:eastAsia="Arial" w:hAnsi="Arial"/>
          <w:sz w:val="19"/>
          <w:szCs w:val="19"/>
          <w:color w:val="auto"/>
        </w:rPr>
      </w:pPr>
    </w:p>
    <w:p>
      <w:pPr>
        <w:jc w:val="both"/>
        <w:ind w:left="660" w:firstLine="645"/>
        <w:spacing w:after="0" w:line="246" w:lineRule="auto"/>
        <w:tabs>
          <w:tab w:leader="none" w:pos="1755"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This Amendment is a Loan Document. The execution, delivery and effectiveness of this Amendment shall not, except as expressly provided herein, operate as a waiver of any right, power or remedy of any Lender or the Administrative Agent under any of the Loan Documents, nor, except as expressly provided herein, constitute a waiver or amendment of any provision of any of the Loan Documents.</w:t>
      </w:r>
    </w:p>
    <w:p>
      <w:pPr>
        <w:spacing w:after="0" w:line="131" w:lineRule="exact"/>
        <w:rPr>
          <w:rFonts w:ascii="Arial" w:cs="Arial" w:eastAsia="Arial" w:hAnsi="Arial"/>
          <w:sz w:val="20"/>
          <w:szCs w:val="20"/>
          <w:color w:val="auto"/>
        </w:rPr>
      </w:pPr>
    </w:p>
    <w:p>
      <w:pPr>
        <w:jc w:val="both"/>
        <w:ind w:left="660" w:firstLine="645"/>
        <w:spacing w:after="0" w:line="244" w:lineRule="auto"/>
        <w:tabs>
          <w:tab w:leader="none" w:pos="1723"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THIS AMENDMENT SHALL BE GOVERNED BY, AND CONSTRUED IN ACCORDANCE WITH, THE LAW OF THE STATE OF NEW YORK (INCLUDING SECTION 5-1401 AND SECTION 5-1402 OF THE GENERAL OBLIGATIONS LAW OF THE STATE OF NEW YORK) WITHOUT REGARD TO CONFLICTS OF LAW PRINCIPLES THAT WOULD REQUIRE APPLICATION OF THE LAWS OF ANOTHER JURISDICTION. THIS AMENDMENT SHALL BE FURTHER SUBJECT TO THE TERMS AND CONDITIONS OF SECTIONS 11.14 AND 11.15 OF THE CREDIT AGREEMENT, THE TERMS OF WHICH ARE INCORPORATED HEREIN BY REFERENCE AS IF FULLY SET FORTH HEREIN.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WITNESS WHEREOF, each of the parties hereto has caused a counterpart of this Amendment to be duly executed and delivered by a duly authorized officer as of the date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20"/>
                <w:szCs w:val="20"/>
                <w:color w:val="auto"/>
              </w:rPr>
              <w:t>COMPANY:</w:t>
            </w:r>
          </w:p>
        </w:tc>
        <w:tc>
          <w:tcPr>
            <w:tcW w:w="5640" w:type="dxa"/>
            <w:vAlign w:val="bottom"/>
            <w:gridSpan w:val="3"/>
          </w:tcPr>
          <w:p>
            <w:pPr>
              <w:ind w:left="420"/>
              <w:spacing w:after="0"/>
              <w:rPr>
                <w:sz w:val="20"/>
                <w:szCs w:val="20"/>
                <w:color w:val="auto"/>
              </w:rPr>
            </w:pPr>
            <w:r>
              <w:rPr>
                <w:rFonts w:ascii="Arial" w:cs="Arial" w:eastAsia="Arial" w:hAnsi="Arial"/>
                <w:sz w:val="20"/>
                <w:szCs w:val="20"/>
                <w:color w:val="auto"/>
                <w:w w:val="93"/>
              </w:rPr>
              <w:t>FLEETCOR TECHNOLOGIES OPERATING COMPANY, LLC,</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a Georgia limited liability company</w:t>
            </w:r>
          </w:p>
        </w:tc>
      </w:tr>
      <w:tr>
        <w:trPr>
          <w:trHeight w:val="644"/>
        </w:trPr>
        <w:tc>
          <w:tcPr>
            <w:tcW w:w="1200" w:type="dxa"/>
            <w:vAlign w:val="bottom"/>
          </w:tcPr>
          <w:p>
            <w:pPr>
              <w:spacing w:after="0"/>
              <w:rPr>
                <w:sz w:val="24"/>
                <w:szCs w:val="24"/>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By: /s/ Steve Pisciotta</w:t>
            </w:r>
          </w:p>
        </w:tc>
      </w:tr>
      <w:tr>
        <w:trPr>
          <w:trHeight w:val="20"/>
        </w:trPr>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3"/>
        </w:trPr>
        <w:tc>
          <w:tcPr>
            <w:tcW w:w="1200" w:type="dxa"/>
            <w:vAlign w:val="bottom"/>
          </w:tcPr>
          <w:p>
            <w:pPr>
              <w:spacing w:after="0"/>
              <w:rPr>
                <w:sz w:val="20"/>
                <w:szCs w:val="20"/>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Name: Steve Pisciotta</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Title: Treasurer</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PARENT:</w:t>
            </w:r>
          </w:p>
        </w:tc>
        <w:tc>
          <w:tcPr>
            <w:tcW w:w="5640" w:type="dxa"/>
            <w:vAlign w:val="bottom"/>
            <w:gridSpan w:val="3"/>
          </w:tcPr>
          <w:p>
            <w:pPr>
              <w:ind w:left="200"/>
              <w:spacing w:after="0"/>
              <w:rPr>
                <w:sz w:val="20"/>
                <w:szCs w:val="20"/>
                <w:color w:val="auto"/>
              </w:rPr>
            </w:pPr>
            <w:r>
              <w:rPr>
                <w:rFonts w:ascii="Arial" w:cs="Arial" w:eastAsia="Arial" w:hAnsi="Arial"/>
                <w:sz w:val="20"/>
                <w:szCs w:val="20"/>
                <w:color w:val="auto"/>
              </w:rPr>
              <w:t>FLEETCOR TECHNOLOGIES, INC.,</w:t>
            </w:r>
          </w:p>
        </w:tc>
      </w:tr>
      <w:tr>
        <w:trPr>
          <w:trHeight w:val="250"/>
        </w:trPr>
        <w:tc>
          <w:tcPr>
            <w:tcW w:w="1200" w:type="dxa"/>
            <w:vAlign w:val="bottom"/>
          </w:tcPr>
          <w:p>
            <w:pPr>
              <w:spacing w:after="0"/>
              <w:rPr>
                <w:sz w:val="21"/>
                <w:szCs w:val="21"/>
                <w:color w:val="auto"/>
              </w:rPr>
            </w:pPr>
          </w:p>
        </w:tc>
        <w:tc>
          <w:tcPr>
            <w:tcW w:w="5640" w:type="dxa"/>
            <w:vAlign w:val="bottom"/>
            <w:gridSpan w:val="3"/>
          </w:tcPr>
          <w:p>
            <w:pPr>
              <w:ind w:left="1400"/>
              <w:spacing w:after="0"/>
              <w:rPr>
                <w:sz w:val="20"/>
                <w:szCs w:val="20"/>
                <w:color w:val="auto"/>
              </w:rPr>
            </w:pPr>
            <w:r>
              <w:rPr>
                <w:rFonts w:ascii="Arial" w:cs="Arial" w:eastAsia="Arial" w:hAnsi="Arial"/>
                <w:sz w:val="20"/>
                <w:szCs w:val="20"/>
                <w:color w:val="auto"/>
              </w:rPr>
              <w:t>a Delaware corporation</w:t>
            </w:r>
          </w:p>
        </w:tc>
      </w:tr>
    </w:tbl>
    <w:p>
      <w:pPr>
        <w:spacing w:after="0" w:line="200" w:lineRule="exact"/>
        <w:rPr>
          <w:sz w:val="20"/>
          <w:szCs w:val="20"/>
          <w:color w:val="auto"/>
        </w:rPr>
      </w:pPr>
    </w:p>
    <w:p>
      <w:pPr>
        <w:spacing w:after="0" w:line="23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 Pisciotta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Steve Pisciotta</w:t>
      </w:r>
    </w:p>
    <w:p>
      <w:pPr>
        <w:ind w:left="2600"/>
        <w:spacing w:after="0"/>
        <w:rPr>
          <w:sz w:val="20"/>
          <w:szCs w:val="20"/>
          <w:color w:val="auto"/>
        </w:rPr>
      </w:pPr>
      <w:r>
        <w:rPr>
          <w:rFonts w:ascii="Arial" w:cs="Arial" w:eastAsia="Arial" w:hAnsi="Arial"/>
          <w:sz w:val="20"/>
          <w:szCs w:val="20"/>
          <w:color w:val="auto"/>
        </w:rPr>
        <w:t>Title: Treasurer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DESIGNATED</w:t>
      </w:r>
    </w:p>
    <w:p>
      <w:pPr>
        <w:spacing w:after="0" w:line="15" w:lineRule="exact"/>
        <w:rPr>
          <w:sz w:val="20"/>
          <w:szCs w:val="20"/>
          <w:color w:val="auto"/>
        </w:rPr>
      </w:pPr>
    </w:p>
    <w:p>
      <w:pPr>
        <w:spacing w:after="0"/>
        <w:tabs>
          <w:tab w:leader="none" w:pos="1860" w:val="left"/>
        </w:tabs>
        <w:rPr>
          <w:sz w:val="20"/>
          <w:szCs w:val="20"/>
          <w:color w:val="auto"/>
        </w:rPr>
      </w:pPr>
      <w:r>
        <w:rPr>
          <w:rFonts w:ascii="Arial" w:cs="Arial" w:eastAsia="Arial" w:hAnsi="Arial"/>
          <w:sz w:val="20"/>
          <w:szCs w:val="20"/>
          <w:color w:val="auto"/>
        </w:rPr>
        <w:t>BORROWERS:</w:t>
      </w:r>
      <w:r>
        <w:rPr>
          <w:sz w:val="20"/>
          <w:szCs w:val="20"/>
          <w:color w:val="auto"/>
        </w:rPr>
        <w:tab/>
      </w:r>
      <w:r>
        <w:rPr>
          <w:rFonts w:ascii="Arial" w:cs="Arial" w:eastAsia="Arial" w:hAnsi="Arial"/>
          <w:sz w:val="20"/>
          <w:szCs w:val="20"/>
          <w:color w:val="auto"/>
        </w:rPr>
        <w:t>FLEETCOR UK ACQUISITION LIMITED,</w:t>
      </w:r>
    </w:p>
    <w:p>
      <w:pPr>
        <w:ind w:left="2600"/>
        <w:spacing w:after="0"/>
        <w:rPr>
          <w:sz w:val="20"/>
          <w:szCs w:val="20"/>
          <w:color w:val="auto"/>
        </w:rPr>
      </w:pPr>
      <w:r>
        <w:rPr>
          <w:rFonts w:ascii="Arial" w:cs="Arial" w:eastAsia="Arial" w:hAnsi="Arial"/>
          <w:sz w:val="20"/>
          <w:szCs w:val="20"/>
          <w:color w:val="auto"/>
        </w:rPr>
        <w:t>a private limited company registered in England and Wales</w:t>
      </w:r>
    </w:p>
    <w:p>
      <w:pPr>
        <w:spacing w:after="0" w:line="200" w:lineRule="exact"/>
        <w:rPr>
          <w:sz w:val="20"/>
          <w:szCs w:val="20"/>
          <w:color w:val="auto"/>
        </w:rPr>
      </w:pPr>
    </w:p>
    <w:p>
      <w:pPr>
        <w:spacing w:after="0" w:line="24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 Pisciotta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Steve Pisciotta</w:t>
      </w:r>
    </w:p>
    <w:p>
      <w:pPr>
        <w:ind w:left="26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ALLSTAR BUSINESS SOLUTIONS LIMITED,</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private limited company registered in England and Wales</w:t>
      </w:r>
    </w:p>
    <w:p>
      <w:pPr>
        <w:spacing w:after="0" w:line="200" w:lineRule="exact"/>
        <w:rPr>
          <w:sz w:val="20"/>
          <w:szCs w:val="20"/>
          <w:color w:val="auto"/>
        </w:rPr>
      </w:pPr>
    </w:p>
    <w:p>
      <w:pPr>
        <w:spacing w:after="0" w:line="24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 Pisciotta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Steve Pisciotta</w:t>
      </w:r>
    </w:p>
    <w:p>
      <w:pPr>
        <w:ind w:left="26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BUSINESS FUEL CARDS PTY LTD (formerly FleetCor Technologies Australia Pty Ltd),</w:t>
      </w:r>
    </w:p>
    <w:p>
      <w:pPr>
        <w:spacing w:after="0" w:line="16" w:lineRule="exact"/>
        <w:rPr>
          <w:sz w:val="20"/>
          <w:szCs w:val="20"/>
          <w:color w:val="auto"/>
        </w:rPr>
      </w:pPr>
    </w:p>
    <w:p>
      <w:pPr>
        <w:ind w:left="2600"/>
        <w:spacing w:after="0" w:line="239" w:lineRule="auto"/>
        <w:rPr>
          <w:sz w:val="20"/>
          <w:szCs w:val="20"/>
          <w:color w:val="auto"/>
        </w:rPr>
      </w:pPr>
      <w:r>
        <w:rPr>
          <w:rFonts w:ascii="Arial" w:cs="Arial" w:eastAsia="Arial" w:hAnsi="Arial"/>
          <w:sz w:val="20"/>
          <w:szCs w:val="20"/>
          <w:color w:val="auto"/>
        </w:rPr>
        <w:t xml:space="preserve">a proprietary limited company registered in Australia, in accordance with section 127 of the </w:t>
      </w:r>
      <w:r>
        <w:rPr>
          <w:rFonts w:ascii="Arial" w:cs="Arial" w:eastAsia="Arial" w:hAnsi="Arial"/>
          <w:sz w:val="20"/>
          <w:szCs w:val="20"/>
          <w:i w:val="1"/>
          <w:iCs w:val="1"/>
          <w:color w:val="auto"/>
        </w:rPr>
        <w:t>Corporations Act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2001 </w:t>
      </w:r>
      <w:r>
        <w:rPr>
          <w:rFonts w:ascii="Arial" w:cs="Arial" w:eastAsia="Arial" w:hAnsi="Arial"/>
          <w:sz w:val="20"/>
          <w:szCs w:val="20"/>
          <w:color w:val="auto"/>
        </w:rPr>
        <w:t>(Cth)</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ACN 161 721 106</w:t>
      </w:r>
    </w:p>
    <w:p>
      <w:pPr>
        <w:spacing w:after="0" w:line="200" w:lineRule="exact"/>
        <w:rPr>
          <w:sz w:val="20"/>
          <w:szCs w:val="20"/>
          <w:color w:val="auto"/>
        </w:rPr>
      </w:pPr>
    </w:p>
    <w:p>
      <w:pPr>
        <w:spacing w:after="0" w:line="24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Eric Dey</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Eric Dey</w:t>
      </w:r>
    </w:p>
    <w:p>
      <w:pPr>
        <w:ind w:left="26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 Pisciotta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Steve Pisciotta</w:t>
      </w:r>
    </w:p>
    <w:p>
      <w:pPr>
        <w:ind w:left="2600"/>
        <w:spacing w:after="0"/>
        <w:rPr>
          <w:sz w:val="20"/>
          <w:szCs w:val="20"/>
          <w:color w:val="auto"/>
        </w:rPr>
      </w:pPr>
      <w:r>
        <w:rPr>
          <w:rFonts w:ascii="Arial" w:cs="Arial" w:eastAsia="Arial" w:hAnsi="Arial"/>
          <w:sz w:val="20"/>
          <w:szCs w:val="20"/>
          <w:color w:val="auto"/>
        </w:rPr>
        <w:t>Title: Director</w:t>
      </w:r>
    </w:p>
    <w:p>
      <w:pPr>
        <w:ind w:left="2600"/>
        <w:spacing w:after="0"/>
        <w:rPr>
          <w:sz w:val="20"/>
          <w:szCs w:val="20"/>
          <w:color w:val="auto"/>
        </w:rPr>
      </w:pPr>
      <w:r>
        <w:rPr>
          <w:rFonts w:ascii="Arial" w:cs="Arial" w:eastAsia="Arial" w:hAnsi="Arial"/>
          <w:sz w:val="20"/>
          <w:szCs w:val="20"/>
          <w:color w:val="auto"/>
        </w:rPr>
        <w:t>FLEETCOR TECHNOLOGIES NEW ZEALAND LIMITED,</w:t>
      </w:r>
    </w:p>
    <w:p>
      <w:pPr>
        <w:sectPr>
          <w:pgSz w:w="11900" w:h="16838" w:orient="portrait"/>
          <w:cols w:equalWidth="0" w:num="1">
            <w:col w:w="11420"/>
          </w:cols>
          <w:pgMar w:left="240" w:top="122" w:right="239" w:bottom="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2"/>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a company registered in New Zealand</w:t>
            </w:r>
          </w:p>
        </w:tc>
      </w:tr>
      <w:tr>
        <w:trPr>
          <w:trHeight w:val="644"/>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By: /s/ Steven Joseph Pisciotta</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33"/>
        </w:trPr>
        <w:tc>
          <w:tcPr>
            <w:tcW w:w="160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Name: Steven Joseph Pisciotta</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Title: Director</w:t>
            </w:r>
          </w:p>
        </w:tc>
      </w:tr>
      <w:tr>
        <w:trPr>
          <w:trHeight w:val="438"/>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FLEETCOR LUXEMBOURG HOLDING2,</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w w:val="89"/>
              </w:rPr>
              <w:t xml:space="preserve">a </w:t>
            </w:r>
            <w:r>
              <w:rPr>
                <w:rFonts w:ascii="Arial" w:cs="Arial" w:eastAsia="Arial" w:hAnsi="Arial"/>
                <w:sz w:val="20"/>
                <w:szCs w:val="20"/>
                <w:i w:val="1"/>
                <w:iCs w:val="1"/>
                <w:color w:val="auto"/>
                <w:w w:val="89"/>
              </w:rPr>
              <w:t>société à responsabilité limitée</w:t>
            </w:r>
            <w:r>
              <w:rPr>
                <w:rFonts w:ascii="Arial" w:cs="Arial" w:eastAsia="Arial" w:hAnsi="Arial"/>
                <w:sz w:val="20"/>
                <w:szCs w:val="20"/>
                <w:color w:val="auto"/>
                <w:w w:val="89"/>
              </w:rPr>
              <w:t xml:space="preserve"> incorporated under the laws of Luxembourg</w:t>
            </w:r>
          </w:p>
        </w:tc>
      </w:tr>
      <w:tr>
        <w:trPr>
          <w:trHeight w:val="644"/>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By: /s/ Steve Pisciotta</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r>
      <w:tr>
        <w:trPr>
          <w:trHeight w:val="233"/>
        </w:trPr>
        <w:tc>
          <w:tcPr>
            <w:tcW w:w="160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Name: Steve Pisciotta</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Title: Type A Manager</w:t>
            </w:r>
          </w:p>
        </w:tc>
      </w:tr>
      <w:tr>
        <w:trPr>
          <w:trHeight w:val="438"/>
        </w:trPr>
        <w:tc>
          <w:tcPr>
            <w:tcW w:w="1600" w:type="dxa"/>
            <w:vAlign w:val="bottom"/>
          </w:tcPr>
          <w:p>
            <w:pPr>
              <w:spacing w:after="0"/>
              <w:rPr>
                <w:sz w:val="20"/>
                <w:szCs w:val="20"/>
                <w:color w:val="auto"/>
              </w:rPr>
            </w:pPr>
            <w:r>
              <w:rPr>
                <w:rFonts w:ascii="Arial" w:cs="Arial" w:eastAsia="Arial" w:hAnsi="Arial"/>
                <w:sz w:val="20"/>
                <w:szCs w:val="20"/>
                <w:color w:val="auto"/>
              </w:rPr>
              <w:t>ADDITIONAL</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20"/>
                <w:szCs w:val="20"/>
                <w:color w:val="auto"/>
              </w:rPr>
              <w:t>BORROWER:</w:t>
            </w:r>
          </w:p>
        </w:tc>
        <w:tc>
          <w:tcPr>
            <w:tcW w:w="7120" w:type="dxa"/>
            <w:vAlign w:val="bottom"/>
            <w:gridSpan w:val="5"/>
          </w:tcPr>
          <w:p>
            <w:pPr>
              <w:ind w:left="180"/>
              <w:spacing w:after="0"/>
              <w:rPr>
                <w:sz w:val="20"/>
                <w:szCs w:val="20"/>
                <w:color w:val="auto"/>
              </w:rPr>
            </w:pPr>
            <w:r>
              <w:rPr>
                <w:rFonts w:ascii="Arial" w:cs="Arial" w:eastAsia="Arial" w:hAnsi="Arial"/>
                <w:sz w:val="20"/>
                <w:szCs w:val="20"/>
                <w:color w:val="auto"/>
              </w:rPr>
              <w:t>CAMBRIDGE MERCANTILE CORP. (U.S.A.),</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a Delaware corporation</w:t>
            </w:r>
          </w:p>
        </w:tc>
      </w:tr>
      <w:tr>
        <w:trPr>
          <w:trHeight w:val="644"/>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By: /s/ Gary McDonald</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r>
      <w:tr>
        <w:trPr>
          <w:trHeight w:val="233"/>
        </w:trPr>
        <w:tc>
          <w:tcPr>
            <w:tcW w:w="160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Name: Gary McDonald</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Title: President</w:t>
            </w:r>
          </w:p>
        </w:tc>
      </w:tr>
      <w:tr>
        <w:trPr>
          <w:trHeight w:val="438"/>
        </w:trPr>
        <w:tc>
          <w:tcPr>
            <w:tcW w:w="1600" w:type="dxa"/>
            <w:vAlign w:val="bottom"/>
          </w:tcPr>
          <w:p>
            <w:pPr>
              <w:spacing w:after="0"/>
              <w:rPr>
                <w:sz w:val="20"/>
                <w:szCs w:val="20"/>
                <w:color w:val="auto"/>
              </w:rPr>
            </w:pPr>
            <w:r>
              <w:rPr>
                <w:rFonts w:ascii="Arial" w:cs="Arial" w:eastAsia="Arial" w:hAnsi="Arial"/>
                <w:sz w:val="20"/>
                <w:szCs w:val="20"/>
                <w:color w:val="auto"/>
              </w:rPr>
              <w:t>GUARANTORS:</w:t>
            </w:r>
          </w:p>
        </w:tc>
        <w:tc>
          <w:tcPr>
            <w:tcW w:w="7120" w:type="dxa"/>
            <w:vAlign w:val="bottom"/>
            <w:gridSpan w:val="5"/>
          </w:tcPr>
          <w:p>
            <w:pPr>
              <w:ind w:left="200"/>
              <w:spacing w:after="0"/>
              <w:rPr>
                <w:sz w:val="20"/>
                <w:szCs w:val="20"/>
                <w:color w:val="auto"/>
              </w:rPr>
            </w:pPr>
            <w:r>
              <w:rPr>
                <w:rFonts w:ascii="Arial" w:cs="Arial" w:eastAsia="Arial" w:hAnsi="Arial"/>
                <w:sz w:val="20"/>
                <w:szCs w:val="20"/>
                <w:color w:val="auto"/>
              </w:rPr>
              <w:t>CFN HOLDING CO.,</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a Delaware corporation</w:t>
            </w:r>
          </w:p>
        </w:tc>
      </w:tr>
      <w:tr>
        <w:trPr>
          <w:trHeight w:val="617"/>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By: /s/ Steve Pisciotta</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r>
      <w:tr>
        <w:trPr>
          <w:trHeight w:val="233"/>
        </w:trPr>
        <w:tc>
          <w:tcPr>
            <w:tcW w:w="160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Name: Steve Pisciotta</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Title: Treasurer</w:t>
            </w:r>
          </w:p>
        </w:tc>
      </w:tr>
      <w:tr>
        <w:trPr>
          <w:trHeight w:val="425"/>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CLC GROUP, INC.,</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a Delaware corporation</w:t>
            </w:r>
          </w:p>
        </w:tc>
      </w:tr>
      <w:tr>
        <w:trPr>
          <w:trHeight w:val="617"/>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By: /s/ Steve Pisciotta</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r>
      <w:tr>
        <w:trPr>
          <w:trHeight w:val="233"/>
        </w:trPr>
        <w:tc>
          <w:tcPr>
            <w:tcW w:w="160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Name: Steve Pisciotta</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Title: Treasurer</w:t>
            </w:r>
          </w:p>
        </w:tc>
      </w:tr>
      <w:tr>
        <w:trPr>
          <w:trHeight w:val="425"/>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CORPORATE LODGING CONSULTANTS, INC.,</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a Kansas corporation</w:t>
            </w:r>
          </w:p>
        </w:tc>
      </w:tr>
      <w:tr>
        <w:trPr>
          <w:trHeight w:val="617"/>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By: /s/ Steve Pisciotta</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r>
      <w:tr>
        <w:trPr>
          <w:trHeight w:val="233"/>
        </w:trPr>
        <w:tc>
          <w:tcPr>
            <w:tcW w:w="160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Name: Steve Pisciotta</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Title: Treasurer</w:t>
            </w:r>
          </w:p>
        </w:tc>
      </w:tr>
      <w:tr>
        <w:trPr>
          <w:trHeight w:val="654"/>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CREW TRANSPORTATION SPECIALISTS, INC.,</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a Kansas corporation</w:t>
            </w:r>
          </w:p>
        </w:tc>
      </w:tr>
      <w:tr>
        <w:trPr>
          <w:trHeight w:val="617"/>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By: /s/ Steve Pisciotta</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r>
      <w:tr>
        <w:trPr>
          <w:trHeight w:val="233"/>
        </w:trPr>
        <w:tc>
          <w:tcPr>
            <w:tcW w:w="160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Name: Steve Pisciotta</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Title: Treasurer</w:t>
            </w:r>
          </w:p>
        </w:tc>
      </w:tr>
      <w:tr>
        <w:trPr>
          <w:trHeight w:val="371"/>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MANNATEC, INC.,</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a Georgia corporation</w:t>
            </w:r>
          </w:p>
        </w:tc>
      </w:tr>
      <w:tr>
        <w:trPr>
          <w:trHeight w:val="617"/>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By: /s/ Steve Pisciotta</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r>
      <w:tr>
        <w:trPr>
          <w:trHeight w:val="233"/>
        </w:trPr>
        <w:tc>
          <w:tcPr>
            <w:tcW w:w="160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Name: Steve Pisciotta</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Title: Treasurer</w:t>
            </w:r>
          </w:p>
        </w:tc>
      </w:tr>
      <w:tr>
        <w:trPr>
          <w:trHeight w:val="425"/>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FLEETCOR FUEL CARDS LLC,</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a Delaware limited liability company</w:t>
            </w:r>
          </w:p>
        </w:tc>
      </w:tr>
      <w:tr>
        <w:trPr>
          <w:trHeight w:val="617"/>
        </w:trPr>
        <w:tc>
          <w:tcPr>
            <w:tcW w:w="1600" w:type="dxa"/>
            <w:vAlign w:val="bottom"/>
          </w:tcPr>
          <w:p>
            <w:pPr>
              <w:spacing w:after="0"/>
              <w:rPr>
                <w:sz w:val="24"/>
                <w:szCs w:val="24"/>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By: /s/ Steve Pisciotta</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r>
      <w:tr>
        <w:trPr>
          <w:trHeight w:val="233"/>
        </w:trPr>
        <w:tc>
          <w:tcPr>
            <w:tcW w:w="1600" w:type="dxa"/>
            <w:vAlign w:val="bottom"/>
          </w:tcPr>
          <w:p>
            <w:pPr>
              <w:spacing w:after="0"/>
              <w:rPr>
                <w:sz w:val="20"/>
                <w:szCs w:val="20"/>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Name: Steve Pisciotta</w:t>
            </w:r>
          </w:p>
        </w:tc>
      </w:tr>
      <w:tr>
        <w:trPr>
          <w:trHeight w:val="250"/>
        </w:trPr>
        <w:tc>
          <w:tcPr>
            <w:tcW w:w="1600" w:type="dxa"/>
            <w:vAlign w:val="bottom"/>
          </w:tcPr>
          <w:p>
            <w:pPr>
              <w:spacing w:after="0"/>
              <w:rPr>
                <w:sz w:val="21"/>
                <w:szCs w:val="21"/>
                <w:color w:val="auto"/>
              </w:rPr>
            </w:pPr>
          </w:p>
        </w:tc>
        <w:tc>
          <w:tcPr>
            <w:tcW w:w="7120" w:type="dxa"/>
            <w:vAlign w:val="bottom"/>
            <w:gridSpan w:val="5"/>
          </w:tcPr>
          <w:p>
            <w:pPr>
              <w:ind w:left="1000"/>
              <w:spacing w:after="0"/>
              <w:rPr>
                <w:sz w:val="20"/>
                <w:szCs w:val="20"/>
                <w:color w:val="auto"/>
              </w:rPr>
            </w:pPr>
            <w:r>
              <w:rPr>
                <w:rFonts w:ascii="Arial" w:cs="Arial" w:eastAsia="Arial" w:hAnsi="Arial"/>
                <w:sz w:val="20"/>
                <w:szCs w:val="20"/>
                <w:color w:val="auto"/>
              </w:rPr>
              <w:t>Title: Treasurer</w:t>
            </w:r>
          </w:p>
        </w:tc>
      </w:tr>
    </w:tbl>
    <w:p>
      <w:pPr>
        <w:sectPr>
          <w:pgSz w:w="11900" w:h="16838" w:orient="portrait"/>
          <w:cols w:equalWidth="0" w:num="1">
            <w:col w:w="10219"/>
          </w:cols>
          <w:pgMar w:left="240" w:top="122" w:right="1440" w:bottom="0" w:gutter="0" w:footer="0" w:header="0"/>
        </w:sectPr>
      </w:pPr>
    </w:p>
    <w:bookmarkStart w:id="65" w:name="page66"/>
    <w:bookmarkEnd w:id="65"/>
    <w:p>
      <w:pPr>
        <w:ind w:left="2600"/>
        <w:spacing w:after="0"/>
        <w:rPr>
          <w:sz w:val="20"/>
          <w:szCs w:val="20"/>
          <w:color w:val="auto"/>
        </w:rPr>
      </w:pPr>
      <w:r>
        <w:rPr>
          <w:rFonts w:ascii="Arial" w:cs="Arial" w:eastAsia="Arial" w:hAnsi="Arial"/>
          <w:sz w:val="20"/>
          <w:szCs w:val="20"/>
          <w:color w:val="auto"/>
        </w:rPr>
        <w:t>PACIFIC PRIDE SERVICES, LLC,</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 Pisciotta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Steve Pisciotta</w:t>
      </w:r>
    </w:p>
    <w:p>
      <w:pPr>
        <w:ind w:left="26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FCHC HOLDING COMPANY, LLC,</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Coughlin</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John Coughlin</w:t>
      </w:r>
    </w:p>
    <w:p>
      <w:pPr>
        <w:ind w:left="2600"/>
        <w:spacing w:after="0"/>
        <w:rPr>
          <w:sz w:val="20"/>
          <w:szCs w:val="20"/>
          <w:color w:val="auto"/>
        </w:rPr>
      </w:pPr>
      <w:r>
        <w:rPr>
          <w:rFonts w:ascii="Arial" w:cs="Arial" w:eastAsia="Arial" w:hAnsi="Arial"/>
          <w:sz w:val="20"/>
          <w:szCs w:val="20"/>
          <w:color w:val="auto"/>
        </w:rPr>
        <w:t>Title: President</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COMDATA INC.,</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E. Kribbs</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Robert E. Kribbs</w:t>
      </w:r>
    </w:p>
    <w:p>
      <w:pPr>
        <w:ind w:left="26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COMDATA TN, INC.,</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Tennessee corporation</w:t>
      </w:r>
    </w:p>
    <w:p>
      <w:pPr>
        <w:spacing w:after="0" w:line="200" w:lineRule="exact"/>
        <w:rPr>
          <w:sz w:val="20"/>
          <w:szCs w:val="20"/>
          <w:color w:val="auto"/>
        </w:rPr>
      </w:pP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E. Kribbs</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Robert E. Kribbs</w:t>
      </w:r>
    </w:p>
    <w:p>
      <w:pPr>
        <w:ind w:left="26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COMDATA NETWORK, INC. OF CALIFORNIA,</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California corporation</w:t>
      </w:r>
    </w:p>
    <w:p>
      <w:pPr>
        <w:spacing w:after="0" w:line="200" w:lineRule="exact"/>
        <w:rPr>
          <w:sz w:val="20"/>
          <w:szCs w:val="20"/>
          <w:color w:val="auto"/>
        </w:rPr>
      </w:pP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E. Kribbs</w:t>
      </w:r>
    </w:p>
    <w:p>
      <w:pPr>
        <w:spacing w:after="0" w:line="15" w:lineRule="exact"/>
        <w:rPr>
          <w:sz w:val="20"/>
          <w:szCs w:val="20"/>
          <w:color w:val="auto"/>
        </w:rPr>
      </w:pPr>
    </w:p>
    <w:p>
      <w:pPr>
        <w:ind w:left="2600"/>
        <w:spacing w:after="0"/>
        <w:tabs>
          <w:tab w:leader="none" w:pos="33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Robert E. Kribbs</w:t>
      </w:r>
    </w:p>
    <w:p>
      <w:pPr>
        <w:ind w:left="26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CAMBRIDGE MERCANTILE CORP. (NEVADA),</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Rockouski</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Michael Rockouski</w:t>
      </w:r>
    </w:p>
    <w:p>
      <w:pPr>
        <w:ind w:left="2600"/>
        <w:spacing w:after="0"/>
        <w:rPr>
          <w:sz w:val="20"/>
          <w:szCs w:val="20"/>
          <w:color w:val="auto"/>
        </w:rPr>
      </w:pPr>
      <w:r>
        <w:rPr>
          <w:rFonts w:ascii="Arial" w:cs="Arial" w:eastAsia="Arial" w:hAnsi="Arial"/>
          <w:sz w:val="20"/>
          <w:szCs w:val="20"/>
          <w:color w:val="auto"/>
        </w:rPr>
        <w:t>Title: President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ADMINISTRATIVE</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AGENT:</w:t>
      </w:r>
      <w:r>
        <w:rPr>
          <w:sz w:val="20"/>
          <w:szCs w:val="20"/>
          <w:color w:val="auto"/>
        </w:rPr>
        <w:tab/>
      </w:r>
      <w:r>
        <w:rPr>
          <w:rFonts w:ascii="Arial" w:cs="Arial" w:eastAsia="Arial" w:hAnsi="Arial"/>
          <w:sz w:val="20"/>
          <w:szCs w:val="20"/>
          <w:color w:val="auto"/>
        </w:rPr>
        <w:t>BANK OF AMERICA, N.A.,</w:t>
      </w:r>
    </w:p>
    <w:p>
      <w:pPr>
        <w:ind w:left="26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5080" w:type="dxa"/>
            <w:vAlign w:val="bottom"/>
            <w:gridSpan w:val="4"/>
          </w:tcPr>
          <w:p>
            <w:pPr>
              <w:ind w:left="1340"/>
              <w:spacing w:after="0"/>
              <w:rPr>
                <w:sz w:val="20"/>
                <w:szCs w:val="20"/>
                <w:color w:val="auto"/>
              </w:rPr>
            </w:pPr>
            <w:r>
              <w:rPr>
                <w:rFonts w:ascii="Arial" w:cs="Arial" w:eastAsia="Arial" w:hAnsi="Arial"/>
                <w:sz w:val="20"/>
                <w:szCs w:val="20"/>
                <w:color w:val="auto"/>
              </w:rPr>
              <w:t>By: /s/ Elizabeth Uribe</w:t>
            </w:r>
          </w:p>
        </w:tc>
      </w:tr>
      <w:tr>
        <w:trPr>
          <w:trHeight w:val="20"/>
        </w:trPr>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5080" w:type="dxa"/>
            <w:vAlign w:val="bottom"/>
            <w:gridSpan w:val="4"/>
          </w:tcPr>
          <w:p>
            <w:pPr>
              <w:ind w:left="1340"/>
              <w:spacing w:after="0"/>
              <w:rPr>
                <w:sz w:val="20"/>
                <w:szCs w:val="20"/>
                <w:color w:val="auto"/>
              </w:rPr>
            </w:pPr>
            <w:r>
              <w:rPr>
                <w:rFonts w:ascii="Arial" w:cs="Arial" w:eastAsia="Arial" w:hAnsi="Arial"/>
                <w:sz w:val="20"/>
                <w:szCs w:val="20"/>
                <w:color w:val="auto"/>
              </w:rPr>
              <w:t>Name: Elizabeth Uribe</w:t>
            </w:r>
          </w:p>
        </w:tc>
      </w:tr>
      <w:tr>
        <w:trPr>
          <w:trHeight w:val="250"/>
        </w:trPr>
        <w:tc>
          <w:tcPr>
            <w:tcW w:w="1260" w:type="dxa"/>
            <w:vAlign w:val="bottom"/>
          </w:tcPr>
          <w:p>
            <w:pPr>
              <w:spacing w:after="0"/>
              <w:rPr>
                <w:sz w:val="21"/>
                <w:szCs w:val="21"/>
                <w:color w:val="auto"/>
              </w:rPr>
            </w:pPr>
          </w:p>
        </w:tc>
        <w:tc>
          <w:tcPr>
            <w:tcW w:w="5080" w:type="dxa"/>
            <w:vAlign w:val="bottom"/>
            <w:gridSpan w:val="4"/>
          </w:tcPr>
          <w:p>
            <w:pPr>
              <w:ind w:left="1340"/>
              <w:spacing w:after="0"/>
              <w:rPr>
                <w:sz w:val="20"/>
                <w:szCs w:val="20"/>
                <w:color w:val="auto"/>
              </w:rPr>
            </w:pPr>
            <w:r>
              <w:rPr>
                <w:rFonts w:ascii="Arial" w:cs="Arial" w:eastAsia="Arial" w:hAnsi="Arial"/>
                <w:sz w:val="20"/>
                <w:szCs w:val="20"/>
                <w:color w:val="auto"/>
              </w:rPr>
              <w:t>Title: Assistant Vice President</w:t>
            </w:r>
          </w:p>
        </w:tc>
      </w:tr>
      <w:tr>
        <w:trPr>
          <w:trHeight w:val="438"/>
        </w:trPr>
        <w:tc>
          <w:tcPr>
            <w:tcW w:w="1260" w:type="dxa"/>
            <w:vAlign w:val="bottom"/>
          </w:tcPr>
          <w:p>
            <w:pPr>
              <w:spacing w:after="0"/>
              <w:rPr>
                <w:sz w:val="20"/>
                <w:szCs w:val="20"/>
                <w:color w:val="auto"/>
              </w:rPr>
            </w:pPr>
            <w:r>
              <w:rPr>
                <w:rFonts w:ascii="Arial" w:cs="Arial" w:eastAsia="Arial" w:hAnsi="Arial"/>
                <w:sz w:val="20"/>
                <w:szCs w:val="20"/>
                <w:color w:val="auto"/>
              </w:rPr>
              <w:t>LENDERS:</w:t>
            </w:r>
          </w:p>
        </w:tc>
        <w:tc>
          <w:tcPr>
            <w:tcW w:w="5080" w:type="dxa"/>
            <w:vAlign w:val="bottom"/>
            <w:gridSpan w:val="4"/>
          </w:tcPr>
          <w:p>
            <w:pPr>
              <w:ind w:left="280"/>
              <w:spacing w:after="0"/>
              <w:rPr>
                <w:sz w:val="20"/>
                <w:szCs w:val="20"/>
                <w:color w:val="auto"/>
              </w:rPr>
            </w:pPr>
            <w:r>
              <w:rPr>
                <w:rFonts w:ascii="Arial" w:cs="Arial" w:eastAsia="Arial" w:hAnsi="Arial"/>
                <w:sz w:val="20"/>
                <w:szCs w:val="20"/>
                <w:color w:val="auto"/>
              </w:rPr>
              <w:t>BANK OF AMERICA, N.A.,</w:t>
            </w:r>
          </w:p>
        </w:tc>
      </w:tr>
      <w:tr>
        <w:trPr>
          <w:trHeight w:val="250"/>
        </w:trPr>
        <w:tc>
          <w:tcPr>
            <w:tcW w:w="1260" w:type="dxa"/>
            <w:vAlign w:val="bottom"/>
          </w:tcPr>
          <w:p>
            <w:pPr>
              <w:spacing w:after="0"/>
              <w:rPr>
                <w:sz w:val="21"/>
                <w:szCs w:val="21"/>
                <w:color w:val="auto"/>
              </w:rPr>
            </w:pPr>
          </w:p>
        </w:tc>
        <w:tc>
          <w:tcPr>
            <w:tcW w:w="5080" w:type="dxa"/>
            <w:vAlign w:val="bottom"/>
            <w:gridSpan w:val="4"/>
          </w:tcPr>
          <w:p>
            <w:pPr>
              <w:ind w:left="1340"/>
              <w:spacing w:after="0"/>
              <w:rPr>
                <w:sz w:val="20"/>
                <w:szCs w:val="20"/>
                <w:color w:val="auto"/>
              </w:rPr>
            </w:pPr>
            <w:r>
              <w:rPr>
                <w:rFonts w:ascii="Arial" w:cs="Arial" w:eastAsia="Arial" w:hAnsi="Arial"/>
                <w:sz w:val="20"/>
                <w:szCs w:val="20"/>
                <w:color w:val="auto"/>
                <w:w w:val="88"/>
              </w:rPr>
              <w:t>as a Lender, Swing Line Lender and L/C Issuer</w:t>
            </w:r>
          </w:p>
        </w:tc>
      </w:tr>
      <w:tr>
        <w:trPr>
          <w:trHeight w:val="644"/>
        </w:trPr>
        <w:tc>
          <w:tcPr>
            <w:tcW w:w="1260" w:type="dxa"/>
            <w:vAlign w:val="bottom"/>
          </w:tcPr>
          <w:p>
            <w:pPr>
              <w:spacing w:after="0"/>
              <w:rPr>
                <w:sz w:val="24"/>
                <w:szCs w:val="24"/>
                <w:color w:val="auto"/>
              </w:rPr>
            </w:pPr>
          </w:p>
        </w:tc>
        <w:tc>
          <w:tcPr>
            <w:tcW w:w="5080" w:type="dxa"/>
            <w:vAlign w:val="bottom"/>
            <w:gridSpan w:val="4"/>
          </w:tcPr>
          <w:p>
            <w:pPr>
              <w:ind w:left="1340"/>
              <w:spacing w:after="0"/>
              <w:rPr>
                <w:sz w:val="20"/>
                <w:szCs w:val="20"/>
                <w:color w:val="auto"/>
              </w:rPr>
            </w:pPr>
            <w:r>
              <w:rPr>
                <w:rFonts w:ascii="Arial" w:cs="Arial" w:eastAsia="Arial" w:hAnsi="Arial"/>
                <w:sz w:val="20"/>
                <w:szCs w:val="20"/>
                <w:color w:val="auto"/>
              </w:rPr>
              <w:t>By: /s/ Ryan Maples</w:t>
            </w:r>
          </w:p>
        </w:tc>
      </w:tr>
      <w:tr>
        <w:trPr>
          <w:trHeight w:val="20"/>
        </w:trPr>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5080" w:type="dxa"/>
            <w:vAlign w:val="bottom"/>
            <w:gridSpan w:val="4"/>
          </w:tcPr>
          <w:p>
            <w:pPr>
              <w:ind w:left="1340"/>
              <w:spacing w:after="0"/>
              <w:rPr>
                <w:sz w:val="20"/>
                <w:szCs w:val="20"/>
                <w:color w:val="auto"/>
              </w:rPr>
            </w:pPr>
            <w:r>
              <w:rPr>
                <w:rFonts w:ascii="Arial" w:cs="Arial" w:eastAsia="Arial" w:hAnsi="Arial"/>
                <w:sz w:val="20"/>
                <w:szCs w:val="20"/>
                <w:color w:val="auto"/>
              </w:rPr>
              <w:t>Name: Ryan Maples</w:t>
            </w:r>
          </w:p>
        </w:tc>
      </w:tr>
      <w:tr>
        <w:trPr>
          <w:trHeight w:val="250"/>
        </w:trPr>
        <w:tc>
          <w:tcPr>
            <w:tcW w:w="1260" w:type="dxa"/>
            <w:vAlign w:val="bottom"/>
          </w:tcPr>
          <w:p>
            <w:pPr>
              <w:spacing w:after="0"/>
              <w:rPr>
                <w:sz w:val="21"/>
                <w:szCs w:val="21"/>
                <w:color w:val="auto"/>
              </w:rPr>
            </w:pPr>
          </w:p>
        </w:tc>
        <w:tc>
          <w:tcPr>
            <w:tcW w:w="5080" w:type="dxa"/>
            <w:vAlign w:val="bottom"/>
            <w:gridSpan w:val="4"/>
          </w:tcPr>
          <w:p>
            <w:pPr>
              <w:ind w:left="1340"/>
              <w:spacing w:after="0"/>
              <w:rPr>
                <w:sz w:val="20"/>
                <w:szCs w:val="20"/>
                <w:color w:val="auto"/>
              </w:rPr>
            </w:pPr>
            <w:r>
              <w:rPr>
                <w:rFonts w:ascii="Arial" w:cs="Arial" w:eastAsia="Arial" w:hAnsi="Arial"/>
                <w:sz w:val="20"/>
                <w:szCs w:val="20"/>
                <w:color w:val="auto"/>
              </w:rPr>
              <w:t>Title: Sr.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STOCK YARDS BANK &amp; TRUST COMPANY,</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as a Lender</w:t>
      </w:r>
    </w:p>
    <w:p>
      <w:pPr>
        <w:sectPr>
          <w:pgSz w:w="11900" w:h="16838" w:orient="portrait"/>
          <w:cols w:equalWidth="0" w:num="1">
            <w:col w:w="10219"/>
          </w:cols>
          <w:pgMar w:left="240" w:top="122" w:right="1440" w:bottom="36" w:gutter="0" w:footer="0" w:header="0"/>
        </w:sectPr>
      </w:pPr>
    </w:p>
    <w:bookmarkStart w:id="66" w:name="page67"/>
    <w:bookmarkEnd w:id="66"/>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Joe Morrison</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Joe Morrison</w:t>
      </w:r>
    </w:p>
    <w:p>
      <w:pPr>
        <w:ind w:left="14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FIRST HAWAIIAN BANK,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Christopher M. Yasuma</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Christopher M. Yasuma</w:t>
      </w:r>
    </w:p>
    <w:p>
      <w:pPr>
        <w:ind w:left="14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400" w:right="2199"/>
        <w:spacing w:after="0" w:line="260" w:lineRule="auto"/>
        <w:rPr>
          <w:sz w:val="20"/>
          <w:szCs w:val="20"/>
          <w:color w:val="auto"/>
        </w:rPr>
      </w:pPr>
      <w:r>
        <w:rPr>
          <w:rFonts w:ascii="Arial" w:cs="Arial" w:eastAsia="Arial" w:hAnsi="Arial"/>
          <w:sz w:val="20"/>
          <w:szCs w:val="20"/>
          <w:color w:val="auto"/>
        </w:rPr>
        <w:t>CREDIT AGRICOLE CORPORATE AND INVESTMENT BANK, as a Lender</w:t>
      </w:r>
    </w:p>
    <w:p>
      <w:pPr>
        <w:spacing w:after="0" w:line="19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Jill Wong</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Jill Wong</w:t>
      </w:r>
    </w:p>
    <w:p>
      <w:pPr>
        <w:ind w:left="14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Gordon Yip</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Gordon Yip</w:t>
      </w:r>
    </w:p>
    <w:p>
      <w:pPr>
        <w:ind w:left="14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RAYMOND JAMES BANK, N.A.,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Joseph A. Ciccolini</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Joseph A. Ciccolini</w:t>
      </w:r>
    </w:p>
    <w:p>
      <w:pPr>
        <w:ind w:left="140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400" w:right="1919"/>
        <w:spacing w:after="0" w:line="260" w:lineRule="auto"/>
        <w:rPr>
          <w:sz w:val="20"/>
          <w:szCs w:val="20"/>
          <w:color w:val="auto"/>
        </w:rPr>
      </w:pPr>
      <w:r>
        <w:rPr>
          <w:rFonts w:ascii="Arial" w:cs="Arial" w:eastAsia="Arial" w:hAnsi="Arial"/>
          <w:sz w:val="20"/>
          <w:szCs w:val="20"/>
          <w:color w:val="auto"/>
        </w:rPr>
        <w:t>CREDIT INDUSTRIEL ET COMMERCIAL, NEW YORK BRANCH, as a Lender</w:t>
      </w:r>
    </w:p>
    <w:p>
      <w:pPr>
        <w:spacing w:after="0" w:line="19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Garry Weiss</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Garry Weiss</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Marcus Edward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Marcus Edward</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THE BANK OF NOVA SCOTIA,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Grad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Michael Grad</w:t>
      </w:r>
    </w:p>
    <w:p>
      <w:pPr>
        <w:ind w:left="1400"/>
        <w:spacing w:after="0"/>
        <w:rPr>
          <w:sz w:val="20"/>
          <w:szCs w:val="20"/>
          <w:color w:val="auto"/>
        </w:rPr>
      </w:pPr>
      <w:r>
        <w:rPr>
          <w:rFonts w:ascii="Arial" w:cs="Arial" w:eastAsia="Arial" w:hAnsi="Arial"/>
          <w:sz w:val="20"/>
          <w:szCs w:val="20"/>
          <w:color w:val="auto"/>
        </w:rPr>
        <w:t>Title: Director</w:t>
      </w:r>
    </w:p>
    <w:p>
      <w:pPr>
        <w:ind w:left="1400"/>
        <w:spacing w:after="0"/>
        <w:rPr>
          <w:sz w:val="20"/>
          <w:szCs w:val="20"/>
          <w:color w:val="auto"/>
        </w:rPr>
      </w:pPr>
      <w:r>
        <w:rPr>
          <w:rFonts w:ascii="Arial" w:cs="Arial" w:eastAsia="Arial" w:hAnsi="Arial"/>
          <w:sz w:val="20"/>
          <w:szCs w:val="20"/>
          <w:color w:val="auto"/>
        </w:rPr>
        <w:t>JPMORGAN CHASE BANK, N.A.,</w:t>
      </w: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Cheung</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Matthew Cheung</w:t>
      </w:r>
    </w:p>
    <w:p>
      <w:pPr>
        <w:ind w:left="14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STIFEL BANK &amp; TRUST,</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P. McDonald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Daniel P. McDonald</w:t>
      </w:r>
    </w:p>
    <w:p>
      <w:pPr>
        <w:ind w:left="1400"/>
        <w:spacing w:after="0"/>
        <w:rPr>
          <w:sz w:val="20"/>
          <w:szCs w:val="20"/>
          <w:color w:val="auto"/>
        </w:rPr>
      </w:pPr>
      <w:r>
        <w:rPr>
          <w:rFonts w:ascii="Arial" w:cs="Arial" w:eastAsia="Arial" w:hAnsi="Arial"/>
          <w:sz w:val="20"/>
          <w:szCs w:val="20"/>
          <w:color w:val="auto"/>
        </w:rPr>
        <w:t>Title: Assistant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TD BANK, N.A.,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Welch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Craig Welch</w:t>
      </w:r>
    </w:p>
    <w:p>
      <w:pPr>
        <w:ind w:left="140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REGIONS BANK,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Jason Douglas</w:t>
      </w:r>
    </w:p>
    <w:p>
      <w:pPr>
        <w:sectPr>
          <w:pgSz w:w="11900" w:h="16854" w:orient="portrait"/>
          <w:cols w:equalWidth="0" w:num="1">
            <w:col w:w="9019"/>
          </w:cols>
          <w:pgMar w:left="1440" w:top="122" w:right="1440" w:bottom="0" w:gutter="0" w:footer="0" w:header="0"/>
        </w:sectPr>
      </w:pPr>
    </w:p>
    <w:bookmarkStart w:id="67" w:name="page68"/>
    <w:bookmarkEnd w:id="67"/>
    <w:p>
      <w:pPr>
        <w:spacing w:after="0" w:line="3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Jason Douglas</w:t>
      </w:r>
    </w:p>
    <w:p>
      <w:pPr>
        <w:spacing w:after="0" w:line="17"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THE HUNTINGTON BANK,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Benefiel</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Ryan Benefiel</w:t>
      </w:r>
    </w:p>
    <w:p>
      <w:pPr>
        <w:ind w:left="1400"/>
        <w:spacing w:after="0"/>
        <w:rPr>
          <w:sz w:val="20"/>
          <w:szCs w:val="20"/>
          <w:color w:val="auto"/>
        </w:rPr>
      </w:pPr>
      <w:r>
        <w:rPr>
          <w:rFonts w:ascii="Arial" w:cs="Arial" w:eastAsia="Arial" w:hAnsi="Arial"/>
          <w:sz w:val="20"/>
          <w:szCs w:val="20"/>
          <w:color w:val="auto"/>
        </w:rPr>
        <w:t>Title: Portfolio Manager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ROYAL BANK OF CANADA,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Jennifer Flann</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Jennifer Flann</w:t>
      </w:r>
    </w:p>
    <w:p>
      <w:pPr>
        <w:ind w:left="14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BARCLAYS BANK PLC,</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Jake Lam</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Jake Lam</w:t>
      </w:r>
    </w:p>
    <w:p>
      <w:pPr>
        <w:ind w:left="1400"/>
        <w:spacing w:after="0"/>
        <w:rPr>
          <w:sz w:val="20"/>
          <w:szCs w:val="20"/>
          <w:color w:val="auto"/>
        </w:rPr>
      </w:pPr>
      <w:r>
        <w:rPr>
          <w:rFonts w:ascii="Arial" w:cs="Arial" w:eastAsia="Arial" w:hAnsi="Arial"/>
          <w:sz w:val="20"/>
          <w:szCs w:val="20"/>
          <w:color w:val="auto"/>
        </w:rPr>
        <w:t>Title: Assistant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CAPITAL ONE BANK, N.A.,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Jon Malden</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Jon Malden</w:t>
      </w:r>
    </w:p>
    <w:p>
      <w:pPr>
        <w:ind w:left="1400"/>
        <w:spacing w:after="0"/>
        <w:rPr>
          <w:sz w:val="20"/>
          <w:szCs w:val="20"/>
          <w:color w:val="auto"/>
        </w:rPr>
      </w:pPr>
      <w:r>
        <w:rPr>
          <w:rFonts w:ascii="Arial" w:cs="Arial" w:eastAsia="Arial" w:hAnsi="Arial"/>
          <w:sz w:val="20"/>
          <w:szCs w:val="20"/>
          <w:color w:val="auto"/>
        </w:rPr>
        <w:t>Title: Sr. Director</w:t>
      </w:r>
    </w:p>
    <w:p>
      <w:pPr>
        <w:spacing w:after="0" w:line="207" w:lineRule="exact"/>
        <w:rPr>
          <w:sz w:val="20"/>
          <w:szCs w:val="20"/>
          <w:color w:val="auto"/>
        </w:rPr>
      </w:pPr>
    </w:p>
    <w:p>
      <w:pPr>
        <w:ind w:left="1400"/>
        <w:spacing w:after="0"/>
        <w:rPr>
          <w:sz w:val="20"/>
          <w:szCs w:val="20"/>
          <w:color w:val="auto"/>
        </w:rPr>
      </w:pPr>
      <w:r>
        <w:rPr>
          <w:rFonts w:ascii="Arial" w:cs="Arial" w:eastAsia="Arial" w:hAnsi="Arial"/>
          <w:sz w:val="20"/>
          <w:szCs w:val="20"/>
          <w:b w:val="1"/>
          <w:bCs w:val="1"/>
          <w:color w:val="auto"/>
        </w:rPr>
        <w:t>Blue Cross of Idaho Health Service, Inc.</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Seix Investment Advisors LLC, as Investment Manager,</w:t>
      </w: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Deirdre A. Dillon, Esq.</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Deirdre A Dillon, Esq.</w:t>
      </w:r>
    </w:p>
    <w:p>
      <w:pPr>
        <w:ind w:left="1400"/>
        <w:spacing w:after="0"/>
        <w:rPr>
          <w:sz w:val="20"/>
          <w:szCs w:val="20"/>
          <w:color w:val="auto"/>
        </w:rPr>
      </w:pPr>
      <w:r>
        <w:rPr>
          <w:rFonts w:ascii="Arial" w:cs="Arial" w:eastAsia="Arial" w:hAnsi="Arial"/>
          <w:sz w:val="20"/>
          <w:szCs w:val="20"/>
          <w:color w:val="auto"/>
        </w:rPr>
        <w:t>Title: Chief Compliance Officer</w:t>
      </w:r>
    </w:p>
    <w:p>
      <w:pPr>
        <w:spacing w:after="0" w:line="207" w:lineRule="exact"/>
        <w:rPr>
          <w:sz w:val="20"/>
          <w:szCs w:val="20"/>
          <w:color w:val="auto"/>
        </w:rPr>
      </w:pPr>
    </w:p>
    <w:p>
      <w:pPr>
        <w:ind w:left="1400" w:right="2699"/>
        <w:spacing w:after="0" w:line="253" w:lineRule="auto"/>
        <w:rPr>
          <w:sz w:val="20"/>
          <w:szCs w:val="20"/>
          <w:color w:val="auto"/>
        </w:rPr>
      </w:pPr>
      <w:r>
        <w:rPr>
          <w:rFonts w:ascii="Arial" w:cs="Arial" w:eastAsia="Arial" w:hAnsi="Arial"/>
          <w:sz w:val="20"/>
          <w:szCs w:val="20"/>
          <w:b w:val="1"/>
          <w:bCs w:val="1"/>
          <w:color w:val="auto"/>
        </w:rPr>
        <w:t xml:space="preserve">City National Rochdale Fixed Income Opportunities Fund </w:t>
      </w:r>
      <w:r>
        <w:rPr>
          <w:rFonts w:ascii="Arial" w:cs="Arial" w:eastAsia="Arial" w:hAnsi="Arial"/>
          <w:sz w:val="20"/>
          <w:szCs w:val="20"/>
          <w:color w:val="auto"/>
        </w:rPr>
        <w:t>By: Seix Investment Advisors LLC, as Subadviser, as a Lender</w:t>
      </w:r>
    </w:p>
    <w:p>
      <w:pPr>
        <w:spacing w:after="0" w:line="197"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Deirdre A. Dillon, Esq.</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Deirdre A. Dillon, Esq.</w:t>
      </w:r>
    </w:p>
    <w:p>
      <w:pPr>
        <w:ind w:left="1400"/>
        <w:spacing w:after="0"/>
        <w:rPr>
          <w:sz w:val="20"/>
          <w:szCs w:val="20"/>
          <w:color w:val="auto"/>
        </w:rPr>
      </w:pPr>
      <w:r>
        <w:rPr>
          <w:rFonts w:ascii="Arial" w:cs="Arial" w:eastAsia="Arial" w:hAnsi="Arial"/>
          <w:sz w:val="20"/>
          <w:szCs w:val="20"/>
          <w:color w:val="auto"/>
        </w:rPr>
        <w:t>Title: Chief Compliance Officer</w:t>
      </w:r>
    </w:p>
    <w:p>
      <w:pPr>
        <w:spacing w:after="0" w:line="207" w:lineRule="exact"/>
        <w:rPr>
          <w:sz w:val="20"/>
          <w:szCs w:val="20"/>
          <w:color w:val="auto"/>
        </w:rPr>
      </w:pPr>
    </w:p>
    <w:p>
      <w:pPr>
        <w:ind w:left="1400"/>
        <w:spacing w:after="0"/>
        <w:rPr>
          <w:sz w:val="20"/>
          <w:szCs w:val="20"/>
          <w:color w:val="auto"/>
        </w:rPr>
      </w:pPr>
      <w:r>
        <w:rPr>
          <w:rFonts w:ascii="Arial" w:cs="Arial" w:eastAsia="Arial" w:hAnsi="Arial"/>
          <w:sz w:val="20"/>
          <w:szCs w:val="20"/>
          <w:b w:val="1"/>
          <w:bCs w:val="1"/>
          <w:color w:val="auto"/>
        </w:rPr>
        <w:t>Seix Multi-Sector Absolute Return Fund L.P.</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By: Seix Multi-Sector Absolute Return Fund GP LLC, in its capacity as sole general partner</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Seix Investment Advisors LLC, its sole member, 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Deirdre A. Dillon, Esq.</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Deirdre A. Dillon, Esq.</w:t>
      </w:r>
    </w:p>
    <w:p>
      <w:pPr>
        <w:ind w:left="1400"/>
        <w:spacing w:after="0"/>
        <w:rPr>
          <w:sz w:val="20"/>
          <w:szCs w:val="20"/>
          <w:color w:val="auto"/>
        </w:rPr>
      </w:pPr>
      <w:r>
        <w:rPr>
          <w:rFonts w:ascii="Arial" w:cs="Arial" w:eastAsia="Arial" w:hAnsi="Arial"/>
          <w:sz w:val="20"/>
          <w:szCs w:val="20"/>
          <w:color w:val="auto"/>
        </w:rPr>
        <w:t>Title: Chief Compliance Officer</w:t>
      </w:r>
    </w:p>
    <w:p>
      <w:pPr>
        <w:spacing w:after="0" w:line="207" w:lineRule="exact"/>
        <w:rPr>
          <w:sz w:val="20"/>
          <w:szCs w:val="20"/>
          <w:color w:val="auto"/>
        </w:rPr>
      </w:pPr>
    </w:p>
    <w:p>
      <w:pPr>
        <w:ind w:left="1400"/>
        <w:spacing w:after="0"/>
        <w:rPr>
          <w:sz w:val="20"/>
          <w:szCs w:val="20"/>
          <w:color w:val="auto"/>
        </w:rPr>
      </w:pPr>
      <w:r>
        <w:rPr>
          <w:rFonts w:ascii="Arial" w:cs="Arial" w:eastAsia="Arial" w:hAnsi="Arial"/>
          <w:sz w:val="20"/>
          <w:szCs w:val="20"/>
          <w:b w:val="1"/>
          <w:bCs w:val="1"/>
          <w:color w:val="auto"/>
        </w:rPr>
        <w:t>Virtus Seix Floating Rate High Income Fund</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Seix Investment Advisors LLC, as Subadviser,</w:t>
      </w: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Deirdre A. Dillon, Esq.</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Deirdre A. Dillon, Esq.</w:t>
      </w:r>
    </w:p>
    <w:p>
      <w:pPr>
        <w:ind w:left="1400"/>
        <w:spacing w:after="0"/>
        <w:rPr>
          <w:sz w:val="20"/>
          <w:szCs w:val="20"/>
          <w:color w:val="auto"/>
        </w:rPr>
      </w:pPr>
      <w:r>
        <w:rPr>
          <w:rFonts w:ascii="Arial" w:cs="Arial" w:eastAsia="Arial" w:hAnsi="Arial"/>
          <w:sz w:val="20"/>
          <w:szCs w:val="20"/>
          <w:color w:val="auto"/>
        </w:rPr>
        <w:t>Title: Chief Compliance Officer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AZB FUNDING 7,</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Shuji Tsubota</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Shuji Tsubota</w:t>
      </w:r>
    </w:p>
    <w:p>
      <w:pPr>
        <w:ind w:left="140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PNC BANK, NATIONAL ASSOCIATION,</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ectPr>
          <w:pgSz w:w="11900" w:h="16870" w:orient="portrait"/>
          <w:cols w:equalWidth="0" w:num="1">
            <w:col w:w="9019"/>
          </w:cols>
          <w:pgMar w:left="1440" w:top="122" w:right="1440" w:bottom="0" w:gutter="0" w:footer="0" w:header="0"/>
        </w:sectPr>
      </w:pPr>
    </w:p>
    <w:bookmarkStart w:id="68" w:name="page69"/>
    <w:bookmarkEnd w:id="68"/>
    <w:p>
      <w:pPr>
        <w:spacing w:after="0" w:line="3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Andrew Fraser</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Andrew Fraser</w:t>
      </w:r>
    </w:p>
    <w:p>
      <w:pPr>
        <w:ind w:left="1400"/>
        <w:spacing w:after="0"/>
        <w:rPr>
          <w:sz w:val="20"/>
          <w:szCs w:val="20"/>
          <w:color w:val="auto"/>
        </w:rPr>
      </w:pPr>
      <w:r>
        <w:rPr>
          <w:rFonts w:ascii="Arial" w:cs="Arial" w:eastAsia="Arial" w:hAnsi="Arial"/>
          <w:sz w:val="20"/>
          <w:szCs w:val="20"/>
          <w:color w:val="auto"/>
        </w:rPr>
        <w:t>Title: Vice President</w:t>
      </w:r>
    </w:p>
    <w:p>
      <w:pPr>
        <w:ind w:left="1400"/>
        <w:spacing w:after="0"/>
        <w:rPr>
          <w:sz w:val="20"/>
          <w:szCs w:val="20"/>
          <w:color w:val="auto"/>
        </w:rPr>
      </w:pPr>
      <w:r>
        <w:rPr>
          <w:rFonts w:ascii="Arial" w:cs="Arial" w:eastAsia="Arial" w:hAnsi="Arial"/>
          <w:sz w:val="20"/>
          <w:szCs w:val="20"/>
          <w:color w:val="auto"/>
        </w:rPr>
        <w:t>SYNOVUS BANK,</w:t>
      </w: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R. McKee</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Matthew R. McKee</w:t>
      </w:r>
    </w:p>
    <w:p>
      <w:pPr>
        <w:ind w:left="1400"/>
        <w:spacing w:after="0"/>
        <w:rPr>
          <w:sz w:val="20"/>
          <w:szCs w:val="20"/>
          <w:color w:val="auto"/>
        </w:rPr>
      </w:pPr>
      <w:r>
        <w:rPr>
          <w:rFonts w:ascii="Arial" w:cs="Arial" w:eastAsia="Arial" w:hAnsi="Arial"/>
          <w:sz w:val="20"/>
          <w:szCs w:val="20"/>
          <w:color w:val="auto"/>
        </w:rPr>
        <w:t>Title: Corporate Banker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INDUSTRIAL AND COMMERICAL BANK OF CHINA,</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NEW YORK BRANCH,</w:t>
      </w: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Yuanyuan Peng</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Yuanyuan Peng</w:t>
      </w:r>
    </w:p>
    <w:p>
      <w:pPr>
        <w:ind w:left="14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INDUSTRIAL AND COMMERCIAL BANK OF CHINA,</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NEW YORK BRANCH</w:t>
      </w: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Dayi Liu</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Dayi Liu</w:t>
      </w:r>
    </w:p>
    <w:p>
      <w:pPr>
        <w:ind w:left="1400"/>
        <w:spacing w:after="0"/>
        <w:rPr>
          <w:sz w:val="20"/>
          <w:szCs w:val="20"/>
          <w:color w:val="auto"/>
        </w:rPr>
      </w:pPr>
      <w:r>
        <w:rPr>
          <w:rFonts w:ascii="Arial" w:cs="Arial" w:eastAsia="Arial" w:hAnsi="Arial"/>
          <w:sz w:val="20"/>
          <w:szCs w:val="20"/>
          <w:color w:val="auto"/>
        </w:rPr>
        <w:t>Title: Executive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MUFG BANK, LTD. (f.k.a. The Bank of Tokyo-Mitsubishi UFJ, Ltd.)</w:t>
      </w:r>
    </w:p>
    <w:p>
      <w:pPr>
        <w:spacing w:after="0" w:line="39"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Maria Iarriccio</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Maria Iarriccio</w:t>
      </w:r>
    </w:p>
    <w:p>
      <w:pPr>
        <w:ind w:left="140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MIZUHO BANK LTD.,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Raymond Ventura</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Raymond Ventura</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CTBC BANK CO., LTD., NEW YORK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Ralph Wu</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Ralph Wu</w:t>
      </w:r>
    </w:p>
    <w:p>
      <w:pPr>
        <w:ind w:left="1400"/>
        <w:spacing w:after="0"/>
        <w:rPr>
          <w:sz w:val="20"/>
          <w:szCs w:val="20"/>
          <w:color w:val="auto"/>
        </w:rPr>
      </w:pPr>
      <w:r>
        <w:rPr>
          <w:rFonts w:ascii="Arial" w:cs="Arial" w:eastAsia="Arial" w:hAnsi="Arial"/>
          <w:sz w:val="20"/>
          <w:szCs w:val="20"/>
          <w:color w:val="auto"/>
        </w:rPr>
        <w:t>Title: SVP &amp; Branch General Manager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SANTANDER BANK, N.A.,</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Shamir Ghosh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Shamir Ghosh</w:t>
      </w:r>
    </w:p>
    <w:p>
      <w:pPr>
        <w:ind w:left="14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Lex Mayers</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Lex Mayers</w:t>
      </w:r>
    </w:p>
    <w:p>
      <w:pPr>
        <w:ind w:left="140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Telos CLO 2013-3, Ltd.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Managed by Telos Asset Management LLC</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 Toyoshima</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Ro Toyoshima</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28A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ectPr>
          <w:pgSz w:w="11900" w:h="16870" w:orient="portrait"/>
          <w:cols w:equalWidth="0" w:num="1">
            <w:col w:w="9019"/>
          </w:cols>
          <w:pgMar w:left="1440" w:top="352" w:right="1440" w:bottom="0" w:gutter="0" w:footer="0" w:header="0"/>
        </w:sectPr>
      </w:pPr>
    </w:p>
    <w:bookmarkStart w:id="69" w:name="page70"/>
    <w:bookmarkEnd w:id="69"/>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MJX Venture Management II LLC</w:t>
      </w:r>
    </w:p>
    <w:p>
      <w:pPr>
        <w:spacing w:after="0" w:line="23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XIII CLO, Limited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ind w:left="1400"/>
        <w:spacing w:after="0"/>
        <w:rPr>
          <w:sz w:val="20"/>
          <w:szCs w:val="20"/>
          <w:color w:val="auto"/>
        </w:rPr>
      </w:pPr>
      <w:r>
        <w:rPr>
          <w:rFonts w:ascii="Arial" w:cs="Arial" w:eastAsia="Arial" w:hAnsi="Arial"/>
          <w:sz w:val="20"/>
          <w:szCs w:val="20"/>
          <w:color w:val="auto"/>
        </w:rPr>
        <w:t>By: its Investment Advisor</w:t>
      </w:r>
    </w:p>
    <w:p>
      <w:pPr>
        <w:ind w:left="1400"/>
        <w:spacing w:after="0"/>
        <w:rPr>
          <w:sz w:val="20"/>
          <w:szCs w:val="20"/>
          <w:color w:val="auto"/>
        </w:rPr>
      </w:pPr>
      <w:r>
        <w:rPr>
          <w:rFonts w:ascii="Arial" w:cs="Arial" w:eastAsia="Arial" w:hAnsi="Arial"/>
          <w:sz w:val="19"/>
          <w:szCs w:val="19"/>
          <w:color w:val="auto"/>
        </w:rPr>
        <w:t>MJX Venture Management LLC</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XIV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MJX Venture Management LLC</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XV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MJX Asset Management LLC</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XVIII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MJX Venture Management II LLC</w:t>
      </w:r>
    </w:p>
    <w:p>
      <w:pPr>
        <w:spacing w:after="0" w:line="23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XX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MJX Venture Management LLC</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XXI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MJX Venture Management LLC</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XXIII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MJX Asset Management LLC</w:t>
      </w:r>
    </w:p>
    <w:p>
      <w:pPr>
        <w:sectPr>
          <w:pgSz w:w="11900" w:h="16838" w:orient="portrait"/>
          <w:cols w:equalWidth="0" w:num="1">
            <w:col w:w="9019"/>
          </w:cols>
          <w:pgMar w:left="1440" w:top="352" w:right="1440" w:bottom="0" w:gutter="0" w:footer="0" w:header="0"/>
        </w:sectPr>
      </w:pPr>
    </w:p>
    <w:bookmarkStart w:id="70" w:name="page71"/>
    <w:bookmarkEnd w:id="70"/>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XXIV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MJX Venture Management LLC</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XXX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MJX Venture Management II LLC</w:t>
      </w:r>
    </w:p>
    <w:p>
      <w:pPr>
        <w:spacing w:after="0" w:line="23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XXIV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MJX Asset Management LLC</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VII CDO,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MJX Asset Management, LLC</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32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MJX Asset Management LLC</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XVII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MJX Asset Management, LLC</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XXII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MJX Venture Management II LLC</w:t>
      </w:r>
    </w:p>
    <w:p>
      <w:pPr>
        <w:sectPr>
          <w:pgSz w:w="11900" w:h="16838" w:orient="portrait"/>
          <w:cols w:equalWidth="0" w:num="1">
            <w:col w:w="9019"/>
          </w:cols>
          <w:pgMar w:left="1440" w:top="122" w:right="1440" w:bottom="0" w:gutter="0" w:footer="0" w:header="0"/>
        </w:sectPr>
      </w:pPr>
    </w:p>
    <w:bookmarkStart w:id="71" w:name="page72"/>
    <w:bookmarkEnd w:id="71"/>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Venture XXIX CLO, Limited</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By: its investment advisor,</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MJX Venture Management II LLC</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Atha Baugh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Atha Baugh</w:t>
      </w:r>
    </w:p>
    <w:p>
      <w:pPr>
        <w:ind w:left="14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BANCO DE SABADELL, S.A., MIAMI BRANCH,</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Ignacio Alcaraz</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Ignacio Alcaraz</w:t>
      </w:r>
    </w:p>
    <w:p>
      <w:pPr>
        <w:ind w:left="1400"/>
        <w:spacing w:after="0"/>
        <w:rPr>
          <w:sz w:val="20"/>
          <w:szCs w:val="20"/>
          <w:color w:val="auto"/>
        </w:rPr>
      </w:pPr>
      <w:r>
        <w:rPr>
          <w:rFonts w:ascii="Arial" w:cs="Arial" w:eastAsia="Arial" w:hAnsi="Arial"/>
          <w:sz w:val="20"/>
          <w:szCs w:val="20"/>
          <w:color w:val="auto"/>
        </w:rPr>
        <w:t>Title: Head of Structure Finance Americas</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FIFTH THIRD BANK,</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 Kometor</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Dan Kometor</w:t>
      </w:r>
    </w:p>
    <w:p>
      <w:pPr>
        <w:ind w:left="1400"/>
        <w:spacing w:after="0"/>
        <w:rPr>
          <w:sz w:val="20"/>
          <w:szCs w:val="20"/>
          <w:color w:val="auto"/>
        </w:rPr>
      </w:pPr>
      <w:r>
        <w:rPr>
          <w:rFonts w:ascii="Arial" w:cs="Arial" w:eastAsia="Arial" w:hAnsi="Arial"/>
          <w:sz w:val="20"/>
          <w:szCs w:val="20"/>
          <w:color w:val="auto"/>
        </w:rPr>
        <w:t>Title: Senior Relationships Manager</w:t>
      </w:r>
    </w:p>
    <w:p>
      <w:pPr>
        <w:spacing w:after="0" w:line="213" w:lineRule="exact"/>
        <w:rPr>
          <w:sz w:val="20"/>
          <w:szCs w:val="20"/>
          <w:color w:val="auto"/>
        </w:rPr>
      </w:pPr>
    </w:p>
    <w:p>
      <w:pPr>
        <w:ind w:left="1400" w:right="2859"/>
        <w:spacing w:after="0" w:line="260" w:lineRule="auto"/>
        <w:rPr>
          <w:sz w:val="20"/>
          <w:szCs w:val="20"/>
          <w:color w:val="auto"/>
        </w:rPr>
      </w:pPr>
      <w:r>
        <w:rPr>
          <w:rFonts w:ascii="Arial" w:cs="Arial" w:eastAsia="Arial" w:hAnsi="Arial"/>
          <w:sz w:val="20"/>
          <w:szCs w:val="20"/>
          <w:color w:val="auto"/>
        </w:rPr>
        <w:t>FIFTH TENNESSEE BANK NATIONAL ASSOCIATION, as a Lender</w:t>
      </w:r>
    </w:p>
    <w:p>
      <w:pPr>
        <w:spacing w:after="0" w:line="19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Jay W. Dale</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Jay W. Dale</w:t>
      </w:r>
    </w:p>
    <w:p>
      <w:pPr>
        <w:ind w:left="140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SUMITOMO MITSUI BANKING CORPORATION,</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D. Weinstein</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James D. Weinstein</w:t>
      </w:r>
    </w:p>
    <w:p>
      <w:pPr>
        <w:ind w:left="140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22"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 FIFTH AMENDED AND RESTATED RECEIVABLES PURCHASE AGREEMENT</w:t>
      </w:r>
    </w:p>
    <w:p>
      <w:pPr>
        <w:spacing w:after="0" w:line="200" w:lineRule="exact"/>
        <w:rPr>
          <w:sz w:val="20"/>
          <w:szCs w:val="20"/>
          <w:color w:val="auto"/>
        </w:rPr>
      </w:pPr>
    </w:p>
    <w:p>
      <w:pPr>
        <w:spacing w:after="0" w:line="28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FOURTH AMENDMENT TO FIFTH AMENDED AND RESTATED RECEIVABLES PURCHASE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August 30, 2018, is entered into by and among the following parties:</w:t>
      </w:r>
    </w:p>
    <w:p>
      <w:pPr>
        <w:spacing w:after="0" w:line="175"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FLEETCOR FUNDING LLC, as Seller (the “</w:t>
      </w:r>
      <w:r>
        <w:rPr>
          <w:rFonts w:ascii="Arial" w:cs="Arial" w:eastAsia="Arial" w:hAnsi="Arial"/>
          <w:sz w:val="22"/>
          <w:szCs w:val="22"/>
          <w:u w:val="single" w:color="auto"/>
          <w:color w:val="auto"/>
        </w:rPr>
        <w:t>Seller</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FLEETCOR TECHNOLOGIES OPERATING COMPANY, LLC, as Servicer (the “</w:t>
      </w:r>
      <w:r>
        <w:rPr>
          <w:rFonts w:ascii="Arial" w:cs="Arial" w:eastAsia="Arial" w:hAnsi="Arial"/>
          <w:sz w:val="22"/>
          <w:szCs w:val="22"/>
          <w:u w:val="single" w:color="auto"/>
          <w:color w:val="auto"/>
        </w:rPr>
        <w:t>Servicer</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PNC BANK, NATIONAL ASSOCIATION (“</w:t>
      </w:r>
      <w:r>
        <w:rPr>
          <w:rFonts w:ascii="Arial" w:cs="Arial" w:eastAsia="Arial" w:hAnsi="Arial"/>
          <w:sz w:val="22"/>
          <w:szCs w:val="22"/>
          <w:u w:val="single" w:color="auto"/>
          <w:color w:val="auto"/>
        </w:rPr>
        <w:t>PNC</w:t>
      </w:r>
      <w:r>
        <w:rPr>
          <w:rFonts w:ascii="Arial" w:cs="Arial" w:eastAsia="Arial" w:hAnsi="Arial"/>
          <w:sz w:val="22"/>
          <w:szCs w:val="22"/>
          <w:color w:val="auto"/>
        </w:rPr>
        <w:t>”), as a Committed Purchaser, as the sole Swingline Purchaser and as the Purchaser Agent for its Purchaser Group;</w:t>
      </w:r>
    </w:p>
    <w:p>
      <w:pPr>
        <w:spacing w:after="0" w:line="66"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CREDIT AGRICOLE CORPORATE AND INVESTMENT BANK (“</w:t>
      </w:r>
      <w:r>
        <w:rPr>
          <w:rFonts w:ascii="Arial" w:cs="Arial" w:eastAsia="Arial" w:hAnsi="Arial"/>
          <w:sz w:val="22"/>
          <w:szCs w:val="22"/>
          <w:u w:val="single" w:color="auto"/>
          <w:color w:val="auto"/>
        </w:rPr>
        <w:t>CACIB</w:t>
      </w:r>
      <w:r>
        <w:rPr>
          <w:rFonts w:ascii="Arial" w:cs="Arial" w:eastAsia="Arial" w:hAnsi="Arial"/>
          <w:sz w:val="22"/>
          <w:szCs w:val="22"/>
          <w:color w:val="auto"/>
        </w:rPr>
        <w:t>”), as a Committed Purchaser and as the Purchaser Agent for its and Atlantic’s Purchaser Group;</w:t>
      </w:r>
    </w:p>
    <w:p>
      <w:pPr>
        <w:spacing w:after="0" w:line="66" w:lineRule="exact"/>
        <w:rPr>
          <w:rFonts w:ascii="Arial" w:cs="Arial" w:eastAsia="Arial" w:hAnsi="Arial"/>
          <w:sz w:val="22"/>
          <w:szCs w:val="22"/>
          <w:color w:val="auto"/>
        </w:rPr>
      </w:pPr>
    </w:p>
    <w:p>
      <w:pPr>
        <w:ind w:left="1300" w:hanging="644"/>
        <w:spacing w:after="0"/>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ATLANTIC ASSET SECURITIZATION LLC (“</w:t>
      </w:r>
      <w:r>
        <w:rPr>
          <w:rFonts w:ascii="Arial" w:cs="Arial" w:eastAsia="Arial" w:hAnsi="Arial"/>
          <w:sz w:val="19"/>
          <w:szCs w:val="19"/>
          <w:u w:val="single" w:color="auto"/>
          <w:color w:val="auto"/>
        </w:rPr>
        <w:t>Atlantic</w:t>
      </w:r>
      <w:r>
        <w:rPr>
          <w:rFonts w:ascii="Arial" w:cs="Arial" w:eastAsia="Arial" w:hAnsi="Arial"/>
          <w:sz w:val="19"/>
          <w:szCs w:val="19"/>
          <w:color w:val="auto"/>
        </w:rPr>
        <w:t>”), as a Conduit Purchaser for CACIB’s Purchaser Group;</w:t>
      </w:r>
    </w:p>
    <w:p>
      <w:pPr>
        <w:spacing w:after="0" w:line="146"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WELLS FARGO BANK, NATIONAL ASSOCIATION (“</w:t>
      </w:r>
      <w:r>
        <w:rPr>
          <w:rFonts w:ascii="Arial" w:cs="Arial" w:eastAsia="Arial" w:hAnsi="Arial"/>
          <w:sz w:val="22"/>
          <w:szCs w:val="22"/>
          <w:u w:val="single" w:color="auto"/>
          <w:color w:val="auto"/>
        </w:rPr>
        <w:t>Wells</w:t>
      </w:r>
      <w:r>
        <w:rPr>
          <w:rFonts w:ascii="Arial" w:cs="Arial" w:eastAsia="Arial" w:hAnsi="Arial"/>
          <w:sz w:val="22"/>
          <w:szCs w:val="22"/>
          <w:color w:val="auto"/>
        </w:rPr>
        <w:t>”), as a Committed Purchaser and as the Purchaser Agent for its Purchaser Group;</w:t>
      </w:r>
    </w:p>
    <w:p>
      <w:pPr>
        <w:spacing w:after="0" w:line="66" w:lineRule="exact"/>
        <w:rPr>
          <w:rFonts w:ascii="Arial" w:cs="Arial" w:eastAsia="Arial" w:hAnsi="Arial"/>
          <w:sz w:val="22"/>
          <w:szCs w:val="22"/>
          <w:color w:val="auto"/>
        </w:rPr>
      </w:pPr>
    </w:p>
    <w:p>
      <w:pPr>
        <w:ind w:left="1300" w:hanging="644"/>
        <w:spacing w:after="0"/>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REGIONS BANK (“</w:t>
      </w:r>
      <w:r>
        <w:rPr>
          <w:rFonts w:ascii="Arial" w:cs="Arial" w:eastAsia="Arial" w:hAnsi="Arial"/>
          <w:sz w:val="19"/>
          <w:szCs w:val="19"/>
          <w:u w:val="single" w:color="auto"/>
          <w:color w:val="auto"/>
        </w:rPr>
        <w:t>Regions</w:t>
      </w:r>
      <w:r>
        <w:rPr>
          <w:rFonts w:ascii="Arial" w:cs="Arial" w:eastAsia="Arial" w:hAnsi="Arial"/>
          <w:sz w:val="19"/>
          <w:szCs w:val="19"/>
          <w:color w:val="auto"/>
        </w:rPr>
        <w:t>”), as a Committed Purchaser and as the Purchaser Agent for its Purchaser Group;</w:t>
      </w:r>
    </w:p>
    <w:p>
      <w:pPr>
        <w:spacing w:after="0" w:line="146"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MUFG BANK, LTD. (“</w:t>
      </w:r>
      <w:r>
        <w:rPr>
          <w:rFonts w:ascii="Arial" w:cs="Arial" w:eastAsia="Arial" w:hAnsi="Arial"/>
          <w:sz w:val="22"/>
          <w:szCs w:val="22"/>
          <w:u w:val="single" w:color="auto"/>
          <w:color w:val="auto"/>
        </w:rPr>
        <w:t>MUFG</w:t>
      </w:r>
      <w:r>
        <w:rPr>
          <w:rFonts w:ascii="Arial" w:cs="Arial" w:eastAsia="Arial" w:hAnsi="Arial"/>
          <w:sz w:val="22"/>
          <w:szCs w:val="22"/>
          <w:color w:val="auto"/>
        </w:rPr>
        <w:t>”), as a Committed Purchaser and as the Purchaser Agent for its and Victory’s Purchaser Group;</w:t>
      </w:r>
    </w:p>
    <w:p>
      <w:pPr>
        <w:spacing w:after="0" w:line="66" w:lineRule="exact"/>
        <w:rPr>
          <w:rFonts w:ascii="Arial" w:cs="Arial" w:eastAsia="Arial" w:hAnsi="Arial"/>
          <w:sz w:val="22"/>
          <w:szCs w:val="22"/>
          <w:color w:val="auto"/>
        </w:rPr>
      </w:pPr>
    </w:p>
    <w:p>
      <w:pPr>
        <w:ind w:left="1300" w:hanging="644"/>
        <w:spacing w:after="0"/>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VICTORY RECEIVABLES CORPORATION (“</w:t>
      </w:r>
      <w:r>
        <w:rPr>
          <w:rFonts w:ascii="Arial" w:cs="Arial" w:eastAsia="Arial" w:hAnsi="Arial"/>
          <w:sz w:val="19"/>
          <w:szCs w:val="19"/>
          <w:u w:val="single" w:color="auto"/>
          <w:color w:val="auto"/>
        </w:rPr>
        <w:t>Victory</w:t>
      </w:r>
      <w:r>
        <w:rPr>
          <w:rFonts w:ascii="Arial" w:cs="Arial" w:eastAsia="Arial" w:hAnsi="Arial"/>
          <w:sz w:val="19"/>
          <w:szCs w:val="19"/>
          <w:color w:val="auto"/>
        </w:rPr>
        <w:t>”), as a Conduit Purchaser for MUFG’s Purchaser Group;</w:t>
      </w:r>
    </w:p>
    <w:p>
      <w:pPr>
        <w:spacing w:after="0" w:line="146" w:lineRule="exact"/>
        <w:rPr>
          <w:rFonts w:ascii="Arial" w:cs="Arial" w:eastAsia="Arial" w:hAnsi="Arial"/>
          <w:sz w:val="19"/>
          <w:szCs w:val="19"/>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SUMITOMO MITSUI BANKING CORPORATION (“</w:t>
      </w:r>
      <w:r>
        <w:rPr>
          <w:rFonts w:ascii="Arial" w:cs="Arial" w:eastAsia="Arial" w:hAnsi="Arial"/>
          <w:sz w:val="22"/>
          <w:szCs w:val="22"/>
          <w:u w:val="single" w:color="auto"/>
          <w:color w:val="auto"/>
        </w:rPr>
        <w:t>SMBC</w:t>
      </w:r>
      <w:r>
        <w:rPr>
          <w:rFonts w:ascii="Arial" w:cs="Arial" w:eastAsia="Arial" w:hAnsi="Arial"/>
          <w:sz w:val="22"/>
          <w:szCs w:val="22"/>
          <w:color w:val="auto"/>
        </w:rPr>
        <w:t>”), as a Committed Purchaser;</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MANHATTAN ASSET FUNDING LLC (“</w:t>
      </w:r>
      <w:r>
        <w:rPr>
          <w:rFonts w:ascii="Arial" w:cs="Arial" w:eastAsia="Arial" w:hAnsi="Arial"/>
          <w:sz w:val="21"/>
          <w:szCs w:val="21"/>
          <w:u w:val="single" w:color="auto"/>
          <w:color w:val="auto"/>
        </w:rPr>
        <w:t>Manhattan</w:t>
      </w:r>
      <w:r>
        <w:rPr>
          <w:rFonts w:ascii="Arial" w:cs="Arial" w:eastAsia="Arial" w:hAnsi="Arial"/>
          <w:sz w:val="21"/>
          <w:szCs w:val="21"/>
          <w:color w:val="auto"/>
        </w:rPr>
        <w:t>”), as a Conduit Purchaser for SMBC’s Purchaser Group;</w:t>
      </w:r>
    </w:p>
    <w:p>
      <w:pPr>
        <w:spacing w:after="0" w:line="123"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SMBC NIKKO SECURITIES AMERICA, INC. (“</w:t>
      </w:r>
      <w:r>
        <w:rPr>
          <w:rFonts w:ascii="Arial" w:cs="Arial" w:eastAsia="Arial" w:hAnsi="Arial"/>
          <w:sz w:val="22"/>
          <w:szCs w:val="22"/>
          <w:u w:val="single" w:color="auto"/>
          <w:color w:val="auto"/>
        </w:rPr>
        <w:t>SMBC Nikko</w:t>
      </w:r>
      <w:r>
        <w:rPr>
          <w:rFonts w:ascii="Arial" w:cs="Arial" w:eastAsia="Arial" w:hAnsi="Arial"/>
          <w:sz w:val="22"/>
          <w:szCs w:val="22"/>
          <w:color w:val="auto"/>
        </w:rPr>
        <w:t>”), as the Purchaser Agent for SMBC’s and Manhattan’s Purchaser Group;</w:t>
      </w:r>
    </w:p>
    <w:p>
      <w:pPr>
        <w:spacing w:after="0" w:line="66" w:lineRule="exact"/>
        <w:rPr>
          <w:rFonts w:ascii="Arial" w:cs="Arial" w:eastAsia="Arial" w:hAnsi="Arial"/>
          <w:sz w:val="22"/>
          <w:szCs w:val="22"/>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MIZUHO BANK, LTD. (“</w:t>
      </w:r>
      <w:r>
        <w:rPr>
          <w:rFonts w:ascii="Arial" w:cs="Arial" w:eastAsia="Arial" w:hAnsi="Arial"/>
          <w:sz w:val="22"/>
          <w:szCs w:val="22"/>
          <w:u w:val="single" w:color="auto"/>
          <w:color w:val="auto"/>
        </w:rPr>
        <w:t>Mizuho</w:t>
      </w:r>
      <w:r>
        <w:rPr>
          <w:rFonts w:ascii="Arial" w:cs="Arial" w:eastAsia="Arial" w:hAnsi="Arial"/>
          <w:sz w:val="22"/>
          <w:szCs w:val="22"/>
          <w:color w:val="auto"/>
        </w:rPr>
        <w:t>”), as a Committed Purchaser; and</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PNC BANK, NATIONAL ASSOCIATION, as Administrator</w:t>
      </w:r>
    </w:p>
    <w:p>
      <w:pPr>
        <w:spacing w:after="0" w:line="200" w:lineRule="exact"/>
        <w:rPr>
          <w:sz w:val="20"/>
          <w:szCs w:val="20"/>
          <w:color w:val="auto"/>
        </w:rPr>
      </w:pPr>
    </w:p>
    <w:p>
      <w:pPr>
        <w:spacing w:after="0" w:line="2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such capacity, the “</w:t>
      </w:r>
      <w:r>
        <w:rPr>
          <w:rFonts w:ascii="Arial" w:cs="Arial" w:eastAsia="Arial" w:hAnsi="Arial"/>
          <w:sz w:val="22"/>
          <w:szCs w:val="22"/>
          <w:u w:val="single" w:color="auto"/>
          <w:color w:val="auto"/>
        </w:rPr>
        <w:t>Administrator</w:t>
      </w:r>
      <w:r>
        <w:rPr>
          <w:rFonts w:ascii="Arial" w:cs="Arial" w:eastAsia="Arial" w:hAnsi="Arial"/>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220" w:lineRule="exact"/>
        <w:rPr>
          <w:sz w:val="20"/>
          <w:szCs w:val="20"/>
          <w:color w:val="auto"/>
        </w:rPr>
      </w:pPr>
    </w:p>
    <w:p>
      <w:pPr>
        <w:jc w:val="both"/>
        <w:ind w:firstLine="656"/>
        <w:spacing w:after="0" w:line="250" w:lineRule="auto"/>
        <w:tabs>
          <w:tab w:leader="none" w:pos="1094"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parties hereto are parties to that certain Fifth Amended and Restated Receivables Purchase Agreement dated as of November 14, 2014 (as amended, restated, supplemented or otherwise modified through the date hereof, the “</w:t>
      </w:r>
      <w:r>
        <w:rPr>
          <w:rFonts w:ascii="Arial" w:cs="Arial" w:eastAsia="Arial" w:hAnsi="Arial"/>
          <w:sz w:val="22"/>
          <w:szCs w:val="22"/>
          <w:u w:val="single" w:color="auto"/>
          <w:color w:val="auto"/>
        </w:rPr>
        <w:t>Receivables 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and not otherwise defined herein have the respective meaning assigned to such terms in the Receivables Purchase Agreement.</w:t>
      </w:r>
    </w:p>
    <w:p>
      <w:pPr>
        <w:spacing w:after="0" w:line="188" w:lineRule="exact"/>
        <w:rPr>
          <w:rFonts w:ascii="Arial" w:cs="Arial" w:eastAsia="Arial" w:hAnsi="Arial"/>
          <w:sz w:val="22"/>
          <w:szCs w:val="22"/>
          <w:color w:val="auto"/>
        </w:rPr>
      </w:pPr>
    </w:p>
    <w:p>
      <w:pPr>
        <w:ind w:firstLine="656"/>
        <w:spacing w:after="0" w:line="263" w:lineRule="auto"/>
        <w:tabs>
          <w:tab w:leader="none" w:pos="1128" w:val="left"/>
        </w:tabs>
        <w:numPr>
          <w:ilvl w:val="0"/>
          <w:numId w:val="48"/>
        </w:numPr>
        <w:rPr>
          <w:rFonts w:ascii="Arial" w:cs="Arial" w:eastAsia="Arial" w:hAnsi="Arial"/>
          <w:sz w:val="22"/>
          <w:szCs w:val="22"/>
          <w:color w:val="auto"/>
        </w:rPr>
      </w:pPr>
      <w:r>
        <w:rPr>
          <w:rFonts w:ascii="Arial" w:cs="Arial" w:eastAsia="Arial" w:hAnsi="Arial"/>
          <w:sz w:val="22"/>
          <w:szCs w:val="22"/>
          <w:color w:val="auto"/>
        </w:rPr>
        <w:t>Concurrently herewith, the parties hereto are entering into that certain Structuring Fee Letter in connection herewith (the “</w:t>
      </w:r>
      <w:r>
        <w:rPr>
          <w:rFonts w:ascii="Arial" w:cs="Arial" w:eastAsia="Arial" w:hAnsi="Arial"/>
          <w:sz w:val="22"/>
          <w:szCs w:val="22"/>
          <w:u w:val="single" w:color="auto"/>
          <w:color w:val="auto"/>
        </w:rPr>
        <w:t>Structuring Fee Letter</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100" w:hanging="444"/>
        <w:spacing w:after="0"/>
        <w:tabs>
          <w:tab w:leader="none" w:pos="11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parties hereto desire to amend the Receivables Purchase Agreement on the terms and subject to the conditions set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forth herein.</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hereby agree as follows:</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Rebalancing</w:t>
      </w:r>
      <w:r>
        <w:rPr>
          <w:rFonts w:ascii="Arial" w:cs="Arial" w:eastAsia="Arial" w:hAnsi="Arial"/>
          <w:sz w:val="19"/>
          <w:szCs w:val="19"/>
          <w:color w:val="auto"/>
        </w:rPr>
        <w:t>.</w:t>
      </w:r>
    </w:p>
    <w:p>
      <w:pPr>
        <w:spacing w:after="0" w:line="220" w:lineRule="exact"/>
        <w:rPr>
          <w:sz w:val="20"/>
          <w:szCs w:val="20"/>
          <w:color w:val="auto"/>
        </w:rPr>
      </w:pPr>
    </w:p>
    <w:p>
      <w:pPr>
        <w:jc w:val="both"/>
        <w:ind w:left="660" w:firstLine="645"/>
        <w:spacing w:after="0" w:line="289" w:lineRule="auto"/>
        <w:tabs>
          <w:tab w:leader="none" w:pos="183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Rebalancing of Capital</w:t>
      </w:r>
      <w:r>
        <w:rPr>
          <w:rFonts w:ascii="Arial" w:cs="Arial" w:eastAsia="Arial" w:hAnsi="Arial"/>
          <w:sz w:val="19"/>
          <w:szCs w:val="19"/>
          <w:color w:val="auto"/>
        </w:rPr>
        <w:t xml:space="preserve">. On the date hereof, the Seller will repay a portion of the outstanding Capital in the amounts for MUFG and SMBC as specified in the flow of funds memorandum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Reducing Purchaser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accrued and unpaid Discount with respect to such Capital so repaid shall be payable by the Seller to each Reducing Purchaser, as applicable, on the next occurring Weekly Settlement Date. The Seller hereby requests that each of PNC, Wells, CACIB, Regions and Mizuho (each, an “</w:t>
      </w:r>
      <w:r>
        <w:rPr>
          <w:rFonts w:ascii="Arial" w:cs="Arial" w:eastAsia="Arial" w:hAnsi="Arial"/>
          <w:sz w:val="19"/>
          <w:szCs w:val="19"/>
          <w:u w:val="single" w:color="auto"/>
          <w:color w:val="auto"/>
        </w:rPr>
        <w:t>Increasing Purchaser</w:t>
      </w:r>
      <w:r>
        <w:rPr>
          <w:rFonts w:ascii="Arial" w:cs="Arial" w:eastAsia="Arial" w:hAnsi="Arial"/>
          <w:sz w:val="19"/>
          <w:szCs w:val="19"/>
          <w:color w:val="auto"/>
        </w:rPr>
        <w:t xml:space="preserve">”) fund a Purchase on the date hereof in the applicable amount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Such Purchase shall be funded by the Increasing Purchasers on the date hereof in accordance with the terms of the Receivables Purchase Agreement and upon satisfaction of all conditions precedent thereto specified in the Receivables Purchase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Purchase Notice shall be required therefor. For administrative convenience, the Seller hereby instructs the Increasing Purchasers to</w:t>
      </w:r>
    </w:p>
    <w:p>
      <w:pPr>
        <w:sectPr>
          <w:pgSz w:w="11900" w:h="16838" w:orient="portrait"/>
          <w:cols w:equalWidth="0" w:num="1">
            <w:col w:w="11420"/>
          </w:cols>
          <w:pgMar w:left="240" w:top="126" w:right="239" w:bottom="0" w:gutter="0" w:footer="0" w:header="0"/>
        </w:sectPr>
      </w:pPr>
    </w:p>
    <w:bookmarkStart w:id="73" w:name="page74"/>
    <w:bookmarkEnd w:id="73"/>
    <w:p>
      <w:pPr>
        <w:spacing w:after="0" w:line="54"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 xml:space="preserve">fund the foregoing Purchase by paying the proceeds thereof directly to the Reducing Purchasers to the accounts and in the amounts specified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to be applied as the foregoing repayment of each Reducing Purchaser’s Capital (as applicable) on the Seller’s behalf. The Seller shall be deemed to have received the proceeds of such Purchase from each Increasing Purchaser for all purposes immediately upon receipt thereof by each Reducing Purchaser, respectively.</w:t>
      </w:r>
    </w:p>
    <w:p>
      <w:pPr>
        <w:spacing w:after="0" w:line="143" w:lineRule="exact"/>
        <w:rPr>
          <w:sz w:val="20"/>
          <w:szCs w:val="20"/>
          <w:color w:val="auto"/>
        </w:rPr>
      </w:pPr>
    </w:p>
    <w:p>
      <w:pPr>
        <w:jc w:val="both"/>
        <w:ind w:left="660" w:firstLine="645"/>
        <w:spacing w:after="0" w:line="312" w:lineRule="auto"/>
        <w:tabs>
          <w:tab w:leader="none" w:pos="192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xml:space="preserve">. The parties hereto hereby consent to the non-ratable repayment of each Reducing Purchaser’s Capital on terms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the foregoing non-ratable Purchase to be funded by the Increasing Purchasers on the terms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in each case, as set forth above on a one-time basis.</w:t>
      </w:r>
    </w:p>
    <w:p>
      <w:pPr>
        <w:spacing w:after="0" w:line="13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Amendments to the Receivables Purchase Agreement</w:t>
      </w:r>
      <w:r>
        <w:rPr>
          <w:rFonts w:ascii="Arial" w:cs="Arial" w:eastAsia="Arial" w:hAnsi="Arial"/>
          <w:sz w:val="22"/>
          <w:szCs w:val="22"/>
          <w:color w:val="auto"/>
        </w:rPr>
        <w:t>. The Receivables Purchase Agreement is hereby amended as follows:</w:t>
      </w:r>
    </w:p>
    <w:p>
      <w:pPr>
        <w:spacing w:after="0" w:line="175" w:lineRule="exact"/>
        <w:rPr>
          <w:sz w:val="20"/>
          <w:szCs w:val="20"/>
          <w:color w:val="auto"/>
        </w:rPr>
      </w:pPr>
    </w:p>
    <w:p>
      <w:pPr>
        <w:ind w:firstLine="656"/>
        <w:spacing w:after="0" w:line="263" w:lineRule="auto"/>
        <w:tabs>
          <w:tab w:leader="none" w:pos="1189"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reference in the Receivables Purchase Agreement (including schedules and exhibits thereto) to “The Bank of Tokyo Mitsubishi UFJ, Ltd.” is hereby replaced with a reference to “MUFG Bank, Ltd.”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following new </w:t>
      </w:r>
      <w:r>
        <w:rPr>
          <w:rFonts w:ascii="Arial" w:cs="Arial" w:eastAsia="Arial" w:hAnsi="Arial"/>
          <w:sz w:val="22"/>
          <w:szCs w:val="22"/>
          <w:u w:val="single" w:color="auto"/>
          <w:color w:val="auto"/>
        </w:rPr>
        <w:t>Section 1.13</w:t>
      </w:r>
      <w:r>
        <w:rPr>
          <w:rFonts w:ascii="Arial" w:cs="Arial" w:eastAsia="Arial" w:hAnsi="Arial"/>
          <w:sz w:val="22"/>
          <w:szCs w:val="22"/>
          <w:color w:val="auto"/>
        </w:rPr>
        <w:t xml:space="preserve"> is added to the Receivables Purchase Agreement:</w:t>
      </w:r>
    </w:p>
    <w:p>
      <w:pPr>
        <w:spacing w:after="0" w:line="22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u w:val="single" w:color="auto"/>
          <w:color w:val="auto"/>
        </w:rPr>
        <w:t>Successor Euro-Rate or LMIR Index</w:t>
      </w:r>
      <w:r>
        <w:rPr>
          <w:rFonts w:ascii="Arial" w:cs="Arial" w:eastAsia="Arial" w:hAnsi="Arial"/>
          <w:sz w:val="19"/>
          <w:szCs w:val="19"/>
          <w:color w:val="auto"/>
        </w:rPr>
        <w:t>.</w:t>
      </w:r>
    </w:p>
    <w:p>
      <w:pPr>
        <w:spacing w:after="0" w:line="220" w:lineRule="exact"/>
        <w:rPr>
          <w:sz w:val="20"/>
          <w:szCs w:val="20"/>
          <w:color w:val="auto"/>
        </w:rPr>
      </w:pPr>
    </w:p>
    <w:p>
      <w:pPr>
        <w:jc w:val="both"/>
        <w:ind w:left="1300" w:firstLine="653"/>
        <w:spacing w:after="0" w:line="291" w:lineRule="auto"/>
        <w:tabs>
          <w:tab w:leader="none" w:pos="2502" w:val="left"/>
        </w:tabs>
        <w:numPr>
          <w:ilvl w:val="2"/>
          <w:numId w:val="52"/>
        </w:numPr>
        <w:rPr>
          <w:rFonts w:ascii="Arial" w:cs="Arial" w:eastAsia="Arial" w:hAnsi="Arial"/>
          <w:sz w:val="19"/>
          <w:szCs w:val="19"/>
          <w:color w:val="auto"/>
        </w:rPr>
      </w:pPr>
      <w:r>
        <w:rPr>
          <w:rFonts w:ascii="Arial" w:cs="Arial" w:eastAsia="Arial" w:hAnsi="Arial"/>
          <w:sz w:val="19"/>
          <w:szCs w:val="19"/>
          <w:color w:val="auto"/>
        </w:rPr>
        <w:t xml:space="preserve">If the Administrator determines (which determination shall be final and conclusive, absent manifest error) that either (i) (A) the circumstances set forth in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have arisen and are unlikely to be temporary, or</w:t>
      </w:r>
    </w:p>
    <w:p>
      <w:pPr>
        <w:spacing w:after="0" w:line="1" w:lineRule="exact"/>
        <w:rPr>
          <w:rFonts w:ascii="Arial" w:cs="Arial" w:eastAsia="Arial" w:hAnsi="Arial"/>
          <w:sz w:val="19"/>
          <w:szCs w:val="19"/>
          <w:color w:val="auto"/>
        </w:rPr>
      </w:pPr>
    </w:p>
    <w:p>
      <w:pPr>
        <w:jc w:val="both"/>
        <w:ind w:left="1300" w:firstLine="5"/>
        <w:spacing w:after="0" w:line="256" w:lineRule="auto"/>
        <w:tabs>
          <w:tab w:leader="none" w:pos="1644" w:val="left"/>
        </w:tabs>
        <w:numPr>
          <w:ilvl w:val="1"/>
          <w:numId w:val="53"/>
        </w:numPr>
        <w:rPr>
          <w:rFonts w:ascii="Arial" w:cs="Arial" w:eastAsia="Arial" w:hAnsi="Arial"/>
          <w:sz w:val="21"/>
          <w:szCs w:val="21"/>
          <w:color w:val="auto"/>
        </w:rPr>
      </w:pPr>
      <w:r>
        <w:rPr>
          <w:rFonts w:ascii="Arial" w:cs="Arial" w:eastAsia="Arial" w:hAnsi="Arial"/>
          <w:sz w:val="21"/>
          <w:szCs w:val="21"/>
          <w:color w:val="auto"/>
        </w:rPr>
        <w:t xml:space="preserve">the circumstances set forth in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have not arisen but the applicable supervisor or administrator (if any) of the Euro-Rate or LMIR or a Governmental Authority having jurisdiction over the Administrator has made a public statement identifying the specific date after which the Euro-Rate or LMIR shall no longer be used for determining interest rates for loans (either such date, a “</w:t>
      </w:r>
      <w:r>
        <w:rPr>
          <w:rFonts w:ascii="Arial" w:cs="Arial" w:eastAsia="Arial" w:hAnsi="Arial"/>
          <w:sz w:val="21"/>
          <w:szCs w:val="21"/>
          <w:u w:val="single" w:color="auto"/>
          <w:color w:val="auto"/>
        </w:rPr>
        <w:t>LIBOR Termination Date</w:t>
      </w:r>
      <w:r>
        <w:rPr>
          <w:rFonts w:ascii="Arial" w:cs="Arial" w:eastAsia="Arial" w:hAnsi="Arial"/>
          <w:sz w:val="21"/>
          <w:szCs w:val="21"/>
          <w:color w:val="auto"/>
        </w:rPr>
        <w:t>”), or (ii) a rate other than the Euro-Rate or LMIR has become a widely recognized benchmark rate for newly originated loans in Dollars in the U.S. market, then the Administrator may (in consultation with the Seller and Purchaser Agents) choose a replacement index for the Euro-Rate or LMIR, as applicable, and make adjustments to applicable margins and related amendments to this Agreement as referred to below such that, to the extent practicable, the Discount based on the replacement index will be substantially equivalent to the Discount based on the Euro-Rate or LMIR, as applicable, in effect prior to its replacement.</w:t>
      </w:r>
    </w:p>
    <w:p>
      <w:pPr>
        <w:spacing w:after="0" w:line="188" w:lineRule="exact"/>
        <w:rPr>
          <w:rFonts w:ascii="Arial" w:cs="Arial" w:eastAsia="Arial" w:hAnsi="Arial"/>
          <w:sz w:val="21"/>
          <w:szCs w:val="21"/>
          <w:color w:val="auto"/>
        </w:rPr>
      </w:pPr>
    </w:p>
    <w:p>
      <w:pPr>
        <w:jc w:val="both"/>
        <w:ind w:left="1300" w:firstLine="653"/>
        <w:spacing w:after="0" w:line="241" w:lineRule="auto"/>
        <w:tabs>
          <w:tab w:leader="none" w:pos="2569" w:val="left"/>
        </w:tabs>
        <w:numPr>
          <w:ilvl w:val="2"/>
          <w:numId w:val="53"/>
        </w:numPr>
        <w:rPr>
          <w:rFonts w:ascii="Arial" w:cs="Arial" w:eastAsia="Arial" w:hAnsi="Arial"/>
          <w:sz w:val="21"/>
          <w:szCs w:val="21"/>
          <w:color w:val="auto"/>
        </w:rPr>
      </w:pPr>
      <w:r>
        <w:rPr>
          <w:rFonts w:ascii="Arial" w:cs="Arial" w:eastAsia="Arial" w:hAnsi="Arial"/>
          <w:sz w:val="21"/>
          <w:szCs w:val="21"/>
          <w:color w:val="auto"/>
        </w:rPr>
        <w:t xml:space="preserve">The Administrator and the Seller shall enter into an amendment to this Agreement to reflect the replacement index, the adjusted margins and such other related amendments as may be appropriate, in the discretion of the Administrator, for the implementation and administration of the replacement index-based rate. Notwithstanding anything to the contrary in this Agreement or the other Transaction Documents (including, without limitation, </w:t>
      </w:r>
      <w:r>
        <w:rPr>
          <w:rFonts w:ascii="Arial" w:cs="Arial" w:eastAsia="Arial" w:hAnsi="Arial"/>
          <w:sz w:val="21"/>
          <w:szCs w:val="21"/>
          <w:u w:val="single" w:color="auto"/>
          <w:color w:val="auto"/>
        </w:rPr>
        <w:t>Section 6.1</w:t>
      </w:r>
      <w:r>
        <w:rPr>
          <w:rFonts w:ascii="Arial" w:cs="Arial" w:eastAsia="Arial" w:hAnsi="Arial"/>
          <w:sz w:val="21"/>
          <w:szCs w:val="21"/>
          <w:color w:val="auto"/>
        </w:rPr>
        <w:t>), such amendment shall become effective without any further action or consent of any other party to this Agreement at 5:00 p.m. New York City time on the tenth (10</w:t>
      </w:r>
      <w:r>
        <w:rPr>
          <w:rFonts w:ascii="Arial" w:cs="Arial" w:eastAsia="Arial" w:hAnsi="Arial"/>
          <w:sz w:val="27"/>
          <w:szCs w:val="27"/>
          <w:color w:val="auto"/>
          <w:vertAlign w:val="superscript"/>
        </w:rPr>
        <w:t>th</w:t>
      </w:r>
      <w:r>
        <w:rPr>
          <w:rFonts w:ascii="Arial" w:cs="Arial" w:eastAsia="Arial" w:hAnsi="Arial"/>
          <w:sz w:val="21"/>
          <w:szCs w:val="21"/>
          <w:color w:val="auto"/>
        </w:rPr>
        <w:t>) Business Day after the date a draft of the amendment is provided to the Group Agents, unless the Administrator receives, on or before such tenth (10</w:t>
      </w:r>
      <w:r>
        <w:rPr>
          <w:rFonts w:ascii="Arial" w:cs="Arial" w:eastAsia="Arial" w:hAnsi="Arial"/>
          <w:sz w:val="27"/>
          <w:szCs w:val="27"/>
          <w:color w:val="auto"/>
          <w:vertAlign w:val="superscript"/>
        </w:rPr>
        <w:t>th</w:t>
      </w:r>
      <w:r>
        <w:rPr>
          <w:rFonts w:ascii="Arial" w:cs="Arial" w:eastAsia="Arial" w:hAnsi="Arial"/>
          <w:sz w:val="21"/>
          <w:szCs w:val="21"/>
          <w:color w:val="auto"/>
        </w:rPr>
        <w:t>) Business Day, a written notice from the Majority Purchaser Agents stating that such Majority Purchaser Agents object to such amendment.</w:t>
      </w:r>
    </w:p>
    <w:p>
      <w:pPr>
        <w:spacing w:after="0" w:line="204" w:lineRule="exact"/>
        <w:rPr>
          <w:rFonts w:ascii="Arial" w:cs="Arial" w:eastAsia="Arial" w:hAnsi="Arial"/>
          <w:sz w:val="21"/>
          <w:szCs w:val="21"/>
          <w:color w:val="auto"/>
        </w:rPr>
      </w:pPr>
    </w:p>
    <w:p>
      <w:pPr>
        <w:jc w:val="both"/>
        <w:ind w:left="1300" w:firstLine="653"/>
        <w:spacing w:after="0" w:line="285" w:lineRule="auto"/>
        <w:tabs>
          <w:tab w:leader="none" w:pos="2518" w:val="left"/>
        </w:tabs>
        <w:numPr>
          <w:ilvl w:val="2"/>
          <w:numId w:val="53"/>
        </w:numPr>
        <w:rPr>
          <w:rFonts w:ascii="Arial" w:cs="Arial" w:eastAsia="Arial" w:hAnsi="Arial"/>
          <w:sz w:val="19"/>
          <w:szCs w:val="19"/>
          <w:color w:val="auto"/>
        </w:rPr>
      </w:pPr>
      <w:r>
        <w:rPr>
          <w:rFonts w:ascii="Arial" w:cs="Arial" w:eastAsia="Arial" w:hAnsi="Arial"/>
          <w:sz w:val="19"/>
          <w:szCs w:val="19"/>
          <w:color w:val="auto"/>
        </w:rPr>
        <w:t>Selection of the replacement index, adjustments to the applicable margins, and amendments to this Agreement (i) will be determined with due consideration to the then-current market practices for determining and implementing a rate of interest for newly originated loans in the United States and loans converted from a rate based on the Euro-Rate or LMIR, as applicable, to a replacement index-based rate, and (ii) may also reflect adjustments to account for (A) the effects of the transition from the Euro-Rate or LMIR, as applicable, to the replacement index and</w:t>
      </w:r>
    </w:p>
    <w:p>
      <w:pPr>
        <w:spacing w:after="0" w:line="3" w:lineRule="exact"/>
        <w:rPr>
          <w:rFonts w:ascii="Arial" w:cs="Arial" w:eastAsia="Arial" w:hAnsi="Arial"/>
          <w:sz w:val="19"/>
          <w:szCs w:val="19"/>
          <w:color w:val="auto"/>
        </w:rPr>
      </w:pPr>
    </w:p>
    <w:p>
      <w:pPr>
        <w:ind w:left="1640" w:hanging="335"/>
        <w:spacing w:after="0"/>
        <w:tabs>
          <w:tab w:leader="none" w:pos="1640" w:val="left"/>
        </w:tabs>
        <w:numPr>
          <w:ilvl w:val="1"/>
          <w:numId w:val="54"/>
        </w:numPr>
        <w:rPr>
          <w:rFonts w:ascii="Arial" w:cs="Arial" w:eastAsia="Arial" w:hAnsi="Arial"/>
          <w:sz w:val="19"/>
          <w:szCs w:val="19"/>
          <w:color w:val="auto"/>
        </w:rPr>
      </w:pPr>
      <w:r>
        <w:rPr>
          <w:rFonts w:ascii="Arial" w:cs="Arial" w:eastAsia="Arial" w:hAnsi="Arial"/>
          <w:sz w:val="19"/>
          <w:szCs w:val="19"/>
          <w:color w:val="auto"/>
        </w:rPr>
        <w:t>yield- or risk-based differences between the Euro-Rate or LMIR, as applicable, and the replacement index</w:t>
      </w:r>
    </w:p>
    <w:p>
      <w:pPr>
        <w:spacing w:after="0" w:line="236" w:lineRule="exact"/>
        <w:rPr>
          <w:rFonts w:ascii="Arial" w:cs="Arial" w:eastAsia="Arial" w:hAnsi="Arial"/>
          <w:sz w:val="19"/>
          <w:szCs w:val="19"/>
          <w:color w:val="auto"/>
        </w:rPr>
      </w:pPr>
    </w:p>
    <w:p>
      <w:pPr>
        <w:jc w:val="both"/>
        <w:ind w:left="1300" w:firstLine="653"/>
        <w:spacing w:after="0" w:line="259" w:lineRule="auto"/>
        <w:tabs>
          <w:tab w:leader="none" w:pos="2653" w:val="left"/>
        </w:tabs>
        <w:numPr>
          <w:ilvl w:val="2"/>
          <w:numId w:val="54"/>
        </w:numPr>
        <w:rPr>
          <w:rFonts w:ascii="Arial" w:cs="Arial" w:eastAsia="Arial" w:hAnsi="Arial"/>
          <w:sz w:val="21"/>
          <w:szCs w:val="21"/>
          <w:color w:val="auto"/>
        </w:rPr>
      </w:pPr>
      <w:r>
        <w:rPr>
          <w:rFonts w:ascii="Arial" w:cs="Arial" w:eastAsia="Arial" w:hAnsi="Arial"/>
          <w:sz w:val="21"/>
          <w:szCs w:val="21"/>
          <w:color w:val="auto"/>
        </w:rPr>
        <w:t xml:space="preserve">Until an amendment reflecting a new replacement index in accordance with this </w:t>
      </w:r>
      <w:r>
        <w:rPr>
          <w:rFonts w:ascii="Arial" w:cs="Arial" w:eastAsia="Arial" w:hAnsi="Arial"/>
          <w:sz w:val="21"/>
          <w:szCs w:val="21"/>
          <w:u w:val="single" w:color="auto"/>
          <w:color w:val="auto"/>
        </w:rPr>
        <w:t>Section 1.13</w:t>
      </w:r>
      <w:r>
        <w:rPr>
          <w:rFonts w:ascii="Arial" w:cs="Arial" w:eastAsia="Arial" w:hAnsi="Arial"/>
          <w:sz w:val="21"/>
          <w:szCs w:val="21"/>
          <w:color w:val="auto"/>
        </w:rPr>
        <w:t xml:space="preserve"> is effective, any Portion of Capital for which Discount is determined by reference to the Euro-Rate or LMIR will continue to accrue Discount with reference to the Euro-Rate or LMIR,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Administrator determines (which determination shall be final and conclusive, absent manifest error) that a LIBOR Termination Date has occurred, then following the LIBOR Termination Date, all Portions of Capital for which Discount would otherwise be determined with reference to the Euro-Rate or LMIR, as applicable, shall automatically begin accruing Discount with reference to the Base Rate until such time as an amendment reflecting a replacement index and related matters as described above is implemented.</w:t>
      </w:r>
    </w:p>
    <w:p>
      <w:pPr>
        <w:spacing w:after="0" w:line="184" w:lineRule="exact"/>
        <w:rPr>
          <w:rFonts w:ascii="Arial" w:cs="Arial" w:eastAsia="Arial" w:hAnsi="Arial"/>
          <w:sz w:val="21"/>
          <w:szCs w:val="21"/>
          <w:color w:val="auto"/>
        </w:rPr>
      </w:pPr>
    </w:p>
    <w:p>
      <w:pPr>
        <w:ind w:left="1300" w:firstLine="653"/>
        <w:spacing w:after="0" w:line="287" w:lineRule="auto"/>
        <w:tabs>
          <w:tab w:leader="none" w:pos="2485" w:val="left"/>
        </w:tabs>
        <w:numPr>
          <w:ilvl w:val="2"/>
          <w:numId w:val="54"/>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if at any time the replacement index is less than zero, at such times, such index shall be deemed to be zero for purposes of this Agreement.</w:t>
      </w:r>
    </w:p>
    <w:p>
      <w:pPr>
        <w:spacing w:after="0" w:line="151" w:lineRule="exact"/>
        <w:rPr>
          <w:rFonts w:ascii="Arial" w:cs="Arial" w:eastAsia="Arial" w:hAnsi="Arial"/>
          <w:sz w:val="21"/>
          <w:szCs w:val="21"/>
          <w:color w:val="auto"/>
        </w:rPr>
      </w:pPr>
    </w:p>
    <w:p>
      <w:pPr>
        <w:ind w:firstLine="656"/>
        <w:spacing w:after="0" w:line="263" w:lineRule="auto"/>
        <w:tabs>
          <w:tab w:leader="none" w:pos="1225"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following new defined term and definition thereof is hereby added to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Receivables Purchase Agreement in appropriate alphabetical order:</w:t>
      </w:r>
    </w:p>
    <w:p>
      <w:pPr>
        <w:spacing w:after="0" w:line="175" w:lineRule="exact"/>
        <w:rPr>
          <w:sz w:val="20"/>
          <w:szCs w:val="20"/>
          <w:color w:val="auto"/>
        </w:rPr>
      </w:pPr>
    </w:p>
    <w:p>
      <w:pPr>
        <w:ind w:left="130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Acquisition</w:t>
      </w:r>
      <w:r>
        <w:rPr>
          <w:rFonts w:ascii="Arial" w:cs="Arial" w:eastAsia="Arial" w:hAnsi="Arial"/>
          <w:sz w:val="19"/>
          <w:szCs w:val="19"/>
          <w:color w:val="auto"/>
        </w:rPr>
        <w:t>” has the meaning assigned to such term in the Credit Agreement as in effect as of August 30, 2018 without giving effect to any amendment, supplement, modification or waiver of such term (or any</w:t>
      </w:r>
    </w:p>
    <w:p>
      <w:pPr>
        <w:sectPr>
          <w:pgSz w:w="11900" w:h="16893" w:orient="portrait"/>
          <w:cols w:equalWidth="0" w:num="1">
            <w:col w:w="11420"/>
          </w:cols>
          <w:pgMar w:left="240" w:top="132" w:right="239" w:bottom="0" w:gutter="0" w:footer="0" w:header="0"/>
        </w:sectPr>
      </w:pPr>
    </w:p>
    <w:bookmarkStart w:id="74" w:name="page75"/>
    <w:bookmarkEnd w:id="74"/>
    <w:p>
      <w:pPr>
        <w:jc w:val="both"/>
        <w:ind w:left="1300"/>
        <w:spacing w:after="0" w:line="250" w:lineRule="auto"/>
        <w:rPr>
          <w:sz w:val="20"/>
          <w:szCs w:val="20"/>
          <w:color w:val="auto"/>
        </w:rPr>
      </w:pPr>
      <w:r>
        <w:rPr>
          <w:rFonts w:ascii="Arial" w:cs="Arial" w:eastAsia="Arial" w:hAnsi="Arial"/>
          <w:sz w:val="22"/>
          <w:szCs w:val="22"/>
          <w:color w:val="auto"/>
        </w:rPr>
        <w:t>other term constituting a direct or indirect component thereof) after August 30, 2018 or any substitution or replacement of such term (or any other term constituting a direct or indirect component thereof) under any substitute or replacement credit or financing facility after August 30, 2018, unless the Administrator and the Majority Purchaser Agents shall have consented in writing thereto.</w:t>
      </w:r>
    </w:p>
    <w:p>
      <w:pPr>
        <w:spacing w:after="0" w:line="188" w:lineRule="exact"/>
        <w:rPr>
          <w:sz w:val="20"/>
          <w:szCs w:val="20"/>
          <w:color w:val="auto"/>
        </w:rPr>
      </w:pPr>
    </w:p>
    <w:p>
      <w:pPr>
        <w:ind w:right="20" w:firstLine="656"/>
        <w:spacing w:after="0" w:line="263" w:lineRule="auto"/>
        <w:tabs>
          <w:tab w:leader="none" w:pos="111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Purchase Limit</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Receivables Purchase Agreement is hereby amended by replacing the amount “$950,000,000” from where it appears therein with “$1,200,000,000”.</w:t>
      </w:r>
    </w:p>
    <w:p>
      <w:pPr>
        <w:spacing w:after="0" w:line="174" w:lineRule="exact"/>
        <w:rPr>
          <w:rFonts w:ascii="Arial" w:cs="Arial" w:eastAsia="Arial" w:hAnsi="Arial"/>
          <w:sz w:val="22"/>
          <w:szCs w:val="22"/>
          <w:color w:val="auto"/>
        </w:rPr>
      </w:pPr>
    </w:p>
    <w:p>
      <w:pPr>
        <w:ind w:right="20" w:firstLine="656"/>
        <w:spacing w:after="0" w:line="263" w:lineRule="auto"/>
        <w:tabs>
          <w:tab w:leader="none" w:pos="121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Consolidated Leverage Ratio</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Receivables Purchase Agreement is hereby amended and restated in its entirety as follows:</w:t>
      </w:r>
    </w:p>
    <w:p>
      <w:pPr>
        <w:spacing w:after="0" w:line="175" w:lineRule="exact"/>
        <w:rPr>
          <w:sz w:val="20"/>
          <w:szCs w:val="20"/>
          <w:color w:val="auto"/>
        </w:rPr>
      </w:pPr>
    </w:p>
    <w:p>
      <w:pPr>
        <w:jc w:val="both"/>
        <w:ind w:left="130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Leverage Ratio</w:t>
      </w:r>
      <w:r>
        <w:rPr>
          <w:rFonts w:ascii="Arial" w:cs="Arial" w:eastAsia="Arial" w:hAnsi="Arial"/>
          <w:sz w:val="21"/>
          <w:szCs w:val="21"/>
          <w:color w:val="auto"/>
        </w:rPr>
        <w:t>” has the meaning assigned to such term in the Credit Agreement as in effect as of August 30, 2018 without giving effect to any amendment, supplement, modification or waiver of such term (or any other term constituting a direct or indirect component thereof) after August 30, 2018 or any substitution or replacement of such term (or any other term constituting a direct or indirect component thereof) under any substitute or replacement credit or financing facility after August 30, 2018, unless the Administrator and the Majority Purchaser Agents shall have consented in writing thereto.</w:t>
      </w:r>
    </w:p>
    <w:p>
      <w:pPr>
        <w:spacing w:after="0" w:line="200" w:lineRule="exact"/>
        <w:rPr>
          <w:sz w:val="20"/>
          <w:szCs w:val="20"/>
          <w:color w:val="auto"/>
        </w:rPr>
      </w:pPr>
    </w:p>
    <w:p>
      <w:pPr>
        <w:spacing w:after="0" w:line="237" w:lineRule="exact"/>
        <w:rPr>
          <w:sz w:val="20"/>
          <w:szCs w:val="20"/>
          <w:color w:val="auto"/>
        </w:rPr>
      </w:pPr>
    </w:p>
    <w:p>
      <w:pPr>
        <w:ind w:firstLine="656"/>
        <w:spacing w:after="0" w:line="263" w:lineRule="auto"/>
        <w:tabs>
          <w:tab w:leader="none" w:pos="121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Clause (r)</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Exhibit IV</w:t>
      </w:r>
      <w:r>
        <w:rPr>
          <w:rFonts w:ascii="Arial" w:cs="Arial" w:eastAsia="Arial" w:hAnsi="Arial"/>
          <w:sz w:val="22"/>
          <w:szCs w:val="22"/>
          <w:color w:val="auto"/>
        </w:rPr>
        <w:t xml:space="preserve"> to the Receivables Purchase Agreement is hereby amended by adding the following sentence at the end thereof:</w:t>
      </w:r>
    </w:p>
    <w:p>
      <w:pPr>
        <w:spacing w:after="0" w:line="175"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The Seller will provide to the Administrator and each Purchaser such information and documentation as may reasonably be requested by the Administrator and each Purchaser from time to time for purposes of compliance by the Administrator and each Purchaser with applicable laws (including without limitation the USA Patriot Act and other “know your customer” and anti-money laundering rules and regulations), and any policy or procedure implemented by the Administrator and each Purchaser to comply therewith.</w:t>
      </w:r>
    </w:p>
    <w:p>
      <w:pPr>
        <w:spacing w:after="0" w:line="192" w:lineRule="exact"/>
        <w:rPr>
          <w:sz w:val="20"/>
          <w:szCs w:val="20"/>
          <w:color w:val="auto"/>
        </w:rPr>
      </w:pPr>
    </w:p>
    <w:p>
      <w:pPr>
        <w:ind w:right="20" w:firstLine="656"/>
        <w:spacing w:after="0" w:line="263" w:lineRule="auto"/>
        <w:tabs>
          <w:tab w:leader="none" w:pos="1251"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Clause (l)</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Exhibit IV</w:t>
      </w:r>
      <w:r>
        <w:rPr>
          <w:rFonts w:ascii="Arial" w:cs="Arial" w:eastAsia="Arial" w:hAnsi="Arial"/>
          <w:sz w:val="22"/>
          <w:szCs w:val="22"/>
          <w:color w:val="auto"/>
        </w:rPr>
        <w:t xml:space="preserve"> to the Receivables Purchase Agreement is hereby amended by adding the following sentence at the end thereof:</w:t>
      </w:r>
    </w:p>
    <w:p>
      <w:pPr>
        <w:spacing w:after="0" w:line="175"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The Servicer will provide to the Administrator and each Purchaser such information and documentation as may reasonably be requested by the Administrator and each Purchaser from time to time for purposes of compliance by the Administrator and each Purchaser with applicable laws (including without limitation the USA Patriot Act and other “know your customer” and anti-money laundering rules and regulations), and any policy or procedure implemented by the Administrator and each Purchaser to comply therewith.</w:t>
      </w:r>
    </w:p>
    <w:p>
      <w:pPr>
        <w:spacing w:after="0" w:line="176" w:lineRule="exact"/>
        <w:rPr>
          <w:sz w:val="20"/>
          <w:szCs w:val="20"/>
          <w:color w:val="auto"/>
        </w:rPr>
      </w:pPr>
    </w:p>
    <w:p>
      <w:pPr>
        <w:ind w:left="1120" w:hanging="464"/>
        <w:spacing w:after="0"/>
        <w:tabs>
          <w:tab w:leader="none" w:pos="112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Clause (n)</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Exhibit V</w:t>
      </w:r>
      <w:r>
        <w:rPr>
          <w:rFonts w:ascii="Arial" w:cs="Arial" w:eastAsia="Arial" w:hAnsi="Arial"/>
          <w:sz w:val="19"/>
          <w:szCs w:val="19"/>
          <w:color w:val="auto"/>
        </w:rPr>
        <w:t xml:space="preserve"> to the Receivables Purchase Agreement is hereby amended and restated in its entirety with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01" w:lineRule="exact"/>
        <w:rPr>
          <w:rFonts w:ascii="Arial" w:cs="Arial" w:eastAsia="Arial" w:hAnsi="Arial"/>
          <w:sz w:val="19"/>
          <w:szCs w:val="19"/>
          <w:color w:val="auto"/>
        </w:rPr>
      </w:pPr>
    </w:p>
    <w:p>
      <w:pPr>
        <w:jc w:val="both"/>
        <w:ind w:left="1300" w:firstLine="5"/>
        <w:spacing w:after="0" w:line="288" w:lineRule="auto"/>
        <w:tabs>
          <w:tab w:leader="none" w:pos="1887"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the Consolidated Leverage Ratio as of the end of any fiscal quarter of FleetCor shall be greater than 4.00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any Material Acquisition, at FleetCor’s election by written notice to the Administrator prior to the consummation of such Material Acquisition, the foregoing ratio shall be increased to 4.25 to 1.00 for the fiscal quarter of FleetCor in which such Material Acquisition is consummated and for each of the next three (3) consecutive fiscal quarters of FleetCor ending thereafter (such period of increase, a “</w:t>
      </w:r>
      <w:r>
        <w:rPr>
          <w:rFonts w:ascii="Arial" w:cs="Arial" w:eastAsia="Arial" w:hAnsi="Arial"/>
          <w:sz w:val="19"/>
          <w:szCs w:val="19"/>
          <w:u w:val="single" w:color="auto"/>
          <w:color w:val="auto"/>
        </w:rPr>
        <w:t>Leverage Increase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 for at least one (1) fiscal quarter of FleetCor ending immediately following each Leverage Increase Period, the Consolidated Leverage Ratio as of the end of such fiscal quarter of FleetCor shall not be greater than 4.00 to 1.00 prior to giving effect to another Leverage Increase Period, and (ii) immediately after the end of a Leverage Increase Period, the maximum Consolidated Leverage Ratio permitted under this </w:t>
      </w:r>
      <w:r>
        <w:rPr>
          <w:rFonts w:ascii="Arial" w:cs="Arial" w:eastAsia="Arial" w:hAnsi="Arial"/>
          <w:sz w:val="19"/>
          <w:szCs w:val="19"/>
          <w:u w:val="single" w:color="auto"/>
          <w:color w:val="auto"/>
        </w:rPr>
        <w:t>clause (n)</w:t>
      </w:r>
      <w:r>
        <w:rPr>
          <w:rFonts w:ascii="Arial" w:cs="Arial" w:eastAsia="Arial" w:hAnsi="Arial"/>
          <w:sz w:val="19"/>
          <w:szCs w:val="19"/>
          <w:color w:val="auto"/>
        </w:rPr>
        <w:t xml:space="preserve"> as of the end of any fiscal quarter of FleetCor shall automatically revert to 4.00 to 1.00.</w:t>
      </w:r>
    </w:p>
    <w:p>
      <w:pPr>
        <w:spacing w:after="0" w:line="160" w:lineRule="exact"/>
        <w:rPr>
          <w:rFonts w:ascii="Arial" w:cs="Arial" w:eastAsia="Arial" w:hAnsi="Arial"/>
          <w:sz w:val="19"/>
          <w:szCs w:val="19"/>
          <w:color w:val="auto"/>
        </w:rPr>
      </w:pPr>
    </w:p>
    <w:p>
      <w:pPr>
        <w:ind w:left="1080" w:hanging="424"/>
        <w:spacing w:after="0"/>
        <w:tabs>
          <w:tab w:leader="none" w:pos="108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to the Receivables Purchase Agreement is hereby replaced in its entirety with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attached hereto.</w:t>
      </w:r>
    </w:p>
    <w:p>
      <w:pPr>
        <w:spacing w:after="0" w:line="254"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Representations and Warranties of the Seller and Servicer</w:t>
      </w:r>
      <w:r>
        <w:rPr>
          <w:rFonts w:ascii="Arial" w:cs="Arial" w:eastAsia="Arial" w:hAnsi="Arial"/>
          <w:sz w:val="21"/>
          <w:szCs w:val="21"/>
          <w:color w:val="auto"/>
        </w:rPr>
        <w:t>. Each of the Seller and the Servicer hereby represents and warrants, as to itself, to each of the Administrator, each Purchaser and each Purchaser Agent as follows:</w:t>
      </w:r>
    </w:p>
    <w:p>
      <w:pPr>
        <w:spacing w:after="0" w:line="152" w:lineRule="exact"/>
        <w:rPr>
          <w:sz w:val="20"/>
          <w:szCs w:val="20"/>
          <w:color w:val="auto"/>
        </w:rPr>
      </w:pPr>
    </w:p>
    <w:p>
      <w:pPr>
        <w:jc w:val="both"/>
        <w:ind w:left="660" w:right="20" w:firstLine="645"/>
        <w:spacing w:after="0" w:line="253" w:lineRule="auto"/>
        <w:tabs>
          <w:tab w:leader="none" w:pos="1794"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representations and warranties made by it in the Transaction Documents are true and correct as of the date hereof (unless stated to relate solely to an earlier date, in which case such representations or warranties were true and correct as of such earlier date);</w:t>
      </w:r>
    </w:p>
    <w:p>
      <w:pPr>
        <w:spacing w:after="0" w:line="185" w:lineRule="exact"/>
        <w:rPr>
          <w:rFonts w:ascii="Arial" w:cs="Arial" w:eastAsia="Arial" w:hAnsi="Arial"/>
          <w:sz w:val="22"/>
          <w:szCs w:val="22"/>
          <w:color w:val="auto"/>
        </w:rPr>
      </w:pPr>
    </w:p>
    <w:p>
      <w:pPr>
        <w:ind w:left="660" w:firstLine="645"/>
        <w:spacing w:after="0" w:line="343" w:lineRule="auto"/>
        <w:tabs>
          <w:tab w:leader="none" w:pos="1910"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 event has occurred and is continuing, or would result from the transactions contemplated hereby, that constitutes a Termination Event or an Unmatured Termination Event, and the Facility Termination Date has not occurred;</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1803"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execution and delivery by such Person of this Amendment, and the performance of each of its obligations under this Amendment and the Receivables Purchase Agreement, as amended hereby, are within each of its corporate powers and have been duly authorized by all necessary corporate action on its part; and</w:t>
      </w:r>
    </w:p>
    <w:p>
      <w:pPr>
        <w:sectPr>
          <w:pgSz w:w="11900" w:h="16838" w:orient="portrait"/>
          <w:cols w:equalWidth="0" w:num="1">
            <w:col w:w="11420"/>
          </w:cols>
          <w:pgMar w:left="240" w:top="132" w:right="239" w:bottom="0" w:gutter="0" w:footer="0" w:header="0"/>
        </w:sectPr>
      </w:pPr>
    </w:p>
    <w:bookmarkStart w:id="75" w:name="page76"/>
    <w:bookmarkEnd w:id="75"/>
    <w:p>
      <w:pPr>
        <w:ind w:left="660" w:firstLine="645"/>
        <w:spacing w:after="0" w:line="263" w:lineRule="auto"/>
        <w:tabs>
          <w:tab w:leader="none" w:pos="1857"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this Amendment and the Receivables Purchase Agreement, as amended hereby, are such Person’s valid and legally binding obligations, enforceable in accordance with its terms.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Effect of Amendment</w:t>
      </w:r>
      <w:r>
        <w:rPr>
          <w:rFonts w:ascii="Arial" w:cs="Arial" w:eastAsia="Arial" w:hAnsi="Arial"/>
          <w:sz w:val="22"/>
          <w:szCs w:val="22"/>
          <w:color w:val="auto"/>
        </w:rPr>
        <w:t>. All provisions of the Receivables Purchase Agreement, as expressly amended and modified by this Amendment, shall remain in full force and effect. After this Amendment becomes effective, all references in the Receivables Purchase Agreement (or in any other Transaction Document) to “this 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Amendment shall be effective as of the date hereof and upon satisfaction of the following conditions precedent: (a) the Administrator’s receipt of (i) counterparts of this Amendment and the Structuring Fee Letter duly executed by each of the parties hereto, (ii) an opinion of counsel for the Seller and Servicer, addressed to each Purchaser, as to due authorization, enforceability, no-conflicts with applicable law and other material agreements and other customary matters, in form and substance satisfactory to the Administrator, and (iii) such other agreements, documents, opinions, and instruments as the Administrator shall request; and (b) the receipt by each Purchaser Agent of the fees owing under the Structuring Fee Letter.</w:t>
      </w:r>
    </w:p>
    <w:p>
      <w:pPr>
        <w:spacing w:after="0" w:line="15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Miscellaneous</w:t>
      </w:r>
      <w:r>
        <w:rPr>
          <w:rFonts w:ascii="Arial" w:cs="Arial" w:eastAsia="Arial" w:hAnsi="Arial"/>
          <w:sz w:val="19"/>
          <w:szCs w:val="19"/>
          <w:color w:val="auto"/>
        </w:rPr>
        <w:t>. This Amendment shall be binding upon, and inure to the benefit of, the parties hereto and their respective successors and assigns.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electronic transmission shall be effective as delivery of a manually executed counterpart hereof.</w:t>
      </w:r>
    </w:p>
    <w:p>
      <w:pPr>
        <w:spacing w:after="0" w:line="147" w:lineRule="exact"/>
        <w:rPr>
          <w:sz w:val="20"/>
          <w:szCs w:val="20"/>
          <w:color w:val="auto"/>
        </w:rPr>
      </w:pPr>
    </w:p>
    <w:p>
      <w:pPr>
        <w:jc w:val="both"/>
        <w:ind w:firstLine="648"/>
        <w:spacing w:after="0" w:line="262" w:lineRule="exact"/>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AMENDMENT SHALL BE DEEMED TO BE A CONTRACT MADE UNDER AND GOVERNED BY THE INTERNAL LAWS OF THE STATE OF NEW YORK (INCLUDING FOR SUCH PURPOSE SECTIONS 5-1401 AND 5</w:t>
      </w:r>
      <w:r>
        <w:rPr>
          <w:rFonts w:ascii="MS PGothic" w:cs="MS PGothic" w:eastAsia="MS PGothic" w:hAnsi="MS PGothic"/>
          <w:sz w:val="21"/>
          <w:szCs w:val="21"/>
          <w:color w:val="auto"/>
        </w:rPr>
        <w:t>‑</w:t>
      </w:r>
      <w:r>
        <w:rPr>
          <w:rFonts w:ascii="Arial" w:cs="Arial" w:eastAsia="Arial" w:hAnsi="Arial"/>
          <w:sz w:val="21"/>
          <w:szCs w:val="21"/>
          <w:color w:val="auto"/>
        </w:rPr>
        <w:t>1402 OF THE GENERAL OBLIGATIONS LAW OF THE STATE OF NEW YORK).</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one or more of the agreements, provisions or terms of this Amendment shall for any reason whatsoever be held invalid or unenforceable, then such agreements, provisions or terms shall be deemed severable from the remaining agreements, provisions and terms of this Amendment and shall in no way affect the validity or enforceability of the provisions of this Amendment or the Receivables Purchase Agreement.</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Section Headings</w:t>
      </w:r>
      <w:r>
        <w:rPr>
          <w:rFonts w:ascii="Arial" w:cs="Arial" w:eastAsia="Arial" w:hAnsi="Arial"/>
          <w:sz w:val="19"/>
          <w:szCs w:val="19"/>
          <w:color w:val="auto"/>
        </w:rPr>
        <w:t>. The various headings of this Amendment are included for convenience only and shall not affect the meaning or interpretation of this Amendment, the Receivables Purchase Agreement or any provision hereof or thereof.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BEGIN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parties hereto have executed this Amendment by their duly authorized officers as of the date first above written.</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FLEETCOR FUNDING LLC</w:t>
      </w:r>
      <w:r>
        <w:rPr>
          <w:rFonts w:ascii="Arial" w:cs="Arial" w:eastAsia="Arial" w:hAnsi="Arial"/>
          <w:sz w:val="22"/>
          <w:szCs w:val="22"/>
          <w:color w:val="auto"/>
        </w:rPr>
        <w:t>, as Seller</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 Pisciotta</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Steve Pisciotta</w:t>
      </w:r>
    </w:p>
    <w:p>
      <w:pPr>
        <w:spacing w:after="0" w:line="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FLEETCOR TECHNOLOGIES OPERATING COMPANY, LLC</w:t>
      </w:r>
      <w:r>
        <w:rPr>
          <w:rFonts w:ascii="Arial" w:cs="Arial" w:eastAsia="Arial" w:hAnsi="Arial"/>
          <w:sz w:val="22"/>
          <w:szCs w:val="22"/>
          <w:color w:val="auto"/>
        </w:rPr>
        <w:t>, as Servicer</w:t>
      </w: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 Pisciotta</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Steve Pisciotta</w:t>
      </w:r>
    </w:p>
    <w:p>
      <w:pPr>
        <w:spacing w:after="0" w:line="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a Committed Purchaser and as Purchaser Agent for its Purchaser Group</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/s/Michael Brown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Michael Brown</w:t>
      </w:r>
    </w:p>
    <w:p>
      <w:pPr>
        <w:spacing w:after="0" w:line="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ectPr>
          <w:pgSz w:w="11900" w:h="16838" w:orient="portrait"/>
          <w:cols w:equalWidth="0" w:num="1">
            <w:col w:w="11420"/>
          </w:cols>
          <w:pgMar w:left="240" w:top="145" w:right="239" w:bottom="0" w:gutter="0" w:footer="0" w:header="0"/>
        </w:sectPr>
      </w:pPr>
    </w:p>
    <w:bookmarkStart w:id="76" w:name="page77"/>
    <w:bookmarkEnd w:id="76"/>
    <w:p>
      <w:pPr>
        <w:ind w:left="2040" w:right="180"/>
        <w:spacing w:after="0" w:line="256" w:lineRule="auto"/>
        <w:rPr>
          <w:sz w:val="20"/>
          <w:szCs w:val="20"/>
          <w:color w:val="auto"/>
        </w:rPr>
      </w:pPr>
      <w:r>
        <w:rPr>
          <w:rFonts w:ascii="Arial" w:cs="Arial" w:eastAsia="Arial" w:hAnsi="Arial"/>
          <w:sz w:val="22"/>
          <w:szCs w:val="22"/>
          <w:b w:val="1"/>
          <w:bCs w:val="1"/>
          <w:color w:val="auto"/>
        </w:rPr>
        <w:t>CREDIT AGRICOLE CORPORATE AND INVESTMENT BANK</w:t>
      </w:r>
      <w:r>
        <w:rPr>
          <w:rFonts w:ascii="Arial" w:cs="Arial" w:eastAsia="Arial" w:hAnsi="Arial"/>
          <w:sz w:val="22"/>
          <w:szCs w:val="22"/>
          <w:color w:val="auto"/>
        </w:rPr>
        <w:t>, as a Committed</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and as Purchaser Agent for its and Atlantic Asset Securitization LLC’s Purchaser Group</w:t>
      </w:r>
    </w:p>
    <w:p>
      <w:pPr>
        <w:spacing w:after="0" w:line="200" w:lineRule="exact"/>
        <w:rPr>
          <w:sz w:val="20"/>
          <w:szCs w:val="20"/>
          <w:color w:val="auto"/>
        </w:rPr>
      </w:pPr>
    </w:p>
    <w:p>
      <w:pPr>
        <w:spacing w:after="0" w:line="28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Kostantina Kourmpetis</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Kostantina Kourmpetis</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Regan</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Michael Regan</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40"/>
        <w:spacing w:after="0" w:line="269" w:lineRule="auto"/>
        <w:rPr>
          <w:sz w:val="20"/>
          <w:szCs w:val="20"/>
          <w:color w:val="auto"/>
        </w:rPr>
      </w:pPr>
      <w:r>
        <w:rPr>
          <w:rFonts w:ascii="Arial" w:cs="Arial" w:eastAsia="Arial" w:hAnsi="Arial"/>
          <w:sz w:val="22"/>
          <w:szCs w:val="22"/>
          <w:b w:val="1"/>
          <w:bCs w:val="1"/>
          <w:color w:val="auto"/>
        </w:rPr>
        <w:t>ATLANTIC ASSET SECURITIZATION LLC</w:t>
      </w:r>
      <w:r>
        <w:rPr>
          <w:rFonts w:ascii="Arial" w:cs="Arial" w:eastAsia="Arial" w:hAnsi="Arial"/>
          <w:sz w:val="22"/>
          <w:szCs w:val="22"/>
          <w:color w:val="auto"/>
        </w:rPr>
        <w:t>, as a Conduit Purchaser for Credit Agricole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and Investment Bank’s Purchaser Group</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Kostantina Kourmpetis</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Kostantina Kourmpetis</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Regan</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Michael Regan</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36"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WELLS FARGO BANK,</w:t>
      </w:r>
    </w:p>
    <w:p>
      <w:pPr>
        <w:spacing w:after="0" w:line="28"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NATIONAL ASSOCIATION</w:t>
      </w:r>
      <w:r>
        <w:rPr>
          <w:rFonts w:ascii="Arial" w:cs="Arial" w:eastAsia="Arial" w:hAnsi="Arial"/>
          <w:sz w:val="22"/>
          <w:szCs w:val="22"/>
          <w:color w:val="auto"/>
        </w:rPr>
        <w:t>,</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as a Committed Purchaser and as Purchaser Agent for its Purchaser Group</w:t>
      </w:r>
    </w:p>
    <w:p>
      <w:pPr>
        <w:spacing w:after="0" w:line="200" w:lineRule="exact"/>
        <w:rPr>
          <w:sz w:val="20"/>
          <w:szCs w:val="20"/>
          <w:color w:val="auto"/>
        </w:rPr>
      </w:pPr>
    </w:p>
    <w:p>
      <w:pPr>
        <w:spacing w:after="0" w:line="29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Eero Maki</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Eero Maki</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36" w:lineRule="exact"/>
        <w:rPr>
          <w:sz w:val="20"/>
          <w:szCs w:val="20"/>
          <w:color w:val="auto"/>
        </w:rPr>
      </w:pPr>
    </w:p>
    <w:p>
      <w:pPr>
        <w:ind w:left="2040" w:right="500"/>
        <w:spacing w:after="0" w:line="269" w:lineRule="auto"/>
        <w:rPr>
          <w:sz w:val="20"/>
          <w:szCs w:val="20"/>
          <w:color w:val="auto"/>
        </w:rPr>
      </w:pPr>
      <w:r>
        <w:rPr>
          <w:rFonts w:ascii="Arial" w:cs="Arial" w:eastAsia="Arial" w:hAnsi="Arial"/>
          <w:sz w:val="22"/>
          <w:szCs w:val="22"/>
          <w:b w:val="1"/>
          <w:bCs w:val="1"/>
          <w:color w:val="auto"/>
        </w:rPr>
        <w:t>REGIONS BANK</w:t>
      </w:r>
      <w:r>
        <w:rPr>
          <w:rFonts w:ascii="Arial" w:cs="Arial" w:eastAsia="Arial" w:hAnsi="Arial"/>
          <w:sz w:val="22"/>
          <w:szCs w:val="22"/>
          <w:color w:val="auto"/>
        </w:rPr>
        <w:t>, as a Committed Purchaser and as Purchaser Agent for its Purchaser</w:t>
      </w:r>
      <w:r>
        <w:rPr>
          <w:rFonts w:ascii="Arial" w:cs="Arial" w:eastAsia="Arial" w:hAnsi="Arial"/>
          <w:sz w:val="22"/>
          <w:szCs w:val="22"/>
          <w:b w:val="1"/>
          <w:bCs w:val="1"/>
          <w:color w:val="auto"/>
        </w:rPr>
        <w:t xml:space="preserve"> </w:t>
      </w:r>
      <w:r>
        <w:rPr>
          <w:rFonts w:ascii="Arial" w:cs="Arial" w:eastAsia="Arial" w:hAnsi="Arial"/>
          <w:sz w:val="22"/>
          <w:szCs w:val="22"/>
          <w:color w:val="auto"/>
        </w:rPr>
        <w:t>Group</w:t>
      </w:r>
    </w:p>
    <w:p>
      <w:pPr>
        <w:spacing w:after="0" w:line="200" w:lineRule="exact"/>
        <w:rPr>
          <w:sz w:val="20"/>
          <w:szCs w:val="20"/>
          <w:color w:val="auto"/>
        </w:rPr>
      </w:pPr>
    </w:p>
    <w:p>
      <w:pPr>
        <w:spacing w:after="0" w:line="26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Kathy Myers</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Kathy Myers</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Vice President</w:t>
      </w:r>
    </w:p>
    <w:p>
      <w:pPr>
        <w:spacing w:after="0" w:line="236"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SUMITOMO MITSUI BANKING CORPORATION</w:t>
      </w:r>
      <w:r>
        <w:rPr>
          <w:rFonts w:ascii="Arial" w:cs="Arial" w:eastAsia="Arial" w:hAnsi="Arial"/>
          <w:sz w:val="22"/>
          <w:szCs w:val="22"/>
          <w:color w:val="auto"/>
        </w:rPr>
        <w:t>, as a Committed Purchaser</w:t>
      </w:r>
    </w:p>
    <w:p>
      <w:pPr>
        <w:spacing w:after="0" w:line="200" w:lineRule="exact"/>
        <w:rPr>
          <w:sz w:val="20"/>
          <w:szCs w:val="20"/>
          <w:color w:val="auto"/>
        </w:rPr>
      </w:pPr>
    </w:p>
    <w:p>
      <w:pPr>
        <w:spacing w:after="0" w:line="33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D. Weinstein</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James D. Weinstein</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3" w:lineRule="exact"/>
        <w:rPr>
          <w:sz w:val="20"/>
          <w:szCs w:val="20"/>
          <w:color w:val="auto"/>
        </w:rPr>
      </w:pPr>
    </w:p>
    <w:p>
      <w:pPr>
        <w:ind w:left="2040" w:right="840"/>
        <w:spacing w:after="0" w:line="254" w:lineRule="auto"/>
        <w:rPr>
          <w:sz w:val="20"/>
          <w:szCs w:val="20"/>
          <w:color w:val="auto"/>
        </w:rPr>
      </w:pPr>
      <w:r>
        <w:rPr>
          <w:rFonts w:ascii="Arial" w:cs="Arial" w:eastAsia="Arial" w:hAnsi="Arial"/>
          <w:sz w:val="22"/>
          <w:szCs w:val="22"/>
          <w:b w:val="1"/>
          <w:bCs w:val="1"/>
          <w:color w:val="auto"/>
        </w:rPr>
        <w:t>MANHATTAN ASSET FUNDING COMPANY LLC</w:t>
      </w:r>
      <w:r>
        <w:rPr>
          <w:rFonts w:ascii="Arial" w:cs="Arial" w:eastAsia="Arial" w:hAnsi="Arial"/>
          <w:sz w:val="22"/>
          <w:szCs w:val="22"/>
          <w:color w:val="auto"/>
        </w:rPr>
        <w:t>, as a Conduit Purchaser for</w:t>
      </w:r>
      <w:r>
        <w:rPr>
          <w:rFonts w:ascii="Arial" w:cs="Arial" w:eastAsia="Arial" w:hAnsi="Arial"/>
          <w:sz w:val="22"/>
          <w:szCs w:val="22"/>
          <w:b w:val="1"/>
          <w:bCs w:val="1"/>
          <w:color w:val="auto"/>
        </w:rPr>
        <w:t xml:space="preserve"> </w:t>
      </w:r>
      <w:r>
        <w:rPr>
          <w:rFonts w:ascii="Arial" w:cs="Arial" w:eastAsia="Arial" w:hAnsi="Arial"/>
          <w:sz w:val="22"/>
          <w:szCs w:val="22"/>
          <w:color w:val="auto"/>
        </w:rPr>
        <w:t>Sumitomo Mitsui Banking Corporation’s Purchaser Group</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MAF Receivables Corp., Its Member</w:t>
      </w:r>
    </w:p>
    <w:p>
      <w:pPr>
        <w:spacing w:after="0" w:line="26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Irina Khaimova</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Irina Khaimova</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160"/>
          </w:cols>
          <w:pgMar w:left="1440" w:top="125" w:right="299" w:bottom="259" w:gutter="0" w:footer="0" w:header="0"/>
        </w:sectPr>
      </w:pPr>
    </w:p>
    <w:bookmarkStart w:id="77" w:name="page78"/>
    <w:bookmarkEnd w:id="77"/>
    <w:p>
      <w:pPr>
        <w:ind w:left="3240"/>
        <w:spacing w:after="0"/>
        <w:rPr>
          <w:sz w:val="20"/>
          <w:szCs w:val="20"/>
          <w:color w:val="auto"/>
        </w:rPr>
      </w:pPr>
      <w:r>
        <w:rPr>
          <w:rFonts w:ascii="Arial" w:cs="Arial" w:eastAsia="Arial" w:hAnsi="Arial"/>
          <w:sz w:val="22"/>
          <w:szCs w:val="22"/>
          <w:b w:val="1"/>
          <w:bCs w:val="1"/>
          <w:color w:val="auto"/>
        </w:rPr>
        <w:t>SMBC NIKKO SECURITIES AMERICA, INC.</w:t>
      </w:r>
      <w:r>
        <w:rPr>
          <w:rFonts w:ascii="Arial" w:cs="Arial" w:eastAsia="Arial" w:hAnsi="Arial"/>
          <w:sz w:val="22"/>
          <w:szCs w:val="22"/>
          <w:color w:val="auto"/>
        </w:rPr>
        <w:t>,</w:t>
      </w:r>
    </w:p>
    <w:p>
      <w:pPr>
        <w:spacing w:after="0" w:line="28" w:lineRule="exact"/>
        <w:rPr>
          <w:sz w:val="20"/>
          <w:szCs w:val="20"/>
          <w:color w:val="auto"/>
        </w:rPr>
      </w:pPr>
    </w:p>
    <w:p>
      <w:pPr>
        <w:ind w:left="3240" w:right="700"/>
        <w:spacing w:after="0" w:line="246" w:lineRule="auto"/>
        <w:rPr>
          <w:sz w:val="20"/>
          <w:szCs w:val="20"/>
          <w:color w:val="auto"/>
        </w:rPr>
      </w:pPr>
      <w:r>
        <w:rPr>
          <w:rFonts w:ascii="Arial" w:cs="Arial" w:eastAsia="Arial" w:hAnsi="Arial"/>
          <w:sz w:val="22"/>
          <w:szCs w:val="22"/>
          <w:color w:val="auto"/>
        </w:rPr>
        <w:t>as Purchaser Agent for Sumitomo Mitsui Banking Corporation’s and Manhattan Asset Funding LLC’s Purchaser Group</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Masayoshi Hirabayashi</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Masayoshi Hirabayashi</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Director &amp; Joint General Manager</w:t>
      </w: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MUFG BANK, LTD.</w:t>
      </w:r>
      <w:r>
        <w:rPr>
          <w:rFonts w:ascii="Arial" w:cs="Arial" w:eastAsia="Arial" w:hAnsi="Arial"/>
          <w:sz w:val="22"/>
          <w:szCs w:val="22"/>
          <w:color w:val="auto"/>
        </w:rPr>
        <w:t>, as a Committed Purchaser</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Eric Williams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Eric Williams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VICTORY RECEIVABLES CORPORATION</w:t>
      </w:r>
      <w:r>
        <w:rPr>
          <w:rFonts w:ascii="Arial" w:cs="Arial" w:eastAsia="Arial" w:hAnsi="Arial"/>
          <w:sz w:val="22"/>
          <w:szCs w:val="22"/>
          <w:color w:val="auto"/>
        </w:rPr>
        <w:t>,</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a Conduit Purchaser for MUFG Bank, LTD.’s Purchaser Group</w:t>
      </w:r>
    </w:p>
    <w:p>
      <w:pPr>
        <w:spacing w:after="0" w:line="200" w:lineRule="exact"/>
        <w:rPr>
          <w:sz w:val="20"/>
          <w:szCs w:val="20"/>
          <w:color w:val="auto"/>
        </w:rPr>
      </w:pPr>
    </w:p>
    <w:p>
      <w:pPr>
        <w:spacing w:after="0" w:line="31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Kevin J. Corrigan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Kevin J. Corrigan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3" w:lineRule="exact"/>
        <w:rPr>
          <w:sz w:val="20"/>
          <w:szCs w:val="20"/>
          <w:color w:val="auto"/>
        </w:rPr>
      </w:pPr>
    </w:p>
    <w:p>
      <w:pPr>
        <w:ind w:left="3240" w:right="480"/>
        <w:spacing w:after="0" w:line="269" w:lineRule="auto"/>
        <w:rPr>
          <w:sz w:val="20"/>
          <w:szCs w:val="20"/>
          <w:color w:val="auto"/>
        </w:rPr>
      </w:pPr>
      <w:r>
        <w:rPr>
          <w:rFonts w:ascii="Arial" w:cs="Arial" w:eastAsia="Arial" w:hAnsi="Arial"/>
          <w:sz w:val="22"/>
          <w:szCs w:val="22"/>
          <w:b w:val="1"/>
          <w:bCs w:val="1"/>
          <w:color w:val="auto"/>
        </w:rPr>
        <w:t>MUFG BANK, LTD.</w:t>
      </w:r>
      <w:r>
        <w:rPr>
          <w:rFonts w:ascii="Arial" w:cs="Arial" w:eastAsia="Arial" w:hAnsi="Arial"/>
          <w:sz w:val="22"/>
          <w:szCs w:val="22"/>
          <w:color w:val="auto"/>
        </w:rPr>
        <w:t>, as Purchaser Agent for its and Victory Receivables Corporation’s</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Group</w:t>
      </w:r>
    </w:p>
    <w:p>
      <w:pPr>
        <w:spacing w:after="0" w:line="200" w:lineRule="exact"/>
        <w:rPr>
          <w:sz w:val="20"/>
          <w:szCs w:val="20"/>
          <w:color w:val="auto"/>
        </w:rPr>
      </w:pPr>
    </w:p>
    <w:p>
      <w:pPr>
        <w:spacing w:after="0" w:line="27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Eric Williams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Eric Williams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Director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MIZUHO BANK, LTD.</w:t>
      </w:r>
      <w:r>
        <w:rPr>
          <w:rFonts w:ascii="Arial" w:cs="Arial" w:eastAsia="Arial" w:hAnsi="Arial"/>
          <w:sz w:val="19"/>
          <w:szCs w:val="19"/>
          <w:color w:val="auto"/>
        </w:rPr>
        <w:t>, as a Committed Purchaser and as Purchaser Agent for its Purchaser</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Group</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Richard A. Burke</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Richard A. Burke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Administrator</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Brown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Michael Brown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gridSpan w:val="2"/>
          </w:tcPr>
          <w:p>
            <w:pPr>
              <w:jc w:val="center"/>
              <w:ind w:right="1120"/>
              <w:spacing w:after="0"/>
              <w:rPr>
                <w:sz w:val="20"/>
                <w:szCs w:val="20"/>
                <w:color w:val="auto"/>
              </w:rPr>
            </w:pPr>
            <w:r>
              <w:rPr>
                <w:rFonts w:ascii="Arial" w:cs="Arial" w:eastAsia="Arial" w:hAnsi="Arial"/>
                <w:sz w:val="22"/>
                <w:szCs w:val="22"/>
                <w:b w:val="1"/>
                <w:bCs w:val="1"/>
                <w:color w:val="auto"/>
                <w:w w:val="98"/>
              </w:rPr>
              <w:t>SCHEDULE V</w:t>
            </w: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8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60" w:type="dxa"/>
            <w:vAlign w:val="bottom"/>
            <w:gridSpan w:val="4"/>
          </w:tcPr>
          <w:p>
            <w:pPr>
              <w:jc w:val="center"/>
              <w:spacing w:after="0"/>
              <w:rPr>
                <w:sz w:val="20"/>
                <w:szCs w:val="20"/>
                <w:color w:val="auto"/>
              </w:rPr>
            </w:pPr>
            <w:r>
              <w:rPr>
                <w:rFonts w:ascii="Arial" w:cs="Arial" w:eastAsia="Arial" w:hAnsi="Arial"/>
                <w:sz w:val="22"/>
                <w:szCs w:val="22"/>
                <w:b w:val="1"/>
                <w:bCs w:val="1"/>
                <w:color w:val="auto"/>
                <w:w w:val="98"/>
              </w:rPr>
              <w:t>PURCHASER GROUPS AND COMMITMENTS</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8180" w:type="dxa"/>
            <w:vAlign w:val="bottom"/>
            <w:tcBorders>
              <w:bottom w:val="single" w:sz="8" w:color="auto"/>
            </w:tcBorders>
            <w:gridSpan w:val="6"/>
          </w:tcPr>
          <w:p>
            <w:pPr>
              <w:spacing w:after="0"/>
              <w:rPr>
                <w:sz w:val="20"/>
                <w:szCs w:val="20"/>
                <w:color w:val="auto"/>
              </w:rPr>
            </w:pPr>
            <w:r>
              <w:rPr>
                <w:rFonts w:ascii="Arial" w:cs="Arial" w:eastAsia="Arial" w:hAnsi="Arial"/>
                <w:sz w:val="22"/>
                <w:szCs w:val="22"/>
                <w:b w:val="1"/>
                <w:bCs w:val="1"/>
                <w:color w:val="auto"/>
              </w:rPr>
              <w:t>Purchaser Group of PNC Bank, National Association</w:t>
            </w: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3120" w:type="dxa"/>
            <w:vAlign w:val="bottom"/>
            <w:gridSpan w:val="2"/>
          </w:tcPr>
          <w:p>
            <w:pPr>
              <w:spacing w:after="0" w:line="229" w:lineRule="exact"/>
              <w:rPr>
                <w:sz w:val="20"/>
                <w:szCs w:val="20"/>
                <w:color w:val="auto"/>
              </w:rPr>
            </w:pPr>
            <w:r>
              <w:rPr>
                <w:rFonts w:ascii="Arial" w:cs="Arial" w:eastAsia="Arial" w:hAnsi="Arial"/>
                <w:sz w:val="22"/>
                <w:szCs w:val="22"/>
                <w:color w:val="auto"/>
              </w:rPr>
              <w:t>Party</w:t>
            </w:r>
          </w:p>
        </w:tc>
        <w:tc>
          <w:tcPr>
            <w:tcW w:w="10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Capacity</w:t>
            </w:r>
          </w:p>
        </w:tc>
        <w:tc>
          <w:tcPr>
            <w:tcW w:w="3200" w:type="dxa"/>
            <w:vAlign w:val="bottom"/>
            <w:tcBorders>
              <w:right w:val="single" w:sz="8" w:color="auto"/>
            </w:tcBorders>
            <w:gridSpan w:val="3"/>
          </w:tcPr>
          <w:p>
            <w:pPr>
              <w:ind w:left="20"/>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8"/>
              </w:rPr>
              <w:t>PNC Bank, National Association</w:t>
            </w:r>
          </w:p>
        </w:tc>
        <w:tc>
          <w:tcPr>
            <w:tcW w:w="10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Committed Purchaser</w:t>
            </w:r>
          </w:p>
        </w:tc>
        <w:tc>
          <w:tcPr>
            <w:tcW w:w="3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$380,000,000</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8"/>
              </w:rPr>
              <w:t>PNC Bank, National Association</w:t>
            </w:r>
          </w:p>
        </w:tc>
        <w:tc>
          <w:tcPr>
            <w:tcW w:w="10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Purchaser Agent</w:t>
            </w:r>
          </w:p>
        </w:tc>
        <w:tc>
          <w:tcPr>
            <w:tcW w:w="3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N/A</w:t>
            </w:r>
          </w:p>
        </w:tc>
      </w:tr>
    </w:tbl>
    <w:p>
      <w:pPr>
        <w:sectPr>
          <w:pgSz w:w="11900" w:h="16838" w:orient="portrait"/>
          <w:cols w:equalWidth="0" w:num="1">
            <w:col w:w="11400"/>
          </w:cols>
          <w:pgMar w:left="240" w:top="126" w:right="259" w:bottom="0" w:gutter="0" w:footer="0" w:header="0"/>
        </w:sectPr>
      </w:pPr>
    </w:p>
    <w:bookmarkStart w:id="78" w:name="page79"/>
    <w:bookmarkEnd w:id="78"/>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37730" cy="797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237730" cy="797560"/>
                    </a:xfrm>
                    <a:prstGeom prst="rect">
                      <a:avLst/>
                    </a:prstGeom>
                    <a:noFill/>
                  </pic:spPr>
                </pic:pic>
              </a:graphicData>
            </a:graphic>
          </wp:anchor>
        </w:drawing>
        <w:t>Purchaser Group of Wells Fargo Bank, National Association</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40" w:type="dxa"/>
            <w:vAlign w:val="bottom"/>
            <w:tcBorders>
              <w:top w:val="single" w:sz="8" w:color="auto"/>
            </w:tcBorders>
          </w:tcPr>
          <w:p>
            <w:pPr>
              <w:spacing w:after="0"/>
              <w:rPr>
                <w:sz w:val="20"/>
                <w:szCs w:val="20"/>
                <w:color w:val="auto"/>
              </w:rPr>
            </w:pPr>
          </w:p>
        </w:tc>
        <w:tc>
          <w:tcPr>
            <w:tcW w:w="4220" w:type="dxa"/>
            <w:vAlign w:val="bottom"/>
            <w:tcBorders>
              <w:top w:val="single" w:sz="8" w:color="auto"/>
              <w:right w:val="single" w:sz="8" w:color="auto"/>
            </w:tcBorders>
            <w:gridSpan w:val="2"/>
          </w:tcPr>
          <w:p>
            <w:pPr>
              <w:spacing w:after="0" w:line="240" w:lineRule="exact"/>
              <w:rPr>
                <w:sz w:val="20"/>
                <w:szCs w:val="20"/>
                <w:color w:val="auto"/>
              </w:rPr>
            </w:pPr>
            <w:r>
              <w:rPr>
                <w:rFonts w:ascii="Arial" w:cs="Arial" w:eastAsia="Arial" w:hAnsi="Arial"/>
                <w:sz w:val="22"/>
                <w:szCs w:val="22"/>
                <w:color w:val="auto"/>
              </w:rPr>
              <w:t>Party</w:t>
            </w:r>
          </w:p>
        </w:tc>
        <w:tc>
          <w:tcPr>
            <w:tcW w:w="3960" w:type="dxa"/>
            <w:vAlign w:val="bottom"/>
            <w:tcBorders>
              <w:top w:val="single" w:sz="8" w:color="auto"/>
              <w:right w:val="single" w:sz="8" w:color="auto"/>
            </w:tcBorders>
            <w:gridSpan w:val="3"/>
          </w:tcPr>
          <w:p>
            <w:pPr>
              <w:spacing w:after="0" w:line="240" w:lineRule="exact"/>
              <w:rPr>
                <w:sz w:val="20"/>
                <w:szCs w:val="20"/>
                <w:color w:val="auto"/>
              </w:rPr>
            </w:pPr>
            <w:r>
              <w:rPr>
                <w:rFonts w:ascii="Arial" w:cs="Arial" w:eastAsia="Arial" w:hAnsi="Arial"/>
                <w:sz w:val="22"/>
                <w:szCs w:val="22"/>
                <w:color w:val="auto"/>
              </w:rPr>
              <w:t>Capacity</w:t>
            </w:r>
          </w:p>
        </w:tc>
        <w:tc>
          <w:tcPr>
            <w:tcW w:w="4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4"/>
          </w:tcPr>
          <w:p>
            <w:pPr>
              <w:spacing w:after="0" w:line="240"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r>
      <w:tr>
        <w:trPr>
          <w:trHeight w:val="284"/>
        </w:trPr>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Wells Fargo Bank, National Association</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Committed Purchaser</w:t>
            </w:r>
          </w:p>
        </w:tc>
        <w:tc>
          <w:tcPr>
            <w:tcW w:w="3220" w:type="dxa"/>
            <w:vAlign w:val="bottom"/>
            <w:tcBorders>
              <w:bottom w:val="single" w:sz="8" w:color="auto"/>
            </w:tcBorders>
            <w:gridSpan w:val="5"/>
          </w:tcPr>
          <w:p>
            <w:pPr>
              <w:ind w:left="20"/>
              <w:spacing w:after="0"/>
              <w:rPr>
                <w:sz w:val="20"/>
                <w:szCs w:val="20"/>
                <w:color w:val="auto"/>
              </w:rPr>
            </w:pPr>
            <w:r>
              <w:rPr>
                <w:rFonts w:ascii="Arial" w:cs="Arial" w:eastAsia="Arial" w:hAnsi="Arial"/>
                <w:sz w:val="22"/>
                <w:szCs w:val="22"/>
                <w:color w:val="auto"/>
              </w:rPr>
              <w:t>$190,000,000</w:t>
            </w:r>
          </w:p>
        </w:tc>
      </w:tr>
      <w:tr>
        <w:trPr>
          <w:trHeight w:val="291"/>
        </w:trPr>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Wells Fargo Bank, National Association</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Purchaser Agent</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818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rPr>
              <w:t>Purchaser Group of Credit Agricole Corporate and Investment Bank</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2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3960" w:type="dxa"/>
            <w:vAlign w:val="bottom"/>
            <w:tcBorders>
              <w:right w:val="single" w:sz="8" w:color="auto"/>
            </w:tcBorders>
            <w:gridSpan w:val="3"/>
          </w:tcPr>
          <w:p>
            <w:pPr>
              <w:spacing w:after="0" w:line="229" w:lineRule="exact"/>
              <w:rPr>
                <w:sz w:val="20"/>
                <w:szCs w:val="20"/>
                <w:color w:val="auto"/>
              </w:rPr>
            </w:pPr>
            <w:r>
              <w:rPr>
                <w:rFonts w:ascii="Arial" w:cs="Arial" w:eastAsia="Arial" w:hAnsi="Arial"/>
                <w:sz w:val="22"/>
                <w:szCs w:val="22"/>
                <w:color w:val="auto"/>
              </w:rPr>
              <w:t>Capacity</w:t>
            </w:r>
          </w:p>
        </w:tc>
        <w:tc>
          <w:tcPr>
            <w:tcW w:w="40" w:type="dxa"/>
            <w:vAlign w:val="bottom"/>
          </w:tcPr>
          <w:p>
            <w:pPr>
              <w:spacing w:after="0"/>
              <w:rPr>
                <w:sz w:val="19"/>
                <w:szCs w:val="19"/>
                <w:color w:val="auto"/>
              </w:rPr>
            </w:pPr>
          </w:p>
        </w:tc>
        <w:tc>
          <w:tcPr>
            <w:tcW w:w="3180" w:type="dxa"/>
            <w:vAlign w:val="bottom"/>
            <w:tcBorders>
              <w:right w:val="single" w:sz="8" w:color="auto"/>
            </w:tcBorders>
            <w:gridSpan w:val="4"/>
          </w:tcPr>
          <w:p>
            <w:pPr>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Atlantic Asset Securitization LLC</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Conduit Purchaser</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249"/>
        </w:trPr>
        <w:tc>
          <w:tcPr>
            <w:tcW w:w="40" w:type="dxa"/>
            <w:vAlign w:val="bottom"/>
            <w:tcBorders>
              <w:left w:val="single" w:sz="8" w:color="auto"/>
            </w:tcBorders>
          </w:tcPr>
          <w:p>
            <w:pPr>
              <w:spacing w:after="0"/>
              <w:rPr>
                <w:sz w:val="21"/>
                <w:szCs w:val="21"/>
                <w:color w:val="auto"/>
              </w:rPr>
            </w:pPr>
          </w:p>
        </w:tc>
        <w:tc>
          <w:tcPr>
            <w:tcW w:w="4220" w:type="dxa"/>
            <w:vAlign w:val="bottom"/>
            <w:tcBorders>
              <w:right w:val="single" w:sz="8" w:color="auto"/>
            </w:tcBorders>
            <w:gridSpan w:val="2"/>
          </w:tcPr>
          <w:p>
            <w:pPr>
              <w:spacing w:after="0" w:line="248" w:lineRule="exact"/>
              <w:rPr>
                <w:sz w:val="20"/>
                <w:szCs w:val="20"/>
                <w:color w:val="auto"/>
              </w:rPr>
            </w:pPr>
            <w:r>
              <w:rPr>
                <w:rFonts w:ascii="Arial" w:cs="Arial" w:eastAsia="Arial" w:hAnsi="Arial"/>
                <w:sz w:val="22"/>
                <w:szCs w:val="22"/>
                <w:color w:val="auto"/>
              </w:rPr>
              <w:t>Credit Agricole Corporate and Investment</w:t>
            </w:r>
          </w:p>
        </w:tc>
        <w:tc>
          <w:tcPr>
            <w:tcW w:w="3960" w:type="dxa"/>
            <w:vAlign w:val="bottom"/>
            <w:tcBorders>
              <w:right w:val="single" w:sz="8" w:color="auto"/>
            </w:tcBorders>
            <w:gridSpan w:val="3"/>
          </w:tcPr>
          <w:p>
            <w:pPr>
              <w:spacing w:after="0" w:line="248" w:lineRule="exact"/>
              <w:rPr>
                <w:sz w:val="20"/>
                <w:szCs w:val="20"/>
                <w:color w:val="auto"/>
              </w:rPr>
            </w:pPr>
            <w:r>
              <w:rPr>
                <w:rFonts w:ascii="Arial" w:cs="Arial" w:eastAsia="Arial" w:hAnsi="Arial"/>
                <w:sz w:val="22"/>
                <w:szCs w:val="22"/>
                <w:color w:val="auto"/>
              </w:rPr>
              <w:t>Committed Purchaser</w:t>
            </w:r>
          </w:p>
        </w:tc>
        <w:tc>
          <w:tcPr>
            <w:tcW w:w="3220" w:type="dxa"/>
            <w:vAlign w:val="bottom"/>
            <w:tcBorders>
              <w:right w:val="single" w:sz="8" w:color="auto"/>
            </w:tcBorders>
            <w:gridSpan w:val="5"/>
          </w:tcPr>
          <w:p>
            <w:pPr>
              <w:ind w:left="20"/>
              <w:spacing w:after="0" w:line="248" w:lineRule="exact"/>
              <w:rPr>
                <w:sz w:val="20"/>
                <w:szCs w:val="20"/>
                <w:color w:val="auto"/>
              </w:rPr>
            </w:pPr>
            <w:r>
              <w:rPr>
                <w:rFonts w:ascii="Arial" w:cs="Arial" w:eastAsia="Arial" w:hAnsi="Arial"/>
                <w:sz w:val="22"/>
                <w:szCs w:val="22"/>
                <w:color w:val="auto"/>
              </w:rPr>
              <w:t>$180,000,000</w:t>
            </w:r>
          </w:p>
        </w:tc>
      </w:tr>
      <w:tr>
        <w:trPr>
          <w:trHeight w:val="285"/>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Bank</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220" w:type="dxa"/>
            <w:vAlign w:val="bottom"/>
            <w:tcBorders>
              <w:right w:val="single" w:sz="8" w:color="auto"/>
            </w:tcBorders>
            <w:gridSpan w:val="2"/>
          </w:tcPr>
          <w:p>
            <w:pPr>
              <w:spacing w:after="0" w:line="248" w:lineRule="exact"/>
              <w:rPr>
                <w:sz w:val="20"/>
                <w:szCs w:val="20"/>
                <w:color w:val="auto"/>
              </w:rPr>
            </w:pPr>
            <w:r>
              <w:rPr>
                <w:rFonts w:ascii="Arial" w:cs="Arial" w:eastAsia="Arial" w:hAnsi="Arial"/>
                <w:sz w:val="22"/>
                <w:szCs w:val="22"/>
                <w:color w:val="auto"/>
              </w:rPr>
              <w:t>Credit Agricole Corporate and Investment</w:t>
            </w:r>
          </w:p>
        </w:tc>
        <w:tc>
          <w:tcPr>
            <w:tcW w:w="3960" w:type="dxa"/>
            <w:vAlign w:val="bottom"/>
            <w:tcBorders>
              <w:right w:val="single" w:sz="8" w:color="auto"/>
            </w:tcBorders>
            <w:gridSpan w:val="3"/>
          </w:tcPr>
          <w:p>
            <w:pPr>
              <w:spacing w:after="0" w:line="248" w:lineRule="exact"/>
              <w:rPr>
                <w:sz w:val="20"/>
                <w:szCs w:val="20"/>
                <w:color w:val="auto"/>
              </w:rPr>
            </w:pPr>
            <w:r>
              <w:rPr>
                <w:rFonts w:ascii="Arial" w:cs="Arial" w:eastAsia="Arial" w:hAnsi="Arial"/>
                <w:sz w:val="22"/>
                <w:szCs w:val="22"/>
                <w:color w:val="auto"/>
              </w:rPr>
              <w:t>Purchaser Agent</w:t>
            </w:r>
          </w:p>
        </w:tc>
        <w:tc>
          <w:tcPr>
            <w:tcW w:w="40" w:type="dxa"/>
            <w:vAlign w:val="bottom"/>
          </w:tcPr>
          <w:p>
            <w:pPr>
              <w:spacing w:after="0"/>
              <w:rPr>
                <w:sz w:val="21"/>
                <w:szCs w:val="21"/>
                <w:color w:val="auto"/>
              </w:rPr>
            </w:pPr>
          </w:p>
        </w:tc>
        <w:tc>
          <w:tcPr>
            <w:tcW w:w="3180" w:type="dxa"/>
            <w:vAlign w:val="bottom"/>
            <w:tcBorders>
              <w:right w:val="single" w:sz="8" w:color="auto"/>
            </w:tcBorders>
            <w:gridSpan w:val="4"/>
          </w:tcPr>
          <w:p>
            <w:pPr>
              <w:spacing w:after="0" w:line="248" w:lineRule="exact"/>
              <w:rPr>
                <w:sz w:val="20"/>
                <w:szCs w:val="20"/>
                <w:color w:val="auto"/>
              </w:rPr>
            </w:pPr>
            <w:r>
              <w:rPr>
                <w:rFonts w:ascii="Arial" w:cs="Arial" w:eastAsia="Arial" w:hAnsi="Arial"/>
                <w:sz w:val="22"/>
                <w:szCs w:val="22"/>
                <w:color w:val="auto"/>
              </w:rPr>
              <w:t>N/A</w:t>
            </w:r>
          </w:p>
        </w:tc>
      </w:tr>
      <w:tr>
        <w:trPr>
          <w:trHeight w:val="285"/>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Bank</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Purchaser Group of Regions Bank</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2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396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Capacity</w:t>
            </w:r>
          </w:p>
        </w:tc>
        <w:tc>
          <w:tcPr>
            <w:tcW w:w="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gridSpan w:val="4"/>
          </w:tcPr>
          <w:p>
            <w:pPr>
              <w:ind w:left="20"/>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Regions Bank</w:t>
            </w:r>
          </w:p>
        </w:tc>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Committed Purchaser</w:t>
            </w:r>
          </w:p>
        </w:tc>
        <w:tc>
          <w:tcPr>
            <w:tcW w:w="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rPr>
              <w:t>$112,500,000</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Regions Bank</w:t>
            </w:r>
          </w:p>
        </w:tc>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Purchaser Agent</w:t>
            </w:r>
          </w:p>
        </w:tc>
        <w:tc>
          <w:tcPr>
            <w:tcW w:w="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rPr>
              <w:t>N/A</w:t>
            </w: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Purchaser Group of MUFG Bank, LTD.</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2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3960" w:type="dxa"/>
            <w:vAlign w:val="bottom"/>
            <w:tcBorders>
              <w:right w:val="single" w:sz="8" w:color="auto"/>
            </w:tcBorders>
            <w:gridSpan w:val="3"/>
          </w:tcPr>
          <w:p>
            <w:pPr>
              <w:spacing w:after="0" w:line="229" w:lineRule="exact"/>
              <w:rPr>
                <w:sz w:val="20"/>
                <w:szCs w:val="20"/>
                <w:color w:val="auto"/>
              </w:rPr>
            </w:pPr>
            <w:r>
              <w:rPr>
                <w:rFonts w:ascii="Arial" w:cs="Arial" w:eastAsia="Arial" w:hAnsi="Arial"/>
                <w:sz w:val="22"/>
                <w:szCs w:val="22"/>
                <w:color w:val="auto"/>
              </w:rPr>
              <w:t>Capacity</w:t>
            </w:r>
          </w:p>
        </w:tc>
        <w:tc>
          <w:tcPr>
            <w:tcW w:w="40" w:type="dxa"/>
            <w:vAlign w:val="bottom"/>
          </w:tcPr>
          <w:p>
            <w:pPr>
              <w:spacing w:after="0"/>
              <w:rPr>
                <w:sz w:val="19"/>
                <w:szCs w:val="19"/>
                <w:color w:val="auto"/>
              </w:rPr>
            </w:pPr>
          </w:p>
        </w:tc>
        <w:tc>
          <w:tcPr>
            <w:tcW w:w="3180" w:type="dxa"/>
            <w:vAlign w:val="bottom"/>
            <w:tcBorders>
              <w:right w:val="single" w:sz="8" w:color="auto"/>
            </w:tcBorders>
            <w:gridSpan w:val="4"/>
          </w:tcPr>
          <w:p>
            <w:pPr>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Victory Receivables Corporation</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Conduit Purchaser</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MUFG Bank, LTD.</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Committed Purchaser</w:t>
            </w:r>
          </w:p>
        </w:tc>
        <w:tc>
          <w:tcPr>
            <w:tcW w:w="32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$125,000,000</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MUFG Bank, LTD.</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Purchaser Agent</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818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rPr>
              <w:t>Purchaser Group of Sumitomo Mitsui Banking Corporation</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2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3960" w:type="dxa"/>
            <w:vAlign w:val="bottom"/>
            <w:tcBorders>
              <w:right w:val="single" w:sz="8" w:color="auto"/>
            </w:tcBorders>
            <w:gridSpan w:val="3"/>
          </w:tcPr>
          <w:p>
            <w:pPr>
              <w:spacing w:after="0" w:line="229" w:lineRule="exact"/>
              <w:rPr>
                <w:sz w:val="20"/>
                <w:szCs w:val="20"/>
                <w:color w:val="auto"/>
              </w:rPr>
            </w:pPr>
            <w:r>
              <w:rPr>
                <w:rFonts w:ascii="Arial" w:cs="Arial" w:eastAsia="Arial" w:hAnsi="Arial"/>
                <w:sz w:val="22"/>
                <w:szCs w:val="22"/>
                <w:color w:val="auto"/>
              </w:rPr>
              <w:t>Capacity</w:t>
            </w:r>
          </w:p>
        </w:tc>
        <w:tc>
          <w:tcPr>
            <w:tcW w:w="40" w:type="dxa"/>
            <w:vAlign w:val="bottom"/>
          </w:tcPr>
          <w:p>
            <w:pPr>
              <w:spacing w:after="0"/>
              <w:rPr>
                <w:sz w:val="19"/>
                <w:szCs w:val="19"/>
                <w:color w:val="auto"/>
              </w:rPr>
            </w:pPr>
          </w:p>
        </w:tc>
        <w:tc>
          <w:tcPr>
            <w:tcW w:w="3180" w:type="dxa"/>
            <w:vAlign w:val="bottom"/>
            <w:tcBorders>
              <w:right w:val="single" w:sz="8" w:color="auto"/>
            </w:tcBorders>
            <w:gridSpan w:val="4"/>
          </w:tcPr>
          <w:p>
            <w:pPr>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Manhattan Asset Funding Co., LLC</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Conduit Purchaser</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Sumitomo Mitsui Banking Corporation</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Committed Purchaser</w:t>
            </w:r>
          </w:p>
        </w:tc>
        <w:tc>
          <w:tcPr>
            <w:tcW w:w="32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$100,000,000</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SMBC Nikko Securities America, Inc.</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Purchaser Agent</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Purchaser Group of Mizuho Bank, Ltd.</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2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396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Capacity</w:t>
            </w:r>
          </w:p>
        </w:tc>
        <w:tc>
          <w:tcPr>
            <w:tcW w:w="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gridSpan w:val="4"/>
          </w:tcPr>
          <w:p>
            <w:pPr>
              <w:ind w:left="20"/>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Mizuho Bank, Ltd.</w:t>
            </w:r>
          </w:p>
        </w:tc>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Committed Purchaser</w:t>
            </w:r>
          </w:p>
        </w:tc>
        <w:tc>
          <w:tcPr>
            <w:tcW w:w="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rPr>
              <w:t>$112,500,000</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Mizuho Bank, Ltd.</w:t>
            </w:r>
          </w:p>
        </w:tc>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Purchaser Agent</w:t>
            </w:r>
          </w:p>
        </w:tc>
        <w:tc>
          <w:tcPr>
            <w:tcW w:w="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FLOW OF FUNDS MEMORANDUM</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11440"/>
          </w:cols>
          <w:pgMar w:left="240" w:top="166" w:right="2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8, 2018</w:t>
      </w:r>
    </w:p>
    <w:p>
      <w:pPr>
        <w:sectPr>
          <w:pgSz w:w="11900" w:h="16838" w:orient="portrait"/>
          <w:cols w:equalWidth="0" w:num="1">
            <w:col w:w="11420"/>
          </w:cols>
          <w:pgMar w:left="240" w:top="58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R. Dey, certify that:</w:t>
      </w:r>
    </w:p>
    <w:p>
      <w:pPr>
        <w:spacing w:after="0" w:line="117"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8, 2018</w:t>
      </w:r>
    </w:p>
    <w:p>
      <w:pPr>
        <w:sectPr>
          <w:pgSz w:w="11900" w:h="16838" w:orient="portrait"/>
          <w:cols w:equalWidth="0" w:num="1">
            <w:col w:w="11420"/>
          </w:cols>
          <w:pgMar w:left="240" w:top="80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FleetCor Technologies, Inc., a Delaware corporation (the “Company”), on Form 10-Q for the period ended September 30, 2018, as filed with the Securities and Exchange Commission (the “Report”), Ronald F. Clarke, Chief Executive Officer of the Company, does hereby certify, pursuant to § 906 of the Sarbanes-Oxley Act of 2002 (18 U.S.C. § 1350), that to his knowledge:</w:t>
      </w:r>
    </w:p>
    <w:p>
      <w:pPr>
        <w:spacing w:after="0" w:line="73"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8, 2018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of FleetCor Technologies, Inc., a Delaware corporation (the “Company”), on Form 10-Q for the period ended September 30, 2018, as filed with the Securities and Exchange Commission (the “Report”), Eric R. Dey, Chief Financial Officer of the Company, does hereby certify, pursuant to § 906 of the Sarbanes-Oxley Act of 2002 (18 U.S.C. § 1350), that to his knowledge:</w:t>
      </w:r>
    </w:p>
    <w:p>
      <w:pPr>
        <w:spacing w:after="0" w:line="73"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8, 2018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bullet"/>
      <w:start w:val="1"/>
    </w:lvl>
  </w:abstractNum>
  <w:abstractNum w:abstractNumId="3">
    <w:nsid w:val="7724C67E"/>
    <w:multiLevelType w:val="hybridMultilevel"/>
    <w:lvl w:ilvl="0">
      <w:lvlJc w:val="left"/>
      <w:lvlText w:val="1"/>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820"/>
    </w:lvl>
  </w:abstractNum>
  <w:abstractNum w:abstractNumId="6">
    <w:nsid w:val="5E884ADC"/>
    <w:multiLevelType w:val="hybridMultilevel"/>
    <w:lvl w:ilvl="0">
      <w:lvlJc w:val="left"/>
      <w:lvlText w:val="%1."/>
      <w:numFmt w:val="lowerLetter"/>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lowerLetter"/>
      <w:start w:val="1"/>
    </w:lvl>
  </w:abstractNum>
  <w:abstractNum w:abstractNumId="9">
    <w:nsid w:val="580BD78F"/>
    <w:multiLevelType w:val="hybridMultilevel"/>
    <w:lvl w:ilvl="0">
      <w:lvlJc w:val="left"/>
      <w:lvlText w:val="(%1)"/>
      <w:numFmt w:val="lowerLetter"/>
      <w:start w:val="2"/>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bullet"/>
      <w:start w:val="1"/>
    </w:lvl>
  </w:abstractNum>
  <w:abstractNum w:abstractNumId="12">
    <w:nsid w:val="70A64E2A"/>
    <w:multiLevelType w:val="hybridMultilevel"/>
    <w:lvl w:ilvl="0">
      <w:lvlJc w:val="left"/>
      <w:lvlText w:val="1"/>
      <w:numFmt w:val="bullet"/>
      <w:start w:val="1"/>
    </w:lvl>
  </w:abstractNum>
  <w:abstractNum w:abstractNumId="13">
    <w:nsid w:val="6A2342EC"/>
    <w:multiLevelType w:val="hybridMultilevel"/>
    <w:lvl w:ilvl="0">
      <w:lvlJc w:val="left"/>
      <w:lvlText w:val="2"/>
      <w:numFmt w:val="bullet"/>
      <w:start w:val="1"/>
    </w:lvl>
  </w:abstractNum>
  <w:abstractNum w:abstractNumId="14">
    <w:nsid w:val="2A487CB0"/>
    <w:multiLevelType w:val="hybridMultilevel"/>
    <w:lvl w:ilvl="0">
      <w:lvlJc w:val="left"/>
      <w:lvlText w:val="4"/>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1"/>
      <w:numFmt w:val="bullet"/>
      <w:start w:val="1"/>
    </w:lvl>
  </w:abstractNum>
  <w:abstractNum w:abstractNumId="24">
    <w:nsid w:val="7644A45C"/>
    <w:multiLevelType w:val="hybridMultilevel"/>
    <w:lvl w:ilvl="0">
      <w:lvlJc w:val="left"/>
      <w:lvlText w:val="2"/>
      <w:numFmt w:val="bullet"/>
      <w:start w:val="1"/>
    </w:lvl>
  </w:abstractNum>
  <w:abstractNum w:abstractNumId="25">
    <w:nsid w:val="32FFF902"/>
    <w:multiLevelType w:val="hybridMultilevel"/>
    <w:lvl w:ilvl="0">
      <w:lvlJc w:val="left"/>
      <w:lvlText w:val="3"/>
      <w:numFmt w:val="bullet"/>
      <w:start w:val="1"/>
    </w:lvl>
  </w:abstractNum>
  <w:abstractNum w:abstractNumId="26">
    <w:nsid w:val="684A481A"/>
    <w:multiLevelType w:val="hybridMultilevel"/>
    <w:lvl w:ilvl="0">
      <w:lvlJc w:val="left"/>
      <w:lvlText w:val="4"/>
      <w:numFmt w:val="bullet"/>
      <w:start w:val="1"/>
    </w:lvl>
  </w:abstractNum>
  <w:abstractNum w:abstractNumId="27">
    <w:nsid w:val="579478FE"/>
    <w:multiLevelType w:val="hybridMultilevel"/>
    <w:lvl w:ilvl="0">
      <w:lvlJc w:val="left"/>
      <w:lvlText w:val="5"/>
      <w:numFmt w:val="bullet"/>
      <w:start w:val="1"/>
    </w:lvl>
  </w:abstractNum>
  <w:abstractNum w:abstractNumId="28">
    <w:nsid w:val="749ABB43"/>
    <w:multiLevelType w:val="hybridMultilevel"/>
    <w:lvl w:ilvl="0">
      <w:lvlJc w:val="left"/>
      <w:lvlText w:val="1"/>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1"/>
      <w:numFmt w:val="bullet"/>
      <w:start w:val="1"/>
    </w:lvl>
  </w:abstractNum>
  <w:abstractNum w:abstractNumId="33">
    <w:nsid w:val="12E685FB"/>
    <w:multiLevelType w:val="hybridMultilevel"/>
    <w:lvl w:ilvl="0">
      <w:lvlJc w:val="left"/>
      <w:lvlText w:val="2"/>
      <w:numFmt w:val="bullet"/>
      <w:start w:val="1"/>
    </w:lvl>
  </w:abstractNum>
  <w:abstractNum w:abstractNumId="34">
    <w:nsid w:val="70C6A529"/>
    <w:multiLevelType w:val="hybridMultilevel"/>
    <w:lvl w:ilvl="0">
      <w:lvlJc w:val="left"/>
      <w:lvlText w:val="3"/>
      <w:numFmt w:val="bullet"/>
      <w:start w:val="1"/>
    </w:lvl>
  </w:abstractNum>
  <w:abstractNum w:abstractNumId="35">
    <w:nsid w:val="520EEDD1"/>
    <w:multiLevelType w:val="hybridMultilevel"/>
    <w:lvl w:ilvl="0">
      <w:lvlJc w:val="left"/>
      <w:lvlText w:val="4"/>
      <w:numFmt w:val="bullet"/>
      <w:start w:val="1"/>
    </w:lvl>
  </w:abstractNum>
  <w:abstractNum w:abstractNumId="36">
    <w:nsid w:val="374A3FE6"/>
    <w:multiLevelType w:val="hybridMultilevel"/>
    <w:lvl w:ilvl="0">
      <w:lvlJc w:val="left"/>
      <w:lvlText w:val="5"/>
      <w:numFmt w:val="bullet"/>
      <w:start w:val="1"/>
    </w:lvl>
  </w:abstractNum>
  <w:abstractNum w:abstractNumId="37">
    <w:nsid w:val="4F4EF005"/>
    <w:multiLevelType w:val="hybridMultilevel"/>
    <w:lvl w:ilvl="0">
      <w:lvlJc w:val="left"/>
      <w:lvlText w:val="%1"/>
      <w:numFmt w:val="decimal"/>
      <w:start w:val="101"/>
    </w:lvl>
  </w:abstractNum>
  <w:abstractNum w:abstractNumId="38">
    <w:nsid w:val="23F9C13C"/>
    <w:multiLevelType w:val="hybridMultilevel"/>
    <w:lvl w:ilvl="0">
      <w:lvlJc w:val="left"/>
      <w:lvlText w:val="%1."/>
      <w:numFmt w:val="decimal"/>
      <w:start w:val="1"/>
    </w:lvl>
    <w:lvl w:ilvl="1">
      <w:lvlJc w:val="left"/>
      <w:lvlText w:val="(%2)"/>
      <w:numFmt w:val="lowerLetter"/>
      <w:start w:val="1"/>
    </w:lvl>
  </w:abstractNum>
  <w:abstractNum w:abstractNumId="39">
    <w:nsid w:val="649BB77C"/>
    <w:multiLevelType w:val="hybridMultilevel"/>
    <w:lvl w:ilvl="0">
      <w:lvlJc w:val="left"/>
      <w:lvlText w:val="(%1)"/>
      <w:numFmt w:val="lowerLetter"/>
      <w:start w:val="2"/>
    </w:lvl>
  </w:abstractNum>
  <w:abstractNum w:abstractNumId="40">
    <w:nsid w:val="275AC794"/>
    <w:multiLevelType w:val="hybridMultilevel"/>
    <w:lvl w:ilvl="0">
      <w:lvlJc w:val="left"/>
      <w:lvlText w:val="(%1)"/>
      <w:numFmt w:val="lowerLetter"/>
      <w:start w:val="6"/>
    </w:lvl>
    <w:lvl w:ilvl="1">
      <w:lvlJc w:val="left"/>
      <w:lvlText w:val="(%2)"/>
      <w:numFmt w:val="lowerLetter"/>
      <w:start w:val="2"/>
    </w:lvl>
  </w:abstractNum>
  <w:abstractNum w:abstractNumId="41">
    <w:nsid w:val="39386575"/>
    <w:multiLevelType w:val="hybridMultilevel"/>
    <w:lvl w:ilvl="0">
      <w:lvlJc w:val="left"/>
      <w:lvlText w:val="%1"/>
      <w:numFmt w:val="lowerRoman"/>
      <w:start w:val="1"/>
    </w:lvl>
    <w:lvl w:ilvl="1">
      <w:lvlJc w:val="left"/>
      <w:lvlText w:val="(%2)"/>
      <w:numFmt w:val="lowerRoman"/>
      <w:start w:val="1"/>
    </w:lvl>
  </w:abstractNum>
  <w:abstractNum w:abstractNumId="42">
    <w:nsid w:val="1CF10FD8"/>
    <w:multiLevelType w:val="hybridMultilevel"/>
    <w:lvl w:ilvl="0">
      <w:lvlJc w:val="left"/>
      <w:lvlText w:val="(%1)"/>
      <w:numFmt w:val="lowerRoman"/>
      <w:start w:val="2"/>
    </w:lvl>
    <w:lvl w:ilvl="1">
      <w:lvlJc w:val="left"/>
      <w:lvlText w:val="%2"/>
      <w:numFmt w:val="lowerRoman"/>
      <w:start w:val="1"/>
    </w:lvl>
  </w:abstractNum>
  <w:abstractNum w:abstractNumId="43">
    <w:nsid w:val="180115BE"/>
    <w:multiLevelType w:val="hybridMultilevel"/>
    <w:lvl w:ilvl="0">
      <w:lvlJc w:val="left"/>
      <w:lvlText w:val="%1."/>
      <w:numFmt w:val="decimal"/>
      <w:start w:val="2"/>
    </w:lvl>
    <w:lvl w:ilvl="1">
      <w:lvlJc w:val="left"/>
      <w:lvlText w:val="(%2)"/>
      <w:numFmt w:val="lowerLetter"/>
      <w:start w:val="1"/>
    </w:lvl>
  </w:abstractNum>
  <w:abstractNum w:abstractNumId="44">
    <w:nsid w:val="235BA8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
    <w:nsid w:val="47398C89"/>
    <w:multiLevelType w:val="hybridMultilevel"/>
    <w:lvl w:ilvl="0">
      <w:lvlJc w:val="left"/>
      <w:lvlText w:val="(%1)"/>
      <w:numFmt w:val="lowerLetter"/>
      <w:start w:val="7"/>
    </w:lvl>
  </w:abstractNum>
  <w:abstractNum w:abstractNumId="46">
    <w:nsid w:val="354FE9F9"/>
    <w:multiLevelType w:val="hybridMultilevel"/>
    <w:lvl w:ilvl="0">
      <w:lvlJc w:val="left"/>
      <w:lvlText w:val="(%1)"/>
      <w:numFmt w:val="lowerRoman"/>
      <w:start w:val="1"/>
    </w:lvl>
  </w:abstractNum>
  <w:abstractNum w:abstractNumId="47">
    <w:nsid w:val="15B5AF5C"/>
    <w:multiLevelType w:val="hybridMultilevel"/>
    <w:lvl w:ilvl="0">
      <w:lvlJc w:val="left"/>
      <w:lvlText w:val="%1."/>
      <w:numFmt w:val="upperLetter"/>
      <w:start w:val="1"/>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lowerLetter"/>
      <w:start w:val="2"/>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52">
    <w:nsid w:val="61574095"/>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
    </w:lvl>
  </w:abstractNum>
  <w:abstractNum w:abstractNumId="53">
    <w:nsid w:val="7E0C57B1"/>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4"/>
    </w:lvl>
  </w:abstractNum>
  <w:abstractNum w:abstractNumId="54">
    <w:nsid w:val="77AE35EB"/>
    <w:multiLevelType w:val="hybridMultilevel"/>
    <w:lvl w:ilvl="0">
      <w:lvlJc w:val="left"/>
      <w:lvlText w:val="(%1)"/>
      <w:numFmt w:val="lowerLetter"/>
      <w:start w:val="3"/>
    </w:lvl>
    <w:lvl w:ilvl="1">
      <w:lvlJc w:val="left"/>
      <w:lvlText w:val="%2"/>
      <w:numFmt w:val="upperLetter"/>
      <w:start w:val="1"/>
    </w:lvl>
    <w:lvl w:ilvl="2">
      <w:lvlJc w:val="left"/>
      <w:lvlText w:val="%3"/>
      <w:numFmt w:val="lowerLetter"/>
      <w:start w:val="1"/>
    </w:lvl>
  </w:abstractNum>
  <w:abstractNum w:abstractNumId="55">
    <w:nsid w:val="579BE4F1"/>
    <w:multiLevelType w:val="hybridMultilevel"/>
    <w:lvl w:ilvl="0">
      <w:lvlJc w:val="left"/>
      <w:lvlText w:val="(%1)"/>
      <w:numFmt w:val="lowerLetter"/>
      <w:start w:val="4"/>
    </w:lvl>
  </w:abstractNum>
  <w:abstractNum w:abstractNumId="56">
    <w:nsid w:val="310C50B3"/>
    <w:multiLevelType w:val="hybridMultilevel"/>
    <w:lvl w:ilvl="0">
      <w:lvlJc w:val="left"/>
      <w:lvlText w:val="(%1)"/>
      <w:numFmt w:val="lowerLetter"/>
      <w:start w:val="6"/>
    </w:lvl>
  </w:abstractNum>
  <w:abstractNum w:abstractNumId="57">
    <w:nsid w:val="5FF87E05"/>
    <w:multiLevelType w:val="hybridMultilevel"/>
    <w:lvl w:ilvl="0">
      <w:lvlJc w:val="left"/>
      <w:lvlText w:val="(%1)"/>
      <w:numFmt w:val="lowerLetter"/>
      <w:start w:val="7"/>
    </w:lvl>
  </w:abstractNum>
  <w:abstractNum w:abstractNumId="58">
    <w:nsid w:val="2F305DEF"/>
    <w:multiLevelType w:val="hybridMultilevel"/>
    <w:lvl w:ilvl="0">
      <w:lvlJc w:val="left"/>
      <w:lvlText w:val="(%1)"/>
      <w:numFmt w:val="lowerLetter"/>
      <w:start w:val="8"/>
    </w:lvl>
    <w:lvl w:ilvl="1">
      <w:lvlJc w:val="left"/>
      <w:lvlText w:val="(%2)"/>
      <w:numFmt w:val="lowerLetter"/>
      <w:start w:val="14"/>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lowerLetter"/>
      <w:start w:val="4"/>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decimal"/>
      <w:start w:val="5"/>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5"/>
    </w:lvl>
  </w:abstractNum>
  <w:abstractNum w:abstractNumId="68">
    <w:nsid w:val="5F5E7FD0"/>
    <w:multiLevelType w:val="hybridMultilevel"/>
    <w:lvl w:ilvl="0">
      <w:lvlJc w:val="left"/>
      <w:lvlText w:val="%1)"/>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19" Type="http://schemas.openxmlformats.org/officeDocument/2006/relationships/hyperlink" Target="http://www.sec.gov/Archives/edgar/data/1175454/000119312516510408/d167782dex21.htm" TargetMode="External"/><Relationship Id="rId20" Type="http://schemas.openxmlformats.org/officeDocument/2006/relationships/hyperlink" Target="http://www.sec.gov/Archives/edgar/data/1175454/000119312511078175/dex31.htm" TargetMode="External"/><Relationship Id="rId21" Type="http://schemas.openxmlformats.org/officeDocument/2006/relationships/hyperlink" Target="http://www.sec.gov/Archives/edgar/data/1175454/000129993318000489/exhibit1.htm" TargetMode="External"/><Relationship Id="rId22" Type="http://schemas.openxmlformats.org/officeDocument/2006/relationships/hyperlink" Target="http://www.sec.gov/Archives/edgar/data/1175454/000129993318000095/exhibit1.htm" TargetMode="External"/><Relationship Id="rId23" Type="http://schemas.openxmlformats.org/officeDocument/2006/relationships/hyperlink" Target="http://www.sec.gov/Archives/edgar/data/1175454/00011931251014994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2019-12-28T18:07:47Z</dcterms:created>
  <dcterms:modified xsi:type="dcterms:W3CDTF">2019-12-28T18:07:47Z</dcterms:modified>
</cp:coreProperties>
</file>