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001-35004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Corpay, Inc.</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w:t>
      </w:r>
    </w:p>
    <w:tbl>
      <w:tblPr>
        <w:tblW w:w="6601" w:type="dxa"/>
        <w:jc w:val="center"/>
        <w:tblInd w:w="0" w:type="dxa"/>
        <w:tblLayout w:type="fixed"/>
        <w:tblCellMar>
          <w:top w:w="28" w:type="dxa"/>
          <w:left w:w="28" w:type="dxa"/>
          <w:bottom w:w="28" w:type="dxa"/>
          <w:right w:w="28" w:type="dxa"/>
        </w:tblCellMar>
      </w:tblPr>
      <w:tblGrid>
        <w:gridCol w:w="1220"/>
        <w:gridCol w:w="1073"/>
        <w:gridCol w:w="1082"/>
        <w:gridCol w:w="245"/>
        <w:gridCol w:w="245"/>
        <w:gridCol w:w="246"/>
        <w:gridCol w:w="270"/>
        <w:gridCol w:w="270"/>
        <w:gridCol w:w="271"/>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72-1074903</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3280 Peachtree Road, Suite 2400</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Atlanta</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Georgia</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30305</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2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Registrant’s telephone number, including area code: (770) 449-0479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CPAY</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35"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5545" w:type="dxa"/>
        <w:jc w:val="left"/>
        <w:tblInd w:w="0" w:type="dxa"/>
        <w:tblLayout w:type="fixed"/>
        <w:tblCellMar>
          <w:top w:w="28" w:type="dxa"/>
          <w:left w:w="28" w:type="dxa"/>
          <w:bottom w:w="28" w:type="dxa"/>
          <w:right w:w="28" w:type="dxa"/>
        </w:tblCellMar>
      </w:tblPr>
      <w:tblGrid>
        <w:gridCol w:w="1058"/>
        <w:gridCol w:w="925"/>
        <w:gridCol w:w="941"/>
        <w:gridCol w:w="109"/>
        <w:gridCol w:w="109"/>
        <w:gridCol w:w="109"/>
        <w:gridCol w:w="671"/>
        <w:gridCol w:w="671"/>
        <w:gridCol w:w="952"/>
      </w:tblGrid>
      <w:tr>
        <w:trPr/>
        <w:tc>
          <w:tcPr>
            <w:tcW w:w="105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at 7/31/2026</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65,659,599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Three and Six Months Ended June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2"/>
        <w:gridCol w:w="302"/>
        <w:gridCol w:w="264"/>
        <w:gridCol w:w="2729"/>
        <w:gridCol w:w="2644"/>
        <w:gridCol w:w="2651"/>
        <w:gridCol w:w="368"/>
        <w:gridCol w:w="368"/>
        <w:gridCol w:w="537"/>
      </w:tblGrid>
      <w:tr>
        <w:trPr/>
        <w:tc>
          <w:tcPr>
            <w:tcW w:w="34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I—FINANCIAL INFORMATION</w:t>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13">
              <w:r>
                <w:rPr>
                  <w:rStyle w:val="InternetLink"/>
                  <w:rFonts w:ascii="Times New Roman;serif" w:hAnsi="Times New Roman;serif"/>
                  <w:b w:val="false"/>
                  <w:strike w:val="false"/>
                  <w:dstrike w:val="false"/>
                  <w:color w:val="000000"/>
                  <w:sz w:val="20"/>
                  <w:u w:val="none"/>
                  <w:effect w:val="none"/>
                </w:rPr>
                <w:t>FINANCIAL STATEMENTS</w:t>
              </w:r>
            </w:hyperlink>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16">
              <w:r>
                <w:rPr>
                  <w:rStyle w:val="InternetLink"/>
                  <w:rFonts w:ascii="Times New Roman;serif" w:hAnsi="Times New Roman;serif"/>
                  <w:b w:val="false"/>
                  <w:color w:val="000080"/>
                  <w:sz w:val="20"/>
                  <w:u w:val="single"/>
                </w:rPr>
                <w:t xml:space="preserve">Consolidated Balance Sheets at </w:t>
              </w:r>
            </w:hyperlink>
            <w:r>
              <w:rPr>
                <w:rFonts w:ascii="Times New Roman;serif" w:hAnsi="Times New Roman;serif"/>
                <w:b w:val="false"/>
                <w:color w:val="0E32E1"/>
                <w:sz w:val="20"/>
                <w:u w:val="single"/>
              </w:rPr>
              <w:t>June 30, 2026</w:t>
            </w:r>
            <w:hyperlink w:anchor="ib9efe4cab6734ce9b258158dd8138d76_16">
              <w:r>
                <w:rPr>
                  <w:rStyle w:val="InternetLink"/>
                  <w:rFonts w:ascii="Times New Roman;serif" w:hAnsi="Times New Roman;serif"/>
                  <w:b w:val="false"/>
                  <w:color w:val="000080"/>
                  <w:sz w:val="20"/>
                  <w:u w:val="single"/>
                </w:rPr>
                <w:t xml:space="preserve"> (unaudited) and December 31, </w:t>
              </w:r>
            </w:hyperlink>
            <w:r>
              <w:rPr>
                <w:rFonts w:ascii="Times New Roman;serif" w:hAnsi="Times New Roman;serif"/>
                <w:b w:val="false"/>
                <w:color w:val="0E32E1"/>
                <w:sz w:val="20"/>
                <w:u w:val="single"/>
              </w:rPr>
              <w:t>2025</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16">
              <w:r>
                <w:rPr>
                  <w:rStyle w:val="InternetLink"/>
                  <w:rFonts w:ascii="Times New Roman;serif" w:hAnsi="Times New Roman;serif"/>
                  <w:b w:val="false"/>
                  <w:strike w:val="false"/>
                  <w:dstrike w:val="false"/>
                  <w:color w:val="000000"/>
                  <w:sz w:val="20"/>
                  <w:u w:val="none"/>
                  <w:effect w:val="none"/>
                </w:rPr>
                <w:t>1</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22">
              <w:r>
                <w:rPr>
                  <w:rStyle w:val="InternetLink"/>
                  <w:rFonts w:ascii="Times New Roman;serif" w:hAnsi="Times New Roman;serif"/>
                  <w:b w:val="false"/>
                  <w:color w:val="000080"/>
                  <w:sz w:val="20"/>
                  <w:u w:val="single"/>
                </w:rPr>
                <w:t xml:space="preserve">Unaudited Consolidated Statements of Income for the </w:t>
              </w:r>
            </w:hyperlink>
            <w:r>
              <w:rPr>
                <w:rFonts w:ascii="Times New Roman;serif" w:hAnsi="Times New Roman;serif"/>
                <w:b w:val="false"/>
                <w:color w:val="0E32E1"/>
                <w:sz w:val="20"/>
                <w:u w:val="single"/>
              </w:rPr>
              <w:t>Three and Six</w:t>
            </w:r>
            <w:hyperlink w:anchor="ib9efe4cab6734ce9b258158dd8138d76_22">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June 30, 2026</w:t>
            </w:r>
            <w:hyperlink w:anchor="ib9efe4cab6734ce9b258158dd8138d76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22">
              <w:r>
                <w:rPr>
                  <w:rStyle w:val="InternetLink"/>
                  <w:rFonts w:ascii="Times New Roman;serif" w:hAnsi="Times New Roman;serif"/>
                  <w:b w:val="false"/>
                  <w:strike w:val="false"/>
                  <w:dstrike w:val="false"/>
                  <w:color w:val="000000"/>
                  <w:sz w:val="20"/>
                  <w:u w:val="none"/>
                  <w:effect w:val="none"/>
                </w:rPr>
                <w:t>2</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25">
              <w:r>
                <w:rPr>
                  <w:rStyle w:val="InternetLink"/>
                  <w:rFonts w:ascii="Times New Roman;serif" w:hAnsi="Times New Roman;serif"/>
                  <w:b w:val="false"/>
                  <w:color w:val="000080"/>
                  <w:sz w:val="20"/>
                  <w:u w:val="single"/>
                </w:rPr>
                <w:t xml:space="preserve">Unaudited Consolidated Statements of Comprehensive Income for the </w:t>
              </w:r>
            </w:hyperlink>
            <w:r>
              <w:rPr>
                <w:rFonts w:ascii="Times New Roman;serif" w:hAnsi="Times New Roman;serif"/>
                <w:b w:val="false"/>
                <w:color w:val="0E32E1"/>
                <w:sz w:val="20"/>
                <w:u w:val="single"/>
              </w:rPr>
              <w:t>Three and Six</w:t>
            </w:r>
            <w:hyperlink w:anchor="ib9efe4cab6734ce9b258158dd8138d76_25">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June 30, 2026</w:t>
            </w:r>
            <w:hyperlink w:anchor="ib9efe4cab6734ce9b258158dd8138d76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25">
              <w:r>
                <w:rPr>
                  <w:rStyle w:val="InternetLink"/>
                  <w:rFonts w:ascii="Times New Roman;serif" w:hAnsi="Times New Roman;serif"/>
                  <w:b w:val="false"/>
                  <w:strike w:val="false"/>
                  <w:dstrike w:val="false"/>
                  <w:color w:val="000000"/>
                  <w:sz w:val="20"/>
                  <w:u w:val="none"/>
                  <w:effect w:val="none"/>
                </w:rPr>
                <w:t>3</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28">
              <w:r>
                <w:rPr>
                  <w:rStyle w:val="InternetLink"/>
                  <w:rFonts w:ascii="Times New Roman;serif" w:hAnsi="Times New Roman;serif"/>
                  <w:b w:val="false"/>
                  <w:color w:val="000080"/>
                  <w:sz w:val="20"/>
                  <w:u w:val="single"/>
                </w:rPr>
                <w:t xml:space="preserve">Unaudited Consolidated Statements of Equity for the </w:t>
              </w:r>
            </w:hyperlink>
            <w:r>
              <w:rPr>
                <w:rFonts w:ascii="Times New Roman;serif" w:hAnsi="Times New Roman;serif"/>
                <w:b w:val="false"/>
                <w:color w:val="0E32E1"/>
                <w:sz w:val="20"/>
                <w:u w:val="single"/>
              </w:rPr>
              <w:t>Three and Six</w:t>
            </w:r>
            <w:hyperlink w:anchor="ib9efe4cab6734ce9b258158dd8138d76_28">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June 30, 2026</w:t>
            </w:r>
            <w:hyperlink w:anchor="ib9efe4cab6734ce9b258158dd8138d76_28">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28">
              <w:r>
                <w:rPr>
                  <w:rStyle w:val="InternetLink"/>
                  <w:rFonts w:ascii="Times New Roman;serif" w:hAnsi="Times New Roman;serif"/>
                  <w:b w:val="false"/>
                  <w:strike w:val="false"/>
                  <w:dstrike w:val="false"/>
                  <w:color w:val="000000"/>
                  <w:sz w:val="20"/>
                  <w:u w:val="none"/>
                  <w:effect w:val="none"/>
                </w:rPr>
                <w:t>4</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31">
              <w:r>
                <w:rPr>
                  <w:rStyle w:val="InternetLink"/>
                  <w:rFonts w:ascii="Times New Roman;serif" w:hAnsi="Times New Roman;serif"/>
                  <w:b w:val="false"/>
                  <w:color w:val="000080"/>
                  <w:sz w:val="20"/>
                  <w:u w:val="single"/>
                </w:rPr>
                <w:t xml:space="preserve">Unaudited Consolidated Statements of Cash Flows for the </w:t>
              </w:r>
            </w:hyperlink>
            <w:r>
              <w:rPr>
                <w:rFonts w:ascii="Times New Roman;serif" w:hAnsi="Times New Roman;serif"/>
                <w:b w:val="false"/>
                <w:color w:val="0E32E1"/>
                <w:sz w:val="20"/>
                <w:u w:val="single"/>
              </w:rPr>
              <w:t>Six Months Ended</w:t>
            </w:r>
            <w:hyperlink w:anchor="ib9efe4cab6734ce9b258158dd8138d76_31">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E32E1"/>
                <w:sz w:val="20"/>
                <w:u w:val="single"/>
              </w:rPr>
              <w:t>June 30, 2026</w:t>
            </w:r>
            <w:hyperlink w:anchor="ib9efe4cab6734ce9b258158dd8138d76_31">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31">
              <w:r>
                <w:rPr>
                  <w:rStyle w:val="InternetLink"/>
                  <w:rFonts w:ascii="Times New Roman;serif" w:hAnsi="Times New Roman;serif"/>
                  <w:b w:val="false"/>
                  <w:strike w:val="false"/>
                  <w:dstrike w:val="false"/>
                  <w:color w:val="000000"/>
                  <w:sz w:val="20"/>
                  <w:u w:val="none"/>
                  <w:effect w:val="none"/>
                </w:rPr>
                <w:t>5</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34">
              <w:r>
                <w:rPr>
                  <w:rStyle w:val="InternetLink"/>
                  <w:rFonts w:ascii="Times New Roman;serif" w:hAnsi="Times New Roman;serif"/>
                  <w:b w:val="false"/>
                  <w:color w:val="0E32E1"/>
                  <w:sz w:val="20"/>
                  <w:u w:val="single"/>
                </w:rPr>
                <w:t>Notes to Unaudited Consolidated Financial Statements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34">
              <w:r>
                <w:rPr>
                  <w:rStyle w:val="InternetLink"/>
                  <w:rFonts w:ascii="Times New Roman;serif" w:hAnsi="Times New Roman;serif"/>
                  <w:b w:val="false"/>
                  <w:strike w:val="false"/>
                  <w:dstrike w:val="false"/>
                  <w:color w:val="000000"/>
                  <w:sz w:val="20"/>
                  <w:u w:val="none"/>
                  <w:effect w:val="none"/>
                </w:rPr>
                <w:t>6</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100">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100">
              <w:r>
                <w:rPr>
                  <w:rStyle w:val="InternetLink"/>
                  <w:rFonts w:ascii="Times New Roman;serif" w:hAnsi="Times New Roman;serif"/>
                  <w:b w:val="false"/>
                  <w:strike w:val="false"/>
                  <w:dstrike w:val="false"/>
                  <w:color w:val="000000"/>
                  <w:sz w:val="20"/>
                  <w:u w:val="none"/>
                  <w:effect w:val="none"/>
                </w:rPr>
                <w:t>27</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118">
              <w:r>
                <w:rPr>
                  <w:rStyle w:val="InternetLink"/>
                  <w:rFonts w:ascii="Times New Roman;serif" w:hAnsi="Times New Roman;serif"/>
                  <w:b w:val="false"/>
                  <w:color w:val="0E32E1"/>
                  <w:sz w:val="20"/>
                  <w:u w:val="single"/>
                </w:rPr>
                <w:t>QUANTITATIVE AND QUALITATIVE DISCLOSURES ABOUT MARKET RISK</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118">
              <w:r>
                <w:rPr>
                  <w:rStyle w:val="InternetLink"/>
                  <w:rFonts w:ascii="Times New Roman;serif" w:hAnsi="Times New Roman;serif"/>
                  <w:b w:val="false"/>
                  <w:strike w:val="false"/>
                  <w:dstrike w:val="false"/>
                  <w:color w:val="000000"/>
                  <w:sz w:val="20"/>
                  <w:u w:val="none"/>
                  <w:effect w:val="none"/>
                </w:rPr>
                <w:t>51</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121">
              <w:r>
                <w:rPr>
                  <w:rStyle w:val="InternetLink"/>
                  <w:rFonts w:ascii="Times New Roman;serif" w:hAnsi="Times New Roman;serif"/>
                  <w:b w:val="false"/>
                  <w:color w:val="0E32E1"/>
                  <w:sz w:val="20"/>
                  <w:u w:val="single"/>
                </w:rPr>
                <w:t>CONTROLS AND PROCEDURES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121">
              <w:r>
                <w:rPr>
                  <w:rStyle w:val="InternetLink"/>
                  <w:rFonts w:ascii="Times New Roman;serif" w:hAnsi="Times New Roman;serif"/>
                  <w:b w:val="false"/>
                  <w:strike w:val="false"/>
                  <w:dstrike w:val="false"/>
                  <w:color w:val="000000"/>
                  <w:sz w:val="20"/>
                  <w:u w:val="none"/>
                  <w:effect w:val="none"/>
                </w:rPr>
                <w:t>51</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II—OTHER INFORMATION</w:t>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127">
              <w:r>
                <w:rPr>
                  <w:rStyle w:val="InternetLink"/>
                  <w:rFonts w:ascii="Times New Roman;serif" w:hAnsi="Times New Roman;serif"/>
                  <w:b w:val="false"/>
                  <w:color w:val="0E32E1"/>
                  <w:sz w:val="20"/>
                  <w:u w:val="single"/>
                </w:rPr>
                <w:t>LEGAL PROCEEDINGS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127">
              <w:r>
                <w:rPr>
                  <w:rStyle w:val="InternetLink"/>
                  <w:rFonts w:ascii="Times New Roman;serif" w:hAnsi="Times New Roman;serif"/>
                  <w:b w:val="false"/>
                  <w:strike w:val="false"/>
                  <w:dstrike w:val="false"/>
                  <w:color w:val="000000"/>
                  <w:sz w:val="20"/>
                  <w:u w:val="none"/>
                  <w:effect w:val="none"/>
                </w:rPr>
                <w:t>52</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130">
              <w:r>
                <w:rPr>
                  <w:rStyle w:val="InternetLink"/>
                  <w:rFonts w:ascii="Times New Roman;serif" w:hAnsi="Times New Roman;serif"/>
                  <w:b w:val="false"/>
                  <w:color w:val="0E32E1"/>
                  <w:sz w:val="20"/>
                  <w:u w:val="single"/>
                </w:rPr>
                <w:t>RISK FACTORS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130">
              <w:r>
                <w:rPr>
                  <w:rStyle w:val="InternetLink"/>
                  <w:rFonts w:ascii="Times New Roman;serif" w:hAnsi="Times New Roman;serif"/>
                  <w:b w:val="false"/>
                  <w:strike w:val="false"/>
                  <w:dstrike w:val="false"/>
                  <w:color w:val="000000"/>
                  <w:sz w:val="20"/>
                  <w:u w:val="none"/>
                  <w:effect w:val="none"/>
                </w:rPr>
                <w:t>52</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133">
              <w:r>
                <w:rPr>
                  <w:rStyle w:val="InternetLink"/>
                  <w:rFonts w:ascii="Times New Roman;serif" w:hAnsi="Times New Roman;serif"/>
                  <w:b w:val="false"/>
                  <w:color w:val="0E32E1"/>
                  <w:sz w:val="20"/>
                  <w:u w:val="single"/>
                </w:rPr>
                <w:t>UNREGISTERED SALES OF EQUITY SECURITIES, USE OF PROCEEDS AND ISSUER PURCHASE OF EQUITY SECURITIES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133">
              <w:r>
                <w:rPr>
                  <w:rStyle w:val="InternetLink"/>
                  <w:rFonts w:ascii="Times New Roman;serif" w:hAnsi="Times New Roman;serif"/>
                  <w:b w:val="false"/>
                  <w:strike w:val="false"/>
                  <w:dstrike w:val="false"/>
                  <w:color w:val="000000"/>
                  <w:sz w:val="20"/>
                  <w:u w:val="none"/>
                  <w:effect w:val="none"/>
                </w:rPr>
                <w:t>52</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136">
              <w:r>
                <w:rPr>
                  <w:rStyle w:val="InternetLink"/>
                  <w:rFonts w:ascii="Times New Roman;serif" w:hAnsi="Times New Roman;serif"/>
                  <w:b w:val="false"/>
                  <w:color w:val="0E32E1"/>
                  <w:sz w:val="20"/>
                  <w:u w:val="single"/>
                </w:rPr>
                <w:t>DEFAULTS UPON SENIOR SECURITIES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136">
              <w:r>
                <w:rPr>
                  <w:rStyle w:val="InternetLink"/>
                  <w:rFonts w:ascii="Times New Roman;serif" w:hAnsi="Times New Roman;serif"/>
                  <w:b w:val="false"/>
                  <w:strike w:val="false"/>
                  <w:dstrike w:val="false"/>
                  <w:color w:val="000000"/>
                  <w:sz w:val="20"/>
                  <w:u w:val="none"/>
                  <w:effect w:val="none"/>
                </w:rPr>
                <w:t>53</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139">
              <w:r>
                <w:rPr>
                  <w:rStyle w:val="InternetLink"/>
                  <w:rFonts w:ascii="Times New Roman;serif" w:hAnsi="Times New Roman;serif"/>
                  <w:b w:val="false"/>
                  <w:color w:val="0E32E1"/>
                  <w:sz w:val="20"/>
                  <w:u w:val="single"/>
                </w:rPr>
                <w:t>MINE SAFETY DISCLOSURES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139">
              <w:r>
                <w:rPr>
                  <w:rStyle w:val="InternetLink"/>
                  <w:rFonts w:ascii="Times New Roman;serif" w:hAnsi="Times New Roman;serif"/>
                  <w:b w:val="false"/>
                  <w:strike w:val="false"/>
                  <w:dstrike w:val="false"/>
                  <w:color w:val="000000"/>
                  <w:sz w:val="20"/>
                  <w:u w:val="none"/>
                  <w:effect w:val="none"/>
                </w:rPr>
                <w:t>53</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142">
              <w:r>
                <w:rPr>
                  <w:rStyle w:val="InternetLink"/>
                  <w:rFonts w:ascii="Times New Roman;serif" w:hAnsi="Times New Roman;serif"/>
                  <w:b w:val="false"/>
                  <w:color w:val="0E32E1"/>
                  <w:sz w:val="20"/>
                  <w:u w:val="single"/>
                </w:rPr>
                <w:t>OTHER INFORMATION</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142">
              <w:r>
                <w:rPr>
                  <w:rStyle w:val="InternetLink"/>
                  <w:rFonts w:ascii="Times New Roman;serif" w:hAnsi="Times New Roman;serif"/>
                  <w:b w:val="false"/>
                  <w:strike w:val="false"/>
                  <w:dstrike w:val="false"/>
                  <w:color w:val="000000"/>
                  <w:sz w:val="20"/>
                  <w:u w:val="none"/>
                  <w:effect w:val="none"/>
                </w:rPr>
                <w:t>53</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145">
              <w:r>
                <w:rPr>
                  <w:rStyle w:val="InternetLink"/>
                  <w:rFonts w:ascii="Times New Roman;serif" w:hAnsi="Times New Roman;serif"/>
                  <w:b w:val="false"/>
                  <w:color w:val="0E32E1"/>
                  <w:sz w:val="20"/>
                  <w:u w:val="single"/>
                </w:rPr>
                <w:t>EXHIBITS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145">
              <w:r>
                <w:rPr>
                  <w:rStyle w:val="InternetLink"/>
                  <w:rFonts w:ascii="Times New Roman;serif" w:hAnsi="Times New Roman;serif"/>
                  <w:b w:val="false"/>
                  <w:strike w:val="false"/>
                  <w:dstrike w:val="false"/>
                  <w:color w:val="000000"/>
                  <w:sz w:val="20"/>
                  <w:u w:val="none"/>
                  <w:effect w:val="none"/>
                </w:rPr>
                <w:t>54</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efe4cab6734ce9b258158dd8138d76_148">
              <w:r>
                <w:rPr>
                  <w:rStyle w:val="InternetLink"/>
                  <w:rFonts w:ascii="Times New Roman;serif" w:hAnsi="Times New Roman;serif"/>
                  <w:b w:val="false"/>
                  <w:color w:val="0E32E1"/>
                  <w:sz w:val="20"/>
                  <w:u w:val="single"/>
                </w:rPr>
                <w:t>SIGNATURES</w:t>
              </w:r>
            </w:hyperlink>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efe4cab6734ce9b258158dd8138d76_148">
              <w:r>
                <w:rPr>
                  <w:rStyle w:val="InternetLink"/>
                  <w:rFonts w:ascii="Times New Roman;serif" w:hAnsi="Times New Roman;serif"/>
                  <w:b w:val="false"/>
                  <w:strike w:val="false"/>
                  <w:dstrike w:val="false"/>
                  <w:color w:val="000000"/>
                  <w:sz w:val="20"/>
                  <w:u w:val="none"/>
                  <w:effect w:val="none"/>
                </w:rPr>
                <w:t>55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Par Value Amounts)</w:t>
      </w:r>
    </w:p>
    <w:tbl>
      <w:tblPr>
        <w:tblW w:w="10205" w:type="dxa"/>
        <w:jc w:val="center"/>
        <w:tblInd w:w="0" w:type="dxa"/>
        <w:tblLayout w:type="fixed"/>
        <w:tblCellMar>
          <w:top w:w="28" w:type="dxa"/>
          <w:left w:w="28" w:type="dxa"/>
          <w:bottom w:w="28" w:type="dxa"/>
          <w:right w:w="28" w:type="dxa"/>
        </w:tblCellMar>
      </w:tblPr>
      <w:tblGrid>
        <w:gridCol w:w="2601"/>
        <w:gridCol w:w="2061"/>
        <w:gridCol w:w="1997"/>
        <w:gridCol w:w="109"/>
        <w:gridCol w:w="109"/>
        <w:gridCol w:w="109"/>
        <w:gridCol w:w="211"/>
        <w:gridCol w:w="1081"/>
        <w:gridCol w:w="109"/>
        <w:gridCol w:w="109"/>
        <w:gridCol w:w="109"/>
        <w:gridCol w:w="109"/>
        <w:gridCol w:w="217"/>
        <w:gridCol w:w="1113"/>
        <w:gridCol w:w="161"/>
      </w:tblGrid>
      <w:tr>
        <w:trPr/>
        <w:tc>
          <w:tcPr>
            <w:tcW w:w="2601"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2,408,097 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and other receivables (less allowance for credit losses of $176,244 at June 30, 2026 and $170,957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2,145,679 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accounts receivable—restricted for securitization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1,002,621 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16,483,992 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13,963,240 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472,310 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7,564,822 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3,237,729 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28,224,167 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26,408,135 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1,564,548 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8,118,566 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notes payable and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16,959,099 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14,296,677 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other obligations,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6,656,157 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7,882,781 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475,000,000 shares authorized; 132,878,962 shares issued and 65,655,113 shares outstanding at June 30, 2026; and 132,186,610 shares issued and 68,362,289 shares 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3,970,077 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10,264,751 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(1,392,154)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treasury stock, 67,223,849 shares at June 30, 2026 and 63,824,321 shares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(10,075,018)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(8,958,942)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Corpay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3,541,884 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3,883,864 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3,926,677 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28,224,167 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26,408,135 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59" w:type="dxa"/>
        <w:jc w:val="left"/>
        <w:tblInd w:w="0" w:type="dxa"/>
        <w:tblLayout w:type="fixed"/>
        <w:tblCellMar>
          <w:top w:w="28" w:type="dxa"/>
          <w:left w:w="28" w:type="dxa"/>
          <w:bottom w:w="28" w:type="dxa"/>
          <w:right w:w="28" w:type="dxa"/>
        </w:tblCellMar>
      </w:tblPr>
      <w:tblGrid>
        <w:gridCol w:w="1938"/>
        <w:gridCol w:w="1703"/>
        <w:gridCol w:w="2418"/>
      </w:tblGrid>
      <w:tr>
        <w:trPr/>
        <w:tc>
          <w:tcPr>
            <w:tcW w:w="193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tc>
      </w:tr>
      <w:tr>
        <w:trPr/>
        <w:tc>
          <w:tcPr>
            <w:tcW w:w="60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Income</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1420"/>
        <w:gridCol w:w="1122"/>
        <w:gridCol w:w="1125"/>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2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2,107,697 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906,514 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185,913 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720,601 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527,953 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527,401 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71,494 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earnings per share amounts are determined under the two-class method.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pStyle w:val="TextBody"/>
        <w:bidi w:val="0"/>
        <w:spacing w:before="0" w:after="0"/>
        <w:jc w:val="center"/>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Comprehensive Income</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577"/>
        <w:gridCol w:w="1338"/>
        <w:gridCol w:w="135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7"/>
      </w:tblGrid>
      <w:tr>
        <w:trPr/>
        <w:tc>
          <w:tcPr>
            <w:tcW w:w="157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527,953 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(losses) gains,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of accumulated foreign currency translation losses to net income as a result of the sale of a foreign entity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derivative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(144,384)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280,557 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808,510 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805,010 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tbl>
      <w:tblPr>
        <w:tblW w:w="12965" w:type="dxa"/>
        <w:jc w:val="left"/>
        <w:tblInd w:w="0" w:type="dxa"/>
        <w:tblLayout w:type="fixed"/>
        <w:tblCellMar>
          <w:top w:w="28" w:type="dxa"/>
          <w:left w:w="28" w:type="dxa"/>
          <w:bottom w:w="28" w:type="dxa"/>
          <w:right w:w="28" w:type="dxa"/>
        </w:tblCellMar>
      </w:tblPr>
      <w:tblGrid>
        <w:gridCol w:w="709"/>
        <w:gridCol w:w="268"/>
        <w:gridCol w:w="269"/>
        <w:gridCol w:w="109"/>
        <w:gridCol w:w="109"/>
        <w:gridCol w:w="109"/>
        <w:gridCol w:w="196"/>
        <w:gridCol w:w="421"/>
        <w:gridCol w:w="109"/>
        <w:gridCol w:w="109"/>
        <w:gridCol w:w="109"/>
        <w:gridCol w:w="109"/>
        <w:gridCol w:w="196"/>
        <w:gridCol w:w="871"/>
        <w:gridCol w:w="109"/>
        <w:gridCol w:w="109"/>
        <w:gridCol w:w="109"/>
        <w:gridCol w:w="109"/>
        <w:gridCol w:w="196"/>
        <w:gridCol w:w="961"/>
        <w:gridCol w:w="109"/>
        <w:gridCol w:w="109"/>
        <w:gridCol w:w="109"/>
        <w:gridCol w:w="109"/>
        <w:gridCol w:w="196"/>
        <w:gridCol w:w="886"/>
        <w:gridCol w:w="109"/>
        <w:gridCol w:w="109"/>
        <w:gridCol w:w="109"/>
        <w:gridCol w:w="109"/>
        <w:gridCol w:w="196"/>
        <w:gridCol w:w="976"/>
        <w:gridCol w:w="109"/>
        <w:gridCol w:w="109"/>
        <w:gridCol w:w="109"/>
        <w:gridCol w:w="109"/>
        <w:gridCol w:w="196"/>
        <w:gridCol w:w="871"/>
        <w:gridCol w:w="109"/>
        <w:gridCol w:w="109"/>
        <w:gridCol w:w="109"/>
        <w:gridCol w:w="109"/>
        <w:gridCol w:w="219"/>
        <w:gridCol w:w="724"/>
        <w:gridCol w:w="123"/>
        <w:gridCol w:w="109"/>
        <w:gridCol w:w="109"/>
        <w:gridCol w:w="109"/>
        <w:gridCol w:w="196"/>
        <w:gridCol w:w="871"/>
        <w:gridCol w:w="154"/>
      </w:tblGrid>
      <w:tr>
        <w:trPr/>
        <w:tc>
          <w:tcPr>
            <w:tcW w:w="7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 Corpay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Non-controlling Interest</w:t>
            </w:r>
            <w:r>
              <w:rPr>
                <w:rFonts w:ascii="Times New Roman;serif" w:hAnsi="Times New Roman;serif"/>
                <w:b/>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3,970,077 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10,264,751 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(1,392,154)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(8,958,942)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3,926,677 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Remeasurement to redemption value on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4,009,290 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10,611,840 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(1,358,886)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(9,752,248)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45,374 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3,555,502 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to redemption value on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4,116,011 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10,857,309 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(1,356,551)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(10,075,018)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3,541,884 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46,068 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3,587,952 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725" w:type="dxa"/>
        <w:jc w:val="left"/>
        <w:tblInd w:w="0" w:type="dxa"/>
        <w:tblLayout w:type="fixed"/>
        <w:tblCellMar>
          <w:top w:w="28" w:type="dxa"/>
          <w:left w:w="28" w:type="dxa"/>
          <w:bottom w:w="28" w:type="dxa"/>
          <w:right w:w="28" w:type="dxa"/>
        </w:tblCellMar>
      </w:tblPr>
      <w:tblGrid>
        <w:gridCol w:w="649"/>
        <w:gridCol w:w="268"/>
        <w:gridCol w:w="269"/>
        <w:gridCol w:w="109"/>
        <w:gridCol w:w="109"/>
        <w:gridCol w:w="109"/>
        <w:gridCol w:w="196"/>
        <w:gridCol w:w="421"/>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196"/>
        <w:gridCol w:w="886"/>
        <w:gridCol w:w="109"/>
        <w:gridCol w:w="109"/>
        <w:gridCol w:w="109"/>
        <w:gridCol w:w="109"/>
        <w:gridCol w:w="196"/>
        <w:gridCol w:w="871"/>
        <w:gridCol w:w="109"/>
        <w:gridCol w:w="109"/>
        <w:gridCol w:w="109"/>
        <w:gridCol w:w="109"/>
        <w:gridCol w:w="219"/>
        <w:gridCol w:w="724"/>
        <w:gridCol w:w="123"/>
        <w:gridCol w:w="109"/>
        <w:gridCol w:w="109"/>
        <w:gridCol w:w="109"/>
        <w:gridCol w:w="196"/>
        <w:gridCol w:w="871"/>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Corpay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9,196,405 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(1,713,996)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(8,171,329)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3,145,989 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controlling interest of 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9,439,638 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(1,606,002)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(8,230,047)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3,453,836 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3,494,082 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3,902,867 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9,723,806 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(1,436,386)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(8,261,846)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3,928,573 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38,606 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3,967,179 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Excludes redeemable noncontrolling interest of $314 million classified as mezzanine equity at June 30, 2026. See Note 1 for additional information.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tbl>
      <w:tblPr>
        <w:tblW w:w="9711" w:type="dxa"/>
        <w:jc w:val="center"/>
        <w:tblInd w:w="0" w:type="dxa"/>
        <w:tblLayout w:type="fixed"/>
        <w:tblCellMar>
          <w:top w:w="28" w:type="dxa"/>
          <w:left w:w="28" w:type="dxa"/>
          <w:bottom w:w="28" w:type="dxa"/>
          <w:right w:w="28" w:type="dxa"/>
        </w:tblCellMar>
      </w:tblPr>
      <w:tblGrid>
        <w:gridCol w:w="2287"/>
        <w:gridCol w:w="2007"/>
        <w:gridCol w:w="2021"/>
        <w:gridCol w:w="109"/>
        <w:gridCol w:w="109"/>
        <w:gridCol w:w="109"/>
        <w:gridCol w:w="211"/>
        <w:gridCol w:w="1081"/>
        <w:gridCol w:w="109"/>
        <w:gridCol w:w="109"/>
        <w:gridCol w:w="109"/>
        <w:gridCol w:w="109"/>
        <w:gridCol w:w="211"/>
        <w:gridCol w:w="976"/>
        <w:gridCol w:w="154"/>
      </w:tblGrid>
      <w:tr>
        <w:trPr/>
        <w:tc>
          <w:tcPr>
            <w:tcW w:w="228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accounts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legal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and premium on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acquisitions/disposition):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1,066,096 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disposal of a business, net of cash disposed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cost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(222,640)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securitization facility,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subsidiary swingline,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classified within current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5,531,358 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350,478 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261,987 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assets accrued at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59" w:type="dxa"/>
        <w:jc w:val="center"/>
        <w:tblInd w:w="0" w:type="dxa"/>
        <w:tblLayout w:type="fixed"/>
        <w:tblCellMar>
          <w:top w:w="28" w:type="dxa"/>
          <w:left w:w="28" w:type="dxa"/>
          <w:bottom w:w="28" w:type="dxa"/>
          <w:right w:w="28" w:type="dxa"/>
        </w:tblCellMar>
      </w:tblPr>
      <w:tblGrid>
        <w:gridCol w:w="1938"/>
        <w:gridCol w:w="1703"/>
        <w:gridCol w:w="2418"/>
      </w:tblGrid>
      <w:tr>
        <w:trPr/>
        <w:tc>
          <w:tcPr>
            <w:tcW w:w="193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Corpay,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Quarterly Report on Form 10-Q, the terms "our," "we," "us," and the "Company" refer to Corpay, Inc. and its subsidiaries. The Company prepared the accompanying unaudited interim consolidated financial statements in accordance with accounting principles generally accepted in the United States of America (“GAAP”) for interim financial information and with the instructions to Form 10-Q and Article 10 of Regulation S-X. Accordingly, certain information and note disclosures normally included in annual financial statements prepared in accordance with GAAP have been condensed or omitted pursuant to those rules and regulations, although we believe that the disclosures made are adequate to make the information not misleading. In our opinion, the unaudited interim consolidated financial statements reflect all adjustments considered necessary for fair presentation. These adjustments consist of normal recurring accruals and estimates that impact the carrying value of assets and liabilities. Actual results may differ from these estimates.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interim consolidated financial statements should be read in conjunction with the audited consolidated financial statements and notes thereto included in the Company’s Annual Report on Form 10-K for the year ended December 31, 2025. Except as disclosed in these accompanying notes, there have been no material changes to the information disclosed in the Notes contained within our Annual Report on Form 10-K for the year ended December 31, 2025. </w:t>
      </w:r>
    </w:p>
    <w:p>
      <w:pPr>
        <w:pStyle w:val="TextBody"/>
        <w:bidi w:val="0"/>
        <w:spacing w:lineRule="auto" w:line="288" w:before="120" w:after="283"/>
        <w:jc w:val="left"/>
        <w:rPr/>
      </w:pPr>
      <w:r>
        <w:rPr>
          <w:rFonts w:ascii="Times New Roman;serif" w:hAnsi="Times New Roman;serif"/>
          <w:b w:val="false"/>
          <w:i/>
          <w:color w:val="000000"/>
          <w:sz w:val="20"/>
          <w:u w:val="single"/>
        </w:rPr>
        <w:t>Use of estimates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These financial statements were prepared using information reasonably available to us as of June 30, 2026 and through the date of this Quarterly Report. The accounting estimates used in the preparation of the Company’s interim consolidated financial statements may change as new events occur, as more experience is acquired, as additional information is obtained and as the Company’s operating environment changes. Actual results may differ from these estimates.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Foreign Currency Translation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Assets and liabilities of foreign subsidiaries as well as intra-entity balances denominated in foreign currency and designated for long-term investment are translated into U.S. dollars at the rates of exchange in effect at period-end. The related translation adjustments are recorded to accumulated other comprehensive loss. Income and expenses are translated at the average monthly rates of exchange in effect during the year. Gains and losses from foreign currency transactions of these subsidiaries are included in net income. The Company recognized net foreign exchange gains and losses, which are recorded within other expense, net in the Unaudited Consolidated Statements of Income, for the three and six months ended June 30, 2026 and 2025 as follows (in millions):</w:t>
      </w:r>
    </w:p>
    <w:tbl>
      <w:tblPr>
        <w:tblW w:w="7743" w:type="dxa"/>
        <w:jc w:val="center"/>
        <w:tblInd w:w="0" w:type="dxa"/>
        <w:tblLayout w:type="fixed"/>
        <w:tblCellMar>
          <w:top w:w="28" w:type="dxa"/>
          <w:left w:w="28" w:type="dxa"/>
          <w:bottom w:w="28" w:type="dxa"/>
          <w:right w:w="28" w:type="dxa"/>
        </w:tblCellMar>
      </w:tblPr>
      <w:tblGrid>
        <w:gridCol w:w="977"/>
        <w:gridCol w:w="860"/>
        <w:gridCol w:w="863"/>
        <w:gridCol w:w="278"/>
        <w:gridCol w:w="535"/>
        <w:gridCol w:w="143"/>
        <w:gridCol w:w="143"/>
        <w:gridCol w:w="143"/>
        <w:gridCol w:w="143"/>
        <w:gridCol w:w="278"/>
        <w:gridCol w:w="634"/>
        <w:gridCol w:w="143"/>
        <w:gridCol w:w="109"/>
        <w:gridCol w:w="109"/>
        <w:gridCol w:w="109"/>
        <w:gridCol w:w="263"/>
        <w:gridCol w:w="507"/>
        <w:gridCol w:w="136"/>
        <w:gridCol w:w="136"/>
        <w:gridCol w:w="136"/>
        <w:gridCol w:w="136"/>
        <w:gridCol w:w="263"/>
        <w:gridCol w:w="507"/>
        <w:gridCol w:w="192"/>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foreign currency gains and losses on long-term intra-entity transactions included as a component of foreign currency translation (gains) losses, net of tax, in the Unaudited Consolidated Statements of Comprehensive Income for the three and six months ended June 30, 2026 and 2025 as follows (in millions):</w:t>
      </w:r>
    </w:p>
    <w:tbl>
      <w:tblPr>
        <w:tblW w:w="10205" w:type="dxa"/>
        <w:jc w:val="center"/>
        <w:tblInd w:w="0" w:type="dxa"/>
        <w:tblLayout w:type="fixed"/>
        <w:tblCellMar>
          <w:top w:w="28" w:type="dxa"/>
          <w:left w:w="28" w:type="dxa"/>
          <w:bottom w:w="28" w:type="dxa"/>
          <w:right w:w="28" w:type="dxa"/>
        </w:tblCellMar>
      </w:tblPr>
      <w:tblGrid>
        <w:gridCol w:w="1893"/>
        <w:gridCol w:w="1664"/>
        <w:gridCol w:w="1668"/>
        <w:gridCol w:w="257"/>
        <w:gridCol w:w="581"/>
        <w:gridCol w:w="133"/>
        <w:gridCol w:w="133"/>
        <w:gridCol w:w="133"/>
        <w:gridCol w:w="133"/>
        <w:gridCol w:w="257"/>
        <w:gridCol w:w="624"/>
        <w:gridCol w:w="133"/>
        <w:gridCol w:w="109"/>
        <w:gridCol w:w="109"/>
        <w:gridCol w:w="109"/>
        <w:gridCol w:w="216"/>
        <w:gridCol w:w="595"/>
        <w:gridCol w:w="111"/>
        <w:gridCol w:w="111"/>
        <w:gridCol w:w="111"/>
        <w:gridCol w:w="111"/>
        <w:gridCol w:w="216"/>
        <w:gridCol w:w="632"/>
        <w:gridCol w:w="166"/>
      </w:tblGrid>
      <w:tr>
        <w:trPr/>
        <w:tc>
          <w:tcPr>
            <w:tcW w:w="1893"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 on long-term intra-entity transactions</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Cash and Cash Equivalents and Restricted Cash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reported within the Consolidated Balance Sheets to amounts within the Unaudited Consolidated Statements of Cash Flows (in thousands):</w:t>
      </w:r>
    </w:p>
    <w:tbl>
      <w:tblPr>
        <w:tblW w:w="10205" w:type="dxa"/>
        <w:jc w:val="center"/>
        <w:tblInd w:w="0" w:type="dxa"/>
        <w:tblLayout w:type="fixed"/>
        <w:tblCellMar>
          <w:top w:w="28" w:type="dxa"/>
          <w:left w:w="28" w:type="dxa"/>
          <w:bottom w:w="28" w:type="dxa"/>
          <w:right w:w="28" w:type="dxa"/>
        </w:tblCellMar>
      </w:tblPr>
      <w:tblGrid>
        <w:gridCol w:w="1191"/>
        <w:gridCol w:w="1046"/>
        <w:gridCol w:w="1052"/>
        <w:gridCol w:w="211"/>
        <w:gridCol w:w="1081"/>
        <w:gridCol w:w="109"/>
        <w:gridCol w:w="109"/>
        <w:gridCol w:w="109"/>
        <w:gridCol w:w="109"/>
        <w:gridCol w:w="259"/>
        <w:gridCol w:w="1202"/>
        <w:gridCol w:w="134"/>
        <w:gridCol w:w="109"/>
        <w:gridCol w:w="109"/>
        <w:gridCol w:w="109"/>
        <w:gridCol w:w="211"/>
        <w:gridCol w:w="976"/>
        <w:gridCol w:w="109"/>
        <w:gridCol w:w="109"/>
        <w:gridCol w:w="109"/>
        <w:gridCol w:w="109"/>
        <w:gridCol w:w="257"/>
        <w:gridCol w:w="1194"/>
        <w:gridCol w:w="192"/>
      </w:tblGrid>
      <w:tr>
        <w:trPr/>
        <w:tc>
          <w:tcPr>
            <w:tcW w:w="119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June 30, 2026</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3,163,539 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2,408,097 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1,553,642 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2,902,703 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10,168,342 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8,991,940 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5,531,358 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4,456,345 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Amounts exclude $24.7 million of cash held for sale related to the Maintenance disposition. See Note 15 for further information. </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Instruments - Credit Losses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accounts for financial assets' expected credit losses in accordance with Accounting Standards Codification (ASC) 326, "Financial Instruments - Credit Losses." The Company’s financial assets subject to credit losses are primarily trade receivables. The Company utilizes a combination of aging and loss-rate methods to develop an estimate of current expected credit losses, depending on the nature and risk profile of the underlying asset pool, based on product, size of customer and historical losses. Expected credit losses are estimated based upon an assessment of risk characteristics, historical payment experience and the age of outstanding receivables, adjusted for forward-looking economic conditions. The allowances for remaining financial assets measured at amortized cost basis are evaluated based on underlying financial condition, credit history and current and forward-looking economic conditions. The estimation process for expected credit losses includes consideration of qualitative and quantitative risk factors associated with the age of asset balances, expected timing of payment, contract terms and conditions, changes in specific customer risk profiles or mix of customers, geographic risk, economic trends and relevant environmental factors. The Company's provision for credit losses is recorded within processing expenses in the Unaudited Consolidated Statements of Income.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revenue is generally reported net of the cost for underlying products and services purchased through its payment solutions. In this report, the Company refers to this net revenue as "revenue." Revenues from contracts with customers, within the scope of ASC 606, "Revenue Recognition," represent approximately 78% and 85% of total consolidated revenues, net, for the six months ended June 30, 2026 and 2025, respectively. In its cross-border payments business, the Company enters into foreign currency forwards, option derivative contracts and swaps for its customers to facilitate future payments in foreign currencies. These contracts are accounted for in accordance with ASC 815, "Derivatives and Hedging" and represent approximately 15% and 8% of total consolidated revenues for the six months ended June 30, 2026 and 2025, respectively. Additionally, the Company accounts for revenue from late fees and finance charges, in jurisdictions where permitted under local regulations, primarily in the U.S., Canada and Brazil, in accordance with ASC 310, "Receivables." Such fees are recognized net of a provision for estimated uncollectible amounts, at the time the fees and finance charges are assessed and services are provided and represent approximately 3% and 4% of total consolidated revenues, net for the six months ended June 30, 2026 and 2025, respectively. The Company's remaining revenue represents float revenue earned on invested customer funds in jurisdictions where permitted. Such revenue represented approximately 4% and 3% of consolidated revenues, net for the six months ended June 30, 2026 and 2025, respectively. </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Disaggregation of Revenues </w:t>
      </w:r>
    </w:p>
    <w:p>
      <w:pPr>
        <w:pStyle w:val="TextBody"/>
        <w:bidi w:val="0"/>
        <w:spacing w:lineRule="auto" w:line="288" w:before="120" w:after="260"/>
        <w:jc w:val="left"/>
        <w:rPr>
          <w:rFonts w:ascii="Times New Roman;serif" w:hAnsi="Times New Roman;serif"/>
          <w:b w:val="false"/>
          <w:color w:val="000000"/>
          <w:sz w:val="20"/>
        </w:rPr>
      </w:pPr>
      <w:r>
        <w:rPr>
          <w:rFonts w:ascii="Times New Roman;serif" w:hAnsi="Times New Roman;serif"/>
          <w:b w:val="false"/>
          <w:color w:val="000000"/>
          <w:sz w:val="20"/>
        </w:rPr>
        <w:t xml:space="preserve">Revenues, net by segment for the three and six months ended June 30, 2026 and 2025 were as follows (in millions, except percentages): </w:t>
      </w:r>
    </w:p>
    <w:tbl>
      <w:tblPr>
        <w:tblW w:w="10842" w:type="dxa"/>
        <w:jc w:val="center"/>
        <w:tblInd w:w="0" w:type="dxa"/>
        <w:tblLayout w:type="fixed"/>
        <w:tblCellMar>
          <w:top w:w="28" w:type="dxa"/>
          <w:left w:w="28" w:type="dxa"/>
          <w:bottom w:w="28" w:type="dxa"/>
          <w:right w:w="28" w:type="dxa"/>
        </w:tblCellMar>
      </w:tblPr>
      <w:tblGrid>
        <w:gridCol w:w="603"/>
        <w:gridCol w:w="306"/>
        <w:gridCol w:w="307"/>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316"/>
      </w:tblGrid>
      <w:tr>
        <w:trPr/>
        <w:tc>
          <w:tcPr>
            <w:tcW w:w="60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Revenues, net by Segment*</w:t>
            </w:r>
          </w:p>
        </w:tc>
        <w:tc>
          <w:tcPr>
            <w:tcW w:w="46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revenues,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60"/>
        <w:jc w:val="left"/>
        <w:rPr>
          <w:rFonts w:ascii="Times New Roman;serif" w:hAnsi="Times New Roman;serif"/>
          <w:b w:val="false"/>
          <w:color w:val="000000"/>
          <w:sz w:val="20"/>
        </w:rPr>
      </w:pPr>
      <w:r>
        <w:rPr>
          <w:rFonts w:ascii="Times New Roman;serif" w:hAnsi="Times New Roman;serif"/>
          <w:b w:val="false"/>
          <w:color w:val="000000"/>
          <w:sz w:val="20"/>
        </w:rPr>
        <w:t>*Columns may not calculate due to rounding. Segment results for 2025 have been recast to conform with current period segment presentation as discussed in Note 11.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by geography for the three and six months ended June 30, 2026 and 2025 was as follows (in millions, except percentages): </w:t>
      </w:r>
    </w:p>
    <w:tbl>
      <w:tblPr>
        <w:tblW w:w="10842" w:type="dxa"/>
        <w:jc w:val="center"/>
        <w:tblInd w:w="0" w:type="dxa"/>
        <w:tblLayout w:type="fixed"/>
        <w:tblCellMar>
          <w:top w:w="28" w:type="dxa"/>
          <w:left w:w="28" w:type="dxa"/>
          <w:bottom w:w="28" w:type="dxa"/>
          <w:right w:w="28" w:type="dxa"/>
        </w:tblCellMar>
      </w:tblPr>
      <w:tblGrid>
        <w:gridCol w:w="526"/>
        <w:gridCol w:w="344"/>
        <w:gridCol w:w="346"/>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271"/>
        <w:gridCol w:w="109"/>
        <w:gridCol w:w="109"/>
        <w:gridCol w:w="109"/>
        <w:gridCol w:w="211"/>
        <w:gridCol w:w="766"/>
        <w:gridCol w:w="109"/>
        <w:gridCol w:w="109"/>
        <w:gridCol w:w="109"/>
        <w:gridCol w:w="109"/>
        <w:gridCol w:w="232"/>
        <w:gridCol w:w="234"/>
        <w:gridCol w:w="316"/>
      </w:tblGrid>
      <w:tr>
        <w:trPr/>
        <w:tc>
          <w:tcPr>
            <w:tcW w:w="5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Revenues, net by Geography*</w:t>
            </w:r>
          </w:p>
        </w:tc>
        <w:tc>
          <w:tcPr>
            <w:tcW w:w="46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revenues,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84" w:type="dxa"/>
        <w:jc w:val="center"/>
        <w:tblInd w:w="0" w:type="dxa"/>
        <w:tblLayout w:type="fixed"/>
        <w:tblCellMar>
          <w:top w:w="28" w:type="dxa"/>
          <w:left w:w="28" w:type="dxa"/>
          <w:bottom w:w="28" w:type="dxa"/>
          <w:right w:w="28" w:type="dxa"/>
        </w:tblCellMar>
      </w:tblPr>
      <w:tblGrid>
        <w:gridCol w:w="1243"/>
        <w:gridCol w:w="1093"/>
        <w:gridCol w:w="1548"/>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*Columns may not calculate due to rounding.</w:t>
            </w:r>
          </w:p>
        </w:tc>
      </w:tr>
    </w:tbl>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Contract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contract liabilities for customers subject to ASC 606 were $29.7 million and $43.1 million as of June 30, 2026 and December 31, 2025, respectively. We expect to recognize approximately $24.6 million of these amounts in revenues within 12 months and the remaining $5.1 million over the next five years as of June 30, 2026. Revenue recognized in the six months ended June 30, 2026 that was included in the deferred revenue contract liability as of December 31, 2025 was approximately $33.4 million.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Spot Trade Offsetting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uses spot trades to facilitate cross-currency corporate payments. The Company applies offsetting to spot trade assets and liabilities associated with contracts that include master netting agreements with the same counterparty, as a right of setoff exists, which the Company believes to be enforceable. As such, the Company has netted spot trade liabilities against spot trade receivables at the counterparty level. The Company recognizes all spot trade assets, net in accounts receivable and all spot trade liabilities, net in accounts payable, each net at the counterparty level, in its Consolidated Balance Sheets at their fair value. The following table presents the Company’s spot trade assets and liabilities at their fair value at June 30, 2026 and December 31, 2025 (in millions):</w:t>
      </w:r>
    </w:p>
    <w:tbl>
      <w:tblPr>
        <w:tblW w:w="10205" w:type="dxa"/>
        <w:jc w:val="center"/>
        <w:tblInd w:w="0" w:type="dxa"/>
        <w:tblLayout w:type="fixed"/>
        <w:tblCellMar>
          <w:top w:w="28" w:type="dxa"/>
          <w:left w:w="28" w:type="dxa"/>
          <w:bottom w:w="28" w:type="dxa"/>
          <w:right w:w="28" w:type="dxa"/>
        </w:tblCellMar>
      </w:tblPr>
      <w:tblGrid>
        <w:gridCol w:w="481"/>
        <w:gridCol w:w="424"/>
        <w:gridCol w:w="427"/>
        <w:gridCol w:w="211"/>
        <w:gridCol w:w="766"/>
        <w:gridCol w:w="109"/>
        <w:gridCol w:w="109"/>
        <w:gridCol w:w="109"/>
        <w:gridCol w:w="109"/>
        <w:gridCol w:w="292"/>
        <w:gridCol w:w="1129"/>
        <w:gridCol w:w="151"/>
        <w:gridCol w:w="109"/>
        <w:gridCol w:w="109"/>
        <w:gridCol w:w="109"/>
        <w:gridCol w:w="211"/>
        <w:gridCol w:w="616"/>
        <w:gridCol w:w="109"/>
        <w:gridCol w:w="109"/>
        <w:gridCol w:w="109"/>
        <w:gridCol w:w="109"/>
        <w:gridCol w:w="211"/>
        <w:gridCol w:w="766"/>
        <w:gridCol w:w="109"/>
        <w:gridCol w:w="109"/>
        <w:gridCol w:w="109"/>
        <w:gridCol w:w="109"/>
        <w:gridCol w:w="292"/>
        <w:gridCol w:w="1129"/>
        <w:gridCol w:w="151"/>
        <w:gridCol w:w="109"/>
        <w:gridCol w:w="109"/>
        <w:gridCol w:w="109"/>
        <w:gridCol w:w="211"/>
        <w:gridCol w:w="616"/>
        <w:gridCol w:w="159"/>
      </w:tblGrid>
      <w:tr>
        <w:trPr/>
        <w:tc>
          <w:tcPr>
            <w:tcW w:w="4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Gross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Offset on the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Offset on the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erif" w:hAnsi="Times New Roman;serif"/>
          <w:b/>
          <w:color w:val="000000"/>
          <w:sz w:val="20"/>
        </w:rPr>
      </w:pPr>
      <w:r>
        <w:rPr>
          <w:rFonts w:ascii="Times New Roman;serif" w:hAnsi="Times New Roman;serif"/>
          <w:b/>
          <w:color w:val="000000"/>
          <w:sz w:val="20"/>
        </w:rPr>
        <w:t>Redeemable Noncontrolling Interest</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expanded its long-standing strategic partnership agreement with Mastercard Incorporated ("Mastercard") to deliver an enhanced suite of corporate cross-border payment solutions. The transaction also included an investment in the Company's cross-border payments business with Mastercard acquiring a 2.3% noncontrolling interest in the cross-border payments business for $300 million. The investment into the Company’s cross-border payments business closed on December 1, 2025, and the cash associated with the investment was presented as cash flows provided by financing activities in the Company's Consolidated Statements of Cash Flows.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Mastercard has the right to sell, or put, its interest back to the Company for six months starting on August 1, 2027. If Mastercard does not exercise the put right, the Company will have a reciprocal call right to repurchase the interest for six months starting on May 1, 2028. In each case, the redemption price is the amount of invested capital plus 8% per annum, compounded annually. The call and put rights are considered clearly and closely related to the noncontrolling interest and are not separated as bifurcated derivatives.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 of the redeemable noncontrolling interest is adjusted to its full redemption value through to retained earnings at the end of each reporting period, which is a non-cash financing activity. The following table presents a reconciliation of the changes in the redeemable noncontrolling interest balance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tbl>
      <w:tblPr>
        <w:tblW w:w="8681" w:type="dxa"/>
        <w:jc w:val="left"/>
        <w:tblInd w:w="0" w:type="dxa"/>
        <w:tblLayout w:type="fixed"/>
        <w:tblCellMar>
          <w:top w:w="28" w:type="dxa"/>
          <w:left w:w="28" w:type="dxa"/>
          <w:bottom w:w="28" w:type="dxa"/>
          <w:right w:w="28" w:type="dxa"/>
        </w:tblCellMar>
      </w:tblPr>
      <w:tblGrid>
        <w:gridCol w:w="1864"/>
        <w:gridCol w:w="1638"/>
        <w:gridCol w:w="1642"/>
        <w:gridCol w:w="109"/>
        <w:gridCol w:w="109"/>
        <w:gridCol w:w="109"/>
        <w:gridCol w:w="568"/>
        <w:gridCol w:w="2226"/>
        <w:gridCol w:w="416"/>
      </w:tblGrid>
      <w:tr>
        <w:trPr/>
        <w:tc>
          <w:tcPr>
            <w:tcW w:w="1864"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Redeemable Noncontrolling Interest</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302,000 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 to redemption value (non-cash)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314,000 </w:t>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left"/>
        <w:rPr>
          <w:rFonts w:ascii="Times New Roman;serif" w:hAnsi="Times New Roman;serif"/>
          <w:b/>
          <w:color w:val="000000"/>
          <w:sz w:val="20"/>
        </w:rPr>
      </w:pPr>
      <w:r>
        <w:rPr>
          <w:rFonts w:ascii="Times New Roman;serif" w:hAnsi="Times New Roman;serif"/>
          <w:b/>
          <w:color w:val="000000"/>
          <w:sz w:val="20"/>
        </w:rPr>
        <w:t>Equity Method Investments</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recognized net losses related to its equity method investments of $22.7 million during the six months ended June 30, 2026, which were recorded within other expense, net in the Company's Unaudited Consolidated Statements of Income. The impact of the Company's equity method investments was not material on the Company's Unaudited Consolidated Statements of Income for the six months ended June 30, 2025.</w:t>
      </w:r>
    </w:p>
    <w:p>
      <w:pPr>
        <w:pStyle w:val="TextBody"/>
        <w:bidi w:val="0"/>
        <w:spacing w:lineRule="auto" w:line="256" w:before="180" w:after="180"/>
        <w:jc w:val="left"/>
        <w:rPr>
          <w:rFonts w:ascii="Times New Roman;serif" w:hAnsi="Times New Roman;serif"/>
          <w:b/>
          <w:color w:val="000000"/>
          <w:sz w:val="20"/>
        </w:rPr>
      </w:pPr>
      <w:r>
        <w:rPr>
          <w:rFonts w:ascii="Times New Roman;serif" w:hAnsi="Times New Roman;serif"/>
          <w:b/>
          <w:color w:val="000000"/>
          <w:sz w:val="20"/>
        </w:rPr>
        <w:t>Adoption of New Accounting Standard</w:t>
      </w:r>
    </w:p>
    <w:p>
      <w:pPr>
        <w:pStyle w:val="TextBody"/>
        <w:bidi w:val="0"/>
        <w:spacing w:lineRule="auto" w:line="25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 - Credit Losses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Accounting Standards Update ("ASU") No. 2025-05, "Financial Instruments - Credit Losses (Topic 326): Measurement of Credit Losses for Accounts Receivable and Contract Assets" ("ASU 2025-05"). ASU 2025-05 provides a practical expedient that allows entities to assume conditions existing as of the balance sheet date remain unchanged over the life of the asset when estimating credit losses for current trade receivables and current contract assets arising from transactions accounted for under Topic 606. The amendments are effective on a prospective basis for fiscal years beginning after December 15, 2025, and for interim periods within those fiscal years, with early adoption permitted. The Company adopted this ASU on January 1, 2026. The adoption of ASU 2025-05 did not have a material impact on the Company's consolidated financial statements.</w:t>
      </w:r>
    </w:p>
    <w:p>
      <w:pPr>
        <w:pStyle w:val="TextBody"/>
        <w:bidi w:val="0"/>
        <w:spacing w:lineRule="auto" w:line="256" w:before="180" w:after="180"/>
        <w:jc w:val="left"/>
        <w:rPr>
          <w:rFonts w:ascii="Times New Roman;serif" w:hAnsi="Times New Roman;serif"/>
          <w:b/>
          <w:color w:val="000000"/>
          <w:sz w:val="20"/>
        </w:rPr>
      </w:pPr>
      <w:r>
        <w:rPr>
          <w:rFonts w:ascii="Times New Roman;serif" w:hAnsi="Times New Roman;serif"/>
          <w:b/>
          <w:color w:val="000000"/>
          <w:sz w:val="20"/>
        </w:rPr>
        <w:t>Recent Accounting Pronouncements Not Yet Adopted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"Disaggregation of Income Statement Expenses" ("ASU 2024-03"). ASU 2024-03, among other items, requires additional financial statement disclosures in tabular format disaggregating information about prescribed categories (including employee compensation, depreciation and amortization) underlying any relevant income statement expense captions. ASU 2024-03 is effective on a prospective basis for fiscal years beginning after December 15, 2026, and interim periods within fiscal years beginning after December 15, 2027, with early adoption and retrospective application permitted. We are currently evaluating the impact this guidance will have on the disclosures within our consolidated financial statements.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 - Goodwill and Other - Internal-use Software (Subtopic 350-40): Targeted Improvements to the Accounting for Internal-Use Software" ("ASU 2025-06"). ASU 2025-06 updates requirements for capitalizing internal-use software costs by replacing the current stage-based model with a principles-based approach. Under ASU 2025-06, the prescriptive software development stages (e.g., preliminary project stage, application development stage) are eliminated, and instead capitalization must begin when management authorizes and commits to funding the project and it is probable the project will be completed and used as intended. ASU 2025-06 is effective for fiscal years beginning after December 15, 2027, including interim periods within those fiscal years, with early adoption permitted. ASU 2025-06 may be applied prospectively, on a modified retrospective basis for in-process projects, or retrospectively. We are currently evaluating the impact this guidance will have on our consolidated financial statements and related disclosures.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 and Other Scoping and Hedging Improvements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No. 2025-07, "Derivatives and Hedging (Topic 815) and Revenue from Contracts with Customers (Topic 606): Derivatives Scope Refinements and Scope Clarification for Share-Based Noncash Consideration from a Customer in a Revenue Contract" ("ASU 2025-07"). ASU 2025-07 excludes from derivative accounting certain non-exchange-traded contracts, the underlyings of which are based on operations or activities of the parties to the contract, with various notable exceptions including puts and calls on debt instruments. ASU 2025-07 also clarifies that the noncash consideration guidance of Topic 606 should apply initially to noncash share-based consideration received from a customer for transferred goods or services until the right to receive such consideration becomes unconditional. ASU 2025-07 is effective for fiscal years beginning after December 15, 2026, including interim periods within those fiscal years, with early adoption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permitted. ASU 2025-07 may be applied prospectively or on a modified retrospective basis. We are currently evaluating the impact this guidance will have on our consolidated financial statements and related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ASU No. 2025-09, "Derivatives and Hedging (Topic 815): Hedge Accounting Improvements" ("ASU 2025-09"). ASU 2025-09 includes five amendments to hedge accounting intended to better enable entities to achieve and maintain hedge accounting. These amendments include, but are not limited to, the FASB's expansion of hedged risks permitted to be aggregated in a group of forecasted transactions in a cash flow hedge from having a shared risk to similar risk exposure and the establishment of a hedging model for "choose your rate debt." ASU 2025-09 is effective for fiscal years beginning after December 15, 2026, including interim periods within those fiscal years, with early adoption permitted. ASU 2025-09 is applied prospectively. We are currently evaluating the impact this guidance will have on our consolidated financial statements and related disclosures.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Measurement of Certain Paid-in-Kind (“PIK”) Dividend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April 2026, the FASB issued ASU No. 2026-01, “Initial Measurement of Paid-in-Kind Dividends on Equity-Classified Preferred Stock (Equity: Topic 505)” (“ASU 2026-01”). ASU 2026-01 requires that PIK dividends on equity-classified preferred stock be initially measured on the basis of the PIK dividend rate stated in the preferred stock agreement (rather than at fair value, for example). The update does not, however, affect an entity’s determination of when to recognize PIK dividends. ASU 2026-01 is effective for fiscal years beginning after December 15, 2026, including interim periods within those fiscal years, with early adoption permitted. ASU 2025-01 may be applied prospectively or on a modified retrospective basis. We are currently evaluating the impact this guidance will have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Accounts and Other Receivables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accounts and other receivables and securitized accounts receivable include the following at June 30, 2026 and December 31, 2025 (value in thousands):</w:t>
      </w:r>
    </w:p>
    <w:tbl>
      <w:tblPr>
        <w:tblW w:w="7888" w:type="dxa"/>
        <w:jc w:val="center"/>
        <w:tblInd w:w="0" w:type="dxa"/>
        <w:tblLayout w:type="fixed"/>
        <w:tblCellMar>
          <w:top w:w="28" w:type="dxa"/>
          <w:left w:w="28" w:type="dxa"/>
          <w:bottom w:w="28" w:type="dxa"/>
          <w:right w:w="28" w:type="dxa"/>
        </w:tblCellMar>
      </w:tblPr>
      <w:tblGrid>
        <w:gridCol w:w="1510"/>
        <w:gridCol w:w="1326"/>
        <w:gridCol w:w="1333"/>
        <w:gridCol w:w="109"/>
        <w:gridCol w:w="109"/>
        <w:gridCol w:w="109"/>
        <w:gridCol w:w="211"/>
        <w:gridCol w:w="976"/>
        <w:gridCol w:w="109"/>
        <w:gridCol w:w="109"/>
        <w:gridCol w:w="109"/>
        <w:gridCol w:w="109"/>
        <w:gridCol w:w="278"/>
        <w:gridCol w:w="1288"/>
        <w:gridCol w:w="203"/>
      </w:tblGrid>
      <w:tr>
        <w:trPr/>
        <w:tc>
          <w:tcPr>
            <w:tcW w:w="1510"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domestic accounts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661,167 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domestic securitized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1,823,000 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foreign receivables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1,655,469 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4,139,636 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(170,957)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accounts and securitized accounts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4,956,036 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3,968,679 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The Company, through Corpay Technologies Operating Company, LLC ("CTOC") and certain of its other subsidiaries, maint</w:t>
      </w:r>
      <w:r>
        <w:rPr>
          <w:rFonts w:ascii="Times New Roman;serif" w:hAnsi="Times New Roman;serif"/>
          <w:b w:val="false"/>
          <w:color w:val="000000"/>
          <w:sz w:val="20"/>
          <w:shd w:fill="FFFFFF" w:val="clear"/>
        </w:rPr>
        <w:t>ai</w:t>
      </w:r>
      <w:r>
        <w:rPr>
          <w:rFonts w:ascii="Times New Roman;serif" w:hAnsi="Times New Roman;serif"/>
          <w:b w:val="false"/>
          <w:color w:val="000000"/>
          <w:sz w:val="20"/>
        </w:rPr>
        <w:t xml:space="preserve">ns a $2.3 billion revolving trade accounts receivable securitization facility (as amended from time to time, the "Securitization Facility"). Accounts receivable collateralized within our Securitization Facility relate to trade accounts receivable resulting primarily from charge card activity and other customer receivables in the U.S. and the U.K. Pursuant to the terms of the Securitization Facility, certain U.S.-based and U.K.-based originators transfer in the form of a sale certain of their domestic receivables, on a revolving basis, to FLEETCOR Funding LLC ("Funding") and Corpay Funding (UK) Limited, each a wholly-owned bankruptcy remote consolidated subsidiary. In turn, Funding transfers in the form of a sale, on a revolving basis, a proportionate undivided ownership interest in the U.S.-based pool of accounts receivable to unrelated transferees (i.e., multi-seller banks and asset-backed commercial paper conduits). Funding retains a residual, subordinated interest in cash flow distribution from the transferred receivables and provides to the transferees an incremental pledge of both U.S. and U.K. unsold receivables as a form of over-collateralization to enhance the credit of the transferred receivables. Purchases by the banks and conduits may be financed with the sale of highly-rated commercial paper.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proceeds from the securitized assets as an alternative to other forms of financing to reduce its overall borrowing costs. CTOC has agreed to continue servicing the sold receivables for the transferees at market rates, which approximates CTOC’s cost of servicing. Funding determines the level of funding achieved by the sale of accounts receivable, subject to a maximum amount. As the Company maintains certain continuing involvement in the transferred/sold receivables, it does not derecognize the receivables from its Consolidated Balance Sheets. Instead, the Company records cash proceeds and any residual interest received as a Securitization Facility liability.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Unaudited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 The maturity date for the Company's Securitization Facility is the earlier of November 3, 2028 or the first maturity date of any loan under the Company's Credit Agreement, which is May 21, 2031.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roll forward of the Company’s allowance for credit losses related to accounts receivable for the six months ended June 30, 2026 and 2025 is as follows (in thousands):</w:t>
      </w:r>
    </w:p>
    <w:tbl>
      <w:tblPr>
        <w:tblW w:w="6951" w:type="dxa"/>
        <w:jc w:val="center"/>
        <w:tblInd w:w="0" w:type="dxa"/>
        <w:tblLayout w:type="fixed"/>
        <w:tblCellMar>
          <w:top w:w="28" w:type="dxa"/>
          <w:left w:w="28" w:type="dxa"/>
          <w:bottom w:w="28" w:type="dxa"/>
          <w:right w:w="28" w:type="dxa"/>
        </w:tblCellMar>
      </w:tblPr>
      <w:tblGrid>
        <w:gridCol w:w="1434"/>
        <w:gridCol w:w="1259"/>
        <w:gridCol w:w="1267"/>
        <w:gridCol w:w="109"/>
        <w:gridCol w:w="109"/>
        <w:gridCol w:w="109"/>
        <w:gridCol w:w="211"/>
        <w:gridCol w:w="826"/>
        <w:gridCol w:w="109"/>
        <w:gridCol w:w="109"/>
        <w:gridCol w:w="109"/>
        <w:gridCol w:w="109"/>
        <w:gridCol w:w="211"/>
        <w:gridCol w:w="826"/>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155,847 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credit losses and write-offs increased during the six months ended June 30, 2026 versus the comparable prior period primarily due to the growth of the business, as credit loss expense as a percentage of spend was consistent with the comparable prior period. Write-offs include receivables for which a full allowance was previously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financial assets and liabilities which are measured at fair value on a recurring basis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656"/>
        <w:gridCol w:w="1430"/>
        <w:gridCol w:w="1394"/>
        <w:gridCol w:w="109"/>
        <w:gridCol w:w="109"/>
        <w:gridCol w:w="109"/>
        <w:gridCol w:w="211"/>
        <w:gridCol w:w="976"/>
        <w:gridCol w:w="109"/>
        <w:gridCol w:w="109"/>
        <w:gridCol w:w="109"/>
        <w:gridCol w:w="109"/>
        <w:gridCol w:w="211"/>
        <w:gridCol w:w="406"/>
        <w:gridCol w:w="109"/>
        <w:gridCol w:w="109"/>
        <w:gridCol w:w="109"/>
        <w:gridCol w:w="109"/>
        <w:gridCol w:w="211"/>
        <w:gridCol w:w="976"/>
        <w:gridCol w:w="109"/>
        <w:gridCol w:w="109"/>
        <w:gridCol w:w="109"/>
        <w:gridCol w:w="109"/>
        <w:gridCol w:w="211"/>
        <w:gridCol w:w="406"/>
        <w:gridCol w:w="109"/>
        <w:gridCol w:w="109"/>
        <w:gridCol w:w="109"/>
        <w:gridCol w:w="155"/>
      </w:tblGrid>
      <w:tr>
        <w:trPr/>
        <w:tc>
          <w:tcPr>
            <w:tcW w:w="165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Overnight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Foreign exchange, interest rate and 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2,748,833 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2,748,833 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collateral for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192,168 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rate swaps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Foreign exchange, interest rate and 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861,788 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861,788 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collateral obligation for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331,356 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Overnight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Foreign exchange, interest rate and 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collateral for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175,158 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Foreign exchange, interest rate and 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829,224 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829,224 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collateral obligation for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356,712 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level within the fair value hierarchy and the measurement technique are reviewed quarterly. The valuation techniques and inputs used to estimate the fair value of the Company's Level 2 assets and liabilities are consistent with those used at December 31, 2025. Transfers between levels are deemed to have occurred at the end of the quarter. There were no transfers between fair value levels during the periods presented for June 30, 2026 and December 31,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evaluates the carrying value of its investments. The carrying amount of investments (including equity method investments) without readily determinable fair values was $576.2 million and $601.9 million at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4. Stockholders' Equity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Board of Directors (the "Board") has approved a stock repurchase program (as updated from time to time, the "Program") authorizing the Company to repurchase its common stock from time to time until December 31, 2026. On April 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2026, the Board authorized an increase to the aggregate size of the Program by $1.0 billion to an aggregate authorization of $11.1 billion.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repurchased 3.4 million shares for an aggregate purchase price of $1.1 billion. Since the beginning of the Program through June 30, 2026, 39.1 million shares have been repurchased for an aggregate purchase price of $9.7 billion, leaving the Company up to $1.4 billion of remaining authorization available under the Program for future repurchases of shares of its common stock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Stock-Based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expense recognized within general and administrative expenses in the Unaudited Consolidated Statements of Income related to stock-based compensation for the three and six months ended June 30, 2026 and 2025 (in thousands): </w:t>
      </w:r>
    </w:p>
    <w:p>
      <w:pPr>
        <w:pStyle w:val="TextBody"/>
        <w:bidi w:val="0"/>
        <w:spacing w:lineRule="auto" w:line="288" w:before="120" w:after="283"/>
        <w:jc w:val="center"/>
        <w:rPr>
          <w:color w:val="000000"/>
        </w:rPr>
      </w:pPr>
      <w:r>
        <w:rPr>
          <w:color w:val="000000"/>
        </w:rPr>
        <w:t> </w:t>
      </w:r>
    </w:p>
    <w:tbl>
      <w:tblPr>
        <w:tblW w:w="8022" w:type="dxa"/>
        <w:jc w:val="center"/>
        <w:tblInd w:w="0" w:type="dxa"/>
        <w:tblLayout w:type="fixed"/>
        <w:tblCellMar>
          <w:top w:w="28" w:type="dxa"/>
          <w:left w:w="28" w:type="dxa"/>
          <w:bottom w:w="28" w:type="dxa"/>
          <w:right w:w="28" w:type="dxa"/>
        </w:tblCellMar>
      </w:tblPr>
      <w:tblGrid>
        <w:gridCol w:w="829"/>
        <w:gridCol w:w="729"/>
        <w:gridCol w:w="736"/>
        <w:gridCol w:w="109"/>
        <w:gridCol w:w="109"/>
        <w:gridCol w:w="10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32,014 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28,868 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1c491555b4bf4454ae023bb28e8907b3_4-6-1-"/>
            <w:bookmarkEnd w:id="0"/>
            <w:r>
              <w:rPr>
                <w:rFonts w:ascii="Times New Roman;serif" w:hAnsi="Times New Roman;serif"/>
                <w:b w:val="false"/>
                <w:color w:val="000000"/>
                <w:sz w:val="20"/>
              </w:rPr>
              <w:t>59,509 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tax benefits recorded on stock-based compensation, inclusive of the tax benefits upon the exercises of options and vesting of restricted stock were $22.6 million and $25.9 million for the six months ended June 30, 2026 and 2025,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total unrecognized compensation cost related to outstanding stock awards as of June 30, 2026 (cost in thousands):</w:t>
      </w:r>
    </w:p>
    <w:tbl>
      <w:tblPr>
        <w:tblW w:w="5260" w:type="dxa"/>
        <w:jc w:val="center"/>
        <w:tblInd w:w="0" w:type="dxa"/>
        <w:tblLayout w:type="fixed"/>
        <w:tblCellMar>
          <w:top w:w="28" w:type="dxa"/>
          <w:left w:w="28" w:type="dxa"/>
          <w:bottom w:w="28" w:type="dxa"/>
          <w:right w:w="28" w:type="dxa"/>
        </w:tblCellMar>
      </w:tblPr>
      <w:tblGrid>
        <w:gridCol w:w="515"/>
        <w:gridCol w:w="453"/>
        <w:gridCol w:w="457"/>
        <w:gridCol w:w="109"/>
        <w:gridCol w:w="109"/>
        <w:gridCol w:w="109"/>
        <w:gridCol w:w="226"/>
        <w:gridCol w:w="887"/>
        <w:gridCol w:w="118"/>
        <w:gridCol w:w="109"/>
        <w:gridCol w:w="109"/>
        <w:gridCol w:w="109"/>
        <w:gridCol w:w="571"/>
        <w:gridCol w:w="571"/>
        <w:gridCol w:w="808"/>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Unrecognized</w:t>
              <w:br/>
              <w:t>Compensation</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 Average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Period of Expense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Recognition Remaining</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Years)</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116,562 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changes in the number of shares of stock options outstanding for the six months ended June 30, 2026 (shares and aggregate intrinsic value in thousands):</w:t>
      </w:r>
    </w:p>
    <w:tbl>
      <w:tblPr>
        <w:tblW w:w="10205" w:type="dxa"/>
        <w:jc w:val="left"/>
        <w:tblInd w:w="0" w:type="dxa"/>
        <w:tblLayout w:type="fixed"/>
        <w:tblCellMar>
          <w:top w:w="28" w:type="dxa"/>
          <w:left w:w="28" w:type="dxa"/>
          <w:bottom w:w="28" w:type="dxa"/>
          <w:right w:w="28" w:type="dxa"/>
        </w:tblCellMar>
      </w:tblPr>
      <w:tblGrid>
        <w:gridCol w:w="693"/>
        <w:gridCol w:w="608"/>
        <w:gridCol w:w="611"/>
        <w:gridCol w:w="109"/>
        <w:gridCol w:w="109"/>
        <w:gridCol w:w="109"/>
        <w:gridCol w:w="308"/>
        <w:gridCol w:w="308"/>
        <w:gridCol w:w="211"/>
        <w:gridCol w:w="109"/>
        <w:gridCol w:w="109"/>
        <w:gridCol w:w="109"/>
        <w:gridCol w:w="211"/>
        <w:gridCol w:w="721"/>
        <w:gridCol w:w="109"/>
        <w:gridCol w:w="109"/>
        <w:gridCol w:w="109"/>
        <w:gridCol w:w="109"/>
        <w:gridCol w:w="325"/>
        <w:gridCol w:w="325"/>
        <w:gridCol w:w="326"/>
        <w:gridCol w:w="109"/>
        <w:gridCol w:w="109"/>
        <w:gridCol w:w="109"/>
        <w:gridCol w:w="211"/>
        <w:gridCol w:w="721"/>
        <w:gridCol w:w="109"/>
        <w:gridCol w:w="109"/>
        <w:gridCol w:w="109"/>
        <w:gridCol w:w="109"/>
        <w:gridCol w:w="253"/>
        <w:gridCol w:w="868"/>
        <w:gridCol w:w="131"/>
        <w:gridCol w:w="109"/>
        <w:gridCol w:w="109"/>
        <w:gridCol w:w="109"/>
        <w:gridCol w:w="211"/>
        <w:gridCol w:w="826"/>
        <w:gridCol w:w="157"/>
      </w:tblGrid>
      <w:tr>
        <w:trPr/>
        <w:tc>
          <w:tcPr>
            <w:tcW w:w="6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w:t>
              <w:br/>
              <w:t>Exercisable</w:t>
              <w:br/>
              <w:t>at End of</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 of</w:t>
              <w:br/>
              <w:t>Exercisable</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Fair</w:t>
              <w:br/>
              <w:t>Value of</w:t>
              <w:br/>
              <w:t>Options</w:t>
              <w:br/>
              <w:t>Granted </w:t>
              <w:br/>
              <w:t>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206,036 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intrinsic value of stock options exercisable at June 30, 2026 was $178.6 million. The weighted average remaining contractual term of options exercisable at June 30, 2026 was 2.7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Restricted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number of shares of restricted stock awards and restricted stock units outstanding for the six months ended June 30, 2026 (shares in thousands):</w:t>
      </w:r>
    </w:p>
    <w:p>
      <w:pPr>
        <w:pStyle w:val="TextBody"/>
        <w:bidi w:val="0"/>
        <w:spacing w:lineRule="auto" w:line="288" w:before="120" w:after="283"/>
        <w:jc w:val="center"/>
        <w:rPr>
          <w:color w:val="000000"/>
        </w:rPr>
      </w:pPr>
      <w:r>
        <w:rPr>
          <w:color w:val="000000"/>
        </w:rPr>
        <w:t> </w:t>
      </w:r>
    </w:p>
    <w:tbl>
      <w:tblPr>
        <w:tblW w:w="5431" w:type="dxa"/>
        <w:jc w:val="center"/>
        <w:tblInd w:w="0" w:type="dxa"/>
        <w:tblLayout w:type="fixed"/>
        <w:tblCellMar>
          <w:top w:w="28" w:type="dxa"/>
          <w:left w:w="28" w:type="dxa"/>
          <w:bottom w:w="28" w:type="dxa"/>
          <w:right w:w="28" w:type="dxa"/>
        </w:tblCellMar>
      </w:tblPr>
      <w:tblGrid>
        <w:gridCol w:w="1065"/>
        <w:gridCol w:w="935"/>
        <w:gridCol w:w="940"/>
        <w:gridCol w:w="109"/>
        <w:gridCol w:w="109"/>
        <w:gridCol w:w="109"/>
        <w:gridCol w:w="269"/>
        <w:gridCol w:w="271"/>
        <w:gridCol w:w="211"/>
        <w:gridCol w:w="109"/>
        <w:gridCol w:w="109"/>
        <w:gridCol w:w="109"/>
        <w:gridCol w:w="211"/>
        <w:gridCol w:w="721"/>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Grant Date</w:t>
              <w:br/>
              <w:t>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Acquisitions and Investments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2025 Acquisitions</w:t>
      </w:r>
    </w:p>
    <w:p>
      <w:pPr>
        <w:pStyle w:val="TextBody"/>
        <w:bidi w:val="0"/>
        <w:spacing w:lineRule="auto" w:line="25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Alpha Acquisition</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announced, pursuant to Rule 2.7 of the United Kingdom City Code on Takeovers and Mergers a firm intention to make a cash offer to acquire 100% of Alpha Group International plc (LSE: ALPHA) ("Alpha") to be effected by means of a court-sanctioned scheme of arrangement (the "Scheme") under Part 26 of the United Kingdom Companies Act 2006. Alpha is a leading provider of business-to-business ("B2B") cross-border foreign exchange solutions to corporations and investment funds in the U.K. and Europe. Alpha pioneered alternative bank accounts as a simpler, faster way for investment managers to fund their investments and pay expenses anywhere in Europe.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On October 31, 2025, Corpay completed the acquisition of all of the ordinary shares of Alpha for £42.50 in cash for each Alpha share upon the terms as described in the Rule 2.7 Announcement, resulting in an aggregate purchase price of approximately £1.8 billion, or $2.4 billion. The aggregate cash consideration paid in the transaction was funded with borrowings under the Company's credit facility.</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The Alpha acquisition was accounted for as a business combination. Total consideration was approximately $2.1 billion, net of cash and cash equivalents and restricted cash acquired of $4.5 billion. The primary areas of the preliminary acquisition accounting that are not yet finalized relate to the following: (i) finalizing the review and valuation of intangible assets, including key assumptions, inputs and estimates, and certain useful life assumptions, including customer attrition rates, (ii) finalizing the Company's estimate of the impact of acquisition accounting on deferred income taxes or liabilities, (iii) finalizing the Company's review of certain working capital accounts acquired, and (iv) finalizing the evaluation and valuation of certain legal matters and/or other loss contingencies, including those that the Company may not yet be aware of but that meet the requirement to qualify as a pre-acquisition contingency. None of the goodwill attributable to the acquisition of Alpha is expected to be deductible for tax purposes. There were no material measurement period adjustments recorded during the six months ended June 30, 2026 related to the Alpha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acquisition accounting for the Alpha acquisition noted above (in thousands):</w:t>
      </w:r>
    </w:p>
    <w:tbl>
      <w:tblPr>
        <w:tblW w:w="10205" w:type="dxa"/>
        <w:jc w:val="center"/>
        <w:tblInd w:w="0" w:type="dxa"/>
        <w:tblLayout w:type="fixed"/>
        <w:tblCellMar>
          <w:top w:w="28" w:type="dxa"/>
          <w:left w:w="28" w:type="dxa"/>
          <w:bottom w:w="28" w:type="dxa"/>
          <w:right w:w="28" w:type="dxa"/>
        </w:tblCellMar>
      </w:tblPr>
      <w:tblGrid>
        <w:gridCol w:w="2604"/>
        <w:gridCol w:w="2197"/>
        <w:gridCol w:w="2204"/>
        <w:gridCol w:w="480"/>
        <w:gridCol w:w="2367"/>
        <w:gridCol w:w="353"/>
      </w:tblGrid>
      <w:tr>
        <w:trPr/>
        <w:tc>
          <w:tcPr>
            <w:tcW w:w="260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44,306 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196,460 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 term assets</w:t>
            </w:r>
          </w:p>
        </w:tc>
        <w:tc>
          <w:tcPr>
            <w:tcW w:w="2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103,710 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1,208,671 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2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994,474 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(4,272,015)</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2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(322,223)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consideration</w:t>
            </w:r>
            <w:r>
              <w:rPr>
                <w:rFonts w:ascii="Times New Roman;serif" w:hAnsi="Times New Roman;serif"/>
                <w:b w:val="false"/>
                <w:color w:val="000000"/>
                <w:sz w:val="13"/>
              </w:rPr>
              <w:t>1</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(2,088,431)</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The Alpha purchase price included approximately $4 billion in cash and cash equivalents and restricted cash, for which there were corresponding customer deposit liabilities assumed. </w:t>
            </w:r>
          </w:p>
        </w:tc>
      </w:tr>
    </w:tbl>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intangible assets acquired and the related estimated useful lives consisted of the following (in thousands):</w:t>
      </w:r>
    </w:p>
    <w:tbl>
      <w:tblPr>
        <w:tblW w:w="6592" w:type="dxa"/>
        <w:jc w:val="center"/>
        <w:tblInd w:w="0" w:type="dxa"/>
        <w:tblLayout w:type="fixed"/>
        <w:tblCellMar>
          <w:top w:w="28" w:type="dxa"/>
          <w:left w:w="28" w:type="dxa"/>
          <w:bottom w:w="28" w:type="dxa"/>
          <w:right w:w="28" w:type="dxa"/>
        </w:tblCellMar>
      </w:tblPr>
      <w:tblGrid>
        <w:gridCol w:w="1069"/>
        <w:gridCol w:w="940"/>
        <w:gridCol w:w="946"/>
        <w:gridCol w:w="669"/>
        <w:gridCol w:w="669"/>
        <w:gridCol w:w="672"/>
        <w:gridCol w:w="109"/>
        <w:gridCol w:w="109"/>
        <w:gridCol w:w="109"/>
        <w:gridCol w:w="211"/>
        <w:gridCol w:w="826"/>
        <w:gridCol w:w="109"/>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20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and vendor relationships</w:t>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 to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left"/>
        <w:rPr>
          <w:rFonts w:ascii="Times New Roman;serif" w:hAnsi="Times New Roman;serif"/>
          <w:b/>
          <w:color w:val="000000"/>
          <w:sz w:val="20"/>
        </w:rPr>
      </w:pPr>
      <w:r>
        <w:rPr>
          <w:rFonts w:ascii="Times New Roman;serif" w:hAnsi="Times New Roman;serif"/>
          <w:b/>
          <w:color w:val="000000"/>
          <w:sz w:val="20"/>
        </w:rPr>
        <w:t xml:space="preserve">Minority Investment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formed a limited partnership with TPG that, through its wholly owned subsidiaries, entered into a definitive agreement to acquire AvidXchange Holdings, Inc (NASDAQ: AVDX) (“AvidXchange”). AvidXchange is a provider of accounts payable (AP) automation solutions to lower middle market companies with a focus on several verticals including real estate, homeowners associations, financial institutions and media. The take-private transaction was completed in October 2025. </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closing of the AvidXchange transaction in October 2025, the Company invested approximately $578 million for approximately 35% of the equity in the limited partnership with TPG for an enterprise valuation of approximately $1.9 billion. The limited partnership utilized approximately $450 million of debt financing to consummate the transaction. TPG holds approximately 56% of the equity in the limited partnership, and the management team of AvidXchange holds the remainder. In addition to other terms, the limited partnership agreement provides that, 33 months after the closing of the AvidXchange acquisition, the Company will have the right to acquire, or call, all the remaining outstanding equity of the limited partnership for approximately 2.5 times invested capital, which would result in the Company's consolidation of the limited partnership. If the Company does not exercise such right to acquire all of the remaining outstanding equity of the limited partnership and TPG decides to sell the limited partnership to a third party within a period of 15 months thereafter, the Company is required to guarantee a return to its partners, subject to certain limitations, of approximately 1.6 times invested capital (the minimum return). If the partnership sells AvidXchange in 2029 for an approximately similar valuation as at acquisition, there will be no requirement to pay any minimum return. </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Private Company Council adjustments are identified and removed to conform with the Company's accounting as appropriate. Furthermore, TPG's acquisition accounting is preliminary, with regards to (i) the valuation of its customer intangible assets, including key assumptions, inputs and estimates, and certain useful life assumptions, including customer attrition rates, (ii) finalizing the estimate of the impact of acquisition accounting on deferred income taxes or liabilities, and (iii) finalizing the review of certain working capital accounts acquired. As the acquisition accounting is preliminary in certain areas, the Company has made reasonable estimates where necessary to remove the impact of any known, material Private Company Council adjustments in its financial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Goodwill and Other Intangibles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changes in the Company’s goodwill is as follows (in thousands):</w:t>
      </w:r>
    </w:p>
    <w:tbl>
      <w:tblPr>
        <w:tblW w:w="10205" w:type="dxa"/>
        <w:jc w:val="center"/>
        <w:tblInd w:w="0" w:type="dxa"/>
        <w:tblLayout w:type="fixed"/>
        <w:tblCellMar>
          <w:top w:w="28" w:type="dxa"/>
          <w:left w:w="28" w:type="dxa"/>
          <w:bottom w:w="28" w:type="dxa"/>
          <w:right w:w="28" w:type="dxa"/>
        </w:tblCellMar>
      </w:tblPr>
      <w:tblGrid>
        <w:gridCol w:w="321"/>
        <w:gridCol w:w="282"/>
        <w:gridCol w:w="283"/>
        <w:gridCol w:w="109"/>
        <w:gridCol w:w="109"/>
        <w:gridCol w:w="109"/>
        <w:gridCol w:w="212"/>
        <w:gridCol w:w="985"/>
        <w:gridCol w:w="110"/>
        <w:gridCol w:w="109"/>
        <w:gridCol w:w="109"/>
        <w:gridCol w:w="109"/>
        <w:gridCol w:w="109"/>
        <w:gridCol w:w="109"/>
        <w:gridCol w:w="220"/>
        <w:gridCol w:w="884"/>
        <w:gridCol w:w="113"/>
        <w:gridCol w:w="109"/>
        <w:gridCol w:w="109"/>
        <w:gridCol w:w="109"/>
        <w:gridCol w:w="211"/>
        <w:gridCol w:w="843"/>
        <w:gridCol w:w="109"/>
        <w:gridCol w:w="109"/>
        <w:gridCol w:w="109"/>
        <w:gridCol w:w="109"/>
        <w:gridCol w:w="259"/>
        <w:gridCol w:w="758"/>
        <w:gridCol w:w="134"/>
        <w:gridCol w:w="109"/>
        <w:gridCol w:w="109"/>
        <w:gridCol w:w="109"/>
        <w:gridCol w:w="211"/>
        <w:gridCol w:w="633"/>
        <w:gridCol w:w="109"/>
        <w:gridCol w:w="109"/>
        <w:gridCol w:w="109"/>
        <w:gridCol w:w="109"/>
        <w:gridCol w:w="211"/>
        <w:gridCol w:w="976"/>
        <w:gridCol w:w="16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Transferred to Held for Sale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Dispositions</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Acquisition Accounting </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7,564,822 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(194,287)</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7,149,978 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Reflects the reclassification of goodwill assigned to the Maintenance business of our Vehicle Payments segment to held for sale during the second quarter of 2026. See Note 15 for further information. </w:t>
      </w:r>
    </w:p>
    <w:p>
      <w:pPr>
        <w:pStyle w:val="TextBody"/>
        <w:bidi w:val="0"/>
        <w:spacing w:lineRule="auto" w:line="288" w:before="120" w:after="283"/>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 xml:space="preserve">Reflects goodwill derecognized in connection with the disposition of the Company's PayByPhone business in the first quarter of 2026. See Note 15 for further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Company's goodwill is presented net of accumulated impairment losses of $90.0 million, all of which were recorded during the year ended December 31, 2024.</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other intangibles consisted of the following (in thousands):</w:t>
      </w:r>
    </w:p>
    <w:tbl>
      <w:tblPr>
        <w:tblW w:w="12197" w:type="dxa"/>
        <w:jc w:val="left"/>
        <w:tblInd w:w="0" w:type="dxa"/>
        <w:tblLayout w:type="fixed"/>
        <w:tblCellMar>
          <w:top w:w="28" w:type="dxa"/>
          <w:left w:w="28" w:type="dxa"/>
          <w:bottom w:w="28" w:type="dxa"/>
          <w:right w:w="28" w:type="dxa"/>
        </w:tblCellMar>
      </w:tblPr>
      <w:tblGrid>
        <w:gridCol w:w="469"/>
        <w:gridCol w:w="373"/>
        <w:gridCol w:w="374"/>
        <w:gridCol w:w="109"/>
        <w:gridCol w:w="109"/>
        <w:gridCol w:w="109"/>
        <w:gridCol w:w="280"/>
        <w:gridCol w:w="280"/>
        <w:gridCol w:w="281"/>
        <w:gridCol w:w="109"/>
        <w:gridCol w:w="109"/>
        <w:gridCol w:w="109"/>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Avg</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Useful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Lives</w:t>
            </w:r>
          </w:p>
          <w:p>
            <w:pPr>
              <w:pStyle w:val="TableContents"/>
              <w:bidi w:val="0"/>
              <w:spacing w:lineRule="auto" w:line="240" w:before="0" w:after="0"/>
              <w:jc w:val="center"/>
              <w:rPr/>
            </w:pPr>
            <w:r>
              <w:rPr>
                <w:rFonts w:ascii="Times New Roman;serif" w:hAnsi="Times New Roman;serif"/>
                <w:b/>
                <w:color w:val="000000"/>
                <w:sz w:val="18"/>
              </w:rPr>
              <w:t>(Years)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br/>
              <w:t>Carrying</w:t>
              <w:br/>
              <w:t>Amount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and vendor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(1,976,446)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(1,908,916)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2,632,085 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trademarks—indefinite 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(2,292,321)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2,919,689 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5,456,515 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(2,218,786)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3,237,729 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N/A = 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7"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weighted-average useful life calculation excludes fully amortized intangible assets.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foreign exchange rates resulted in a $13.8 million decrease to the net carrying values of other intangibles in the six months ended June 30, 2026. Amortization expense related to intangible assets for the six months ended June 30, 2026 and 2025 was $161.0 million and $125.3 million, respectively. </w:t>
      </w:r>
    </w:p>
    <w:p>
      <w:pPr>
        <w:pStyle w:val="TextBody"/>
        <w:bidi w:val="0"/>
        <w:spacing w:before="18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 and Securitization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party to a $9.95 billion Credit Agreement (the "Credit Agreement"), with Bank of America, N.A., as administrative agent, swing line lender and letter of credit issuer and a syndicate of financial institutions (the "Lenders"), which has been amended multiple times. The Credit Agreement includes a Term Loan A, a Term Loan B and a revolving credit facility. As noted in Note 2, the Company is also party to a $2.30 billion Securitization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balances of the Company’s debt instruments under the Credit Agreement and the Securitization Facility are as follows (in thousands):</w:t>
      </w:r>
    </w:p>
    <w:tbl>
      <w:tblPr>
        <w:tblW w:w="8849" w:type="dxa"/>
        <w:jc w:val="center"/>
        <w:tblInd w:w="0" w:type="dxa"/>
        <w:tblLayout w:type="fixed"/>
        <w:tblCellMar>
          <w:top w:w="28" w:type="dxa"/>
          <w:left w:w="28" w:type="dxa"/>
          <w:bottom w:w="28" w:type="dxa"/>
          <w:right w:w="28" w:type="dxa"/>
        </w:tblCellMar>
      </w:tblPr>
      <w:tblGrid>
        <w:gridCol w:w="1818"/>
        <w:gridCol w:w="1601"/>
        <w:gridCol w:w="1606"/>
        <w:gridCol w:w="109"/>
        <w:gridCol w:w="109"/>
        <w:gridCol w:w="109"/>
        <w:gridCol w:w="211"/>
        <w:gridCol w:w="1081"/>
        <w:gridCol w:w="109"/>
        <w:gridCol w:w="109"/>
        <w:gridCol w:w="109"/>
        <w:gridCol w:w="109"/>
        <w:gridCol w:w="258"/>
        <w:gridCol w:w="1323"/>
        <w:gridCol w:w="188"/>
      </w:tblGrid>
      <w:tr>
        <w:trPr/>
        <w:tc>
          <w:tcPr>
            <w:tcW w:w="181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note payable,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2,918,787 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note payable, net of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3,934,403 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notes payable, credit agreements and other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8,178,687 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10,623,531 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10,001,687 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4,525,389 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3,345,530 </w:t>
            </w:r>
          </w:p>
        </w:tc>
        <w:tc>
          <w:tcPr>
            <w:tcW w:w="18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6,656,157 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10,623,531 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10,001,687 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21, 2026, the Company entered into the eighteenth amendment to its Credit Agreement (as amended and supplemented from time to time, including by the eighteenth amendment, the “Credit Facility”), dated as of October 24, 2014, among Corpay Technologies Operating Company, LLC, Corpay, the other borrowers party thereto, Bank of America, N.A., as administrative agent and swing line lender, and the other lenders party thereto. The eighteenth amendment, among other things, (i) increases the aggregate commitments under the Company's revolving credit facility by $0.9 billion to new total revolving credit facility commitments of $3.7 billion, (ii) increases the Term Loan A by $0.4 billion to new total Term Loan A borrowings of $3.3 billion, (iii) extends the maturity of its revolving credit facility and Term Loan A for a new 5 year term, (iv) increases the Term Loan B-6 by $2.05 billion for a total Term Loan B-6 of $2.95 billion, (v) removes the 10 basis point SOFR Adjustment (as defined in the Credit Facility) and 3.26 basis point SONIA Adjustment (as defined in the Credit Facility), and (vi) provides for a new applicable interest rate pricing grid incorporating the better of ratings or leverage pricing.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repaid its Term Loan B-5 in full using $1.0 billion of the Term Loan A and revolving credit facility proceeds and $2.05 billion of the Term Loan B-6 proceeds. The Company intends to use the remaining proceeds and available revolving credit facility for general corporate purposes.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and Term Loan A have a maturity date of May 21, 2031. The Term Loan B-6 has a maturity date of November 5, 2032. The term loans are payable in quarterly installments due on the last business day of each March, June, September and December with the final principal payment due on the respective maturity date. Borrowings on the revolving credit facility are repayable at the maturity date of the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was in compliance with all financial and non-financial covenants under the Credit Agreement and Securitization Facility at June 30, 2026. </w:t>
      </w:r>
    </w:p>
    <w:p>
      <w:pPr>
        <w:pStyle w:val="TextBody"/>
        <w:bidi w:val="0"/>
        <w:spacing w:lineRule="auto" w:line="288" w:before="180" w:after="283"/>
        <w:jc w:val="left"/>
        <w:rPr/>
      </w:pPr>
      <w:r>
        <w:rPr>
          <w:rFonts w:ascii="Times New Roman;serif" w:hAnsi="Times New Roman;serif"/>
          <w:b w:val="false"/>
          <w:color w:val="000000"/>
          <w:sz w:val="20"/>
        </w:rPr>
        <w:t>The contractual maturities of the Company’s total notes payable, credit agreements and other obligations (excluding the Securitization Facility) at June 30, 2026 were as follows (in thousands):</w:t>
      </w:r>
      <w:r>
        <w:rPr>
          <w:color w:val="000000"/>
        </w:rPr>
        <w:t> </w:t>
      </w:r>
    </w:p>
    <w:tbl>
      <w:tblPr>
        <w:tblW w:w="6692" w:type="dxa"/>
        <w:jc w:val="center"/>
        <w:tblInd w:w="0" w:type="dxa"/>
        <w:tblLayout w:type="fixed"/>
        <w:tblCellMar>
          <w:top w:w="28" w:type="dxa"/>
          <w:left w:w="28" w:type="dxa"/>
          <w:bottom w:w="28" w:type="dxa"/>
          <w:right w:w="28" w:type="dxa"/>
        </w:tblCellMar>
      </w:tblPr>
      <w:tblGrid>
        <w:gridCol w:w="1820"/>
        <w:gridCol w:w="1601"/>
        <w:gridCol w:w="1603"/>
        <w:gridCol w:w="109"/>
        <w:gridCol w:w="109"/>
        <w:gridCol w:w="109"/>
        <w:gridCol w:w="211"/>
        <w:gridCol w:w="976"/>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8,360,630 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discounts and issuance costs included in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notes payable, credit agreements and other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8,323,531 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120" w:after="180"/>
        <w:jc w:val="left"/>
        <w:rPr/>
      </w:pPr>
      <w:r>
        <w:rPr>
          <w:rFonts w:ascii="Times New Roman;serif" w:hAnsi="Times New Roman;serif"/>
          <w:b w:val="false"/>
          <w:color w:val="000000"/>
          <w:sz w:val="20"/>
        </w:rPr>
        <w:t>For the three and six months ended June 30, 2026, the Company's effective tax</w:t>
      </w:r>
      <w:r>
        <w:rPr>
          <w:color w:val="000000"/>
          <w:shd w:fill="FFFFFF" w:val="clear"/>
        </w:rPr>
        <w:t xml:space="preserve"> </w:t>
      </w:r>
      <w:r>
        <w:rPr>
          <w:rFonts w:ascii="Times New Roman;serif" w:hAnsi="Times New Roman;serif"/>
          <w:b w:val="false"/>
          <w:color w:val="000000"/>
          <w:sz w:val="20"/>
        </w:rPr>
        <w:t xml:space="preserve">rates were 27.0% and 28.7%, respectively, which differed from the U.S. federal statutory rate primarily due to the gain on the sale of PayByPhone, the geographical mix of earnings and other one-time items.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Company's effective tax rates were 27.7% and 26.7%, respectively, which differed from the U.S. federal statutory rate primarily due to the geographical mix of earnings, the adoption of Pillar Two legislation and changes in state apportionment resulting in the revaluation of deferred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10. Earnings Per Share</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reports basic and diluted earnings per share using the two-class method, which is an earnings allocation method that determines earnings per share for common shares and participating securities. Basic earnings per share is computed by dividing net income attributable to shareholders of the Company by the weighted average number of common shares outstanding during the reported period, further adjusted by the redeemable noncontrolling interest redemption value adjustment associated with the Mastercard investment. Diluted earnings per share reflect the potential dilution related to equity-based incentives using the treasury stock method.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calculation and reconciliation of basic and diluted earnings per share attributable to Corpay for the three and six months ended June 30, 2026 and 2025 is as follows (in thousands, except per share data):</w:t>
      </w:r>
    </w:p>
    <w:tbl>
      <w:tblPr>
        <w:tblW w:w="10205" w:type="dxa"/>
        <w:jc w:val="center"/>
        <w:tblInd w:w="0" w:type="dxa"/>
        <w:tblLayout w:type="fixed"/>
        <w:tblCellMar>
          <w:top w:w="28" w:type="dxa"/>
          <w:left w:w="28" w:type="dxa"/>
          <w:bottom w:w="28" w:type="dxa"/>
          <w:right w:w="28" w:type="dxa"/>
        </w:tblCellMar>
      </w:tblPr>
      <w:tblGrid>
        <w:gridCol w:w="1666"/>
        <w:gridCol w:w="1296"/>
        <w:gridCol w:w="130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6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527,401 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 to redemption value of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Corpay shareholders after adjustment to redemption value of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527,401 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earnings per share attributable to Corpay for the three months ended June 30, 2026 and 2025 excludes the effect of 0.8 million and 0.3 million shares, respectively, of common stock that may be issued upon the exercise of employee stock options because such effect would be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reports information about its operating segments in accordance with the authoritative guidance related to segments. During the first quarter of 2026, the Company refined its segment composition within its existing reportable segments to reflect how the Company's Chief Executive Officer, who is the Chief Operating Decision Maker (CODM), currently organizes and manages the global business. As a result of the changes, the Company's segment structure was updated. These changes include realignment of the outsourced card processing business from Corporate Payments to Other, and enterprise clients using the spend management product for vehicle and corporate payments from Vehicle Payments to Corporate Payments. The refined composition within the Company's reportable segments aligns with how the CODM allocates resources, assesses performance and reviews financial information. The CODM uses segment operating income to make decisions regarding the allocation of resources (including financial resources and capital spending) to each segment primarily in the annual budgeting and forecasting processes and reviews budget to actual variances for segment operating income on a monthly, quarterly and annual basis to assess the performance of each segment. The presentation of segment information has been recast for the prior periods to align with the revised segment presentation. Segment results are as follows for the three and six month periods ended June 30, 2026 and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95"/>
        <w:gridCol w:w="565"/>
        <w:gridCol w:w="567"/>
        <w:gridCol w:w="109"/>
        <w:gridCol w:w="109"/>
        <w:gridCol w:w="109"/>
        <w:gridCol w:w="282"/>
        <w:gridCol w:w="1106"/>
        <w:gridCol w:w="145"/>
        <w:gridCol w:w="109"/>
        <w:gridCol w:w="109"/>
        <w:gridCol w:w="109"/>
        <w:gridCol w:w="259"/>
        <w:gridCol w:w="1015"/>
        <w:gridCol w:w="133"/>
        <w:gridCol w:w="109"/>
        <w:gridCol w:w="109"/>
        <w:gridCol w:w="109"/>
        <w:gridCol w:w="260"/>
        <w:gridCol w:w="1020"/>
        <w:gridCol w:w="134"/>
        <w:gridCol w:w="109"/>
        <w:gridCol w:w="109"/>
        <w:gridCol w:w="109"/>
        <w:gridCol w:w="211"/>
        <w:gridCol w:w="721"/>
        <w:gridCol w:w="109"/>
        <w:gridCol w:w="109"/>
        <w:gridCol w:w="109"/>
        <w:gridCol w:w="109"/>
        <w:gridCol w:w="211"/>
        <w:gridCol w:w="976"/>
        <w:gridCol w:w="161"/>
      </w:tblGrid>
      <w:tr>
        <w:trPr/>
        <w:tc>
          <w:tcPr>
            <w:tcW w:w="69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Corporate Payments</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Vehicle Payments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548,724 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580,209 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123,183 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1,338,809 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Processing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199,642 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190,053 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472,274 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344,720 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732"/>
        <w:gridCol w:w="622"/>
        <w:gridCol w:w="625"/>
        <w:gridCol w:w="109"/>
        <w:gridCol w:w="109"/>
        <w:gridCol w:w="109"/>
        <w:gridCol w:w="333"/>
        <w:gridCol w:w="1139"/>
        <w:gridCol w:w="171"/>
        <w:gridCol w:w="109"/>
        <w:gridCol w:w="109"/>
        <w:gridCol w:w="109"/>
        <w:gridCol w:w="298"/>
        <w:gridCol w:w="1020"/>
        <w:gridCol w:w="154"/>
        <w:gridCol w:w="109"/>
        <w:gridCol w:w="109"/>
        <w:gridCol w:w="109"/>
        <w:gridCol w:w="326"/>
        <w:gridCol w:w="954"/>
        <w:gridCol w:w="168"/>
        <w:gridCol w:w="109"/>
        <w:gridCol w:w="109"/>
        <w:gridCol w:w="109"/>
        <w:gridCol w:w="211"/>
        <w:gridCol w:w="616"/>
        <w:gridCol w:w="109"/>
        <w:gridCol w:w="109"/>
        <w:gridCol w:w="109"/>
        <w:gridCol w:w="109"/>
        <w:gridCol w:w="211"/>
        <w:gridCol w:w="721"/>
        <w:gridCol w:w="160"/>
      </w:tblGrid>
      <w:tr>
        <w:trPr/>
        <w:tc>
          <w:tcPr>
            <w:tcW w:w="73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Corporate Payments</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Vehicle Payments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disclosures</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left"/>
        <w:rPr/>
      </w:pPr>
      <w:r>
        <w:rPr/>
      </w:r>
    </w:p>
    <w:tbl>
      <w:tblPr>
        <w:tblW w:w="10205" w:type="dxa"/>
        <w:jc w:val="left"/>
        <w:tblInd w:w="0" w:type="dxa"/>
        <w:tblLayout w:type="fixed"/>
        <w:tblCellMar>
          <w:top w:w="28" w:type="dxa"/>
          <w:left w:w="28" w:type="dxa"/>
          <w:bottom w:w="28" w:type="dxa"/>
          <w:right w:w="28" w:type="dxa"/>
        </w:tblCellMar>
      </w:tblPr>
      <w:tblGrid>
        <w:gridCol w:w="655"/>
        <w:gridCol w:w="532"/>
        <w:gridCol w:w="535"/>
        <w:gridCol w:w="109"/>
        <w:gridCol w:w="109"/>
        <w:gridCol w:w="109"/>
        <w:gridCol w:w="252"/>
        <w:gridCol w:w="1166"/>
        <w:gridCol w:w="129"/>
        <w:gridCol w:w="109"/>
        <w:gridCol w:w="109"/>
        <w:gridCol w:w="109"/>
        <w:gridCol w:w="235"/>
        <w:gridCol w:w="1090"/>
        <w:gridCol w:w="121"/>
        <w:gridCol w:w="109"/>
        <w:gridCol w:w="109"/>
        <w:gridCol w:w="109"/>
        <w:gridCol w:w="250"/>
        <w:gridCol w:w="982"/>
        <w:gridCol w:w="129"/>
        <w:gridCol w:w="109"/>
        <w:gridCol w:w="109"/>
        <w:gridCol w:w="109"/>
        <w:gridCol w:w="211"/>
        <w:gridCol w:w="826"/>
        <w:gridCol w:w="109"/>
        <w:gridCol w:w="109"/>
        <w:gridCol w:w="109"/>
        <w:gridCol w:w="109"/>
        <w:gridCol w:w="211"/>
        <w:gridCol w:w="976"/>
        <w:gridCol w:w="161"/>
      </w:tblGrid>
      <w:tr>
        <w:trPr/>
        <w:tc>
          <w:tcPr>
            <w:tcW w:w="65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Corporate Payments</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Vehicle Payments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1,052,591 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1,144,112 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234,157 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2,599,796 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Processing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378,723 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572,857 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92,265 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1,108,439 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258,702 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849,737 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717"/>
        <w:gridCol w:w="606"/>
        <w:gridCol w:w="608"/>
        <w:gridCol w:w="109"/>
        <w:gridCol w:w="109"/>
        <w:gridCol w:w="109"/>
        <w:gridCol w:w="325"/>
        <w:gridCol w:w="1114"/>
        <w:gridCol w:w="168"/>
        <w:gridCol w:w="109"/>
        <w:gridCol w:w="109"/>
        <w:gridCol w:w="109"/>
        <w:gridCol w:w="292"/>
        <w:gridCol w:w="1002"/>
        <w:gridCol w:w="151"/>
        <w:gridCol w:w="109"/>
        <w:gridCol w:w="109"/>
        <w:gridCol w:w="109"/>
        <w:gridCol w:w="294"/>
        <w:gridCol w:w="1008"/>
        <w:gridCol w:w="152"/>
        <w:gridCol w:w="109"/>
        <w:gridCol w:w="109"/>
        <w:gridCol w:w="109"/>
        <w:gridCol w:w="211"/>
        <w:gridCol w:w="616"/>
        <w:gridCol w:w="109"/>
        <w:gridCol w:w="109"/>
        <w:gridCol w:w="109"/>
        <w:gridCol w:w="109"/>
        <w:gridCol w:w="211"/>
        <w:gridCol w:w="826"/>
        <w:gridCol w:w="160"/>
      </w:tblGrid>
      <w:tr>
        <w:trPr/>
        <w:tc>
          <w:tcPr>
            <w:tcW w:w="71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Corporate Payments</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Vehicle Payments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disclosures</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701"/>
        <w:gridCol w:w="569"/>
        <w:gridCol w:w="572"/>
        <w:gridCol w:w="109"/>
        <w:gridCol w:w="109"/>
        <w:gridCol w:w="109"/>
        <w:gridCol w:w="277"/>
        <w:gridCol w:w="1086"/>
        <w:gridCol w:w="143"/>
        <w:gridCol w:w="109"/>
        <w:gridCol w:w="109"/>
        <w:gridCol w:w="109"/>
        <w:gridCol w:w="260"/>
        <w:gridCol w:w="1020"/>
        <w:gridCol w:w="134"/>
        <w:gridCol w:w="109"/>
        <w:gridCol w:w="109"/>
        <w:gridCol w:w="109"/>
        <w:gridCol w:w="262"/>
        <w:gridCol w:w="1025"/>
        <w:gridCol w:w="135"/>
        <w:gridCol w:w="109"/>
        <w:gridCol w:w="109"/>
        <w:gridCol w:w="109"/>
        <w:gridCol w:w="211"/>
        <w:gridCol w:w="721"/>
        <w:gridCol w:w="109"/>
        <w:gridCol w:w="109"/>
        <w:gridCol w:w="109"/>
        <w:gridCol w:w="109"/>
        <w:gridCol w:w="211"/>
        <w:gridCol w:w="976"/>
        <w:gridCol w:w="158"/>
      </w:tblGrid>
      <w:tr>
        <w:trPr/>
        <w:tc>
          <w:tcPr>
            <w:tcW w:w="7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Vehicle Payments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387,305 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512,027 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119,790 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1,102,030 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Processing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156,937 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241,643 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49,294 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479,390 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040" w:type="dxa"/>
            <w:gridSpan w:val="12"/>
            <w:tcBorders/>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393,090 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left"/>
        <w:rPr/>
      </w:pPr>
      <w:r>
        <w:rPr/>
      </w:r>
    </w:p>
    <w:tbl>
      <w:tblPr>
        <w:tblW w:w="10205" w:type="dxa"/>
        <w:jc w:val="center"/>
        <w:tblInd w:w="0" w:type="dxa"/>
        <w:tblLayout w:type="fixed"/>
        <w:tblCellMar>
          <w:top w:w="28" w:type="dxa"/>
          <w:left w:w="28" w:type="dxa"/>
          <w:bottom w:w="28" w:type="dxa"/>
          <w:right w:w="28" w:type="dxa"/>
        </w:tblCellMar>
      </w:tblPr>
      <w:tblGrid>
        <w:gridCol w:w="738"/>
        <w:gridCol w:w="628"/>
        <w:gridCol w:w="631"/>
        <w:gridCol w:w="109"/>
        <w:gridCol w:w="109"/>
        <w:gridCol w:w="109"/>
        <w:gridCol w:w="325"/>
        <w:gridCol w:w="1112"/>
        <w:gridCol w:w="167"/>
        <w:gridCol w:w="109"/>
        <w:gridCol w:w="109"/>
        <w:gridCol w:w="109"/>
        <w:gridCol w:w="300"/>
        <w:gridCol w:w="1027"/>
        <w:gridCol w:w="155"/>
        <w:gridCol w:w="109"/>
        <w:gridCol w:w="109"/>
        <w:gridCol w:w="109"/>
        <w:gridCol w:w="329"/>
        <w:gridCol w:w="961"/>
        <w:gridCol w:w="169"/>
        <w:gridCol w:w="109"/>
        <w:gridCol w:w="109"/>
        <w:gridCol w:w="109"/>
        <w:gridCol w:w="211"/>
        <w:gridCol w:w="616"/>
        <w:gridCol w:w="109"/>
        <w:gridCol w:w="109"/>
        <w:gridCol w:w="109"/>
        <w:gridCol w:w="109"/>
        <w:gridCol w:w="211"/>
        <w:gridCol w:w="721"/>
        <w:gridCol w:w="160"/>
      </w:tblGrid>
      <w:tr>
        <w:trPr/>
        <w:tc>
          <w:tcPr>
            <w:tcW w:w="73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Vehicle Payments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disclosures</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86"/>
        <w:gridCol w:w="557"/>
        <w:gridCol w:w="559"/>
        <w:gridCol w:w="109"/>
        <w:gridCol w:w="109"/>
        <w:gridCol w:w="109"/>
        <w:gridCol w:w="272"/>
        <w:gridCol w:w="1067"/>
        <w:gridCol w:w="140"/>
        <w:gridCol w:w="109"/>
        <w:gridCol w:w="109"/>
        <w:gridCol w:w="109"/>
        <w:gridCol w:w="256"/>
        <w:gridCol w:w="1006"/>
        <w:gridCol w:w="132"/>
        <w:gridCol w:w="109"/>
        <w:gridCol w:w="109"/>
        <w:gridCol w:w="109"/>
        <w:gridCol w:w="258"/>
        <w:gridCol w:w="1011"/>
        <w:gridCol w:w="133"/>
        <w:gridCol w:w="109"/>
        <w:gridCol w:w="109"/>
        <w:gridCol w:w="109"/>
        <w:gridCol w:w="211"/>
        <w:gridCol w:w="826"/>
        <w:gridCol w:w="109"/>
        <w:gridCol w:w="109"/>
        <w:gridCol w:w="109"/>
        <w:gridCol w:w="109"/>
        <w:gridCol w:w="211"/>
        <w:gridCol w:w="976"/>
        <w:gridCol w:w="160"/>
      </w:tblGrid>
      <w:tr>
        <w:trPr/>
        <w:tc>
          <w:tcPr>
            <w:tcW w:w="68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Vehicle Payments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732,421 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986,305 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230,015 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2,107,697 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Processing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107,633 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286,760 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464,429 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906,514 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185,913 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720,601 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center"/>
        <w:rPr/>
      </w:pPr>
      <w:r>
        <w:rPr/>
      </w:r>
    </w:p>
    <w:tbl>
      <w:tblPr>
        <w:tblW w:w="10205" w:type="dxa"/>
        <w:jc w:val="center"/>
        <w:tblInd w:w="0" w:type="dxa"/>
        <w:tblLayout w:type="fixed"/>
        <w:tblCellMar>
          <w:top w:w="28" w:type="dxa"/>
          <w:left w:w="28" w:type="dxa"/>
          <w:bottom w:w="28" w:type="dxa"/>
          <w:right w:w="28" w:type="dxa"/>
        </w:tblCellMar>
      </w:tblPr>
      <w:tblGrid>
        <w:gridCol w:w="738"/>
        <w:gridCol w:w="628"/>
        <w:gridCol w:w="631"/>
        <w:gridCol w:w="109"/>
        <w:gridCol w:w="109"/>
        <w:gridCol w:w="109"/>
        <w:gridCol w:w="325"/>
        <w:gridCol w:w="1112"/>
        <w:gridCol w:w="167"/>
        <w:gridCol w:w="109"/>
        <w:gridCol w:w="109"/>
        <w:gridCol w:w="109"/>
        <w:gridCol w:w="300"/>
        <w:gridCol w:w="1027"/>
        <w:gridCol w:w="155"/>
        <w:gridCol w:w="109"/>
        <w:gridCol w:w="109"/>
        <w:gridCol w:w="109"/>
        <w:gridCol w:w="329"/>
        <w:gridCol w:w="961"/>
        <w:gridCol w:w="169"/>
        <w:gridCol w:w="109"/>
        <w:gridCol w:w="109"/>
        <w:gridCol w:w="109"/>
        <w:gridCol w:w="211"/>
        <w:gridCol w:w="616"/>
        <w:gridCol w:w="109"/>
        <w:gridCol w:w="109"/>
        <w:gridCol w:w="109"/>
        <w:gridCol w:w="109"/>
        <w:gridCol w:w="211"/>
        <w:gridCol w:w="721"/>
        <w:gridCol w:w="160"/>
      </w:tblGrid>
      <w:tr>
        <w:trPr/>
        <w:tc>
          <w:tcPr>
            <w:tcW w:w="73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Vehicle Payments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Lodging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disclosures</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120"/>
        <w:jc w:val="left"/>
        <w:rPr>
          <w:rFonts w:ascii="Times New Roman;serif" w:hAnsi="Times New Roman;serif"/>
          <w:b w:val="false"/>
          <w:color w:val="000000"/>
          <w:sz w:val="20"/>
        </w:rPr>
      </w:pPr>
      <w:r>
        <w:rPr>
          <w:rFonts w:ascii="Times New Roman;serif" w:hAnsi="Times New Roman;serif"/>
          <w:b w:val="false"/>
          <w:color w:val="000000"/>
          <w:sz w:val="20"/>
        </w:rPr>
        <w:t>*Columns may not calculate due to rounding. Other includes our Gift, Outsourced Card Processing and Payroll Card operating segments. Prior periods have been recast to reflect current segment presentation.</w:t>
      </w:r>
    </w:p>
    <w:p>
      <w:pPr>
        <w:pStyle w:val="TextBody"/>
        <w:bidi w:val="0"/>
        <w:spacing w:lineRule="auto" w:line="256" w:before="18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Results of the Company's PayByPhone business disposed of in the first quarter of 2026 are included in the Vehicle Payments segment for all periods prior to disposition. Results from Gringo acquired in the first quarter of 2025 are reported in the Vehicle Payments segment from the date of acquisition.</w:t>
      </w:r>
    </w:p>
    <w:p>
      <w:pPr>
        <w:pStyle w:val="TextBody"/>
        <w:bidi w:val="0"/>
        <w:spacing w:lineRule="auto" w:line="256" w:before="18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Results from Alpha acquired in the fourth quarter of 2025 are reported in the Corporate Payments segment from the date of acquisition. </w:t>
      </w:r>
    </w:p>
    <w:p>
      <w:pPr>
        <w:pStyle w:val="TextBody"/>
        <w:bidi w:val="0"/>
        <w:spacing w:lineRule="auto" w:line="288" w:before="60" w:after="283"/>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Total assets for each reportable segment are not presented as the Chief Operating Decision Maker does not evaluate performance or allocate resources based on segment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FTC Matter</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believed were unreasonable demands for redress made by the FTC. </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20, 2019, the FTC filed a lawsuit in the Northern District of Georgia (the “District Court”) against the Company and Ron Clarke. See FTC v. FleetCor Technologies, Inc., No. 19-cv-05727 (N.D. Ga.). The complaint alleged the Company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Ron Clarke violated the FTC Act’s prohibitions on unfair and deceptive acts and practices and sought, among other things, injunctive relief, consumer redress and costs of suit. On April 22, 2021, the United States Supreme Court held unanimously in AMG Capital Management v. FTC that the FTC does not have authority under current law to seek monetary redress under Section 13(b) of the FTC Act, the provision on which the FTC had relied in this case. Following that decision, the FTC filed a parallel administrative action under Section 5 of the FTC Act on August 11, 2021, alleging the same underlying facts, and moved to stay or voluntarily dismiss the District Court case. The administrative action was stayed pending resolution of the federal court proceeding. On August 9, 2022, the District Court granted the FTC's motion for summary judgment as to liability for the Company and Ron Clarke, but granted the Company's motion for summary judgment as to the FTC's claim for monetary relief against the Company and Ron Clarke. </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On June 8, 2023, the District Court issued an Order for Permanent Injunction and Other Relief. The Company appealed to the United States Court of Appeals for the Eleventh Circuit on August 3, 2023, and the FTC's parallel Section 5 administrative action remained stayed pending that appeal. On January 6, 2026, the Eleventh Circuit affirmed the judgment against the Company and affirmed the judgment against Ron Clarke except for one count, which was vacated and remanded. On May 5, 2026, the Eleventh Circuit denied the Company’s petition for en banc review.</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On July 1, 2026, the FTC and the Company reached an agreement with the FTC staff on the terms of a proposed consent order that would resolve the FTC investigation, the claims in the action before the District Court, the administrative action and any other remaining issues in the case. The proposed consent order is subject to the customary approvals of the FTC Commissioners and the District Court. The Company has currently recorded a $100 million charge based on the terms of the proposed consent order.</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If the proposed consent order is not approved or if there any changes to the terms of the proposed consent order during the review process, the Company could incur additional redress and/or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13. Derivative Financial Instruments and Hedging Activities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Currency Derivatives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uses derivatives to facilitate cross-currency corporate payments by writing derivatives to customers within its cross-border solution. The Company also offers interest rate and commodity contracts. Derivative transactions associated with the Company's cross-border solution primarily include:</w:t>
      </w:r>
    </w:p>
    <w:p>
      <w:pPr>
        <w:pStyle w:val="TextBody"/>
        <w:bidi w:val="0"/>
        <w:spacing w:lineRule="auto" w:line="256" w:before="120" w:after="283"/>
        <w:ind w:left="0" w:right="0" w:hanging="360"/>
        <w:jc w:val="left"/>
        <w:rPr/>
      </w:pPr>
      <w:r>
        <w:rPr>
          <w:color w:val="000000"/>
        </w:rPr>
        <w:t>•</w:t>
      </w:r>
      <w:r>
        <w:rPr>
          <w:rFonts w:ascii="Times New Roman;serif" w:hAnsi="Times New Roman;serif"/>
          <w:b w:val="false"/>
          <w:i/>
          <w:color w:val="000000"/>
          <w:sz w:val="20"/>
        </w:rPr>
        <w:t>Foreign currency forward contracts</w:t>
      </w:r>
      <w:r>
        <w:rPr>
          <w:rFonts w:ascii="Times New Roman;serif" w:hAnsi="Times New Roman;serif"/>
          <w:b w:val="false"/>
          <w:color w:val="000000"/>
          <w:sz w:val="20"/>
        </w:rPr>
        <w:t xml:space="preserve">, which are commitments to buy or sell at a future date a currency at a contract price and will be settled in cash. </w:t>
      </w:r>
    </w:p>
    <w:p>
      <w:pPr>
        <w:pStyle w:val="TextBody"/>
        <w:bidi w:val="0"/>
        <w:spacing w:lineRule="auto" w:line="256" w:before="120" w:after="283"/>
        <w:ind w:left="0" w:right="0" w:hanging="360"/>
        <w:jc w:val="left"/>
        <w:rPr/>
      </w:pPr>
      <w:r>
        <w:rPr>
          <w:color w:val="000000"/>
        </w:rPr>
        <w:t>•</w:t>
      </w:r>
      <w:r>
        <w:rPr>
          <w:rFonts w:ascii="Times New Roman;serif" w:hAnsi="Times New Roman;serif"/>
          <w:b w:val="false"/>
          <w:i/>
          <w:color w:val="000000"/>
          <w:sz w:val="20"/>
        </w:rPr>
        <w:t>Foreign currency option contracts,</w:t>
      </w:r>
      <w:r>
        <w:rPr>
          <w:color w:val="000000"/>
        </w:rPr>
        <w:t xml:space="preserve"> </w:t>
      </w:r>
      <w:r>
        <w:rPr>
          <w:rFonts w:ascii="Times New Roman;serif" w:hAnsi="Times New Roman;serif"/>
          <w:b w:val="false"/>
          <w:color w:val="000000"/>
          <w:sz w:val="20"/>
        </w:rPr>
        <w:t>which give the purchaser the right, but not the obligation, to buy or sell within a specified time a currency at a contracted price that may be settled in cash.</w:t>
      </w:r>
    </w:p>
    <w:p>
      <w:pPr>
        <w:pStyle w:val="TextBody"/>
        <w:bidi w:val="0"/>
        <w:spacing w:lineRule="auto" w:line="256" w:before="120" w:after="283"/>
        <w:ind w:left="0" w:right="0" w:hanging="360"/>
        <w:jc w:val="left"/>
        <w:rPr/>
      </w:pPr>
      <w:r>
        <w:rPr>
          <w:color w:val="000000"/>
        </w:rPr>
        <w:t>•</w:t>
      </w:r>
      <w:r>
        <w:rPr>
          <w:rFonts w:ascii="Times New Roman;serif" w:hAnsi="Times New Roman;serif"/>
          <w:b w:val="false"/>
          <w:i/>
          <w:color w:val="000000"/>
          <w:sz w:val="20"/>
        </w:rPr>
        <w:t>Foreign currency swap contracts,</w:t>
      </w:r>
      <w:r>
        <w:rPr>
          <w:color w:val="000000"/>
        </w:rPr>
        <w:t xml:space="preserve"> </w:t>
      </w:r>
      <w:r>
        <w:rPr>
          <w:rFonts w:ascii="Times New Roman;serif" w:hAnsi="Times New Roman;serif"/>
          <w:b w:val="false"/>
          <w:color w:val="000000"/>
          <w:sz w:val="20"/>
        </w:rPr>
        <w:t xml:space="preserve">which are commitments to settle in cash at a future date or dates, usually on an overnight basis.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credit risk inherent in derivative agreements represents the possibility that a loss may occur from the nonperformance of a counterparty to the agreements. Concentrations of credit and performance risk may exist with counterparties, which includes customers and banking partners, as the Company is engaged in similar activities with similar economic characteristics related to fluctuations in foreign currency rates. The Company performs a review of the credit risk of these counterparties at the inception 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if the counterparty does not perform under the term of the contract, the contract may be terminated. The Company does not designate any of its foreign exchange derivatives as hedging instruments in accordance with ASC 815, "Derivatives and Hedging."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equivalent U.S. dollar notional amount of foreign exchange derivative customer contracts held by the Company was $163.1 billion and $123.9 billion as of June 30, 2026 and December 31, 2025, respectively. The majority of customer foreign exchange contracts are written in currencies such as the U.S. dollar, Canadian dollar, British pound, euro and Australian dollar.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derivatives reported in the Unaudited Consolidated Balance Sheets as of June 30, 2026 and December 31, 2025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tbl>
      <w:tblPr>
        <w:tblW w:w="10024" w:type="dxa"/>
        <w:jc w:val="center"/>
        <w:tblInd w:w="0" w:type="dxa"/>
        <w:tblLayout w:type="fixed"/>
        <w:tblCellMar>
          <w:top w:w="28" w:type="dxa"/>
          <w:left w:w="28" w:type="dxa"/>
          <w:bottom w:w="28" w:type="dxa"/>
          <w:right w:w="28" w:type="dxa"/>
        </w:tblCellMar>
      </w:tblPr>
      <w:tblGrid>
        <w:gridCol w:w="852"/>
        <w:gridCol w:w="750"/>
        <w:gridCol w:w="752"/>
        <w:gridCol w:w="277"/>
        <w:gridCol w:w="1005"/>
        <w:gridCol w:w="143"/>
        <w:gridCol w:w="109"/>
        <w:gridCol w:w="109"/>
        <w:gridCol w:w="109"/>
        <w:gridCol w:w="326"/>
        <w:gridCol w:w="1185"/>
        <w:gridCol w:w="168"/>
        <w:gridCol w:w="109"/>
        <w:gridCol w:w="109"/>
        <w:gridCol w:w="109"/>
        <w:gridCol w:w="277"/>
        <w:gridCol w:w="1005"/>
        <w:gridCol w:w="143"/>
        <w:gridCol w:w="109"/>
        <w:gridCol w:w="109"/>
        <w:gridCol w:w="109"/>
        <w:gridCol w:w="378"/>
        <w:gridCol w:w="1106"/>
        <w:gridCol w:w="195"/>
        <w:gridCol w:w="109"/>
        <w:gridCol w:w="109"/>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undesignated:</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024" w:type="dxa"/>
        <w:jc w:val="center"/>
        <w:tblInd w:w="0" w:type="dxa"/>
        <w:tblLayout w:type="fixed"/>
        <w:tblCellMar>
          <w:top w:w="28" w:type="dxa"/>
          <w:left w:w="28" w:type="dxa"/>
          <w:bottom w:w="28" w:type="dxa"/>
          <w:right w:w="28" w:type="dxa"/>
        </w:tblCellMar>
      </w:tblPr>
      <w:tblGrid>
        <w:gridCol w:w="852"/>
        <w:gridCol w:w="750"/>
        <w:gridCol w:w="752"/>
        <w:gridCol w:w="277"/>
        <w:gridCol w:w="1005"/>
        <w:gridCol w:w="143"/>
        <w:gridCol w:w="109"/>
        <w:gridCol w:w="109"/>
        <w:gridCol w:w="109"/>
        <w:gridCol w:w="326"/>
        <w:gridCol w:w="1185"/>
        <w:gridCol w:w="168"/>
        <w:gridCol w:w="109"/>
        <w:gridCol w:w="109"/>
        <w:gridCol w:w="109"/>
        <w:gridCol w:w="321"/>
        <w:gridCol w:w="938"/>
        <w:gridCol w:w="166"/>
        <w:gridCol w:w="109"/>
        <w:gridCol w:w="109"/>
        <w:gridCol w:w="109"/>
        <w:gridCol w:w="378"/>
        <w:gridCol w:w="1106"/>
        <w:gridCol w:w="195"/>
        <w:gridCol w:w="109"/>
        <w:gridCol w:w="109"/>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undesignated:</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derivative assets and liabilities associated with contracts, which include netting terms that the Company believes to be enforceable, have been recorded net within prepaid expenses and other current assets, other assets, other current liabilities and other noncurrent liabilities in the Consolidated Balance Sheets. The Company receives cash from customers as collateral for trade exposures, which is recorded within cash and cash equivalents, restricted cash and customer deposits liability in the Consolidated Balance Sheets. At June 30, 2026 and December 31, 2025, the Company had received collateral of $192.2 million and $175.2 million, respectively. The customer has the right to recall their collateral in the event exposures move in their favor or below the collateral posting thresholds, they perform on all outstanding contracts and have no outstanding amounts due to the Company, or they cease to do business with the Company. The Company has trading lines with several banks, most of which require collateral to be posted if certain mark-to-market ("MTM") thresholds are exceeded. Cash collateral posted with banks is recorded within restricted cash and can be recalled in the event that exposures move in the Company’s favor or move below the collateral posting thresholds. The Company does not offset fair value amounts recognized for the right to reclaim cash collateral or the obligation to return cash collateral. At June 30, 2026 and December 31, 2025, the Company had posted collateral of $331.4 million and $356.7 million, respectively, which was not offset against the fair value of its derivatives. Cash flows from the Company's foreign currency derivatives are classified as operating activities within the Unaudited Consolidated Statements of Cash Flows. The following table presents the fair value of the Company’s derivative assets and liabilities, as well as their classification on the accompanying Consolidated Balance Sheets, as of June 30, 2026 and December 31, 2025 (in millions): </w:t>
      </w:r>
    </w:p>
    <w:tbl>
      <w:tblPr>
        <w:tblW w:w="8693" w:type="dxa"/>
        <w:jc w:val="center"/>
        <w:tblInd w:w="0" w:type="dxa"/>
        <w:tblLayout w:type="fixed"/>
        <w:tblCellMar>
          <w:top w:w="28" w:type="dxa"/>
          <w:left w:w="28" w:type="dxa"/>
          <w:bottom w:w="28" w:type="dxa"/>
          <w:right w:w="28" w:type="dxa"/>
        </w:tblCellMar>
      </w:tblPr>
      <w:tblGrid>
        <w:gridCol w:w="673"/>
        <w:gridCol w:w="592"/>
        <w:gridCol w:w="595"/>
        <w:gridCol w:w="1144"/>
        <w:gridCol w:w="1144"/>
        <w:gridCol w:w="1147"/>
        <w:gridCol w:w="109"/>
        <w:gridCol w:w="109"/>
        <w:gridCol w:w="109"/>
        <w:gridCol w:w="260"/>
        <w:gridCol w:w="760"/>
        <w:gridCol w:w="134"/>
        <w:gridCol w:w="109"/>
        <w:gridCol w:w="109"/>
        <w:gridCol w:w="109"/>
        <w:gridCol w:w="342"/>
        <w:gridCol w:w="999"/>
        <w:gridCol w:w="249"/>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Cash Flow Hedges </w:t>
      </w:r>
    </w:p>
    <w:p>
      <w:pPr>
        <w:pStyle w:val="TextBody"/>
        <w:bidi w:val="0"/>
        <w:spacing w:lineRule="auto" w:line="256" w:before="18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the following outstanding interest rate swap derivatives that qualify as hedging instruments within designated cash flow hedges of variable interest rate risk (in millions):</w:t>
      </w:r>
    </w:p>
    <w:tbl>
      <w:tblPr>
        <w:tblW w:w="5799" w:type="dxa"/>
        <w:jc w:val="center"/>
        <w:tblInd w:w="0" w:type="dxa"/>
        <w:tblLayout w:type="fixed"/>
        <w:tblCellMar>
          <w:top w:w="28" w:type="dxa"/>
          <w:left w:w="28" w:type="dxa"/>
          <w:bottom w:w="28" w:type="dxa"/>
          <w:right w:w="28" w:type="dxa"/>
        </w:tblCellMar>
      </w:tblPr>
      <w:tblGrid>
        <w:gridCol w:w="549"/>
        <w:gridCol w:w="481"/>
        <w:gridCol w:w="485"/>
        <w:gridCol w:w="109"/>
        <w:gridCol w:w="109"/>
        <w:gridCol w:w="109"/>
        <w:gridCol w:w="794"/>
        <w:gridCol w:w="794"/>
        <w:gridCol w:w="797"/>
        <w:gridCol w:w="109"/>
        <w:gridCol w:w="109"/>
        <w:gridCol w:w="109"/>
        <w:gridCol w:w="364"/>
        <w:gridCol w:w="364"/>
        <w:gridCol w:w="517"/>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Notional 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 Average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5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7/31/2026</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1/31/2027</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7/31/2027</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1/31/2028</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7/31/2028</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1/31/2029</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7/31/2029</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purpose of these contracts is to reduce the variability of cash flows in interest payments associated with the Company's unspecified variable rate debt, the sole source of which is due to changes in the Secured Overnight Financing Rate ("SOFR") benchmark interest rate. The Company has designated these derivative instruments as cash flow hedging instruments,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color w:val="000000"/>
          <w:sz w:val="20"/>
          <w:shd w:fill="FFFFFF" w:val="clear"/>
        </w:rPr>
        <w:t>expected to be</w:t>
      </w:r>
      <w:r>
        <w:rPr>
          <w:color w:val="000000"/>
        </w:rPr>
        <w:t xml:space="preserve"> </w:t>
      </w:r>
      <w:r>
        <w:rPr>
          <w:rFonts w:ascii="Times New Roman;serif" w:hAnsi="Times New Roman;serif"/>
          <w:b w:val="false"/>
          <w:color w:val="000000"/>
          <w:sz w:val="20"/>
        </w:rPr>
        <w:t xml:space="preserve">highly effective at offsetting changes in cash flows of the related underlying exposure. As a result, changes in fair value of the interest rate swaps are recorded in accumulated other comprehensive loss. For each of these swap contracts, the Company pays a fixed monthly rate and receives one month SOFR. The Company reclassified $5.5 million from accumulated other comprehensive loss resulting in an increase to interest expense, net and $7.8 million from accumulated other comprehensive loss resulting in a benefit to interest expense, net for the six months ended June 30, 2026 and 2025, respectively, related to these interest rate swap contracts. Cash flows related to the Company's interest rate swap derivatives are classified as operating activities within the Unaudited Consolidated Statements of Cash Flows, as such cash flows relate to hedged interest payments which are also recorded in operating activities.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derivatives accounted for as hedging instruments, the Company formally designates and documents, at inception, the financial instrument as a hedge of a specific underlying exposure, the risk management objective and the strategy for undertaking the hedge transaction. The Company formally assesses, both at the inception and at least quarterly thereafter, whether the financial instruments used in hedging transactions are highly effective at offsetting changes in cash flows of the related underlying exposures. </w:t>
      </w:r>
    </w:p>
    <w:p>
      <w:pPr>
        <w:pStyle w:val="TextBody"/>
        <w:bidi w:val="0"/>
        <w:spacing w:lineRule="auto" w:line="288" w:before="120" w:after="283"/>
        <w:jc w:val="left"/>
        <w:rPr/>
      </w:pPr>
      <w:r>
        <w:rPr>
          <w:rFonts w:ascii="Times New Roman;serif" w:hAnsi="Times New Roman;serif"/>
          <w:b w:val="false"/>
          <w:color w:val="000000"/>
          <w:sz w:val="20"/>
        </w:rPr>
        <w:t>The following table presents the fair value of the Compa</w:t>
      </w:r>
      <w:r>
        <w:rPr>
          <w:rFonts w:ascii="Times New Roman;serif" w:hAnsi="Times New Roman;serif"/>
          <w:b w:val="false"/>
          <w:color w:val="000000"/>
          <w:sz w:val="20"/>
          <w:shd w:fill="FFFFFF" w:val="clear"/>
        </w:rPr>
        <w:t>ny’s interest rate swap contracts, as well as their classification on the accompanying Consolidated Balance Sheets,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(in millions). See Note 3 for additional information on the fair value of the Company’s swap contracts.</w:t>
      </w:r>
    </w:p>
    <w:tbl>
      <w:tblPr>
        <w:tblW w:w="10205" w:type="dxa"/>
        <w:jc w:val="center"/>
        <w:tblInd w:w="0" w:type="dxa"/>
        <w:tblLayout w:type="fixed"/>
        <w:tblCellMar>
          <w:top w:w="28" w:type="dxa"/>
          <w:left w:w="28" w:type="dxa"/>
          <w:bottom w:w="28" w:type="dxa"/>
          <w:right w:w="28" w:type="dxa"/>
        </w:tblCellMar>
      </w:tblPr>
      <w:tblGrid>
        <w:gridCol w:w="1309"/>
        <w:gridCol w:w="1151"/>
        <w:gridCol w:w="1154"/>
        <w:gridCol w:w="1089"/>
        <w:gridCol w:w="1089"/>
        <w:gridCol w:w="1092"/>
        <w:gridCol w:w="109"/>
        <w:gridCol w:w="109"/>
        <w:gridCol w:w="109"/>
        <w:gridCol w:w="326"/>
        <w:gridCol w:w="628"/>
        <w:gridCol w:w="168"/>
        <w:gridCol w:w="109"/>
        <w:gridCol w:w="109"/>
        <w:gridCol w:w="109"/>
        <w:gridCol w:w="370"/>
        <w:gridCol w:w="898"/>
        <w:gridCol w:w="277"/>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Derivatives designated as cash flow hedges: </w:t>
            </w:r>
          </w:p>
        </w:tc>
        <w:tc>
          <w:tcPr>
            <w:tcW w:w="32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Swap contracts</w:t>
            </w:r>
          </w:p>
        </w:tc>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Swap contracts</w:t>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Swap contracts</w:t>
            </w:r>
          </w:p>
        </w:tc>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Swap contracts</w:t>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estimated amount of net losses recognized in accumulated other comprehensive loss that are expected to be reclassified into earnings as a benefit to interest expense, net within the next 12 months is approximately $3.0 million.</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Net Investment Hedges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20, 2026 the Company modified its Euro-denominated net investment hedge through a "blend and extend" arrangement, resulting in an other-than-insignificant financing of the corresponding $51.3 million MTM liability over a one-year term where the Company will receive a new annual 1.33% fixed-rate interest coupon.</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had the following cross-currency interest rate swaps designated as net investment hedges of our investments in foreign-denominated operations:</w:t>
      </w:r>
    </w:p>
    <w:tbl>
      <w:tblPr>
        <w:tblW w:w="8659" w:type="dxa"/>
        <w:jc w:val="center"/>
        <w:tblInd w:w="0" w:type="dxa"/>
        <w:tblLayout w:type="fixed"/>
        <w:tblCellMar>
          <w:top w:w="28" w:type="dxa"/>
          <w:left w:w="28" w:type="dxa"/>
          <w:bottom w:w="28" w:type="dxa"/>
          <w:right w:w="28" w:type="dxa"/>
        </w:tblCellMar>
      </w:tblPr>
      <w:tblGrid>
        <w:gridCol w:w="734"/>
        <w:gridCol w:w="641"/>
        <w:gridCol w:w="649"/>
        <w:gridCol w:w="109"/>
        <w:gridCol w:w="109"/>
        <w:gridCol w:w="109"/>
        <w:gridCol w:w="1134"/>
        <w:gridCol w:w="1134"/>
        <w:gridCol w:w="1137"/>
        <w:gridCol w:w="109"/>
        <w:gridCol w:w="109"/>
        <w:gridCol w:w="109"/>
        <w:gridCol w:w="334"/>
        <w:gridCol w:w="334"/>
        <w:gridCol w:w="336"/>
        <w:gridCol w:w="109"/>
        <w:gridCol w:w="109"/>
        <w:gridCol w:w="109"/>
        <w:gridCol w:w="364"/>
        <w:gridCol w:w="364"/>
        <w:gridCol w:w="517"/>
      </w:tblGrid>
      <w:tr>
        <w:trPr/>
        <w:tc>
          <w:tcPr>
            <w:tcW w:w="7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U.S. dollar equivalent notional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Euro (EUR)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5/20/2027</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Canadian Dollar (CAD)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1/24/2028</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5/8/2028</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Hedge effectiveness is tested based on changes in the fair value of the cross-currency swaps due to changes in the USD/foreign currency spot rates. The Company anticipates perfect effectiveness of the designated hedging relationships and records changes in the fair value of the cross-currency interest rate swaps associated with changes in the spot rate through accumulated other comprehensive loss. Excluded components associated with the forward differential are recognized directly in earnings as interest expense, net. The Company recognized a benefit of $11.1 million and $11.9 million in interest expense, net for the six months ended June 30, 2026 and 2025, respectively, related to these excluded components. Upon settlement, cash flows attributable to derivatives designated as net investment hedges are classified as investing activities in the Unaudited Consolidated Statements of Cash Flows unless they contain an other-than-insignificant financing, in which case they are classified as financing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pPr>
      <w:r>
        <w:rPr>
          <w:rFonts w:ascii="Times New Roman;serif" w:hAnsi="Times New Roman;serif"/>
          <w:b w:val="false"/>
          <w:color w:val="000000"/>
          <w:sz w:val="20"/>
        </w:rPr>
        <w:t>The following table presents the fair value of the Compa</w:t>
      </w:r>
      <w:r>
        <w:rPr>
          <w:rFonts w:ascii="Times New Roman;serif" w:hAnsi="Times New Roman;serif"/>
          <w:b w:val="false"/>
          <w:color w:val="000000"/>
          <w:sz w:val="20"/>
          <w:shd w:fill="FFFFFF" w:val="clear"/>
        </w:rPr>
        <w:t>ny’s cross-currency interest rate swaps designated as net investment hedges, as well as their classification on the accompanying Consolidated Balance Sheets,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(in millions). </w:t>
      </w:r>
    </w:p>
    <w:tbl>
      <w:tblPr>
        <w:tblW w:w="10205" w:type="dxa"/>
        <w:jc w:val="center"/>
        <w:tblInd w:w="0" w:type="dxa"/>
        <w:tblLayout w:type="fixed"/>
        <w:tblCellMar>
          <w:top w:w="28" w:type="dxa"/>
          <w:left w:w="28" w:type="dxa"/>
          <w:bottom w:w="28" w:type="dxa"/>
          <w:right w:w="28" w:type="dxa"/>
        </w:tblCellMar>
      </w:tblPr>
      <w:tblGrid>
        <w:gridCol w:w="1638"/>
        <w:gridCol w:w="1439"/>
        <w:gridCol w:w="1442"/>
        <w:gridCol w:w="877"/>
        <w:gridCol w:w="877"/>
        <w:gridCol w:w="879"/>
        <w:gridCol w:w="109"/>
        <w:gridCol w:w="109"/>
        <w:gridCol w:w="109"/>
        <w:gridCol w:w="264"/>
        <w:gridCol w:w="640"/>
        <w:gridCol w:w="136"/>
        <w:gridCol w:w="109"/>
        <w:gridCol w:w="109"/>
        <w:gridCol w:w="109"/>
        <w:gridCol w:w="325"/>
        <w:gridCol w:w="789"/>
        <w:gridCol w:w="245"/>
      </w:tblGrid>
      <w:tr>
        <w:trPr/>
        <w:tc>
          <w:tcPr>
            <w:tcW w:w="163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2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Cross-currency interest rate swaps designated as net investment hedges: </w:t>
            </w:r>
          </w:p>
        </w:tc>
        <w:tc>
          <w:tcPr>
            <w:tcW w:w="26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hedge</w:t>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hedge</w:t>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hedge</w:t>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the estimated net amount of the existing benefit related to the Company's cross-currency interest rate swaps designated as net investment hedges that is expected to be reclassified into earnings as a reduction to interest expense, net within the next 12 months is approximately $16.7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14. Accumulated Other Comprehensive Loss (AOCL)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changes in the components of AOCL, net of tax and noncontrolling interest, for the six months ended June 30, 2026 and 2025 are as follows (in thousands):</w:t>
      </w:r>
    </w:p>
    <w:tbl>
      <w:tblPr>
        <w:tblW w:w="10205" w:type="dxa"/>
        <w:jc w:val="center"/>
        <w:tblInd w:w="0" w:type="dxa"/>
        <w:tblLayout w:type="fixed"/>
        <w:tblCellMar>
          <w:top w:w="28" w:type="dxa"/>
          <w:left w:w="28" w:type="dxa"/>
          <w:bottom w:w="28" w:type="dxa"/>
          <w:right w:w="28" w:type="dxa"/>
        </w:tblCellMar>
      </w:tblPr>
      <w:tblGrid>
        <w:gridCol w:w="1150"/>
        <w:gridCol w:w="721"/>
        <w:gridCol w:w="725"/>
        <w:gridCol w:w="109"/>
        <w:gridCol w:w="109"/>
        <w:gridCol w:w="109"/>
        <w:gridCol w:w="306"/>
        <w:gridCol w:w="1487"/>
        <w:gridCol w:w="158"/>
        <w:gridCol w:w="109"/>
        <w:gridCol w:w="109"/>
        <w:gridCol w:w="109"/>
        <w:gridCol w:w="387"/>
        <w:gridCol w:w="1421"/>
        <w:gridCol w:w="200"/>
        <w:gridCol w:w="109"/>
        <w:gridCol w:w="109"/>
        <w:gridCol w:w="109"/>
        <w:gridCol w:w="403"/>
        <w:gridCol w:w="1968"/>
        <w:gridCol w:w="298"/>
      </w:tblGrid>
      <w:tr>
        <w:trPr/>
        <w:tc>
          <w:tcPr>
            <w:tcW w:w="115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Cumulative Foreign Currency Translation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(Losses) Gains on Derivative Instruments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Accumulated Other Comprehensive Loss Attributable to Corpay</w:t>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(1,295,581)</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(96,573)</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(1,392,154)</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(loss) income before reclassifications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effect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48,363 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35,603 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(1,308,341)</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(48,210)</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w:t>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27"/>
        <w:gridCol w:w="690"/>
        <w:gridCol w:w="695"/>
        <w:gridCol w:w="109"/>
        <w:gridCol w:w="109"/>
        <w:gridCol w:w="109"/>
        <w:gridCol w:w="299"/>
        <w:gridCol w:w="1452"/>
        <w:gridCol w:w="154"/>
        <w:gridCol w:w="109"/>
        <w:gridCol w:w="109"/>
        <w:gridCol w:w="109"/>
        <w:gridCol w:w="355"/>
        <w:gridCol w:w="1474"/>
        <w:gridCol w:w="183"/>
        <w:gridCol w:w="109"/>
        <w:gridCol w:w="109"/>
        <w:gridCol w:w="109"/>
        <w:gridCol w:w="395"/>
        <w:gridCol w:w="1928"/>
        <w:gridCol w:w="204"/>
        <w:gridCol w:w="109"/>
        <w:gridCol w:w="159"/>
      </w:tblGrid>
      <w:tr>
        <w:trPr/>
        <w:tc>
          <w:tcPr>
            <w:tcW w:w="112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Cumulative Foreign Currency Translation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Gains (Losses) on Derivative Instruments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Accumulated Other Comprehensive Loss Attributable to Corpay</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(1,749,040)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35,044 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(1,713,996)</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(loss) before reclassifications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(188,668)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233,326 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effect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(144,384)</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277,610 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(1,327,046)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(109,340)</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(1,436,386)</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AOCL that relate to foreign currency translation during the six months ended June 30, 2026 are related to the Company's PayByPhone business disposed of during the first quarter of 2026. See Note 15 for further information. Income tax effects are released from accumulated other comprehensive loss to retained earnings, when applicable, on an individual item basis as those items are reclassified into income. Other comprehensive loss attributable to the Company's noncontrolling interest, which are not included in the tables above, for the six months ended June 30, 2026 and 2025 consisted of foreign currency translation gains of $2.3 million and $3.5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15. Dispositions</w:t>
      </w:r>
    </w:p>
    <w:p>
      <w:pPr>
        <w:pStyle w:val="TextBody"/>
        <w:bidi w:val="0"/>
        <w:spacing w:lineRule="auto" w:line="25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PayByPhone Disposition</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Company signed a definitive agreement to sell PayByPhone, a mobile parking payments business within its Vehicle Payments segment (the "disposal group"), to a third party. The transaction was completed on March 31, 2026. The Company determined that the disposal group met all of the required criteria to be classified as held for sale during the first quarter of 2026. </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The disposal group's fair value, based upon the sales price less costs to sell, exceeded its carrying value. As such, the related assets and liabilities were recorded at their carrying value and classified as held for sale prior to the completion of the transaction. In determining the carrying value of the disposal group, which represents one of the Company's reporting units, goodwill of approximately $214.5 million was included within the disposal group.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received total proceeds, net of cash disposed, of approximately $421.7 million, which have been recorded within investing activities in the accompanying Unaudited Consolidated Statements of Cash Flows. In connection with the sale, the Company recorded a pre-tax net gain on disposal of $122.9 million during the six months ended June 30, 2026, which represents the proceeds received less the derecognition of the related net assets and the reclassification of accumulated foreign currency translation gains. The pre-tax net gain is included within the gain on disposition, net financial statement line in the accompanying Unaudited Consolidated Statements of Income.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Maintenance Disposition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June 2026, the Company signed a definitive agreement to sell its Maintenance business to a third party. The transaction is expected to be completed later this year, pending U.K. and Australian regulatory approval. The Company determined that the Maintenance disposal group met all of the required criteria to be classified as held for sale during the second quarter of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disposal group's fair value, based upon the sales price less costs to sell, exceeded its carrying value. As such, the related assets and liabilities were recorded at their carrying value and classified as held for sale prior to the completion of the transaction in the prepaid expenses and other current assets of $326.3 million and other current liabilities of $59.7 million in the Company's Unaudited Consolidated Balance Sheets. In determining the carrying value of the disposal group, which represents one of the Company's reporting units, goodwill of approximately $194.3 million is included within the disposal group.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to receive approximately £600 million (approximately $800 million), before cash acquired, in exchange for the business and will record such proceeds once received within investing activities in the accompanying Unaudited Consolidated Statements of Cash Flows. In connection with the sale, the Company anticipates a pre-tax net gain on ultimate disposal between approximately $460 million and $515 million, which will be included within gain on disposition, net in the accompanying Unaudited Consolidated Statements of Income. The final gain or loss upon completion of the sale may materially differ from the amount currently estimated due to purchase price adjustments, transaction costs, and foreign currency fluctuations.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Periodically, the Company uses foreign currency derivatives including foreign currency forward contracts to manage its exposure to fluctuations in exchange rates. While these derivatives are hedging the fluctuations in foreign currencies, they do not meet the requirements to be accounted for as hedging instruments. As a result, the changes in the fair value of derivatives not designated in hedging relationships are recorded directly in earnings.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this regard, the Company, through its cross-border payments solution, entered into an undesignated foreign currency forward contract to convert £400 million of the anticipated proceeds to U.S. dollars, related to the expected proceeds from the sale of its Maintenance business. This foreign currency forward contract is fixed at a rate of £1 GBP to $1.3215 USD and has a term of three months, aligned with the expected closing of the transaction. The purpose of this contract is to reduce the variability of cash flows from the U.S. dollar proceeds of the sale, the sole source of which is due to changes in GBP to USD foreign exchange rates. As of June 30, 2026, the total notional amount of our outstanding undesignated foreign currency forward contracts was £400 million, or $528.6 million, with a maturity of three months.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related to the Company's foreign currency forward contract are classified as operating activities within the Unaudited Consolidated Statements of Cash Flows, as such cash flows relate to hedged proceeds upon sale of the business which are recorded in operating activities. This undesignated contract is recognized on the Consolidated Balance Sheets at fair value of $1.9 million, within other current liabilities, with changes in fair value recognized immediately in other income (expense), net in the Unaudited Consolidated Statements of Income. The fair value changes of these derivatives partially offset the foreign exchange re-measurement gains and losses which will be realized upon the completion of the sale and receipt of proceeds. During the quarter ended June 30, 2026, the Company recognized foreign currency exchange losses on this contract when compared to the USD equivalent of the GBP denominated proceeds at market rates of $1.9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tbl>
      <w:tblPr>
        <w:tblW w:w="8310" w:type="dxa"/>
        <w:jc w:val="left"/>
        <w:tblInd w:w="0" w:type="dxa"/>
        <w:tblLayout w:type="fixed"/>
        <w:tblCellMar>
          <w:top w:w="28" w:type="dxa"/>
          <w:left w:w="28" w:type="dxa"/>
          <w:bottom w:w="28" w:type="dxa"/>
          <w:right w:w="28" w:type="dxa"/>
        </w:tblCellMar>
      </w:tblPr>
      <w:tblGrid>
        <w:gridCol w:w="255"/>
        <w:gridCol w:w="224"/>
        <w:gridCol w:w="226"/>
        <w:gridCol w:w="2228"/>
        <w:gridCol w:w="2228"/>
        <w:gridCol w:w="3149"/>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include, but are not limited to, those identified below and those described in Item 1A "Risk Factors" appearing in our Annual Report on Form 10-K for the year ended December 31, 2025. All foreign currency amounts that have been converted into U.S. dollars in this discussion are based on the exchange rate as reported by Oanda for the applicable periods.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of our financial condition and results of operations generally discusses the three and six months ended June 30, 2026 and 2025, with period-over-period comparisons between these periods. A detailed discussion of 2025 items and period-over-period comparisons between the three and six months ended June 30, 2025 and 2024 that are not included in this Quarterly Report on Form 10-Q can be found in "Management's Discussion and Analysis of Financial Condition and Results of Operations" in Part I, Item 2 of our Quarterly Report on Form 10-Q for the quarter ended June 30, 2025.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Corpay is a global corporate payments and spend management company that helps businesses simplify, automate and control the way they make payments and optimize commercial payment workflows. Corpay provides a broad suite of payment and spend management solutions, including accounts payable automation and cross-border payment and foreign exchange risk management solutions (including foreign exchange spot, forward and option transactions), commercial card programs (e.g., purchasing cards, business cards and virtual cards), vehicle payment solutions (e.g., fuel cards, toll payments and related services) and lodging payment solutions (e.g., hotel and extended stay bookings). This results in our customers saving time and ultimately spending less. </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We estimate that businesses spend approximately $145 trillion annually in transactions with other businesses. In many instances, businesses continue to rely on fragmented systems and manual processes to approve, execute and reconcile payments and manage spending across their organizations. These challenges can result in operational inefficiencies, limited visibility into spending, increased fraud risk, manual reconciliation efforts, higher administrative costs and less informed financial decision-making.</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Our integrated payment and spend management solutions provide meaningful advantages over traditional payment methods, including cash, paper checks, general purpose credit cards and manual employee reimbursement processes.</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Corpay has been a member of the S&amp;P 500 since 2018 and trades on the New York Stock Exchange under the ticker CPAY.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Impact of Economic Environment on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Some of the countries where we operate, and other countries where we will seek to operate, have undergone significant political, economic and social change and events in recent periods. Adverse global macroeconomic conditions, including but not limited to recessions or economic downturns, inflation, changing interest rates, currency fluctuations, economic sanctions (including tariffs), regional or domestic hostilities and the prospect or occurrence of more widespread conflicts, a slowdown of global trade, or reduced consumer spending, could have a material adverse impact on our business, results of operations and financial condition.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actively monitoring the changes and events and assessing the impact on our business. The extent, severity, duration and outcome of market disruptions could be significant and could potentially have substantial impact on the global economy and our business for an unknown period of time. Measures such as sanctions and tariffs may adversely affect the global economy and financial markets and could adversely affect our business, financial condition and results of operations. We cannot predict the scope of macroeconomic factors because these measures are complex and evolving. Any such disruptions may also magnify the impact of other risks described in our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w:t>
      </w:r>
    </w:p>
    <w:p>
      <w:pPr>
        <w:pStyle w:val="TextBody"/>
        <w:bidi w:val="0"/>
        <w:spacing w:lineRule="auto" w:line="288" w:before="180" w:after="283"/>
        <w:jc w:val="left"/>
        <w:rPr/>
      </w:pPr>
      <w:r>
        <w:rPr>
          <w:rFonts w:ascii="Times New Roman;serif" w:hAnsi="Times New Roman;serif"/>
          <w:b/>
          <w:i/>
          <w:color w:val="000000"/>
          <w:sz w:val="20"/>
        </w:rPr>
        <w:t>Revenues, net, Net Income Attributable to Corpay and Net Income Per Diluted Share Attributable to Corpay.</w:t>
      </w:r>
      <w:r>
        <w:rPr>
          <w:color w:val="000000"/>
        </w:rPr>
        <w:t xml:space="preserve"> </w:t>
      </w:r>
      <w:r>
        <w:rPr>
          <w:rFonts w:ascii="Times New Roman;serif" w:hAnsi="Times New Roman;serif"/>
          <w:b w:val="false"/>
          <w:color w:val="000000"/>
          <w:sz w:val="20"/>
        </w:rPr>
        <w:t>Set forth below are revenues, net, net income attributable to Corpay and net income per diluted share attributable to Corpay for the three and six months ended June 30, 2026 and 2025, (in millions, except per share amounts).</w:t>
      </w:r>
    </w:p>
    <w:p>
      <w:pPr>
        <w:pStyle w:val="TextBody"/>
        <w:bidi w:val="0"/>
        <w:spacing w:lineRule="auto" w:line="276" w:before="180" w:after="283"/>
        <w:jc w:val="center"/>
        <w:rPr>
          <w:color w:val="000000"/>
        </w:rPr>
      </w:pPr>
      <w:r>
        <w:rPr>
          <w:color w:val="000000"/>
        </w:rPr>
        <w:t> </w:t>
      </w:r>
    </w:p>
    <w:tbl>
      <w:tblPr>
        <w:tblW w:w="10061" w:type="dxa"/>
        <w:jc w:val="center"/>
        <w:tblInd w:w="0" w:type="dxa"/>
        <w:tblLayout w:type="fixed"/>
        <w:tblCellMar>
          <w:top w:w="28" w:type="dxa"/>
          <w:left w:w="28" w:type="dxa"/>
          <w:bottom w:w="28" w:type="dxa"/>
          <w:right w:w="28" w:type="dxa"/>
        </w:tblCellMar>
      </w:tblPr>
      <w:tblGrid>
        <w:gridCol w:w="1578"/>
        <w:gridCol w:w="1390"/>
        <w:gridCol w:w="1396"/>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5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per diluted share attributable to Corpay</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1"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2026, diluted earnings per share amounts are determined under the two-class method</w:t>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i/>
          <w:color w:val="000000"/>
          <w:sz w:val="20"/>
        </w:rPr>
        <w:t>Adjusted Net Income Attributable to Corpay, Adjusted Net Income Per Diluted Share Attributable to Corpay, EBITDA, Adjusted EBITDA and Adjusted EBITDA margin.</w:t>
      </w:r>
      <w:r>
        <w:rPr>
          <w:color w:val="000000"/>
        </w:rPr>
        <w:t xml:space="preserve"> </w:t>
      </w:r>
      <w:r>
        <w:rPr>
          <w:rFonts w:ascii="Times New Roman;serif" w:hAnsi="Times New Roman;serif"/>
          <w:b w:val="false"/>
          <w:color w:val="000000"/>
          <w:sz w:val="20"/>
        </w:rPr>
        <w:t>Set forth below are adjusted net income, adjusted net income per diluted share, EBITDA, adjusted EBITDA, and adjusted EBITDA margin for the three and six months ended June 30, 2026 and 2025 (in millions, except per share amounts and percentages).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02"/>
        <w:gridCol w:w="1318"/>
        <w:gridCol w:w="1338"/>
        <w:gridCol w:w="109"/>
        <w:gridCol w:w="109"/>
        <w:gridCol w:w="109"/>
        <w:gridCol w:w="211"/>
        <w:gridCol w:w="616"/>
        <w:gridCol w:w="271"/>
        <w:gridCol w:w="109"/>
        <w:gridCol w:w="109"/>
        <w:gridCol w:w="109"/>
        <w:gridCol w:w="211"/>
        <w:gridCol w:w="616"/>
        <w:gridCol w:w="271"/>
        <w:gridCol w:w="109"/>
        <w:gridCol w:w="109"/>
        <w:gridCol w:w="109"/>
        <w:gridCol w:w="211"/>
        <w:gridCol w:w="766"/>
        <w:gridCol w:w="271"/>
        <w:gridCol w:w="109"/>
        <w:gridCol w:w="109"/>
        <w:gridCol w:w="109"/>
        <w:gridCol w:w="211"/>
        <w:gridCol w:w="766"/>
        <w:gridCol w:w="318"/>
      </w:tblGrid>
      <w:tr>
        <w:trPr/>
        <w:tc>
          <w:tcPr>
            <w:tcW w:w="150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per diluted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Corpay, adjusted net income per diluted share attributable to Corpay, EBITDA, adjusted EBITDA and adjusted EBITDA margin are supplemental non-GAAP financial measures of operating performance. See the heading entitled "Management’s Use of Non-GAAP Financial Measures" for more information and a reconciliation of the non-GAAP financial measure to the most directly comparable financial measure calculated in accordance with U.S. generally accepted accounting principles, or GAAP. We use adjusted net income attributable to Corpay, adjusted net income per diluted share attributable to Corpay, EBITDA, adjusted EBITDA and adjusted EBITDA margin to eliminate the effect of items that we do not consider indicative of our core operating performance on a consistent basis. These non-GAAP measures are presented solely to permit investors to more fully understand how our management assesses underlying performance and are not, and should not be viewed as, a substitute for GAAP measures, and should be viewed in conjunction with our 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Revenue</w:t>
      </w:r>
    </w:p>
    <w:p>
      <w:pPr>
        <w:pStyle w:val="TextBody"/>
        <w:bidi w:val="0"/>
        <w:spacing w:lineRule="auto" w:line="288" w:before="180" w:after="283"/>
        <w:jc w:val="left"/>
        <w:rPr/>
      </w:pPr>
      <w:r>
        <w:rPr>
          <w:rFonts w:ascii="Times New Roman;serif" w:hAnsi="Times New Roman;serif"/>
          <w:b w:val="false"/>
          <w:color w:val="000000"/>
          <w:sz w:val="20"/>
        </w:rPr>
        <w:t>Corpay offers a variety of payment solutions that simplify, automate, secure, digitize and effectively control the way businesses and consumers manage and pay their expenses. We provide our payment solutions to our business, merchant, consumer and payment network customers in more than 200 countries around the world today, although we operate primarily in three geograph</w:t>
      </w:r>
      <w:r>
        <w:rPr>
          <w:rFonts w:ascii="Times New Roman;serif" w:hAnsi="Times New Roman;serif"/>
          <w:b w:val="false"/>
          <w:color w:val="000000"/>
          <w:sz w:val="20"/>
          <w:shd w:fill="FFFFFF" w:val="clear"/>
        </w:rPr>
        <w:t>ies, with approximat</w:t>
      </w:r>
      <w:r>
        <w:rPr>
          <w:rFonts w:ascii="Times New Roman;serif" w:hAnsi="Times New Roman;serif"/>
          <w:b w:val="false"/>
          <w:color w:val="000000"/>
          <w:sz w:val="20"/>
        </w:rPr>
        <w:t>ely 76% of our busi</w:t>
      </w:r>
      <w:r>
        <w:rPr>
          <w:rFonts w:ascii="Times New Roman;serif" w:hAnsi="Times New Roman;serif"/>
          <w:b w:val="false"/>
          <w:color w:val="000000"/>
          <w:sz w:val="20"/>
          <w:shd w:fill="FFFFFF" w:val="clear"/>
        </w:rPr>
        <w:t>ness</w:t>
      </w:r>
      <w:r>
        <w:rPr>
          <w:color w:val="000000"/>
        </w:rPr>
        <w:t xml:space="preserve"> </w:t>
      </w:r>
      <w:r>
        <w:rPr>
          <w:rFonts w:ascii="Times New Roman;serif" w:hAnsi="Times New Roman;serif"/>
          <w:b w:val="false"/>
          <w:color w:val="000000"/>
          <w:sz w:val="20"/>
        </w:rPr>
        <w:t>in the U.S., Brazil and the U.K. Our customers may include commercial businesses (obtained through direct and indirect channels) and partners for whom we manage payment programs, as well as consumers.</w: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We report information about our operating segments in accordance with the authoritative guidance related to segments. During the first quarter of 2026, the Company refined its segment composition within its existing reportable segments to reflect how our Chief Executive Officer, who is the Chief Operating Decision Maker (CODM), organizes and manages the global business. We manage and report our operating results through the following three reportable segments: Corporate Payments, Vehicle Payments and Lodging Payments. The remaining results are included within Other, which includes our Gift, Outsourced Card Processing and Payroll Card businesses. The refined composition within these reportable segments align with how the CODM allocates resources, assesses performance and reviews financial information. The presentation of segment information has been recast for the prior periods to align with the revised segment presentation.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revenue is generally reported net of the cost for underlying products and services purchased. In this report, we refer to this net revenue as “revenue" or "revenues, net." See “Results of Operations” for additional segment information.</w:t>
      </w:r>
    </w:p>
    <w:p>
      <w:pPr>
        <w:pStyle w:val="TextBody"/>
        <w:bidi w:val="0"/>
        <w:spacing w:lineRule="auto" w:line="288" w:before="240" w:after="283"/>
        <w:jc w:val="left"/>
        <w:rPr/>
      </w:pPr>
      <w:r>
        <w:rPr>
          <w:rFonts w:ascii="Times New Roman;serif" w:hAnsi="Times New Roman;serif"/>
          <w:b/>
          <w:i/>
          <w:color w:val="000000"/>
          <w:sz w:val="20"/>
        </w:rPr>
        <w:t xml:space="preserve">Revenues, net, by Segment. </w:t>
      </w:r>
      <w:r>
        <w:rPr>
          <w:rFonts w:ascii="Times New Roman;serif" w:hAnsi="Times New Roman;serif"/>
          <w:b w:val="false"/>
          <w:color w:val="000000"/>
          <w:sz w:val="20"/>
        </w:rPr>
        <w:t xml:space="preserve">During the first quarter of 2026, we refined our segment composition within our existing reportable segments to reflect how our CODM currently organizes and manages the global business. As a result of the changes, our segment structure was updated. These changes include realignment of our outsourced card processing business from Corporate Payments to Other, and enterprise clients using our spend management product for vehicle and corporate payments from Vehicle Payments to Corporate Payments. The refined composition within our reportable segments aligns with how the CODM allocates resources, assesses performance and reviews financial information. Prior periods have been recast to conform with current segment presentation. For the three and six months ended June 30, 2026 and 2025, our segments generated the following revenues, net (in millions, except percentages). </w:t>
      </w:r>
    </w:p>
    <w:tbl>
      <w:tblPr>
        <w:tblW w:w="11931" w:type="dxa"/>
        <w:jc w:val="left"/>
        <w:tblInd w:w="0" w:type="dxa"/>
        <w:tblLayout w:type="fixed"/>
        <w:tblCellMar>
          <w:top w:w="28" w:type="dxa"/>
          <w:left w:w="28" w:type="dxa"/>
          <w:bottom w:w="28" w:type="dxa"/>
          <w:right w:w="28" w:type="dxa"/>
        </w:tblCellMar>
      </w:tblPr>
      <w:tblGrid>
        <w:gridCol w:w="622"/>
        <w:gridCol w:w="296"/>
        <w:gridCol w:w="298"/>
        <w:gridCol w:w="109"/>
        <w:gridCol w:w="109"/>
        <w:gridCol w:w="109"/>
        <w:gridCol w:w="211"/>
        <w:gridCol w:w="766"/>
        <w:gridCol w:w="109"/>
        <w:gridCol w:w="109"/>
        <w:gridCol w:w="109"/>
        <w:gridCol w:w="109"/>
        <w:gridCol w:w="244"/>
        <w:gridCol w:w="222"/>
        <w:gridCol w:w="458"/>
        <w:gridCol w:w="109"/>
        <w:gridCol w:w="109"/>
        <w:gridCol w:w="109"/>
        <w:gridCol w:w="211"/>
        <w:gridCol w:w="766"/>
        <w:gridCol w:w="109"/>
        <w:gridCol w:w="109"/>
        <w:gridCol w:w="109"/>
        <w:gridCol w:w="109"/>
        <w:gridCol w:w="244"/>
        <w:gridCol w:w="222"/>
        <w:gridCol w:w="458"/>
        <w:gridCol w:w="109"/>
        <w:gridCol w:w="109"/>
        <w:gridCol w:w="109"/>
        <w:gridCol w:w="211"/>
        <w:gridCol w:w="766"/>
        <w:gridCol w:w="109"/>
        <w:gridCol w:w="109"/>
        <w:gridCol w:w="109"/>
        <w:gridCol w:w="109"/>
        <w:gridCol w:w="244"/>
        <w:gridCol w:w="222"/>
        <w:gridCol w:w="458"/>
        <w:gridCol w:w="109"/>
        <w:gridCol w:w="109"/>
        <w:gridCol w:w="109"/>
        <w:gridCol w:w="211"/>
        <w:gridCol w:w="766"/>
        <w:gridCol w:w="109"/>
        <w:gridCol w:w="109"/>
        <w:gridCol w:w="109"/>
        <w:gridCol w:w="109"/>
        <w:gridCol w:w="237"/>
        <w:gridCol w:w="229"/>
        <w:gridCol w:w="517"/>
      </w:tblGrid>
      <w:tr>
        <w:trPr/>
        <w:tc>
          <w:tcPr>
            <w:tcW w:w="62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Revenues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r>
      <w:tr>
        <w:trPr/>
        <w:tc>
          <w:tcPr>
            <w:tcW w:w="12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*Columns may not calculate due to rounding. Other includes our Gift, Outsourced Card Processing and Payroll Card businesses. </w: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our Corporate Payments segment, our payables business primarily earns revenue from the difference between the amount charged to the customer and the amount paid to the third party for a given transaction, as interchange or spread revenue. Our programs may also charge fixed fees for access to the network and ancillary services provided. Revenues from risk management products and foreign exchange payment services are primarily comprised of the difference between the exchange rate we set for the customer and the rate available in the wholesale foreign exchange market. In our cross-border payments business, our revenue is from exchanges of currency at spot rates, which enables customers to make cross-currency payments. Our cross-border payments business also derives revenue from our risk management business, which aggregates foreign currency exposures arising from customer contracts and economically hedges the resulting net currency risks by entering into offsetting contracts with established financial institution counterparties. We also generate float revenue earned on invested customer funds in jurisdictions where permitted. </w: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We generate revenue in our Vehicle Payments segment through a variety of program fees, including transaction fees, card fees, network fees and charges, as well as from interchange. These fees may be charged as fixed amounts, costs plus a mark-up, based on a percentage of the transaction purchase amounts, or a combination thereof. Our programs also include other fees and charges associated with late payments and based on customer credit risk. We also generate float revenue earned on invested customer funds in jurisdictions where permitted.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our Lodging Payments segment, we primarily earn revenue from the difference between the amount charged to the customer and the amount paid to the hotel for a given transaction or based on commissions paid by hotels. We may also charge fees for access to the network and ancillary services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remaining revenues represent other solutions in our Gift, Outsourced Card Processing and Payroll Card businesses, referred to as Other. In these businesses, we primarily earn revenue from the processing of transactions. We may also charge fees for ancillary services provided.</w:t>
      </w:r>
    </w:p>
    <w:p>
      <w:pPr>
        <w:pStyle w:val="TextBody"/>
        <w:bidi w:val="0"/>
        <w:spacing w:lineRule="auto" w:line="288" w:before="180" w:after="283"/>
        <w:jc w:val="left"/>
        <w:rPr/>
      </w:pPr>
      <w:r>
        <w:rPr>
          <w:rFonts w:ascii="Times New Roman;serif" w:hAnsi="Times New Roman;serif"/>
          <w:b/>
          <w:i/>
          <w:color w:val="000000"/>
          <w:sz w:val="20"/>
        </w:rPr>
        <w:t>Revenues, net, by Geography</w:t>
      </w:r>
      <w:r>
        <w:rPr>
          <w:rFonts w:ascii="Times New Roman;serif" w:hAnsi="Times New Roman;serif"/>
          <w:b w:val="false"/>
          <w:i/>
          <w:color w:val="000000"/>
          <w:sz w:val="20"/>
        </w:rPr>
        <w:t xml:space="preserve">. </w:t>
      </w:r>
      <w:r>
        <w:rPr>
          <w:rFonts w:ascii="Times New Roman;serif" w:hAnsi="Times New Roman;serif"/>
          <w:b w:val="false"/>
          <w:color w:val="000000"/>
          <w:sz w:val="20"/>
        </w:rPr>
        <w:t>Revenues, net by geography for the three and six months ended June 30, 2026 and 2025, were as follows (in millions, except percentages):</w:t>
      </w:r>
    </w:p>
    <w:tbl>
      <w:tblPr>
        <w:tblW w:w="11931" w:type="dxa"/>
        <w:jc w:val="center"/>
        <w:tblInd w:w="0" w:type="dxa"/>
        <w:tblLayout w:type="fixed"/>
        <w:tblCellMar>
          <w:top w:w="28" w:type="dxa"/>
          <w:left w:w="28" w:type="dxa"/>
          <w:bottom w:w="28" w:type="dxa"/>
          <w:right w:w="28" w:type="dxa"/>
        </w:tblCellMar>
      </w:tblPr>
      <w:tblGrid>
        <w:gridCol w:w="622"/>
        <w:gridCol w:w="296"/>
        <w:gridCol w:w="298"/>
        <w:gridCol w:w="109"/>
        <w:gridCol w:w="109"/>
        <w:gridCol w:w="109"/>
        <w:gridCol w:w="211"/>
        <w:gridCol w:w="766"/>
        <w:gridCol w:w="109"/>
        <w:gridCol w:w="109"/>
        <w:gridCol w:w="109"/>
        <w:gridCol w:w="109"/>
        <w:gridCol w:w="244"/>
        <w:gridCol w:w="222"/>
        <w:gridCol w:w="458"/>
        <w:gridCol w:w="109"/>
        <w:gridCol w:w="109"/>
        <w:gridCol w:w="109"/>
        <w:gridCol w:w="211"/>
        <w:gridCol w:w="766"/>
        <w:gridCol w:w="109"/>
        <w:gridCol w:w="109"/>
        <w:gridCol w:w="109"/>
        <w:gridCol w:w="109"/>
        <w:gridCol w:w="244"/>
        <w:gridCol w:w="222"/>
        <w:gridCol w:w="458"/>
        <w:gridCol w:w="109"/>
        <w:gridCol w:w="109"/>
        <w:gridCol w:w="109"/>
        <w:gridCol w:w="211"/>
        <w:gridCol w:w="766"/>
        <w:gridCol w:w="109"/>
        <w:gridCol w:w="109"/>
        <w:gridCol w:w="109"/>
        <w:gridCol w:w="109"/>
        <w:gridCol w:w="244"/>
        <w:gridCol w:w="222"/>
        <w:gridCol w:w="458"/>
        <w:gridCol w:w="109"/>
        <w:gridCol w:w="109"/>
        <w:gridCol w:w="109"/>
        <w:gridCol w:w="211"/>
        <w:gridCol w:w="766"/>
        <w:gridCol w:w="109"/>
        <w:gridCol w:w="109"/>
        <w:gridCol w:w="109"/>
        <w:gridCol w:w="109"/>
        <w:gridCol w:w="237"/>
        <w:gridCol w:w="229"/>
        <w:gridCol w:w="517"/>
      </w:tblGrid>
      <w:tr>
        <w:trPr/>
        <w:tc>
          <w:tcPr>
            <w:tcW w:w="62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Revenues by Geography*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Revenues, net</w:t>
            </w:r>
          </w:p>
        </w:tc>
      </w:tr>
      <w:tr>
        <w:trPr/>
        <w:tc>
          <w:tcPr>
            <w:tcW w:w="12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*Columns may not calculate due to rounding.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i/>
          <w:color w:val="000000"/>
          <w:sz w:val="20"/>
        </w:rPr>
        <w:t>Revenues, net by Key Performance Metric and Organic Growth</w:t>
      </w:r>
      <w:r>
        <w:rPr>
          <w:rFonts w:ascii="Times New Roman;serif" w:hAnsi="Times New Roman;serif"/>
          <w:b w:val="false"/>
          <w:i/>
          <w:color w:val="000000"/>
          <w:sz w:val="20"/>
        </w:rPr>
        <w:t xml:space="preserve">. </w:t>
      </w:r>
      <w:r>
        <w:rPr>
          <w:rFonts w:ascii="Times New Roman;serif" w:hAnsi="Times New Roman;serif"/>
          <w:b w:val="false"/>
          <w:color w:val="000000"/>
          <w:sz w:val="20"/>
        </w:rPr>
        <w:t>Revenues, net by key performance metric and organic growth by segment for the three months ended June 30, 2026 and 2025, were as follows (in millions, except revenues, net per key performance indicator, and percentages)*:</w:t>
      </w:r>
    </w:p>
    <w:tbl>
      <w:tblPr>
        <w:tblW w:w="10205" w:type="dxa"/>
        <w:jc w:val="left"/>
        <w:tblInd w:w="0" w:type="dxa"/>
        <w:tblLayout w:type="fixed"/>
        <w:tblCellMar>
          <w:top w:w="28" w:type="dxa"/>
          <w:left w:w="28" w:type="dxa"/>
          <w:bottom w:w="28" w:type="dxa"/>
          <w:right w:w="28" w:type="dxa"/>
        </w:tblCellMar>
      </w:tblPr>
      <w:tblGrid>
        <w:gridCol w:w="621"/>
        <w:gridCol w:w="546"/>
        <w:gridCol w:w="552"/>
        <w:gridCol w:w="242"/>
        <w:gridCol w:w="242"/>
        <w:gridCol w:w="252"/>
        <w:gridCol w:w="111"/>
        <w:gridCol w:w="111"/>
        <w:gridCol w:w="111"/>
        <w:gridCol w:w="242"/>
        <w:gridCol w:w="242"/>
        <w:gridCol w:w="252"/>
        <w:gridCol w:w="111"/>
        <w:gridCol w:w="111"/>
        <w:gridCol w:w="111"/>
        <w:gridCol w:w="229"/>
        <w:gridCol w:w="229"/>
        <w:gridCol w:w="233"/>
        <w:gridCol w:w="111"/>
        <w:gridCol w:w="111"/>
        <w:gridCol w:w="111"/>
        <w:gridCol w:w="290"/>
        <w:gridCol w:w="290"/>
        <w:gridCol w:w="291"/>
        <w:gridCol w:w="109"/>
        <w:gridCol w:w="109"/>
        <w:gridCol w:w="109"/>
        <w:gridCol w:w="242"/>
        <w:gridCol w:w="242"/>
        <w:gridCol w:w="252"/>
        <w:gridCol w:w="115"/>
        <w:gridCol w:w="115"/>
        <w:gridCol w:w="115"/>
        <w:gridCol w:w="242"/>
        <w:gridCol w:w="242"/>
        <w:gridCol w:w="252"/>
        <w:gridCol w:w="115"/>
        <w:gridCol w:w="115"/>
        <w:gridCol w:w="115"/>
        <w:gridCol w:w="229"/>
        <w:gridCol w:w="229"/>
        <w:gridCol w:w="233"/>
        <w:gridCol w:w="115"/>
        <w:gridCol w:w="115"/>
        <w:gridCol w:w="115"/>
        <w:gridCol w:w="268"/>
        <w:gridCol w:w="268"/>
        <w:gridCol w:w="392"/>
      </w:tblGrid>
      <w:tr>
        <w:trPr/>
        <w:tc>
          <w:tcPr>
            <w:tcW w:w="6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Pro Forma and Macro Adjusted</w:t>
            </w:r>
            <w:r>
              <w:rPr>
                <w:rFonts w:ascii="Times New Roman;serif" w:hAnsi="Times New Roman;serif"/>
                <w:b/>
                <w:color w:val="000000"/>
                <w:sz w:val="12"/>
              </w:rPr>
              <w:t>1</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7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CORPORATE PAYMENTS</w:t>
            </w:r>
            <w:r>
              <w:rPr>
                <w:rFonts w:ascii="Times New Roman;serif" w:hAnsi="Times New Roman;serif"/>
                <w:b/>
                <w:color w:val="000000"/>
                <w:sz w:val="12"/>
                <w:u w:val="single"/>
              </w:rPr>
              <w:t>2</w:t>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$548.7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$387.3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$161.4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$538.1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$465.5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Spend volume</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$94,635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$55,673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$38,962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$94,635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$66,238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$28,397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Revenue, net per spend $</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0.57%</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VEHICLE PAYMENTS</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$580.2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$512.0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$523.5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$484.3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Transactions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147.6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207.3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147.1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136.3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Revenues, net per transaction</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Tag transactions</w:t>
            </w:r>
            <w:r>
              <w:rPr>
                <w:rFonts w:ascii="Times New Roman;serif" w:hAnsi="Times New Roman;serif"/>
                <w:b w:val="false"/>
                <w:color w:val="000000"/>
                <w:sz w:val="12"/>
              </w:rPr>
              <w:t>3</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23.9</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Parking transactions</w:t>
            </w:r>
            <w:r>
              <w:rPr>
                <w:rFonts w:ascii="Times New Roman;serif" w:hAnsi="Times New Roman;serif"/>
                <w:b w:val="false"/>
                <w:color w:val="000000"/>
                <w:sz w:val="12"/>
              </w:rPr>
              <w:t>4</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Fleet transactions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98.4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Other transactions</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LODGING PAYMENTS</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$119.8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$119.8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Room nights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Revenues, net per room night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$16.34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$13.84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$16.24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$13.84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OTHER</w:t>
            </w:r>
            <w:r>
              <w:rPr>
                <w:rFonts w:ascii="Times New Roman;serif" w:hAnsi="Times New Roman;serif"/>
                <w:b/>
                <w:color w:val="000000"/>
                <w:sz w:val="12"/>
                <w:u w:val="single"/>
              </w:rPr>
              <w:t>5</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$86.7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$86.7</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Transactions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420.1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420.1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Revenues, net per transaction</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454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CORPAY CONSOLIDATED REVENUES,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Revenues, net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$1,338.8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$1,102.0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$236.8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$1,270.7</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$1,152.5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$118.2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bl>
    <w:tbl>
      <w:tblPr>
        <w:tblW w:w="10205" w:type="dxa"/>
        <w:jc w:val="center"/>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See heading entitled "Management's Use of Non-GAAP Financial Measures" for a reconciliation of pro forma and macro adjusted revenue by product and metric non-GAAP measures to the comparable financial measure calculated in accordance with GAAP. The calculated change represents organic growth rate.</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Corporate payments revenue per spend dollar decreased over the comparable prior period due to new payables and cross-border enterprise clients.</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Represents total tag subscription transactions in the period. Average monthly tag subscriptions for the second quarter of 2026 is 8.0 million.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Parking transactions relates to PayByPhone, a mobile parking payments business within our Vehicle Payments segment, which we sold to a third party in March 2026.</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 xml:space="preserve">Other includes Gift, Outsourced Card Processing and Payroll Card operating segments.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 Columns may not calculate due to rounding. </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per relevant key performance indicator (KPI), which may include transactions, spend volume, room nights, or other metrics,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price spreads. Relevant KPI is derived by broad product type and may differ from how we describe the business. Revenue per KPI per customer may change as the level of services we provide to a customer increases or decreases, as mix of customer size shifts, as macroeconomic factors change and as adjustments are made to merchant and customer rates. See “Results of Operations” for further discussion of transaction volumes and revenue per transaction.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Organic revenue growth is a supplemental non-GAAP financial measure of operating performance. Organic revenue growth is calculated as revenue growth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See the heading entitled "Management’s Use of Non-GAAP Financial Measures" for more information and a reconciliation of the non-GAAP financial measure to the most directly comparable financial measure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calculated in accordance with GAAP. We believe that organic revenue growth on a macro-neutral and consistent acquisition/divestiture/non-recurring item basis is useful to investors for understanding the performance of Corpay.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Expenses</w:t>
      </w:r>
    </w:p>
    <w:p>
      <w:pPr>
        <w:pStyle w:val="TextBody"/>
        <w:bidi w:val="0"/>
        <w:spacing w:lineRule="auto" w:line="288" w:before="180" w:after="283"/>
        <w:jc w:val="left"/>
        <w:rPr/>
      </w:pPr>
      <w:r>
        <w:rPr>
          <w:rFonts w:ascii="Times New Roman;serif" w:hAnsi="Times New Roman;serif"/>
          <w:b w:val="false"/>
          <w:color w:val="000000"/>
          <w:sz w:val="20"/>
        </w:rPr>
        <w:t>We routinely incur expenses in the following categories:</w:t>
      </w:r>
      <w:r>
        <w:rPr>
          <w:color w:val="000000"/>
        </w:rPr>
        <w: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Processing</w:t>
      </w:r>
      <w:r>
        <w:rPr>
          <w:color w:val="000000"/>
        </w:rPr>
        <w:t>—</w:t>
      </w:r>
      <w:r>
        <w:rPr>
          <w:rFonts w:ascii="Times New Roman;serif" w:hAnsi="Times New Roman;serif"/>
          <w:b w:val="false"/>
          <w:color w:val="000000"/>
          <w:sz w:val="20"/>
        </w:rPr>
        <w:t>Our processing expense consists of expenses related to processing transactions, servicing our customers and merchants, credit losses and cost of goods sold related to our hardware and card sales in certain businesses.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Selling</w:t>
      </w:r>
      <w:r>
        <w:rPr>
          <w:color w:val="000000"/>
        </w:rPr>
        <w:t>—</w:t>
      </w:r>
      <w:r>
        <w:rPr>
          <w:rFonts w:ascii="Times New Roman;serif" w:hAnsi="Times New Roman;serif"/>
          <w:b w:val="false"/>
          <w:color w:val="000000"/>
          <w:sz w:val="20"/>
        </w:rPr>
        <w:t>Our selling expenses consist primarily of wages, benefits, sales commissions (other than merchant commissions) and related expenses for our sales, marketing and account management personnel and activities.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General and administrative</w:t>
      </w:r>
      <w:r>
        <w:rPr>
          <w:color w:val="000000"/>
        </w:rPr>
        <w:t>—</w:t>
      </w:r>
      <w:r>
        <w:rPr>
          <w:rFonts w:ascii="Times New Roman;serif" w:hAnsi="Times New Roman;serif"/>
          <w:b w:val="false"/>
          <w:color w:val="000000"/>
          <w:sz w:val="20"/>
        </w:rPr>
        <w:t>Our general and administrative expenses include compensation and related expenses (including stock-based compensation and bonuses) for our employees, finance and accounting, information technology, human resources, legal and other administrative personnel. Also included are facilities expenses, third-party professional services fees, travel and entertainment expenses and other corporate-level expenses.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Depreciation and amortization</w:t>
      </w:r>
      <w:r>
        <w:rPr>
          <w:color w:val="000000"/>
        </w:rPr>
        <w:t>—</w:t>
      </w:r>
      <w:r>
        <w:rPr>
          <w:rFonts w:ascii="Times New Roman;serif" w:hAnsi="Times New Roman;serif"/>
          <w:b w:val="false"/>
          <w:color w:val="000000"/>
          <w:sz w:val="20"/>
        </w:rPr>
        <w:t>Our depreciation expenses include depreciation of property and equipment, consisting of computer hardware and 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Other operating, net</w:t>
      </w:r>
      <w:r>
        <w:rPr>
          <w:color w:val="000000"/>
        </w:rPr>
        <w:t>—</w:t>
      </w:r>
      <w:r>
        <w:rPr>
          <w:rFonts w:ascii="Times New Roman;serif" w:hAnsi="Times New Roman;serif"/>
          <w:b w:val="false"/>
          <w:color w:val="000000"/>
          <w:sz w:val="20"/>
        </w:rPr>
        <w:t xml:space="preserve">Our other operating, net includes other operating expenses and income items that do not relate to our core operations or that occur infrequently.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Other expense (income), net</w:t>
      </w:r>
      <w:r>
        <w:rPr>
          <w:color w:val="000000"/>
        </w:rPr>
        <w:t>—</w:t>
      </w:r>
      <w:r>
        <w:rPr>
          <w:rFonts w:ascii="Times New Roman;serif" w:hAnsi="Times New Roman;serif"/>
          <w:b w:val="false"/>
          <w:color w:val="000000"/>
          <w:sz w:val="20"/>
        </w:rPr>
        <w:t xml:space="preserve">Our other expense (income), net includes gains or losses from the following: foreign currency transactions, extinguishment of debt and investments. This category also includes other miscellaneous non-operating costs and revenue. Certain of these items may be presented separately on the Unaudited Consolidated Statements of Income.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Interest expense, net</w:t>
      </w:r>
      <w:r>
        <w:rPr>
          <w:color w:val="000000"/>
        </w:rPr>
        <w:t>—</w:t>
      </w:r>
      <w:r>
        <w:rPr>
          <w:rFonts w:ascii="Times New Roman;serif" w:hAnsi="Times New Roman;serif"/>
          <w:b w:val="false"/>
          <w:color w:val="000000"/>
          <w:sz w:val="20"/>
        </w:rPr>
        <w:t>Our interest expense, net includes interest expense on our outstanding debt, interest income on cash balances and interest on our interest rate and cross-currency swaps.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Provision for income taxes</w:t>
      </w:r>
      <w:r>
        <w:rPr>
          <w:color w:val="000000"/>
        </w:rPr>
        <w:t>—</w:t>
      </w:r>
      <w:r>
        <w:rPr>
          <w:rFonts w:ascii="Times New Roman;serif" w:hAnsi="Times New Roman;serif"/>
          <w:b w:val="false"/>
          <w:color w:val="000000"/>
          <w:sz w:val="20"/>
        </w:rPr>
        <w:t>Our provision for income taxes consists of corporate income taxes related primarily to profits resulting from the sale of our products and services on a global basis.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Factors and Trends Impacting our Business</w:t>
      </w:r>
    </w:p>
    <w:p>
      <w:pPr>
        <w:pStyle w:val="TextBody"/>
        <w:bidi w:val="0"/>
        <w:spacing w:lineRule="auto" w:line="288" w:before="120" w:after="283"/>
        <w:jc w:val="left"/>
        <w:rPr/>
      </w:pPr>
      <w:r>
        <w:rPr>
          <w:rFonts w:ascii="Times New Roman;serif" w:hAnsi="Times New Roman;serif"/>
          <w:b w:val="false"/>
          <w:color w:val="000000"/>
          <w:sz w:val="20"/>
        </w:rPr>
        <w:t>We believe that the following factors and trends are important in understanding our financial performance:</w:t>
      </w:r>
      <w:r>
        <w:rPr>
          <w:color w:val="000000"/>
        </w:rPr>
        <w: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Global economic conditions</w:t>
      </w:r>
      <w:r>
        <w:rPr>
          <w:color w:val="000000"/>
        </w:rPr>
        <w:t>—</w:t>
      </w:r>
      <w:r>
        <w:rPr>
          <w:rFonts w:ascii="Times New Roman;serif" w:hAnsi="Times New Roman;serif"/>
          <w:b w:val="false"/>
          <w:color w:val="000000"/>
          <w:sz w:val="20"/>
        </w:rPr>
        <w:t>Our results of operations are materially affected by conditions in the economy generally, in North America, Brazil, the U.K. and in other locations internationally. Factors affected by the economy include our transaction volumes, the credit risk of our customers and changes in tax laws across the globe. These factors affected our businesses in each of our segments.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Foreign currency changes</w:t>
      </w:r>
      <w:r>
        <w:rPr>
          <w:color w:val="000000"/>
        </w:rPr>
        <w:t>—</w:t>
      </w:r>
      <w:r>
        <w:rPr>
          <w:rFonts w:ascii="Times New Roman;serif" w:hAnsi="Times New Roman;serif"/>
          <w:b w:val="false"/>
          <w:color w:val="000000"/>
          <w:sz w:val="20"/>
        </w:rPr>
        <w:t xml:space="preserve">Our results of operations are significantly impacted by changes in foreign currency exchange rates; namely, by movements of the Australian dollar, Brazilian real, British pound, Canadian dollar, Czech koruna, euro, Mexican peso, and New Zealand dollar, relative to the U.S. dollar. Approximately 44% and 50% of our revenues in the six months ended June 30, 2026 and 2025, respectively, were derived in U.S. dollars and were not affected by foreign currency exchange rates. See "Results of Operations" for information related to foreign currency impact on our total revenues,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cross-border foreign risk management business aggregates foreign currency exposures arising from customer contracts and economically hedges the resulting net currency risks by entering into offsetting contracts with established financial institution counterparties. These contracts are subject to counterparty credit risk and liquidity risk from collateral calls.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further manage the impact of economic changes in the value of certain foreign-denominated net assets by utilizing cross currency interest rate swaps. See "Liquidity and capital resources" below for information regarding our cross currency interest rate swaps.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i/>
          <w:color w:val="000000"/>
          <w:sz w:val="20"/>
        </w:rPr>
        <w:t>Fuel price volatility</w:t>
      </w:r>
      <w:r>
        <w:rPr>
          <w:color w:val="000000"/>
        </w:rPr>
        <w:t>—</w:t>
      </w:r>
      <w:r>
        <w:rPr>
          <w:rFonts w:ascii="Times New Roman;serif" w:hAnsi="Times New Roman;serif"/>
          <w:b w:val="false"/>
          <w:color w:val="000000"/>
          <w:sz w:val="20"/>
        </w:rPr>
        <w:t xml:space="preserve">Our Vehicle Payments customers use our products and services primarily in connection with the purchase of fuel. Accordingly, our revenue is 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rPr>
        <w:t>unpaid account balances and the late fees and charges based on these amounts. We estimate approximately 6% and 8% of revenues, net were directly impacted by changes in fuel price in the six months ended June 30, 2026 and 2025, respectively. See "Results of Operations" for information related to the fuel pri</w:t>
      </w:r>
      <w:r>
        <w:rPr>
          <w:rFonts w:ascii="Times New Roman;serif" w:hAnsi="Times New Roman;serif"/>
          <w:b w:val="false"/>
          <w:color w:val="000000"/>
          <w:sz w:val="20"/>
          <w:shd w:fill="FFFFFF" w:val="clear"/>
        </w:rPr>
        <w:t>ce impact on our total revenues, net.</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i/>
          <w:color w:val="000000"/>
          <w:sz w:val="20"/>
        </w:rPr>
        <w:t>Fuel-price spread volatility</w:t>
      </w:r>
      <w:r>
        <w:rPr>
          <w:color w:val="000000"/>
        </w:rPr>
        <w:t>—</w:t>
      </w:r>
      <w:r>
        <w:rPr>
          <w:rFonts w:ascii="Times New Roman;serif" w:hAnsi="Times New Roman;serif"/>
          <w:b w:val="false"/>
          <w:color w:val="000000"/>
          <w:sz w:val="20"/>
        </w:rPr>
        <w:t>A</w:t>
      </w:r>
      <w:r>
        <w:rPr>
          <w:color w:val="000000"/>
          <w:shd w:fill="FFFFFF" w:val="clear"/>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20"/>
        </w:rPr>
        <w:t>ortion of our revenue involves transactions where we derive revenue from fuel price spreads, which is the 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 price spread contraction when the merchant’s wholesale cost of fuel increases at a faster rate than the fuel price we charge to our customers, or the fuel price we charge to our customers decreases at a faster rate than the merchant’s wholesale cost of fuel. The inverse of these situations produces fuel price spread expansion. We estimate approximately 5% and 4% of revenues, net were directly impacted by fuel price spreads in the six months ended June 30, 2026 and 2025, respectively. See "Results of Operations" fo</w:t>
      </w:r>
      <w:r>
        <w:rPr>
          <w:rFonts w:ascii="Times New Roman;serif" w:hAnsi="Times New Roman;serif"/>
          <w:b w:val="false"/>
          <w:color w:val="000000"/>
          <w:sz w:val="20"/>
          <w:shd w:fill="FFFFFF" w:val="clear"/>
        </w:rPr>
        <w:t>r information related to the fuel price spread impact on our total revenues, net.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Acquisitions</w:t>
      </w:r>
      <w:r>
        <w:rPr>
          <w:color w:val="000000"/>
        </w:rPr>
        <w:t>—</w:t>
      </w:r>
      <w:r>
        <w:rPr>
          <w:rFonts w:ascii="Times New Roman;serif" w:hAnsi="Times New Roman;serif"/>
          <w:b w:val="false"/>
          <w:color w:val="000000"/>
          <w:sz w:val="20"/>
        </w:rPr>
        <w:t>Since 2002, we have completed over 100 acquisitions of companies and commercial account portfolios. Acquisitions have been an 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pStyle w:val="TextBody"/>
        <w:bidi w:val="0"/>
        <w:spacing w:lineRule="auto" w:line="268" w:before="120" w:after="283"/>
        <w:ind w:left="0" w:right="0" w:hanging="360"/>
        <w:jc w:val="left"/>
        <w:rPr/>
      </w:pPr>
      <w:r>
        <w:rPr>
          <w:color w:val="000000"/>
          <w:shd w:fill="FFFFFF" w:val="clear"/>
        </w:rPr>
        <w:t>•</w:t>
      </w:r>
      <w:r>
        <w:rPr>
          <w:rFonts w:ascii="Times New Roman;serif" w:hAnsi="Times New Roman;serif"/>
          <w:b w:val="false"/>
          <w:i/>
          <w:color w:val="000000"/>
          <w:sz w:val="20"/>
        </w:rPr>
        <w:t>Interest rates</w:t>
      </w:r>
      <w:r>
        <w:rPr>
          <w:color w:val="000000"/>
        </w:rPr>
        <w:t xml:space="preserve">— </w:t>
      </w:r>
      <w:r>
        <w:rPr>
          <w:rFonts w:ascii="Times New Roman;serif" w:hAnsi="Times New Roman;serif"/>
          <w:b w:val="false"/>
          <w:color w:val="000000"/>
          <w:sz w:val="20"/>
        </w:rPr>
        <w:t>We are exposed to market risk changes in interest rates on our debt, particularly in rising interest rate environments, which is partially offset by incremental interest income earned on cash and restricted cash. As of June 30, 2026, we have a number of receive-variable SOFR, pay-fixed interest rate swap derivative contracts with a cumulative notional U.S. dollar value of $4.0 billion. The objective of these contracts is to reduce the variability of cash flows in the previously unhedged interest payments associated with variable rate debt, the sole source of which is due to changes in SOFR benchmark interest rate.</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"Liquidity and capital resources" section below for additional information regarding our derivatives.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Expenses</w:t>
      </w:r>
      <w:r>
        <w:rPr>
          <w:color w:val="000000"/>
        </w:rPr>
        <w:t>—</w:t>
      </w:r>
      <w:r>
        <w:rPr>
          <w:rFonts w:ascii="Times New Roman;serif" w:hAnsi="Times New Roman;serif"/>
          <w:b w:val="false"/>
          <w:color w:val="000000"/>
          <w:sz w:val="20"/>
        </w:rPr>
        <w:t>Over the long term, we expect that our expenses will decrease as a percentage of revenues as our revenues increase, except for expenses related to transaction volume processed. To support our expected revenue growth, we plan to continue to incur additional sales and marketing expense by investing in our direct marketing, third-party agents, internet marketing, telemarketing and field sales force.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Income Taxes</w:t>
      </w:r>
      <w:r>
        <w:rPr>
          <w:color w:val="000000"/>
        </w:rPr>
        <w:t>—</w:t>
      </w:r>
      <w:r>
        <w:rPr>
          <w:rFonts w:ascii="Times New Roman;serif" w:hAnsi="Times New Roman;serif"/>
          <w:b w:val="false"/>
          <w:color w:val="000000"/>
          <w:sz w:val="20"/>
        </w:rPr>
        <w:t xml:space="preserve">We pay income taxes in various taxing jurisdictions, including the U.S., most U.S. states and many non-U.S. jurisdictions. The tax rates in non-U.S. taxing jurisdictions are different than the U.S. tax rate. Consequently, as our earnings fluctuate between taxing jurisdictions, our effective tax rate fluctuates. Our effective tax rate is also subject to fluctuations driven by the impact of discrete tax items.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U.S. The OBBBA includes provisions, such as the permanent extension of certain expiring provisions of the Tax Cuts and Jobs Act, modifications to the international tax framework, and the restoration of favorable tax treatment for certain business provisions. The legislation has multiple effective dates beginning in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Foreign jurisdictions in which we operate enacted local legislation formally adopting the Global Anti-Base Erosion Model Rules ("Pillar Two"), which generally provides for a minimum effective tax rate of 15%, as established by the Organization for Economic Co-operation and Development ("OECD") Pillar Two Framework. The Group of Seven (G7) countries have agreed that U.S. Multi-National Entities (“MNEs”) should be excluded from certain aspects of the Pillar Two global minimum tax rules in exchange for the U.S. not imposing retaliatory taxes. On January 5, 2026, the OECD released additional guidance and announced the Side-by-Side package which introduces simplifications and new safe harbors for U.S. MNEs.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OBBBA and Pillar Two directive did not have a material effect on our consolidated financial statements for the three and six months ended June 30, 2026, and we are continuing to evaluate the potential effects on future periods.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Acquisitions, Investments and Dispositions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2026</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In March 2026, we sold PayByPhone, a mobile parking payments business within our Vehicle Payments segment, to a third party. We received total proceeds, net of cash disposed, of approximately $421.7 million. In connection with the sale, we recorded a pre-tax net gain on disposal of $122.9 million during the six months ended June 30, 2026,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represents the proceeds received less the derecognition of the related net assets and the reclassification of accumulated foreign currency translation gains.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June 2026, we signed a definitive agreement to sell our Maintenance business to a third party for approximately £600 million (approximately $800 million). The transaction is expected to be completed in the second half of 2026, pending U.K. and Australian regulatory approval. We determined that the Maintenance disposal group met all of the required criteria to be classified as held for sale during the second quarter of 2026 and as such, all related assets and liabilities were classified as current on our Unaudited Consolidated Balance Sheets as of June 30,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2025</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February 2025, we acquired 100% of Gringo, a leading Brazil-based vehicle registration and compliance payment company, for approximately $153.7 million, net of cash of approximately $10.2 million. Immediately prior to the acquisition, the Company infused capital equal to the purchase price into Zapay, one of our less than wholly owned subsidiaries, in order for Zapay to complete the acquisition of Gringo. As a result of the capital infusion, our controlling interest in Zapay increased to approximately 86%. This transaction, which was accounted for separately from the business acquisition, was recorded as an equity transaction. Gringo's digital app and national network help drivers in Brazil pay vehicle taxes, registration and fines. Results from Gringo are reported in our Vehicle Payments segment.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In April 2025, we expanded our long-standing strategic partnership agreement with Mastercard to deliver an enhanced suite of corporate cross-border payment solutions. The transaction also includes an investment in our cross-border payments business with Mastercard acquiring a 2.3% interest for $300 million. The investment into our cross-border payments business closed on December 1, 2025. Mastercard has the right to sell, or put, its interest back to us for six months starting on August 1, 2027. If Mastercard does not exercise that right, we will have a reciprocal repurchase right, or call, for six months starting on May 1, 2028. In each case, the purchase price is the $300 million of invested capital plus 8% per annum, compounded annually.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May 2025, we formed a limited partnership with TPG that, through its wholly owned subsidiaries, entered into a definitive agreement to acquire AvidXchange Holdings, Inc (“AvidXchange”). AvidXchange is a provider of AP automation solutions to lower middle market companies with a focus on several verticals including real estate, homeowners associations, financial institutions and media. The transaction was completed in October 2025.</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2025, we invested approximately $578 million for approximately 35% of the equity in the limited partnership with TPG for an enterprise valuation of approximately $1.9 billion. The limited partnership utilized approximately $450 million of debt financing to consummate the transaction. TPG holds approximately 56% of the equity in the limited partnership, and the management team of AvidXchange holds the remainder. In addition to other terms, the limited partnership agreement provides that, 33 months after the closing we will have the right to acquire all the remaining outstanding equity in the limited partnership for approximately 2.5 times invested capital. If we do not exercise such right to acquire all of the remaining outstanding equity of the limited partnership and TPG decides to sell the limited partnership to a third party within a period of 15 months thereafter, we are required to guarantee a return to our partners, subject to certain limitations, of approximately 1.6 times invested capital (the minimum return). If the partnership sells AvidXchange in 2029 for an approximately similar valuation as at acquisition, there will be no requirement to pay any minimum return.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On October 31, 2025, we completed the acquisition of all of the ordinary shares of Alpha Group International plc ("Alpha"), a leading provider of B2B cross-border foreign exchange solutions to corporations and investment funds in the U.K. and Europe, for £42.50 in cash for each Alpha share, resulting in an aggregate purchase price of approximately £1.8 billion, or $2.4 billion. The aggregate cash consideration paid in the transaction was funded with borrowings under the Company's Credit Facility (as defined below). Results from the Alpha acquisition have been included in our Corporate Payments segment from the date of acquisition, October 31, 2025.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In July 2025, we announced the divestiture of our BP private label fuel card portfolio for approximately $60 million. Revenues generated from the portfolio are included in our Vehicle Payments segment. The transaction closed in October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Three months ended June 30, 2026 compared to the three months ended June 30,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selected Unaudited Consolidated Statements of Income for the three months ended June 30, 2026 and 2025 (in millions, except percentages)*.</w:t>
      </w:r>
    </w:p>
    <w:tbl>
      <w:tblPr>
        <w:tblW w:w="10205" w:type="dxa"/>
        <w:jc w:val="left"/>
        <w:tblInd w:w="0" w:type="dxa"/>
        <w:tblLayout w:type="fixed"/>
        <w:tblCellMar>
          <w:top w:w="28" w:type="dxa"/>
          <w:left w:w="28" w:type="dxa"/>
          <w:bottom w:w="28" w:type="dxa"/>
          <w:right w:w="28" w:type="dxa"/>
        </w:tblCellMar>
      </w:tblPr>
      <w:tblGrid>
        <w:gridCol w:w="873"/>
        <w:gridCol w:w="410"/>
        <w:gridCol w:w="405"/>
        <w:gridCol w:w="109"/>
        <w:gridCol w:w="109"/>
        <w:gridCol w:w="109"/>
        <w:gridCol w:w="250"/>
        <w:gridCol w:w="730"/>
        <w:gridCol w:w="129"/>
        <w:gridCol w:w="109"/>
        <w:gridCol w:w="109"/>
        <w:gridCol w:w="109"/>
        <w:gridCol w:w="313"/>
        <w:gridCol w:w="303"/>
        <w:gridCol w:w="529"/>
        <w:gridCol w:w="109"/>
        <w:gridCol w:w="109"/>
        <w:gridCol w:w="109"/>
        <w:gridCol w:w="250"/>
        <w:gridCol w:w="730"/>
        <w:gridCol w:w="129"/>
        <w:gridCol w:w="109"/>
        <w:gridCol w:w="109"/>
        <w:gridCol w:w="109"/>
        <w:gridCol w:w="313"/>
        <w:gridCol w:w="303"/>
        <w:gridCol w:w="529"/>
        <w:gridCol w:w="109"/>
        <w:gridCol w:w="109"/>
        <w:gridCol w:w="109"/>
        <w:gridCol w:w="211"/>
        <w:gridCol w:w="616"/>
        <w:gridCol w:w="109"/>
        <w:gridCol w:w="109"/>
        <w:gridCol w:w="109"/>
        <w:gridCol w:w="109"/>
        <w:gridCol w:w="264"/>
        <w:gridCol w:w="266"/>
        <w:gridCol w:w="581"/>
      </w:tblGrid>
      <w:tr>
        <w:trPr/>
        <w:tc>
          <w:tcPr>
            <w:tcW w:w="87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sum of the columns and rows may not calculate due to rounding. </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Consolidated Results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Consolidated revenues, net</w:t>
      </w:r>
    </w:p>
    <w:p>
      <w:pPr>
        <w:pStyle w:val="TextBody"/>
        <w:bidi w:val="0"/>
        <w:spacing w:lineRule="auto" w:line="288" w:before="120" w:after="283"/>
        <w:jc w:val="left"/>
        <w:rPr/>
      </w:pPr>
      <w:r>
        <w:rPr>
          <w:rFonts w:ascii="Times New Roman;serif" w:hAnsi="Times New Roman;serif"/>
          <w:b w:val="false"/>
          <w:color w:val="000000"/>
          <w:sz w:val="20"/>
          <w:shd w:fill="FFFFFF" w:val="clear"/>
        </w:rPr>
        <w:t>Consolidated revenues w</w:t>
      </w:r>
      <w:r>
        <w:rPr>
          <w:rFonts w:ascii="Times New Roman;serif" w:hAnsi="Times New Roman;serif"/>
          <w:b w:val="false"/>
          <w:color w:val="000000"/>
          <w:sz w:val="20"/>
        </w:rPr>
        <w:t xml:space="preserve">ere $1,338.8 million in the three months ended June 30, 2026, an increase of 21.5% compared to the comparable prior period. The increase in consolidated revenues was due primarily to organic growth of 10%, driven by increases in spend and transaction volumes, implementation and ramping of new sales and business initiatives. Consolidated revenues also grew 7% from acquisitions completed in 2025. This growth was partially offset by a reduction in revenue of $28 million from the impact of dispositions completed in 2025 and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cannot precisely measure the impact of the macroeconomic environment, in total we believe it had a positive impact of approximately $67 million on our consolidated revenues for the three months ended June 30, 2026 over the comparable prior period. This positive impact was driven primarily by favorable foreign exchange rates of approximately $37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million, driven by our Brazil, Mexico and Australian businesses, fuel prices of approximately $20 million and fuel price spreads of approximately $10 million.</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Consolidated operating expenses</w:t>
      </w:r>
    </w:p>
    <w:p>
      <w:pPr>
        <w:pStyle w:val="TextBody"/>
        <w:bidi w:val="0"/>
        <w:spacing w:lineRule="auto" w:line="288" w:before="120" w:after="283"/>
        <w:jc w:val="left"/>
        <w:rPr/>
      </w:pPr>
      <w:r>
        <w:rPr>
          <w:rFonts w:ascii="Times New Roman;serif" w:hAnsi="Times New Roman;serif"/>
          <w:b/>
          <w:i/>
          <w:color w:val="000000"/>
          <w:sz w:val="20"/>
        </w:rPr>
        <w:t>Processing.</w:t>
      </w:r>
      <w:r>
        <w:rPr>
          <w:color w:val="000000"/>
        </w:rPr>
        <w:t> </w:t>
      </w:r>
      <w:r>
        <w:rPr>
          <w:rFonts w:ascii="Times New Roman;serif" w:hAnsi="Times New Roman;serif"/>
          <w:b w:val="false"/>
          <w:color w:val="000000"/>
          <w:sz w:val="20"/>
        </w:rPr>
        <w:t xml:space="preserve">Processing expenses were $275.2 million in the three months ended June 30, 2026, an increase of 15.4% compared to the comparable prior period. Increases in processing expenses were primarily due to approximately $17 million of expenses related to acquisitions completed in 2025, higher variable expenses driven by increased transaction volumes, higher credit loss expense of approximately $14 million due to increased transaction volumes and higher fuel prices, investments to drive future growth and the unfavorable impact of foreign exchange rates of approximately $8 million. This increase was partially offset by lower expense of approximately $6 million from the impact of dispositions completed in 2025 and 2026. </w:t>
      </w:r>
    </w:p>
    <w:p>
      <w:pPr>
        <w:pStyle w:val="TextBody"/>
        <w:bidi w:val="0"/>
        <w:spacing w:lineRule="auto" w:line="288" w:before="120" w:after="283"/>
        <w:jc w:val="left"/>
        <w:rPr/>
      </w:pPr>
      <w:r>
        <w:rPr>
          <w:rFonts w:ascii="Times New Roman;serif" w:hAnsi="Times New Roman;serif"/>
          <w:b/>
          <w:i/>
          <w:color w:val="000000"/>
          <w:sz w:val="20"/>
        </w:rPr>
        <w:t>Selling.</w:t>
      </w:r>
      <w:r>
        <w:rPr>
          <w:color w:val="000000"/>
        </w:rPr>
        <w:t xml:space="preserve"> </w:t>
      </w:r>
      <w:r>
        <w:rPr>
          <w:rFonts w:ascii="Times New Roman;serif" w:hAnsi="Times New Roman;serif"/>
          <w:b w:val="false"/>
          <w:color w:val="000000"/>
          <w:sz w:val="20"/>
        </w:rPr>
        <w:t xml:space="preserve">Selling expenses were $150.6 million in the three months ended June 30, 2026, an increase of 30.1% from the comparable prior period. Increases in selling expenses were primarily due to marketing investments to drive future growth, increased commissions from higher sales volume, approximately $14 million of expenses related to acquisitions completed in 2025 and the unfavorable impact of foreign exchange rates of approximately $4 million. This increase was partially offset by lower expense of approximately $2 million from the impact of dispositions completed in 2025 and 2026. </w:t>
      </w:r>
    </w:p>
    <w:p>
      <w:pPr>
        <w:pStyle w:val="TextBody"/>
        <w:bidi w:val="0"/>
        <w:spacing w:lineRule="auto" w:line="288" w:before="120" w:after="283"/>
        <w:jc w:val="left"/>
        <w:rPr/>
      </w:pPr>
      <w:r>
        <w:rPr>
          <w:rFonts w:ascii="Times New Roman;serif" w:hAnsi="Times New Roman;serif"/>
          <w:b/>
          <w:i/>
          <w:color w:val="000000"/>
          <w:sz w:val="20"/>
        </w:rPr>
        <w:t>General and administrative.</w:t>
      </w:r>
      <w:r>
        <w:rPr>
          <w:color w:val="000000"/>
        </w:rPr>
        <w:t> </w:t>
      </w:r>
      <w:r>
        <w:rPr>
          <w:rFonts w:ascii="Times New Roman;serif" w:hAnsi="Times New Roman;serif"/>
          <w:b w:val="false"/>
          <w:color w:val="000000"/>
          <w:sz w:val="20"/>
        </w:rPr>
        <w:t xml:space="preserve">General and administrative expenses were $223.7 million in the three months ended June 30, 2026, an increase of 26.4% from the comparable prior period. The increase in general and administrative expenses was primarily due to acquisition-related deal fees, information technology investments, approximately $14 million of expenses related to acquisitions completed in 2025 and the unfavorable impact of foreign exchange rates of approximately $3 million. This increase was partially offset by lower expense of approximately $5 million from the impact of dispositions completed in 2025 and 2026. </w:t>
      </w:r>
    </w:p>
    <w:p>
      <w:pPr>
        <w:pStyle w:val="TextBody"/>
        <w:bidi w:val="0"/>
        <w:spacing w:lineRule="auto" w:line="288" w:before="120" w:after="283"/>
        <w:jc w:val="left"/>
        <w:rPr/>
      </w:pPr>
      <w:r>
        <w:rPr>
          <w:rFonts w:ascii="Times New Roman;serif" w:hAnsi="Times New Roman;serif"/>
          <w:b/>
          <w:i/>
          <w:color w:val="000000"/>
          <w:sz w:val="20"/>
        </w:rPr>
        <w:t>Depreciation and amortization.</w:t>
      </w:r>
      <w:r>
        <w:rPr>
          <w:color w:val="000000"/>
        </w:rPr>
        <w:t> </w:t>
      </w:r>
      <w:r>
        <w:rPr>
          <w:rFonts w:ascii="Times New Roman;serif" w:hAnsi="Times New Roman;serif"/>
          <w:b w:val="false"/>
          <w:color w:val="000000"/>
          <w:sz w:val="20"/>
        </w:rPr>
        <w:t xml:space="preserve">Depreciation and amortization expenses were $118.3 million in the three months ended June 30, 2026, an increase of 29.5% from the comparable prior period. Depreciation and amortization expenses increased due to incremental investments in capital expenditures, $12 million of expenses related to acquisitions completed in 2025 and the unfavorable impact of foreign exchange rates of approximately $2 million. This increase was partially offset by lower expense of approximately $2 million from the impact of dispositions completed in 2025 and 2026. </w:t>
      </w:r>
    </w:p>
    <w:p>
      <w:pPr>
        <w:pStyle w:val="TextBody"/>
        <w:bidi w:val="0"/>
        <w:spacing w:lineRule="auto" w:line="288" w:before="120" w:after="283"/>
        <w:jc w:val="left"/>
        <w:rPr/>
      </w:pPr>
      <w:r>
        <w:rPr>
          <w:rFonts w:ascii="Times New Roman;serif" w:hAnsi="Times New Roman;serif"/>
          <w:b/>
          <w:i/>
          <w:color w:val="000000"/>
          <w:sz w:val="20"/>
        </w:rPr>
        <w:t>Other operating, net</w:t>
      </w:r>
      <w:r>
        <w:rPr>
          <w:rFonts w:ascii="Times New Roman;serif" w:hAnsi="Times New Roman;serif"/>
          <w:b w:val="false"/>
          <w:color w:val="000000"/>
          <w:sz w:val="20"/>
        </w:rPr>
        <w:t>. Other operating, net was $99.9 million in the three months ended June 30, 2026 and primarily relates to a contingent loss related to the FTC legal matter of $100 million.</w:t>
      </w:r>
    </w:p>
    <w:p>
      <w:pPr>
        <w:pStyle w:val="TextBody"/>
        <w:bidi w:val="0"/>
        <w:spacing w:lineRule="auto" w:line="288" w:before="120" w:after="283"/>
        <w:jc w:val="left"/>
        <w:rPr/>
      </w:pPr>
      <w:r>
        <w:rPr>
          <w:rFonts w:ascii="Times New Roman;serif" w:hAnsi="Times New Roman;serif"/>
          <w:b/>
          <w:i/>
          <w:color w:val="000000"/>
          <w:sz w:val="20"/>
        </w:rPr>
        <w:t>Gain on disposition, net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During the three months ended June 30, 2026, we recognized an additional net gain of approximately $1.1 million resulting from working capital adjustments related to our March 2026 disposal of PayByPhone, a mobile parking payments business within our Vehicle Payments segment. </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Consolidated operating income</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operating income was $472.3 million in the three months ended June 30, 2026, a decrease of (1.5)% compared to the comparable prior period due to the reasons discussed above. </w:t>
      </w:r>
    </w:p>
    <w:p>
      <w:pPr>
        <w:pStyle w:val="TextBody"/>
        <w:bidi w:val="0"/>
        <w:spacing w:lineRule="auto" w:line="276" w:before="120" w:after="283"/>
        <w:jc w:val="left"/>
        <w:rPr/>
      </w:pPr>
      <w:r>
        <w:rPr>
          <w:rFonts w:ascii="Times New Roman;serif" w:hAnsi="Times New Roman;serif"/>
          <w:b/>
          <w:i/>
          <w:color w:val="000000"/>
          <w:sz w:val="20"/>
        </w:rPr>
        <w:t xml:space="preserve">Other expense, net. </w:t>
      </w:r>
      <w:r>
        <w:rPr>
          <w:rFonts w:ascii="Times New Roman;serif" w:hAnsi="Times New Roman;serif"/>
          <w:b w:val="false"/>
          <w:color w:val="000000"/>
          <w:sz w:val="20"/>
        </w:rPr>
        <w:t xml:space="preserve">Other expense, net was $6.3 million in the three months ended June 30, 2026, which primarily represented net losses related to our equity method investments and the impact of fluctuations in foreign exchange rates on non-functional currency balances. Other income, net was $10.6 million in the three months ended June 30, 2025, which primarily represented a gain realized upon the disposition of a cost method investment in the second quarter of 2025. </w:t>
      </w:r>
    </w:p>
    <w:p>
      <w:pPr>
        <w:pStyle w:val="TextBody"/>
        <w:bidi w:val="0"/>
        <w:spacing w:lineRule="auto" w:line="288" w:before="120" w:after="283"/>
        <w:jc w:val="left"/>
        <w:rPr/>
      </w:pPr>
      <w:r>
        <w:rPr>
          <w:rFonts w:ascii="Times New Roman;serif" w:hAnsi="Times New Roman;serif"/>
          <w:b/>
          <w:i/>
          <w:color w:val="000000"/>
          <w:sz w:val="20"/>
        </w:rPr>
        <w:t>Interest expense, net.</w:t>
      </w:r>
      <w:r>
        <w:rPr>
          <w:color w:val="000000"/>
        </w:rPr>
        <w:t> </w:t>
      </w:r>
      <w:r>
        <w:rPr>
          <w:rFonts w:ascii="Times New Roman;serif" w:hAnsi="Times New Roman;serif"/>
          <w:b w:val="false"/>
          <w:color w:val="000000"/>
          <w:sz w:val="20"/>
        </w:rPr>
        <w:t>Interest expense, net was $114.7 million in the three months ended June 30, 2026, an increase of $17.8 million from the comparable prior period. The increase in interest expense was primarily due to increased borrowings used for acquisitions, partially offset by lower interest rates and higher interest income earned on higher cash balances. The following table sets forth the average interest rates paid on borrowings under our Credit Facility, excluding the related unused facility fees and swaps.</w:t>
      </w:r>
    </w:p>
    <w:p>
      <w:pPr>
        <w:pStyle w:val="TextBody"/>
        <w:bidi w:val="0"/>
        <w:spacing w:before="0" w:after="0"/>
        <w:jc w:val="center"/>
        <w:rPr/>
      </w:pPr>
      <w:r>
        <w:rPr/>
      </w:r>
    </w:p>
    <w:tbl>
      <w:tblPr>
        <w:tblW w:w="6200" w:type="dxa"/>
        <w:jc w:val="center"/>
        <w:tblInd w:w="0" w:type="dxa"/>
        <w:tblLayout w:type="fixed"/>
        <w:tblCellMar>
          <w:top w:w="28" w:type="dxa"/>
          <w:left w:w="28" w:type="dxa"/>
          <w:bottom w:w="28" w:type="dxa"/>
          <w:right w:w="28" w:type="dxa"/>
        </w:tblCellMar>
      </w:tblPr>
      <w:tblGrid>
        <w:gridCol w:w="1144"/>
        <w:gridCol w:w="1008"/>
        <w:gridCol w:w="1013"/>
        <w:gridCol w:w="109"/>
        <w:gridCol w:w="109"/>
        <w:gridCol w:w="109"/>
        <w:gridCol w:w="255"/>
        <w:gridCol w:w="256"/>
        <w:gridCol w:w="500"/>
        <w:gridCol w:w="201"/>
        <w:gridCol w:w="201"/>
        <w:gridCol w:w="201"/>
        <w:gridCol w:w="255"/>
        <w:gridCol w:w="256"/>
        <w:gridCol w:w="583"/>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B-5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B-6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A &amp; B (USD)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B (GBP)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We have a portfolio of interest rate swaps, which are designated as cash flow hedges and cross-currency interest rate swaps, which are designated as net investment hedges. Du</w:t>
      </w:r>
      <w:r>
        <w:rPr>
          <w:rFonts w:ascii="Times New Roman;serif" w:hAnsi="Times New Roman;serif"/>
          <w:b w:val="false"/>
          <w:color w:val="000000"/>
          <w:sz w:val="20"/>
        </w:rPr>
        <w:t>ring the three months ended June 30, 2026, as a result of these swap contracts and net investment hedges, we recorded a net benefit to interest expense of $3.0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Provision for income taxes.</w:t>
      </w:r>
      <w:r>
        <w:rPr>
          <w:color w:val="000000"/>
        </w:rPr>
        <w:t> </w:t>
      </w:r>
      <w:r>
        <w:rPr>
          <w:rFonts w:ascii="Times New Roman;serif" w:hAnsi="Times New Roman;serif"/>
          <w:b w:val="false"/>
          <w:color w:val="000000"/>
          <w:sz w:val="20"/>
        </w:rPr>
        <w:t>The provision for income taxes and effective tax rate were $92.9 million and 27.0%, respectively, for the three months ended June 30, 2026, compared to $109.0 million and 27.7%, respectively, for the comparable prior period. The change in the effective tax rate for the three months ended June 30, 2026 was driven primarily by an improvement in our geographic mix of earnings and other one-time items.</w:t>
      </w:r>
    </w:p>
    <w:p>
      <w:pPr>
        <w:pStyle w:val="TextBody"/>
        <w:bidi w:val="0"/>
        <w:spacing w:lineRule="auto" w:line="276" w:before="120" w:after="180"/>
        <w:jc w:val="left"/>
        <w:rPr/>
      </w:pPr>
      <w:r>
        <w:rPr>
          <w:rFonts w:ascii="Times New Roman;serif" w:hAnsi="Times New Roman;serif"/>
          <w:b/>
          <w:i/>
          <w:color w:val="000000"/>
          <w:sz w:val="20"/>
          <w:shd w:fill="FFFFFF" w:val="clear"/>
        </w:rPr>
        <w:t>Net income attributable to Corpay.</w:t>
      </w:r>
      <w:r>
        <w:rPr>
          <w:color w:val="000000"/>
          <w:shd w:fill="FFFFFF" w:val="clear"/>
        </w:rPr>
        <w:t> </w:t>
      </w:r>
      <w:r>
        <w:rPr>
          <w:rFonts w:ascii="Times New Roman;serif" w:hAnsi="Times New Roman;serif"/>
          <w:b w:val="false"/>
          <w:color w:val="000000"/>
          <w:sz w:val="20"/>
        </w:rPr>
        <w:t>For the reasons discussed above, our net income attributable to Corpay decreased to $248.3 million during the three months ended June 30, 2026.</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Segment Results </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 xml:space="preserve">Corporate Payments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 revenues were $548.7 million in the three months ended June 30, 2026, an increase of 41.7% from the comparable prior period. Corporate Payments revenues increased primarily due to organic revenue growth of 16%, driven by 43% growth in spend volume, strong new sales in our payables and cross-border solutions, the impact of our acquisitions, which contributed approximately $78 million in revenues, the impact of favorable changes in foreign exchange rates of $7 million and the favorable impact of fuel prices of approximately $4 million. Corporate Payments revenue per spend dollar decreased over the comparable prior period due to the impact of new payables and cross-border enterprise clients.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 operating income was $199.6 million in the three months ended June 30, 2026, an increase of 27.2% from the comparable prior period. Corporate Payments operating income increased primarily due to organic revenue growth, integration synergies, the impact of our acquisitions and the overall net favorable impact of the macroeconomic environment, partially offset by sales investments to grow the business and one-time integration expenses.</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 xml:space="preserve">Vehicle Payments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Vehicle Payments revenues were $580.2 million in the three months ended June 30, 2026, an increase of 13.3% from the comparable prior period. Vehicle Payments revenues increased primarily due to organic revenue growth of 8%, new sales growth in our international markets, the favorable changes in foreign exchange rates on revenue of $29 million, and the favorable impact of fuel prices and fuel price spreads of approximately $17 million and $10 million, respectively. These increases were partially offset by dispositions completed in 2026 and 2025, which lowered revenue by approximately $28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Vehicle Payments operating income was $190.1 million, a decrease of 21.4% from the comparable prior period. Vehicle Payments operating income decreased in the three months ended June 30, 2026 due to the impact of a contingent loss related to the FTC legal matter of $100 million and the impact of dispositions. Operating income was positively impacted by the revenue growth discussed above and the overall net favorable impact of the macroeconomic environment.</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Lodging Payments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Lodging Payments revenues were $123.2 million in the three months ended June 30, 2026, an increase of 2.8% from the comparable prior period. The increase in Lodging Payments revenues was primarily due to an increase in revenue per room night across all solutions.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Lodging Payments operating income was $49.5 million in the three months ended June 30, 2026, an increase of 0.4% from the comparable prior period due to the reasons discussed above.</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 were $86.7 million in the three months ended June 30, 2026, an increase of 4.6% from the comparable prior period, driven primarily by strong transaction volume growth in the Gift, Outsourced Card Processing and Payroll card businesses.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was $33.1 million in the three months ended June 30, 2026, an increase of 5.1% from the comparable prior period due to the reasons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Six months ended June 30, 2026 compared to the six months ended June 30,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selected unaudited consolidated statements of income for the six months ended June 30, 2026 and 2025 (in millions, except percentages)*.</w:t>
      </w:r>
    </w:p>
    <w:tbl>
      <w:tblPr>
        <w:tblW w:w="10205" w:type="dxa"/>
        <w:jc w:val="left"/>
        <w:tblInd w:w="0" w:type="dxa"/>
        <w:tblLayout w:type="fixed"/>
        <w:tblCellMar>
          <w:top w:w="28" w:type="dxa"/>
          <w:left w:w="28" w:type="dxa"/>
          <w:bottom w:w="28" w:type="dxa"/>
          <w:right w:w="28" w:type="dxa"/>
        </w:tblCellMar>
      </w:tblPr>
      <w:tblGrid>
        <w:gridCol w:w="828"/>
        <w:gridCol w:w="412"/>
        <w:gridCol w:w="415"/>
        <w:gridCol w:w="109"/>
        <w:gridCol w:w="109"/>
        <w:gridCol w:w="109"/>
        <w:gridCol w:w="234"/>
        <w:gridCol w:w="850"/>
        <w:gridCol w:w="121"/>
        <w:gridCol w:w="109"/>
        <w:gridCol w:w="109"/>
        <w:gridCol w:w="109"/>
        <w:gridCol w:w="313"/>
        <w:gridCol w:w="303"/>
        <w:gridCol w:w="527"/>
        <w:gridCol w:w="109"/>
        <w:gridCol w:w="109"/>
        <w:gridCol w:w="109"/>
        <w:gridCol w:w="240"/>
        <w:gridCol w:w="703"/>
        <w:gridCol w:w="124"/>
        <w:gridCol w:w="109"/>
        <w:gridCol w:w="109"/>
        <w:gridCol w:w="109"/>
        <w:gridCol w:w="313"/>
        <w:gridCol w:w="303"/>
        <w:gridCol w:w="527"/>
        <w:gridCol w:w="109"/>
        <w:gridCol w:w="109"/>
        <w:gridCol w:w="109"/>
        <w:gridCol w:w="211"/>
        <w:gridCol w:w="616"/>
        <w:gridCol w:w="109"/>
        <w:gridCol w:w="109"/>
        <w:gridCol w:w="109"/>
        <w:gridCol w:w="109"/>
        <w:gridCol w:w="255"/>
        <w:gridCol w:w="256"/>
        <w:gridCol w:w="583"/>
      </w:tblGrid>
      <w:tr>
        <w:trPr/>
        <w:tc>
          <w:tcPr>
            <w:tcW w:w="82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1"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5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5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5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sum of the columns and rows may not calculate due to rounding.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Consolidated Results</w:t>
      </w:r>
    </w:p>
    <w:p>
      <w:pPr>
        <w:pStyle w:val="TextBody"/>
        <w:bidi w:val="0"/>
        <w:spacing w:lineRule="auto" w:line="288" w:before="18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Consolidated revenues, net</w:t>
      </w:r>
    </w:p>
    <w:p>
      <w:pPr>
        <w:pStyle w:val="TextBody"/>
        <w:bidi w:val="0"/>
        <w:spacing w:lineRule="auto" w:line="288" w:before="120" w:after="283"/>
        <w:jc w:val="left"/>
        <w:rPr/>
      </w:pPr>
      <w:r>
        <w:rPr>
          <w:rFonts w:ascii="Times New Roman;serif" w:hAnsi="Times New Roman;serif"/>
          <w:b w:val="false"/>
          <w:color w:val="000000"/>
          <w:sz w:val="20"/>
          <w:shd w:fill="FFFFFF" w:val="clear"/>
        </w:rPr>
        <w:t>Consolidated revenues were $2,599.8 million</w:t>
      </w:r>
      <w:r>
        <w:rPr>
          <w:color w:val="000000"/>
        </w:rPr>
        <w:t xml:space="preserve"> </w:t>
      </w:r>
      <w:r>
        <w:rPr>
          <w:rFonts w:ascii="Times New Roman;serif" w:hAnsi="Times New Roman;serif"/>
          <w:b w:val="false"/>
          <w:color w:val="000000"/>
          <w:sz w:val="20"/>
        </w:rPr>
        <w:t xml:space="preserve">in the six months ended June 30, 2026, an increase of 23.3% compared to the comparable prior period. </w:t>
      </w:r>
      <w:r>
        <w:rPr>
          <w:rFonts w:ascii="Times New Roman;serif" w:hAnsi="Times New Roman;serif"/>
          <w:b w:val="false"/>
          <w:color w:val="000000"/>
          <w:sz w:val="20"/>
          <w:shd w:fill="FFFFFF" w:val="clear"/>
        </w:rPr>
        <w:t xml:space="preserve">The increase in consolidated revenues was due primarily to organic growth of </w:t>
      </w:r>
      <w:r>
        <w:rPr>
          <w:rFonts w:ascii="Times New Roman;serif" w:hAnsi="Times New Roman;serif"/>
          <w:b w:val="false"/>
          <w:color w:val="000000"/>
          <w:sz w:val="20"/>
        </w:rPr>
        <w:t>10%</w:t>
      </w:r>
      <w:r>
        <w:rPr>
          <w:rFonts w:ascii="Times New Roman;serif" w:hAnsi="Times New Roman;serif"/>
          <w:b w:val="false"/>
          <w:color w:val="000000"/>
          <w:sz w:val="20"/>
          <w:shd w:fill="FFFFFF" w:val="clear"/>
        </w:rPr>
        <w:t xml:space="preserve">, driven by increases in spend and transaction volumes, implementation and ramping of new sales and business initiatives. Consolidated revenues also grew </w:t>
      </w:r>
      <w:r>
        <w:rPr>
          <w:rFonts w:ascii="Times New Roman;serif" w:hAnsi="Times New Roman;serif"/>
          <w:b w:val="false"/>
          <w:color w:val="000000"/>
          <w:sz w:val="20"/>
        </w:rPr>
        <w:t>7% fr</w:t>
      </w:r>
      <w:r>
        <w:rPr>
          <w:rFonts w:ascii="Times New Roman;serif" w:hAnsi="Times New Roman;serif"/>
          <w:b w:val="false"/>
          <w:color w:val="000000"/>
          <w:sz w:val="20"/>
          <w:shd w:fill="FFFFFF" w:val="clear"/>
        </w:rPr>
        <w:t xml:space="preserve">om acquisitions completed in </w:t>
      </w:r>
      <w:r>
        <w:rPr>
          <w:rFonts w:ascii="Times New Roman;serif" w:hAnsi="Times New Roman;serif"/>
          <w:b w:val="false"/>
          <w:color w:val="000000"/>
          <w:sz w:val="20"/>
        </w:rPr>
        <w:t>2026 and 2025 and</w:t>
      </w:r>
      <w:r>
        <w:rPr>
          <w:color w:val="000000"/>
          <w:shd w:fill="FFFFFF" w:val="clear"/>
        </w:rPr>
        <w:t xml:space="preserve"> </w:t>
      </w:r>
      <w:r>
        <w:rPr>
          <w:rFonts w:ascii="Times New Roman;serif" w:hAnsi="Times New Roman;serif"/>
          <w:b w:val="false"/>
          <w:color w:val="000000"/>
          <w:sz w:val="20"/>
          <w:shd w:fill="FFFFFF" w:val="clear"/>
        </w:rPr>
        <w:t>by the positive impact of the macroeconomic environment</w:t>
      </w:r>
      <w:r>
        <w:rPr>
          <w:rFonts w:ascii="Times New Roman;serif" w:hAnsi="Times New Roman;serif"/>
          <w:b w:val="false"/>
          <w:color w:val="000000"/>
          <w:sz w:val="20"/>
        </w:rPr>
        <w:t>. These increases were partially offset by a reduction in revenue of</w:t>
      </w:r>
      <w:r>
        <w:rPr>
          <w:color w:val="000000"/>
          <w:shd w:fill="FFFFFF" w:val="clear"/>
        </w:rPr>
        <w:t xml:space="preserve"> </w:t>
      </w:r>
      <w:r>
        <w:rPr>
          <w:rFonts w:ascii="Times New Roman;serif" w:hAnsi="Times New Roman;serif"/>
          <w:b w:val="false"/>
          <w:color w:val="000000"/>
          <w:sz w:val="20"/>
        </w:rPr>
        <w:t>$32 million</w:t>
      </w:r>
      <w:r>
        <w:rPr>
          <w:color w:val="000000"/>
          <w:shd w:fill="FFFFFF" w:val="clear"/>
        </w:rPr>
        <w:t xml:space="preserve"> </w:t>
      </w:r>
      <w:r>
        <w:rPr>
          <w:rFonts w:ascii="Times New Roman;serif" w:hAnsi="Times New Roman;serif"/>
          <w:b w:val="false"/>
          <w:color w:val="000000"/>
          <w:sz w:val="20"/>
          <w:shd w:fill="FFFFFF" w:val="clear"/>
        </w:rPr>
        <w:t>from</w:t>
      </w:r>
      <w:r>
        <w:rPr>
          <w:color w:val="000000"/>
        </w:rPr>
        <w:t xml:space="preserve"> </w:t>
      </w:r>
      <w:r>
        <w:rPr>
          <w:rFonts w:ascii="Times New Roman;serif" w:hAnsi="Times New Roman;serif"/>
          <w:b w:val="false"/>
          <w:color w:val="000000"/>
          <w:sz w:val="20"/>
        </w:rPr>
        <w:t xml:space="preserve">the impact of dispositions completed in 2025 and 2026. </w:t>
      </w:r>
    </w:p>
    <w:p>
      <w:pPr>
        <w:pStyle w:val="TextBody"/>
        <w:bidi w:val="0"/>
        <w:spacing w:lineRule="auto" w:line="288" w:before="120" w:after="283"/>
        <w:jc w:val="left"/>
        <w:rPr/>
      </w:pPr>
      <w:r>
        <w:rPr>
          <w:rFonts w:ascii="Times New Roman;serif" w:hAnsi="Times New Roman;serif"/>
          <w:b w:val="false"/>
          <w:color w:val="000000"/>
          <w:sz w:val="20"/>
        </w:rPr>
        <w:t>Although we cannot precisely measure the</w:t>
      </w:r>
      <w:r>
        <w:rPr>
          <w:color w:val="000000"/>
          <w:shd w:fill="FFFFFF" w:val="clear"/>
        </w:rPr>
        <w:t xml:space="preserve"> </w:t>
      </w:r>
      <w:r>
        <w:rPr>
          <w:rFonts w:ascii="Times New Roman;serif" w:hAnsi="Times New Roman;serif"/>
          <w:b w:val="false"/>
          <w:color w:val="000000"/>
          <w:sz w:val="20"/>
          <w:shd w:fill="FFFFFF" w:val="clear"/>
        </w:rPr>
        <w:t>impact of the macroeconomic environment, in total we believe it had a positive i</w:t>
      </w:r>
      <w:r>
        <w:rPr>
          <w:rFonts w:ascii="Times New Roman;serif" w:hAnsi="Times New Roman;serif"/>
          <w:b w:val="false"/>
          <w:color w:val="000000"/>
          <w:sz w:val="20"/>
        </w:rPr>
        <w:t xml:space="preserve">mpact </w:t>
      </w:r>
      <w:r>
        <w:rPr>
          <w:rFonts w:ascii="Times New Roman;serif" w:hAnsi="Times New Roman;serif"/>
          <w:b w:val="false"/>
          <w:color w:val="000000"/>
          <w:sz w:val="20"/>
          <w:shd w:fill="FFFFFF" w:val="clear"/>
        </w:rPr>
        <w:t>of a</w:t>
      </w:r>
      <w:r>
        <w:rPr>
          <w:rFonts w:ascii="Times New Roman;serif" w:hAnsi="Times New Roman;serif"/>
          <w:b w:val="false"/>
          <w:color w:val="000000"/>
          <w:sz w:val="20"/>
        </w:rPr>
        <w:t xml:space="preserve">pproximately $131 million on our consolidated revenues for the six months ended June 30, 2026 over the comparable prior period, driven primarily by favorable foreign exchange rates of approximately $99 million, mostly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Brazil, U.K. and Australian businesses, the favorable impact of fuel prices of approximately $24 million and the favorable impact of fuel price spreads of approximately $8 million.</w:t>
      </w:r>
    </w:p>
    <w:p>
      <w:pPr>
        <w:pStyle w:val="TextBody"/>
        <w:bidi w:val="0"/>
        <w:spacing w:lineRule="auto" w:line="276"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Consolidated operating expenses</w:t>
      </w:r>
    </w:p>
    <w:p>
      <w:pPr>
        <w:pStyle w:val="TextBody"/>
        <w:bidi w:val="0"/>
        <w:spacing w:lineRule="auto" w:line="288" w:before="120" w:after="283"/>
        <w:jc w:val="left"/>
        <w:rPr/>
      </w:pPr>
      <w:r>
        <w:rPr>
          <w:rFonts w:ascii="Times New Roman;serif" w:hAnsi="Times New Roman;serif"/>
          <w:b/>
          <w:i/>
          <w:color w:val="000000"/>
          <w:sz w:val="20"/>
          <w:shd w:fill="FFFFFF" w:val="clear"/>
        </w:rPr>
        <w:t>Processing.</w:t>
      </w:r>
      <w:r>
        <w:rPr>
          <w:color w:val="000000"/>
          <w:shd w:fill="FFFFFF" w:val="clear"/>
        </w:rPr>
        <w:t> </w:t>
      </w:r>
      <w:r>
        <w:rPr>
          <w:rFonts w:ascii="Times New Roman;serif" w:hAnsi="Times New Roman;serif"/>
          <w:b w:val="false"/>
          <w:color w:val="000000"/>
          <w:sz w:val="20"/>
          <w:shd w:fill="FFFFFF" w:val="clear"/>
        </w:rPr>
        <w:t>Processing expenses were $547.2 million in the six months ended June 30, 2026, an increase of 18.9% compared to the comparable prior period. Increases</w:t>
      </w:r>
      <w:r>
        <w:rPr>
          <w:color w:val="000000"/>
        </w:rPr>
        <w:t xml:space="preserve"> </w:t>
      </w:r>
      <w:r>
        <w:rPr>
          <w:rFonts w:ascii="Times New Roman;serif" w:hAnsi="Times New Roman;serif"/>
          <w:b w:val="false"/>
          <w:color w:val="000000"/>
          <w:sz w:val="20"/>
        </w:rPr>
        <w:t xml:space="preserve">in processing expenses were primarily due to approximately $30 million of expenses related to acquisitions completed in 2025, higher variable expenses driven by increased transaction volumes and investments to drive future growth, higher bad debt of $25 million due to increased transaction volumes and the unfavorable impact of foreign exchange rates of approximately $20 million. This increase was partially offset by lower expense of approximately $6 million from the impact of dispositions completed in 2025 and 2026. </w:t>
      </w:r>
    </w:p>
    <w:p>
      <w:pPr>
        <w:pStyle w:val="TextBody"/>
        <w:bidi w:val="0"/>
        <w:spacing w:lineRule="auto" w:line="288" w:before="120" w:after="283"/>
        <w:jc w:val="left"/>
        <w:rPr/>
      </w:pPr>
      <w:r>
        <w:rPr>
          <w:rFonts w:ascii="Times New Roman;serif" w:hAnsi="Times New Roman;serif"/>
          <w:b/>
          <w:i/>
          <w:color w:val="000000"/>
          <w:sz w:val="20"/>
          <w:shd w:fill="FFFFFF" w:val="clear"/>
        </w:rPr>
        <w:t>Selling.</w:t>
      </w:r>
      <w:r>
        <w:rPr>
          <w:color w:val="000000"/>
          <w:shd w:fill="FFFFFF" w:val="clear"/>
        </w:rPr>
        <w:t xml:space="preserve"> </w:t>
      </w:r>
      <w:r>
        <w:rPr>
          <w:rFonts w:ascii="Times New Roman;serif" w:hAnsi="Times New Roman;serif"/>
          <w:b w:val="false"/>
          <w:color w:val="000000"/>
          <w:sz w:val="20"/>
          <w:shd w:fill="FFFFFF" w:val="clear"/>
        </w:rPr>
        <w:t xml:space="preserve">Selling expenses were $298.8 million in the six months ended June 30, 2026, an increase of 33.8% from the comparable prior </w:t>
      </w:r>
      <w:r>
        <w:rPr>
          <w:rFonts w:ascii="Times New Roman;serif" w:hAnsi="Times New Roman;serif"/>
          <w:b w:val="false"/>
          <w:color w:val="000000"/>
          <w:sz w:val="20"/>
        </w:rPr>
        <w:t xml:space="preserve">period. Increases in selling expenses were primarily due to sales and marketing investments to drive future growth, increased commissions from higher sales volume and approximately $32 million of expenses related to acquisitions completed in 2025 and the unfavorable impact of foreign exchange rates of approximately $12 million. This increase was partially offset by lower expense of approximately $2 million from the impact of dispositions completed in 2025 and 2026. </w:t>
      </w:r>
    </w:p>
    <w:p>
      <w:pPr>
        <w:pStyle w:val="TextBody"/>
        <w:bidi w:val="0"/>
        <w:spacing w:lineRule="auto" w:line="288" w:before="120" w:after="283"/>
        <w:jc w:val="left"/>
        <w:rPr/>
      </w:pPr>
      <w:r>
        <w:rPr>
          <w:rFonts w:ascii="Times New Roman;serif" w:hAnsi="Times New Roman;serif"/>
          <w:b/>
          <w:i/>
          <w:color w:val="000000"/>
          <w:sz w:val="20"/>
        </w:rPr>
        <w:t>General and administrative.</w:t>
      </w:r>
      <w:r>
        <w:rPr>
          <w:color w:val="000000"/>
        </w:rPr>
        <w:t> </w:t>
      </w:r>
      <w:r>
        <w:rPr>
          <w:rFonts w:ascii="Times New Roman;serif" w:hAnsi="Times New Roman;serif"/>
          <w:b w:val="false"/>
          <w:color w:val="000000"/>
          <w:sz w:val="20"/>
        </w:rPr>
        <w:t xml:space="preserve">General and administrative expenses were $427.5 million in the six months ended June 30, 2026, an increase of 28.0% from the comparable prior period. The increase in general and administrative expenses was primarily due to acquisition-related deal fees, information technology investments and approximately $33 million of expenses related to acquisitions completed in 2025, higher stock-based compensation expense of $12 million and the unfavorable impact of foreign exchange rates of approximately $10 million. This increase was partially offset by lower expense of approximately $5 million from the impact of dispositions completed in 2025 and 2026. </w:t>
      </w:r>
    </w:p>
    <w:p>
      <w:pPr>
        <w:pStyle w:val="TextBody"/>
        <w:bidi w:val="0"/>
        <w:spacing w:lineRule="auto" w:line="288" w:before="120" w:after="283"/>
        <w:jc w:val="left"/>
        <w:rPr/>
      </w:pPr>
      <w:r>
        <w:rPr>
          <w:rFonts w:ascii="Times New Roman;serif" w:hAnsi="Times New Roman;serif"/>
          <w:b/>
          <w:i/>
          <w:color w:val="000000"/>
          <w:sz w:val="20"/>
          <w:shd w:fill="FFFFFF" w:val="clear"/>
        </w:rPr>
        <w:t>Depreciation and amortization.</w:t>
      </w:r>
      <w:r>
        <w:rPr>
          <w:color w:val="000000"/>
          <w:shd w:fill="FFFFFF" w:val="clear"/>
        </w:rPr>
        <w:t> </w:t>
      </w:r>
      <w:r>
        <w:rPr>
          <w:rFonts w:ascii="Times New Roman;serif" w:hAnsi="Times New Roman;serif"/>
          <w:b w:val="false"/>
          <w:color w:val="000000"/>
          <w:sz w:val="20"/>
          <w:shd w:fill="FFFFFF" w:val="clear"/>
        </w:rPr>
        <w:t>Depreciation and amortization expenses were $233.1 million in the six months ended June 30, 2026, an increase of 27.0% from the comparable prior period.</w:t>
      </w:r>
      <w:r>
        <w:rPr>
          <w:color w:val="000000"/>
        </w:rPr>
        <w:t xml:space="preserve"> </w:t>
      </w:r>
      <w:r>
        <w:rPr>
          <w:rFonts w:ascii="Times New Roman;serif" w:hAnsi="Times New Roman;serif"/>
          <w:b w:val="false"/>
          <w:color w:val="000000"/>
          <w:sz w:val="20"/>
        </w:rPr>
        <w:t xml:space="preserve">Depreciation and amortization expenses increased due to incremental investments in capital expenditures and approximately $34 million of expenses related to acquisitions completed in 2025 and the unfavorable impact of foreign exchange rates of approximately $6 million. This increase was partially offset by lower expense of approximately $2 million from the impact of dispositions completed in 2025 and 2026. </w:t>
      </w:r>
    </w:p>
    <w:p>
      <w:pPr>
        <w:pStyle w:val="TextBody"/>
        <w:bidi w:val="0"/>
        <w:spacing w:lineRule="auto" w:line="288" w:before="120" w:after="283"/>
        <w:jc w:val="left"/>
        <w:rPr/>
      </w:pPr>
      <w:r>
        <w:rPr>
          <w:rFonts w:ascii="Times New Roman;serif" w:hAnsi="Times New Roman;serif"/>
          <w:b/>
          <w:i/>
          <w:color w:val="000000"/>
          <w:sz w:val="20"/>
        </w:rPr>
        <w:t>Other operating, net</w:t>
      </w:r>
      <w:r>
        <w:rPr>
          <w:rFonts w:ascii="Times New Roman;serif" w:hAnsi="Times New Roman;serif"/>
          <w:b w:val="false"/>
          <w:color w:val="000000"/>
          <w:sz w:val="20"/>
        </w:rPr>
        <w:t>. Other operating, net was $107.2 million in the six months ended June 30, 2026, and primarily related to a contingent loss related to the FTC legal matter of $100 million and losses on the disposal of fixed assets.</w:t>
      </w:r>
    </w:p>
    <w:p>
      <w:pPr>
        <w:pStyle w:val="TextBody"/>
        <w:bidi w:val="0"/>
        <w:spacing w:lineRule="auto" w:line="276" w:before="120" w:after="283"/>
        <w:jc w:val="left"/>
        <w:rPr/>
      </w:pPr>
      <w:r>
        <w:rPr>
          <w:rFonts w:ascii="Times New Roman;serif" w:hAnsi="Times New Roman;serif"/>
          <w:b/>
          <w:i/>
          <w:color w:val="000000"/>
          <w:sz w:val="20"/>
        </w:rPr>
        <w:t>Consolidated operating income</w:t>
      </w:r>
      <w:r>
        <w:rPr>
          <w:color w:val="000000"/>
        </w:rPr>
        <w:t>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was $1,108.4 million in the six months ended June 30, 2026, an increase of 22.3% compared to the comparable prior period. The increase in operating income was primarily due to the reasons discussed above. </w:t>
      </w:r>
    </w:p>
    <w:p>
      <w:pPr>
        <w:pStyle w:val="TextBody"/>
        <w:bidi w:val="0"/>
        <w:spacing w:lineRule="auto" w:line="276" w:before="120" w:after="283"/>
        <w:jc w:val="left"/>
        <w:rPr/>
      </w:pPr>
      <w:r>
        <w:rPr>
          <w:rFonts w:ascii="Times New Roman;serif" w:hAnsi="Times New Roman;serif"/>
          <w:b/>
          <w:i/>
          <w:color w:val="000000"/>
          <w:sz w:val="20"/>
          <w:shd w:fill="FFFFFF" w:val="clear"/>
        </w:rPr>
        <w:t xml:space="preserve">Other (income) expense, net. </w:t>
      </w:r>
      <w:r>
        <w:rPr>
          <w:rFonts w:ascii="Times New Roman;serif" w:hAnsi="Times New Roman;serif"/>
          <w:b w:val="false"/>
          <w:color w:val="000000"/>
          <w:sz w:val="20"/>
          <w:shd w:fill="FFFFFF" w:val="clear"/>
        </w:rPr>
        <w:t xml:space="preserve">Other expense, net was $27.3 million in the six months ended June 30, 2026, </w:t>
      </w:r>
      <w:r>
        <w:rPr>
          <w:rFonts w:ascii="Times New Roman;serif" w:hAnsi="Times New Roman;serif"/>
          <w:b w:val="false"/>
          <w:color w:val="000000"/>
          <w:sz w:val="20"/>
        </w:rPr>
        <w:t xml:space="preserve">which primarily represented net losses related to our equity method investments of $22.7 million and the impact of fluctuations in foreign exchange rates on non-functional currency balances. </w:t>
      </w:r>
      <w:r>
        <w:rPr>
          <w:rFonts w:ascii="Times New Roman;serif" w:hAnsi="Times New Roman;serif"/>
          <w:b w:val="false"/>
          <w:color w:val="000000"/>
          <w:sz w:val="20"/>
          <w:shd w:fill="FFFFFF" w:val="clear"/>
        </w:rPr>
        <w:t xml:space="preserve">Other income, net was $6.5 million in the six months ended June 30, 2025 primarily due </w:t>
      </w:r>
      <w:r>
        <w:rPr>
          <w:rFonts w:ascii="Times New Roman;serif" w:hAnsi="Times New Roman;serif"/>
          <w:b w:val="false"/>
          <w:color w:val="000000"/>
          <w:sz w:val="20"/>
        </w:rPr>
        <w:t>to the disposition of a cost method investment in the second quarter of 2025.</w:t>
      </w:r>
    </w:p>
    <w:p>
      <w:pPr>
        <w:pStyle w:val="TextBody"/>
        <w:bidi w:val="0"/>
        <w:spacing w:lineRule="auto" w:line="276" w:before="120" w:after="283"/>
        <w:jc w:val="left"/>
        <w:rPr/>
      </w:pPr>
      <w:r>
        <w:rPr>
          <w:rFonts w:ascii="Times New Roman;serif" w:hAnsi="Times New Roman;serif"/>
          <w:b/>
          <w:i/>
          <w:color w:val="000000"/>
          <w:sz w:val="20"/>
        </w:rPr>
        <w:t>Interest expense, net.</w:t>
      </w:r>
      <w:r>
        <w:rPr>
          <w:color w:val="000000"/>
        </w:rPr>
        <w:t> </w:t>
      </w:r>
      <w:r>
        <w:rPr>
          <w:rFonts w:ascii="Times New Roman;serif" w:hAnsi="Times New Roman;serif"/>
          <w:b w:val="false"/>
          <w:color w:val="000000"/>
          <w:sz w:val="20"/>
        </w:rPr>
        <w:t>Interest expense, net was $224.8 million in the six months ended June 30, 2026, an increase of $34.0 million from the comparable prior period. The increase in interest expense was primarily due to increased borrowings used for acquisitions, partially offset by lower interest rates and higher interest income due to higher cash balances. The following table sets forth the average interest rates paid on borrowings under our Credit Facility, excluding the related unused facility fees and swaps.</w:t>
      </w:r>
    </w:p>
    <w:tbl>
      <w:tblPr>
        <w:tblW w:w="6056" w:type="dxa"/>
        <w:jc w:val="center"/>
        <w:tblInd w:w="0" w:type="dxa"/>
        <w:tblLayout w:type="fixed"/>
        <w:tblCellMar>
          <w:top w:w="28" w:type="dxa"/>
          <w:left w:w="28" w:type="dxa"/>
          <w:bottom w:w="28" w:type="dxa"/>
          <w:right w:w="28" w:type="dxa"/>
        </w:tblCellMar>
      </w:tblPr>
      <w:tblGrid>
        <w:gridCol w:w="1144"/>
        <w:gridCol w:w="1008"/>
        <w:gridCol w:w="1013"/>
        <w:gridCol w:w="109"/>
        <w:gridCol w:w="109"/>
        <w:gridCol w:w="109"/>
        <w:gridCol w:w="255"/>
        <w:gridCol w:w="256"/>
        <w:gridCol w:w="457"/>
        <w:gridCol w:w="184"/>
        <w:gridCol w:w="184"/>
        <w:gridCol w:w="184"/>
        <w:gridCol w:w="255"/>
        <w:gridCol w:w="256"/>
        <w:gridCol w:w="533"/>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line of credit A &amp; B (USD)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B (GBP)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We have a portfolio of interest rate swaps, which are designated as cash flow hedges and cross-currency interest rate swaps, which are designated as net investment hedges. 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 June 30, 2026, as a result of these swap contracts and net investment hedges, we recorded a benefit to interest e</w:t>
      </w:r>
      <w:r>
        <w:rPr>
          <w:rFonts w:ascii="Times New Roman;serif" w:hAnsi="Times New Roman;serif"/>
          <w:b w:val="false"/>
          <w:color w:val="000000"/>
          <w:sz w:val="20"/>
        </w:rPr>
        <w:t>xpense, net of $5.6 million.</w:t>
      </w:r>
    </w:p>
    <w:p>
      <w:pPr>
        <w:pStyle w:val="TextBody"/>
        <w:bidi w:val="0"/>
        <w:spacing w:lineRule="auto" w:line="288" w:before="120" w:after="283"/>
        <w:jc w:val="left"/>
        <w:rPr/>
      </w:pPr>
      <w:r>
        <w:rPr>
          <w:rFonts w:ascii="Times New Roman;serif" w:hAnsi="Times New Roman;serif"/>
          <w:b/>
          <w:i/>
          <w:color w:val="000000"/>
          <w:sz w:val="20"/>
        </w:rPr>
        <w:t>Provision for income taxes.</w:t>
      </w:r>
      <w:r>
        <w:rPr>
          <w:color w:val="000000"/>
        </w:rPr>
        <w:t> </w:t>
      </w: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provision for income taxes and effective ta</w:t>
      </w:r>
      <w:r>
        <w:rPr>
          <w:rFonts w:ascii="Times New Roman;serif" w:hAnsi="Times New Roman;serif"/>
          <w:b w:val="false"/>
          <w:color w:val="000000"/>
          <w:sz w:val="20"/>
        </w:rPr>
        <w:t>x rate were $244.2 million and 28.7%, respectively, for the six months ended June 30, 2026, compared to $192.6 million and 26.7%, respectively, for the comparable prior period. The change in the effective tax rate for the six months ended June 30, 2026 over the comparable prior period was primarily driven by the gain on the sale of PayByPhone, an improvement in the geographic mix of earnings and other one-time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i/>
          <w:color w:val="000000"/>
          <w:sz w:val="20"/>
          <w:shd w:fill="FFFFFF" w:val="clear"/>
        </w:rPr>
        <w:t>Net income attributable to Corpay.</w:t>
      </w:r>
      <w:r>
        <w:rPr>
          <w:color w:val="000000"/>
          <w:shd w:fill="FFFFFF" w:val="clear"/>
        </w:rPr>
        <w:t> </w:t>
      </w:r>
      <w:r>
        <w:rPr>
          <w:rFonts w:ascii="Times New Roman;serif" w:hAnsi="Times New Roman;serif"/>
          <w:b w:val="false"/>
          <w:color w:val="000000"/>
          <w:sz w:val="20"/>
          <w:shd w:fill="FFFFFF" w:val="clear"/>
        </w:rPr>
        <w:t>For the</w:t>
      </w:r>
      <w:r>
        <w:rPr>
          <w:color w:val="000000"/>
        </w:rPr>
        <w:t xml:space="preserve"> </w:t>
      </w:r>
      <w:r>
        <w:rPr>
          <w:rFonts w:ascii="Times New Roman;serif" w:hAnsi="Times New Roman;serif"/>
          <w:b w:val="false"/>
          <w:color w:val="000000"/>
          <w:sz w:val="20"/>
        </w:rPr>
        <w:t>reasons discussed above, our net income attributable to Corpay increased to $598.4 million in the six months e</w:t>
      </w:r>
      <w:r>
        <w:rPr>
          <w:rFonts w:ascii="Times New Roman;serif" w:hAnsi="Times New Roman;serif"/>
          <w:b w:val="false"/>
          <w:color w:val="000000"/>
          <w:sz w:val="20"/>
          <w:shd w:fill="FFFFFF" w:val="clear"/>
        </w:rPr>
        <w:t xml:space="preserv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an increase of</w:t>
      </w:r>
      <w:r>
        <w:rPr>
          <w:color w:val="000000"/>
          <w:shd w:fill="FFFFFF" w:val="clear"/>
        </w:rPr>
        <w:t xml:space="preserve"> </w:t>
      </w:r>
      <w:r>
        <w:rPr>
          <w:rFonts w:ascii="Times New Roman;serif" w:hAnsi="Times New Roman;serif"/>
          <w:b w:val="false"/>
          <w:color w:val="000000"/>
          <w:sz w:val="20"/>
        </w:rPr>
        <w:t>13.5%</w:t>
      </w:r>
      <w:r>
        <w:rPr>
          <w:color w:val="000000"/>
          <w:shd w:fill="FFFFFF" w:val="clear"/>
        </w:rPr>
        <w:t xml:space="preserve"> </w:t>
      </w:r>
      <w:r>
        <w:rPr>
          <w:rFonts w:ascii="Times New Roman;serif" w:hAnsi="Times New Roman;serif"/>
          <w:b w:val="false"/>
          <w:color w:val="000000"/>
          <w:sz w:val="20"/>
          <w:shd w:fill="FFFFFF" w:val="clear"/>
        </w:rPr>
        <w:t>from the comparable prior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Corporate Payments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 revenues were $1,052.6 million in the six months ended June 30, 2026, an increase of 43.7%, from the comparable prior period. Corporate Payments revenues increased primarily due to organic revenue growth of 16%, driven by a 43% growth in spend volume, strong new sales in our payables and cross-border solutions, and the impact of our acquisitions, which contributed approximately $150 million in revenue, the favorable impact of changes in foreign exchange rates of $29 million and the favorable impact of fuel prices of approximately $4 million. Corporate Payments revenue per spend dollar decreased over the comparable prior period due to the impact of new payables and cross-border enterprise clients.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 operating income was $378.7 million in the six months ended June 30, 2026, an increase of 32.1% from the comparable prior period. Corporate Payments operating income increased primarily due to reasons discussed above and integration synergies, partially offset by sales investments to grow the business and one-time integration expenses.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Vehicle Payments</w:t>
      </w:r>
    </w:p>
    <w:p>
      <w:pPr>
        <w:pStyle w:val="TextBody"/>
        <w:bidi w:val="0"/>
        <w:spacing w:lineRule="auto" w:line="276" w:before="120" w:after="283"/>
        <w:jc w:val="left"/>
        <w:rPr/>
      </w:pPr>
      <w:r>
        <w:rPr>
          <w:rFonts w:ascii="Times New Roman;serif" w:hAnsi="Times New Roman;serif"/>
          <w:b w:val="false"/>
          <w:color w:val="000000"/>
          <w:sz w:val="20"/>
          <w:shd w:fill="FFFFFF" w:val="clear"/>
        </w:rPr>
        <w:t>Vehicle Payments reven</w:t>
      </w:r>
      <w:r>
        <w:rPr>
          <w:rFonts w:ascii="Times New Roman;serif" w:hAnsi="Times New Roman;serif"/>
          <w:b w:val="false"/>
          <w:color w:val="000000"/>
          <w:sz w:val="20"/>
        </w:rPr>
        <w:t xml:space="preserve">ues were </w:t>
      </w:r>
      <w:r>
        <w:rPr>
          <w:rFonts w:ascii="Times New Roman;serif" w:hAnsi="Times New Roman;serif"/>
          <w:b w:val="false"/>
          <w:color w:val="000000"/>
          <w:sz w:val="20"/>
          <w:shd w:fill="FFFFFF" w:val="clear"/>
        </w:rPr>
        <w:t xml:space="preserve">$1,144.1 million in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an increase of 16.0%, from the comparable prior period.</w:t>
      </w:r>
      <w:r>
        <w:rPr>
          <w:color w:val="000000"/>
          <w:shd w:fill="FFFFFF" w:val="clear"/>
        </w:rPr>
        <w:t xml:space="preserve"> </w:t>
      </w:r>
      <w:r>
        <w:rPr>
          <w:rFonts w:ascii="Times New Roman;serif" w:hAnsi="Times New Roman;serif"/>
          <w:b w:val="false"/>
          <w:color w:val="000000"/>
          <w:sz w:val="20"/>
          <w:shd w:fill="FFFFFF" w:val="clear"/>
        </w:rPr>
        <w:t>Vehicle Payments revenues</w:t>
      </w:r>
      <w:r>
        <w:rPr>
          <w:color w:val="000000"/>
        </w:rPr>
        <w:t xml:space="preserve"> </w:t>
      </w:r>
      <w:r>
        <w:rPr>
          <w:rFonts w:ascii="Times New Roman;serif" w:hAnsi="Times New Roman;serif"/>
          <w:b w:val="false"/>
          <w:color w:val="000000"/>
          <w:sz w:val="20"/>
        </w:rPr>
        <w:t>increased primarily due to organic revenue growth of 9% driven by 6% growth in transaction volumes, new sales growth, and the impact of acquisitions, which contributed approximately $8 million in revenue. Revenue also increased due to the favorable impact of changes in foreign exchange rates on revenue of $67 million and the favorable impact of fuel prices and fuel price spreads on revenue of approximately $20 million and $8 million, respectively. These increases were partially offset by dispositions completed in 2026 and 2025, which lowered revenue by approximately $32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Vehicle Payments operating income was $572.9 million in the six months ended June 30, 2026, an increase of 23.4% from the comparable prior period primarily due to revenue growth discussed above and by the overall net favorable impact of the macroeconomic environment. These increases were partially offset by the impact of a contingent loss related to the FTC legal matter of $100 million and the impact of dispositions.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Lodging Payments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Lodging Payments revenues were $234.2 million in the six months ended June 30, 2026, an increase of 1.8% from the comparable prior period. The increase in Lodging Payments revenues was primarily due to an increase in revenue per room night across all solutions.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Lodging Payments operating income was $92.3 million in the six months ended June 30, 2026, a decrease of 0.1% from the comparable prior period due to the reasons discussed above.</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 xml:space="preserve">Other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revenues were $168.9 million in the six months ended June 30, 2026, an increase of 6.2% from the comparable prior period, driven by increases in gift card and payroll card transaction volume.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operating income was $64.6 million in the six months ended June 30, 2026, an increase of 2.5% from the comparable prior period due to the reasons discussed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Our principal liquidity requirements are to service and repay our indebtedness, make acquisitions of businesses and commercial account portfolios, repurchase shares of our common stock and meet working capital, tax and capital expenditure needs.</w:t>
      </w:r>
    </w:p>
    <w:p>
      <w:pPr>
        <w:pStyle w:val="TextBody"/>
        <w:bidi w:val="0"/>
        <w:spacing w:lineRule="auto" w:line="288" w:before="120" w:after="283"/>
        <w:jc w:val="left"/>
        <w:rPr/>
      </w:pPr>
      <w:r>
        <w:rPr>
          <w:rFonts w:ascii="Times New Roman;serif" w:hAnsi="Times New Roman;serif"/>
          <w:b/>
          <w:i/>
          <w:color w:val="000000"/>
          <w:sz w:val="20"/>
          <w:shd w:fill="FFFFFF" w:val="clear"/>
        </w:rPr>
        <w:t xml:space="preserve">Sources of liquidity. </w:t>
      </w:r>
      <w:r>
        <w:rPr>
          <w:rFonts w:ascii="Times New Roman;serif" w:hAnsi="Times New Roman;serif"/>
          <w:b w:val="false"/>
          <w:color w:val="000000"/>
          <w:sz w:val="20"/>
          <w:shd w:fill="FFFFFF" w:val="clear"/>
        </w:rPr>
        <w:t xml:space="preserve">We believe that our current level of cash and borrowing capacity under our Credit Facility, Securitization Facility (as defined below) and other facilities (each discussed below), together with expected future cash flows from operations, will be sufficient to meet the needs of our existing operations and planned requirements for at least the next 12 months and into the foreseeable future, based on our current assumptions. </w:t>
      </w:r>
    </w:p>
    <w:p>
      <w:pPr>
        <w:pStyle w:val="TextBody"/>
        <w:bidi w:val="0"/>
        <w:spacing w:lineRule="auto" w:line="288" w:before="120" w:after="283"/>
        <w:jc w:val="left"/>
        <w:rPr/>
      </w:pPr>
      <w:r>
        <w:rPr>
          <w:rFonts w:ascii="Times New Roman;serif" w:hAnsi="Times New Roman;serif"/>
          <w:b w:val="false"/>
          <w:color w:val="000000"/>
          <w:sz w:val="20"/>
          <w:shd w:fill="FFFFFF" w:val="clear"/>
        </w:rPr>
        <w:t>At June 30, 2026, we had app</w:t>
      </w:r>
      <w:r>
        <w:rPr>
          <w:rFonts w:ascii="Times New Roman;serif" w:hAnsi="Times New Roman;serif"/>
          <w:b w:val="false"/>
          <w:color w:val="000000"/>
          <w:sz w:val="20"/>
        </w:rPr>
        <w:t>roximately $4.8 billion in total liquidity, consisting of approximately $1.6 billion available under our Credit Facility and unrestricted cash of $3.2 billion, a port</w:t>
      </w:r>
      <w:r>
        <w:rPr>
          <w:rFonts w:ascii="Times New Roman;serif" w:hAnsi="Times New Roman;serif"/>
          <w:b w:val="false"/>
          <w:color w:val="000000"/>
          <w:sz w:val="20"/>
          <w:shd w:fill="FFFFFF" w:val="clear"/>
        </w:rPr>
        <w:t xml:space="preserve">ion of which includes customer deposits or is required for working capital and regulatory purposes. Restricted cash primarily </w:t>
      </w:r>
      <w:r>
        <w:rPr>
          <w:rFonts w:ascii="Times New Roman;serif" w:hAnsi="Times New Roman;serif"/>
          <w:b w:val="false"/>
          <w:color w:val="000000"/>
          <w:sz w:val="20"/>
        </w:rPr>
        <w:t xml:space="preserve">represents customer deposits repayable on demand held in certain geographies with legal restrictions, customer funds held for the benefit of others, collateral received from customers for cross-currency transactions in our cross-border payments business, which is restricted from use other than to repay customer deposits and to secure and settle cross-currency transactions, and collateral posted with banks for hedging positions in our cross-border payments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also utilize the Securitization Facility to finance a portion of our receivables, to lower our cost of borrowing and more efficiently use capital. Accounts receivable collateralized within our Securitization Facility relate to trade receivables resulting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primarily from charge card activity in Vehicle Payments and Corporate Payments and receivables related to our Lodging Payments business. We also consider the available and undrawn amounts under our Securitization Facility and Credit Facility as funds available for working capital purposes and acquisitions. At June 30, 2026, we had no additional liquidity under our Securitization Facility.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determined that outside basis differences associated with our investments in foreign subsidiaries would not result in a material deferred tax liability, and, consistent with our assertion that these amounts continue to be indefinitely invested, have not recorded incremental income taxes for the additional outside basis differences.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six month periods ended June 30, 2026 and 2025 (in millions).</w:t>
      </w:r>
    </w:p>
    <w:p>
      <w:pPr>
        <w:pStyle w:val="TextBody"/>
        <w:bidi w:val="0"/>
        <w:spacing w:lineRule="auto" w:line="288" w:before="120" w:after="283"/>
        <w:jc w:val="center"/>
        <w:rPr>
          <w:color w:val="000000"/>
        </w:rPr>
      </w:pPr>
      <w:r>
        <w:rPr>
          <w:color w:val="000000"/>
        </w:rPr>
        <w:t> </w:t>
      </w:r>
    </w:p>
    <w:tbl>
      <w:tblPr>
        <w:tblW w:w="7086" w:type="dxa"/>
        <w:jc w:val="center"/>
        <w:tblInd w:w="0" w:type="dxa"/>
        <w:tblLayout w:type="fixed"/>
        <w:tblCellMar>
          <w:top w:w="28" w:type="dxa"/>
          <w:left w:w="28" w:type="dxa"/>
          <w:bottom w:w="28" w:type="dxa"/>
          <w:right w:w="28" w:type="dxa"/>
        </w:tblCellMar>
      </w:tblPr>
      <w:tblGrid>
        <w:gridCol w:w="1525"/>
        <w:gridCol w:w="1341"/>
        <w:gridCol w:w="1349"/>
        <w:gridCol w:w="109"/>
        <w:gridCol w:w="109"/>
        <w:gridCol w:w="109"/>
        <w:gridCol w:w="211"/>
        <w:gridCol w:w="766"/>
        <w:gridCol w:w="109"/>
        <w:gridCol w:w="109"/>
        <w:gridCol w:w="109"/>
        <w:gridCol w:w="109"/>
        <w:gridCol w:w="211"/>
        <w:gridCol w:w="76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Operating activities.</w:t>
      </w:r>
      <w:r>
        <w:rPr>
          <w:color w:val="000000"/>
        </w:rPr>
        <w:t> </w:t>
      </w:r>
      <w:r>
        <w:rPr>
          <w:rFonts w:ascii="Times New Roman;serif" w:hAnsi="Times New Roman;serif"/>
          <w:b w:val="false"/>
          <w:color w:val="000000"/>
          <w:sz w:val="20"/>
        </w:rPr>
        <w:t xml:space="preserve">Net cash used in operating activities was $1,413.5 million in the six months ended June 30, 2026, compared to $1,066.1 million in the comparable prior period. This change in operating cash flows was primarily driven by changes in working capital. </w:t>
      </w:r>
    </w:p>
    <w:p>
      <w:pPr>
        <w:pStyle w:val="TextBody"/>
        <w:bidi w:val="0"/>
        <w:spacing w:lineRule="auto" w:line="288" w:before="120" w:after="283"/>
        <w:jc w:val="left"/>
        <w:rPr/>
      </w:pPr>
      <w:r>
        <w:rPr>
          <w:rFonts w:ascii="Times New Roman;serif" w:hAnsi="Times New Roman;serif"/>
          <w:b/>
          <w:i/>
          <w:color w:val="000000"/>
          <w:sz w:val="20"/>
        </w:rPr>
        <w:t>Investing activities.</w:t>
      </w:r>
      <w:r>
        <w:rPr>
          <w:color w:val="000000"/>
        </w:rPr>
        <w:t> </w:t>
      </w:r>
      <w:r>
        <w:rPr>
          <w:rFonts w:ascii="Times New Roman;serif" w:hAnsi="Times New Roman;serif"/>
          <w:b w:val="false"/>
          <w:color w:val="000000"/>
          <w:sz w:val="20"/>
        </w:rPr>
        <w:t>Net cash provided by investing activities was $321.5 million in the six months ended June 30, 2026 compared to net cash used in investing activities of $222.6 million in the comparable prior period. The increase in cash provided by investing activities was primarily due to net cash proceeds of $421.7 million received during the six months ended June 30, 2026 related to the disposition of the PayByPhone business, as well as less acquisition spend in 2026 over the comparable period in 2025.</w:t>
      </w:r>
    </w:p>
    <w:p>
      <w:pPr>
        <w:pStyle w:val="TextBody"/>
        <w:bidi w:val="0"/>
        <w:spacing w:lineRule="auto" w:line="288" w:before="120" w:after="283"/>
        <w:jc w:val="left"/>
        <w:rPr/>
      </w:pPr>
      <w:r>
        <w:rPr>
          <w:rFonts w:ascii="Times New Roman;serif" w:hAnsi="Times New Roman;serif"/>
          <w:b/>
          <w:i/>
          <w:color w:val="000000"/>
          <w:sz w:val="20"/>
        </w:rPr>
        <w:t>Financing activities.</w:t>
      </w:r>
      <w:r>
        <w:rPr>
          <w:color w:val="000000"/>
        </w:rPr>
        <w:t> </w:t>
      </w:r>
      <w:r>
        <w:rPr>
          <w:rFonts w:ascii="Times New Roman;serif" w:hAnsi="Times New Roman;serif"/>
          <w:b w:val="false"/>
          <w:color w:val="000000"/>
          <w:sz w:val="20"/>
        </w:rPr>
        <w:t>Net cash used in financing activities was $419.7 million in the six months ended June 30, 2026 compared to net cash provided by financing activities of $78.4 million in the comparable prior period. This change in financing cash flows was primarily due to an increase in repurchases of common stock in 2026 of $1,021.6 million over the comparable period in 2025, partially offset by an increase in net borrowings on our Credit Facility and Securitization Facility of $509.8 million in 2026 over the comparable period in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Corpay Technologies Operating Company, LLC, and certain of our domestic and foreign owned subsidiaries, as designated co-borrowers (the "Borrowers"), are parties to a $9.95 billion Credit Agreement (the "Credit Agreement"), with Bank of America, N.A., as administrative agent, swing line lender and letter of credit issuer and a syndicate of financial institutions (the "Lenders"), which has been amended multiple times. As of June 30, 2026, the Credit Agreement provides for senior secured credit facilities (collectively, the "Credit Facility") consisting of a revolving credit facility in the amount of $3.7 billion, a Term Loan A facility in the amount of $3.3 billion and a Term Loan B facility in the amount of $2.95 billion. The revolving credit facility consists of (a) a revolving A credit facility in the amount of $1.95 billion, with sublimits for letters of credit and swing line loans, (b) a revolving B facility in the amount of $0.95 billion with borrowings in U.S. dollars, euros, British pounds, Japanese yen or other currency as agreed in advance and sublimits for swing line loans and (c) a revolving C facility in the amount of $0.80 billion, with borrowings in U.S. dollars and Swiss francs. Proceeds from the credit facilities may be used for working capital purposes, acquisitions and other general corporate purposes. The maturity date for the Term Loan A and revolving credit facilities A and B is May 21, 2031. The Term Loan B-6 has a maturity date of November 5, 2032.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June 30, 2026, the interest rate on the Term Loan A was 5.02%, the interest rate on the Term Loan B-6 was 5.39%, and the interest rate on the Revolving A, B and C facilities (USD borrowings) was 5.03%. The unused credit facility fee was 0.25% at June 30, 2026.</w:t>
      </w:r>
    </w:p>
    <w:p>
      <w:pPr>
        <w:pStyle w:val="TextBody"/>
        <w:bidi w:val="0"/>
        <w:spacing w:lineRule="auto" w:line="288" w:before="120" w:after="283"/>
        <w:jc w:val="left"/>
        <w:rPr/>
      </w:pPr>
      <w:r>
        <w:rPr>
          <w:rFonts w:ascii="Times New Roman;serif" w:hAnsi="Times New Roman;serif"/>
          <w:b w:val="false"/>
          <w:color w:val="000000"/>
          <w:sz w:val="20"/>
        </w:rPr>
        <w:t>At June 30, 2026, we had $3.3 billion in borrowings outstanding on the Term Loan A, net of discounts and debt issuance costs, $2.9 billion in borro</w:t>
      </w:r>
      <w:r>
        <w:rPr>
          <w:rFonts w:ascii="Times New Roman;serif" w:hAnsi="Times New Roman;serif"/>
          <w:b w:val="false"/>
          <w:color w:val="000000"/>
          <w:sz w:val="20"/>
          <w:shd w:fill="FFFFFF" w:val="clear"/>
        </w:rPr>
        <w:t>wings outstanding on the Term Loan B, net of discounts and debt issuance co</w:t>
      </w:r>
      <w:r>
        <w:rPr>
          <w:rFonts w:ascii="Times New Roman;serif" w:hAnsi="Times New Roman;serif"/>
          <w:b w:val="false"/>
          <w:color w:val="000000"/>
          <w:sz w:val="20"/>
        </w:rPr>
        <w:t>sts and $2.1 billion outstanding on the re</w:t>
      </w:r>
      <w:r>
        <w:rPr>
          <w:rFonts w:ascii="Times New Roman;serif" w:hAnsi="Times New Roman;serif"/>
          <w:b w:val="false"/>
          <w:color w:val="000000"/>
          <w:sz w:val="20"/>
          <w:shd w:fill="FFFFFF" w:val="clear"/>
        </w:rPr>
        <w:t>volving credit facilities. We have unamortized debt issuance co</w:t>
      </w:r>
      <w:r>
        <w:rPr>
          <w:rFonts w:ascii="Times New Roman;serif" w:hAnsi="Times New Roman;serif"/>
          <w:b w:val="false"/>
          <w:color w:val="000000"/>
          <w:sz w:val="20"/>
        </w:rPr>
        <w:t>sts of $11.7 million rela</w:t>
      </w:r>
      <w:r>
        <w:rPr>
          <w:rFonts w:ascii="Times New Roman;serif" w:hAnsi="Times New Roman;serif"/>
          <w:b w:val="false"/>
          <w:color w:val="000000"/>
          <w:sz w:val="20"/>
          <w:shd w:fill="FFFFFF" w:val="clear"/>
        </w:rPr>
        <w:t xml:space="preserve">ted to the revolving credit facilities as of June 30, 2026 recorded within other assets in the Unaudited Consolidated Balance Sheets. We have unamortized debt discounts and debt issuance costs of </w:t>
      </w:r>
      <w:r>
        <w:rPr>
          <w:rFonts w:ascii="Times New Roman;serif" w:hAnsi="Times New Roman;serif"/>
          <w:b w:val="false"/>
          <w:color w:val="000000"/>
          <w:sz w:val="20"/>
        </w:rPr>
        <w:t>$37.1 million</w:t>
      </w:r>
      <w:r>
        <w:rPr>
          <w:color w:val="000000"/>
          <w:shd w:fill="FFFFFF" w:val="clear"/>
        </w:rPr>
        <w:t xml:space="preserve"> </w:t>
      </w:r>
      <w:r>
        <w:rPr>
          <w:rFonts w:ascii="Times New Roman;serif" w:hAnsi="Times New Roman;serif"/>
          <w:b w:val="false"/>
          <w:color w:val="000000"/>
          <w:sz w:val="20"/>
          <w:shd w:fill="FFFFFF" w:val="clear"/>
        </w:rPr>
        <w:t xml:space="preserve">related to our Term Loans at June 30, 2026 recorded in notes payable and other obligations, net of current portion within the Unaudited Consolidated Balance Sheets. </w:t>
      </w:r>
    </w:p>
    <w:p>
      <w:pPr>
        <w:pStyle w:val="TextBody"/>
        <w:bidi w:val="0"/>
        <w:spacing w:lineRule="auto" w:line="288" w:before="120" w:after="283"/>
        <w:jc w:val="left"/>
        <w:rPr/>
      </w:pPr>
      <w:r>
        <w:rPr>
          <w:rFonts w:ascii="Times New Roman;serif" w:hAnsi="Times New Roman;serif"/>
          <w:b w:val="false"/>
          <w:color w:val="000000"/>
          <w:sz w:val="20"/>
        </w:rPr>
        <w:t xml:space="preserve">During the six months ended June 30, 2026, we </w:t>
      </w:r>
      <w:r>
        <w:rPr>
          <w:rFonts w:ascii="Times New Roman;serif" w:hAnsi="Times New Roman;serif"/>
          <w:b w:val="false"/>
          <w:color w:val="000000"/>
          <w:sz w:val="20"/>
          <w:shd w:fill="FFFFFF" w:val="clear"/>
        </w:rPr>
        <w:t>made principal pay</w:t>
      </w:r>
      <w:r>
        <w:rPr>
          <w:rFonts w:ascii="Times New Roman;serif" w:hAnsi="Times New Roman;serif"/>
          <w:b w:val="false"/>
          <w:color w:val="000000"/>
          <w:sz w:val="20"/>
        </w:rPr>
        <w:t>ments of $5,989.3 million on t</w:t>
      </w:r>
      <w:r>
        <w:rPr>
          <w:rFonts w:ascii="Times New Roman;serif" w:hAnsi="Times New Roman;serif"/>
          <w:b w:val="false"/>
          <w:color w:val="000000"/>
          <w:sz w:val="20"/>
          <w:shd w:fill="FFFFFF" w:val="clear"/>
        </w:rPr>
        <w:t>he Term Loans and net borrowin</w:t>
      </w:r>
      <w:r>
        <w:rPr>
          <w:rFonts w:ascii="Times New Roman;serif" w:hAnsi="Times New Roman;serif"/>
          <w:b w:val="false"/>
          <w:color w:val="000000"/>
          <w:sz w:val="20"/>
        </w:rPr>
        <w:t>gs of $795.8 million on the revol</w:t>
      </w:r>
      <w:r>
        <w:rPr>
          <w:rFonts w:ascii="Times New Roman;serif" w:hAnsi="Times New Roman;serif"/>
          <w:b w:val="false"/>
          <w:color w:val="000000"/>
          <w:sz w:val="20"/>
          <w:shd w:fill="FFFFFF" w:val="clear"/>
        </w:rPr>
        <w:t>ving credit facilities.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we were in compliance with each of the financial and non-financial covenants under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Securitization Facility</w:t>
      </w:r>
    </w:p>
    <w:p>
      <w:pPr>
        <w:pStyle w:val="TextBody"/>
        <w:bidi w:val="0"/>
        <w:spacing w:lineRule="auto" w:line="288" w:before="120" w:after="120"/>
        <w:jc w:val="left"/>
        <w:rPr/>
      </w:pPr>
      <w:r>
        <w:rPr>
          <w:rFonts w:ascii="Times New Roman;serif" w:hAnsi="Times New Roman;serif"/>
          <w:b w:val="false"/>
          <w:color w:val="000000"/>
          <w:sz w:val="20"/>
        </w:rPr>
        <w:t>We are party to a $2.3 billion</w:t>
      </w:r>
      <w:r>
        <w:rPr>
          <w:color w:val="000000"/>
          <w:shd w:fill="FFFFFF" w:val="clear"/>
        </w:rPr>
        <w:t xml:space="preserve"> </w:t>
      </w:r>
      <w:r>
        <w:rPr>
          <w:rFonts w:ascii="Times New Roman;serif" w:hAnsi="Times New Roman;serif"/>
          <w:b w:val="false"/>
          <w:color w:val="000000"/>
          <w:sz w:val="20"/>
          <w:shd w:fill="FFFFFF" w:val="clear"/>
        </w:rPr>
        <w:t xml:space="preserve">receivables purchase agreement among Fleetcor Funding LLC and Corpay Funding (UK) Limited, as special purpose entities, Corpay Technologies Operating Company, LLC and Allstar Business Solutions Limited, as servicers, PNC Bank, National Association as administrator and swingline purchaser, PNC Capital Markets, LLC, as structuring agent and multiple purchaser agents, conduit purchasers and related committed purchasers parties thereto (the "Securitization Facility")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At June 30, 2026, the interest rate on the Securitization Facility was 4.55%.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were in compliance with all financial and non-financial covenant requirements related to our Securitization Facility as of June 30, 2026.</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Other Facilities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carefully monitor and manage initial and variation margin requirements for our cross-border solutions, which can result in transitory periods of elevated liquidity needs in cases where the currency market experiences disruption. In order to help mitigate that liquidity risk, we have entered into facilities intended to provide additional means to manage working capital needs for our cross-border solutions.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four uncommitted overdraft facilities with a combined capacity of $155.0 million, which may be accessible via written request and corresponding authorization from the applicable lenders. There is no guarantee the uncommitted capacity will be available to us on a future date. Interest on drawn balances accrues under the agreements at either (a) at a fixed rate equal to the lender's reference rate or the Federal Funds Effective Rate (as defined in the respective agreements) plus either 1% or 1.25% or (b) SOFR plus 1.25%. As of June 30, 2026, we had $59.0 million in borrowings outstanding under the uncommitted credit facilities.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also have a 364-day committed revolving credit facility with a total commitment of $70.0 million and maturity date of May 21, 2031. Borrowings under this facility will bear interest at the borrower’s option at a rate equal to (a) Term SOFR (as defined in the agreement) plus 1.25% or (b) the Base Rate (determined by reference to the greatest of (i) the Federal Funds Effective Rate, at that time, plus 0.50%, (ii) the Prime Rate, at that time, and (iii) Term SOFR (as defined in the agreement) at such time plus 1.00%). As of June 30, 2026, we had no borrowings outstanding under the committed credit facility.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lineRule="auto" w:line="256" w:before="18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we had the following outstanding interest rate swap derivatives that qualify as hedging instruments within designated cash flow hedges of variable interest rate risk (in millions):</w:t>
      </w:r>
    </w:p>
    <w:tbl>
      <w:tblPr>
        <w:tblW w:w="5799" w:type="dxa"/>
        <w:jc w:val="center"/>
        <w:tblInd w:w="0" w:type="dxa"/>
        <w:tblLayout w:type="fixed"/>
        <w:tblCellMar>
          <w:top w:w="28" w:type="dxa"/>
          <w:left w:w="28" w:type="dxa"/>
          <w:bottom w:w="28" w:type="dxa"/>
          <w:right w:w="28" w:type="dxa"/>
        </w:tblCellMar>
      </w:tblPr>
      <w:tblGrid>
        <w:gridCol w:w="549"/>
        <w:gridCol w:w="481"/>
        <w:gridCol w:w="485"/>
        <w:gridCol w:w="109"/>
        <w:gridCol w:w="109"/>
        <w:gridCol w:w="109"/>
        <w:gridCol w:w="794"/>
        <w:gridCol w:w="794"/>
        <w:gridCol w:w="797"/>
        <w:gridCol w:w="109"/>
        <w:gridCol w:w="109"/>
        <w:gridCol w:w="109"/>
        <w:gridCol w:w="364"/>
        <w:gridCol w:w="364"/>
        <w:gridCol w:w="517"/>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Notional 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 Average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5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7/31/2026</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1/31/2027</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7/31/2027</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1/31/2028</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7/31/2028</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1/31/2029</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7/31/2029</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purpose of these contracts is to reduce the variability of cash flows in interest payments associated with $4.0 billion of unspecified variable rate debt, the sole source of which is due to changes in the SOFR benchmark interest rate. For each of these swap contracts, we pay a fixed monthly rate and receive one month SOFR.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cash flow hedges resulted in a $5.5 million increase to interest expense, net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enter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 Upon maturity of a net investment hedge, if not rolled over or restructured, the final exchange may require a cash settlement based on the differential in prevailing exchange rates versus the initial rate in the hedge. This could result in a significant cash payment depending on market conditions at the time of settlement.</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At June 30, 2026, we had the following cross-currency interest rate swaps designated as net investment hedges of our investments in foreign-denominated operations:</w:t>
      </w:r>
    </w:p>
    <w:tbl>
      <w:tblPr>
        <w:tblW w:w="8659" w:type="dxa"/>
        <w:jc w:val="center"/>
        <w:tblInd w:w="0" w:type="dxa"/>
        <w:tblLayout w:type="fixed"/>
        <w:tblCellMar>
          <w:top w:w="28" w:type="dxa"/>
          <w:left w:w="28" w:type="dxa"/>
          <w:bottom w:w="28" w:type="dxa"/>
          <w:right w:w="28" w:type="dxa"/>
        </w:tblCellMar>
      </w:tblPr>
      <w:tblGrid>
        <w:gridCol w:w="734"/>
        <w:gridCol w:w="641"/>
        <w:gridCol w:w="649"/>
        <w:gridCol w:w="109"/>
        <w:gridCol w:w="109"/>
        <w:gridCol w:w="109"/>
        <w:gridCol w:w="1134"/>
        <w:gridCol w:w="1134"/>
        <w:gridCol w:w="1137"/>
        <w:gridCol w:w="109"/>
        <w:gridCol w:w="109"/>
        <w:gridCol w:w="109"/>
        <w:gridCol w:w="334"/>
        <w:gridCol w:w="334"/>
        <w:gridCol w:w="336"/>
        <w:gridCol w:w="109"/>
        <w:gridCol w:w="109"/>
        <w:gridCol w:w="109"/>
        <w:gridCol w:w="364"/>
        <w:gridCol w:w="364"/>
        <w:gridCol w:w="517"/>
      </w:tblGrid>
      <w:tr>
        <w:trPr/>
        <w:tc>
          <w:tcPr>
            <w:tcW w:w="7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dollar equivalent notional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 (EUR)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5/20/2027</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Canadian Dollar (CAD)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1/24/2028</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5/8/2028</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Hedge effectiveness is tested based on changes in the fair value of the cross-currency swaps due to changes in the USD/foreign currency spot rates. We anticipate perfect effectiveness of the designated hedging relationships and record changes in the fair value of the cross-currency interest rate swaps associated with changes in the spot rate through accumulated other comprehensive loss. Excluded components associated with the forward differential are recognized directly in earnings as interest expense, net. We recognized a benefit of $11.1 million in interest expense, net for the six months ended June 30, 2026 related to these excluded components.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Stock Repurchase Program </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4, 2016, we announced that our Board approved a stock repurchase program (as updated from time to time, the "Program") authorizing us to repurchase our common stock from time to time until December 31, 2026. On April 23, 2026, the Board authorized an increase to the aggregate size of the Program by $1.0 billion to an aggregate authorization of $11.1 billion. Since the beginning of the Program through June 30, 2026, 39.1 million shares have been repurchased for an aggregate purchase price of $9.7 billion, leaving us up to $1.4 billion of remaining authorization available under the Program for future repurchases of shares of our common stock as of June 30, 2026.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Program, any stock repurchases may be made at times and in such amounts as deemed appropriate by management. The timing and amount of stock repurchases, if any, will depend on a variety of factors including the stock price, market conditions, corporate and regulatory requirements and any additional constraints related to material inside information we may possess. Any repurchases have been and are expected to be funded by a combination of available cash flow from the business, working capital and debt. The Program does not obligate us to repurchase and particular amount of common stock, and the program may be suspended, modified or discontinued at any time.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Redeemable Noncontrolling Interest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April 2025, we expanded our long-standing strategic partnership agreement with Mastercard to deliver an enhanced suite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cross-border payment solutions. The transaction also included an investment in our cross-border payments business with Mastercard acquiring a 2.3% noncontrolling interest in the cross-border payments business for $300 million. The investment into our cross-border payments business closed on December 1, 2025. Mastercard will have the right to sell, or put, its interest back to us for six months starting on August 1, 2027. If Mastercard does not exercise the put right, we will have a reciprocal call right to repurchase the interest for six months starting on May 1, 2028. In each case, the purchase price is the $300 million of invested capital plus 8% per annum, compounded annually.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jc w:val="left"/>
        <w:rPr>
          <w:rFonts w:ascii="Times New Roman;serif" w:hAnsi="Times New Roman;serif"/>
          <w:b/>
          <w:i/>
          <w:color w:val="000000"/>
          <w:sz w:val="20"/>
        </w:rPr>
      </w:pPr>
      <w:r>
        <w:rPr>
          <w:rFonts w:ascii="Times New Roman;serif" w:hAnsi="Times New Roman;serif"/>
          <w:b/>
          <w:i/>
          <w:color w:val="000000"/>
          <w:sz w:val="20"/>
        </w:rPr>
        <w:t>Minority Investment</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In May 2025, we along with TPG formed a limited partnership that, through its wholly owned subsidiaries, entered into a definitive agreement to acquire AvidXchange. AvidXchange is a provider of accounts payable (AP) automation solutions to lower middle market companies with a focus on several verticals including real estate, homeowners associations, financial institutions and media. The take-private transaction was completed in October 2025.</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closing of the AvidXchange transaction in October 2025, we invested approximately $578 million for approximately 35% of the equity in the limited partnership for an enterprise valuation of approximately $1.9 billion. The limited partnership utilized approximately $450 million of debt financing to consummate the transaction. TPG holds approximately 56% of the equity in the limited partnership, and the management team of AvidXchange holds the remainder. In addition to other terms, the limited partnership agreement provides that, 33 months after closing of the AvidXchange acquisition, we will have the right to acquire, or call, all of the remaining outstanding equity in the limited partnership for approximately 2.5 times invested capital which would result in our consolidation of the limited partnership. If we do not exercise such right to acquire all of the remaining outstanding equity of the limited partnership and TPG decides to sell the limited partnership to a third party within a period of 15 months thereafter, we are required to guarantee a return to our partners, subject to certain limitations, of approximately 1.6 times invested capital (the minimum return). If the partnership sells AvidXchange in 2029 for an approximately similar valuation as at acquisition, there will be no requirement to pay any minimum return.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Maintenance Disposition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we signed a definitive agreement to sell our Maintenance business to a third party. We expect to receive approximately £600 million (approximately $800 million), before cash acquired, in exchange for the business . In connection with the sale, we anticipate a pre-tax net gain on ultimate disposal between approximately $460 million and $515 million. The transaction is expected to be completed later this year, pending U.K. and Australian regulatory approval.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applying the accounting policies that we use to prepare our consolidated financial statements, we necessarily make accounting estimates that affect our reported amounts of assets, liabilities, revenues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Accounting estimates necessarily require subjective determinations about future events and conditions. During the three months ended June 30, 2026,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2025. For critical accounting policies, refer to the Critical Accounting Estimates in Item 7 – Management’s Discussion and Analysis of Financial Condition and Results of Operations included in our Annual Report on Form 10-K for the year ended December 31, 2025 and our summary of significant accounting policies in Note 1 of our Notes to the Unaudited Consolidated Financial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Management’s Use of Non-GAAP Financial Measures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each non-GAAP financial measure to the most directly comparable financial measure calculated in accordance with GAAP and discuss the reasons that we believe this information is useful to management and may be useful to investors. Because our non-GAAP financial measures are not standardized measures, they may not be directly comparable with the non-GAAP financial measures of other companies using the same or similar non-GAAP financial measures. Although management uses these non-GAAP measures to set goals and measure performance, they have no standardized meaning prescribed by GAAP. These non-GAAP measures are presented solely to permit investors to more fully understand how our management assesses underlying performance. These non-GAAP measures are not, and should not be viewed as, a substitute for GAAP measures and should be viewed in conjunction with our GAAP financial statements and financial measures. As a result, such non-GAAP measures have limits in their usefulness to investors.</w:t>
      </w:r>
    </w:p>
    <w:p>
      <w:pPr>
        <w:pStyle w:val="TextBody"/>
        <w:bidi w:val="0"/>
        <w:spacing w:lineRule="auto" w:line="288" w:before="120" w:after="283"/>
        <w:jc w:val="left"/>
        <w:rPr/>
      </w:pPr>
      <w:r>
        <w:rPr>
          <w:rFonts w:ascii="Times New Roman;serif" w:hAnsi="Times New Roman;serif"/>
          <w:b/>
          <w:i/>
          <w:color w:val="000000"/>
          <w:sz w:val="20"/>
        </w:rPr>
        <w:t xml:space="preserve">Organic Revenues, net by KPI. </w:t>
      </w:r>
      <w:r>
        <w:rPr>
          <w:rFonts w:ascii="Times New Roman;serif" w:hAnsi="Times New Roman;serif"/>
          <w:b w:val="false"/>
          <w:color w:val="000000"/>
          <w:sz w:val="20"/>
        </w:rPr>
        <w:t>Organic revenue growth is calculated as revenue growth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inclusive of changes of operational and capital structure, and non-recurring items that have occurred subsequent to that period.</w:t>
      </w:r>
      <w:r>
        <w:rPr>
          <w:color w:val="000000"/>
        </w:rPr>
        <w:t xml:space="preserve"> </w:t>
      </w:r>
      <w:r>
        <w:rPr>
          <w:rFonts w:ascii="Times New Roman;serif" w:hAnsi="Times New Roman;serif"/>
          <w:b w:val="false"/>
          <w:color w:val="000000"/>
          <w:sz w:val="20"/>
        </w:rPr>
        <w:t>We believe that organic revenue growth on a macro-neutral, one-time item and consistent acquisition/divestiture/non-recurring item bases is useful to investors for understanding the performance of Corpay.</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60" w:after="283"/>
        <w:jc w:val="left"/>
        <w:rPr>
          <w:rFonts w:ascii="Times New Roman;serif" w:hAnsi="Times New Roman;serif"/>
          <w:b w:val="false"/>
          <w:color w:val="000000"/>
          <w:sz w:val="20"/>
        </w:rPr>
      </w:pPr>
      <w:r>
        <w:rPr>
          <w:rFonts w:ascii="Times New Roman;serif" w:hAnsi="Times New Roman;serif"/>
          <w:b w:val="false"/>
          <w:color w:val="000000"/>
          <w:sz w:val="20"/>
        </w:rPr>
        <w:t>Set forth below is a reconciliation of pro forma and macro adjusted revenue and key performance metric by segment, used to calculate organic revenue growth, to the most directly comparable GAAP measure, revenues, net and key performance metric (in millions):*</w:t>
      </w:r>
    </w:p>
    <w:tbl>
      <w:tblPr>
        <w:tblW w:w="10205" w:type="dxa"/>
        <w:jc w:val="center"/>
        <w:tblInd w:w="0" w:type="dxa"/>
        <w:tblLayout w:type="fixed"/>
        <w:tblCellMar>
          <w:top w:w="28" w:type="dxa"/>
          <w:left w:w="28" w:type="dxa"/>
          <w:bottom w:w="28" w:type="dxa"/>
          <w:right w:w="28" w:type="dxa"/>
        </w:tblCellMar>
      </w:tblPr>
      <w:tblGrid>
        <w:gridCol w:w="1345"/>
        <w:gridCol w:w="918"/>
        <w:gridCol w:w="930"/>
        <w:gridCol w:w="132"/>
        <w:gridCol w:w="132"/>
        <w:gridCol w:w="132"/>
        <w:gridCol w:w="238"/>
        <w:gridCol w:w="843"/>
        <w:gridCol w:w="133"/>
        <w:gridCol w:w="133"/>
        <w:gridCol w:w="133"/>
        <w:gridCol w:w="133"/>
        <w:gridCol w:w="238"/>
        <w:gridCol w:w="843"/>
        <w:gridCol w:w="133"/>
        <w:gridCol w:w="133"/>
        <w:gridCol w:w="133"/>
        <w:gridCol w:w="133"/>
        <w:gridCol w:w="257"/>
        <w:gridCol w:w="850"/>
        <w:gridCol w:w="143"/>
        <w:gridCol w:w="143"/>
        <w:gridCol w:w="143"/>
        <w:gridCol w:w="143"/>
        <w:gridCol w:w="257"/>
        <w:gridCol w:w="850"/>
        <w:gridCol w:w="143"/>
        <w:gridCol w:w="132"/>
        <w:gridCol w:w="132"/>
        <w:gridCol w:w="197"/>
      </w:tblGrid>
      <w:tr>
        <w:trPr/>
        <w:tc>
          <w:tcPr>
            <w:tcW w:w="134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Revenues, net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Key Performance Metric</w:t>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29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CORPORATE PAYMENTS - SPEND</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and macro adjusted</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acquisitions/dispositions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fuel prices/spread</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foreign exchange rates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548.7 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387.3 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94,635 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55,673 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VEHICLE PAYMENTS - TRANSACTIONS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and macro adjusted</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acquisitions/dispositions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fuel prices/spread</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foreign exchange rates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512.0 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LODGING PAYMENTS - ROOM NIGHTS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and macro adjusted</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acquisitions/dispositions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fuel prices/spread</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foreign exchange rates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OTHER</w:t>
            </w:r>
            <w:r>
              <w:rPr>
                <w:rFonts w:ascii="Times New Roman;serif" w:hAnsi="Times New Roman;serif"/>
                <w:b/>
                <w:color w:val="000000"/>
                <w:sz w:val="12"/>
                <w:u w:val="single"/>
              </w:rPr>
              <w:t>1</w:t>
            </w:r>
            <w:r>
              <w:rPr>
                <w:rFonts w:ascii="Times New Roman;serif" w:hAnsi="Times New Roman;serif"/>
                <w:b/>
                <w:color w:val="000000"/>
                <w:sz w:val="18"/>
                <w:u w:val="single"/>
              </w:rPr>
              <w:t>- TRANSACTIONS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and macro adjusted</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acquisitions/dispositions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fuel prices/spread</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foreign exchange rates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CORPAY CONSOLIDATED REVENUES, NET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and macro adjusted</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vMerge w:val="restart"/>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Intentionally Left Blank</w:t>
            </w:r>
          </w:p>
        </w:tc>
        <w:tc>
          <w:tcPr>
            <w:tcW w:w="46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acquisitions/dispositions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29" w:type="dxa"/>
            <w:gridSpan w:val="9"/>
            <w:vMerge w:val="continue"/>
            <w:tcBorders>
              <w:top w:val="single" w:sz="8" w:space="0" w:color="000000"/>
              <w:left w:val="single" w:sz="8" w:space="0" w:color="000000"/>
            </w:tcBorders>
            <w:shd w:fill="FFFFFF" w:val="clear"/>
            <w:tcMar>
              <w:top w:w="52" w:type="dxa"/>
              <w:bottom w:w="0" w:type="dxa"/>
              <w:right w:w="0" w:type="dxa"/>
            </w:tcMar>
            <w:vAlign w:val="center"/>
          </w:tcPr>
          <w:p>
            <w:pPr>
              <w:pStyle w:val="Normal"/>
              <w:bidi w:val="0"/>
              <w:jc w:val="left"/>
              <w:rPr/>
            </w:pPr>
            <w:r>
              <w:rPr/>
            </w:r>
          </w:p>
        </w:tc>
        <w:tc>
          <w:tcPr>
            <w:tcW w:w="46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Impact of fuel prices/spread</w:t>
            </w:r>
            <w:r>
              <w:rPr>
                <w:rFonts w:ascii="Times New Roman;serif" w:hAnsi="Times New Roman;serif"/>
                <w:b w:val="false"/>
                <w:color w:val="000000"/>
                <w:sz w:val="12"/>
              </w:rPr>
              <w:t>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29" w:type="dxa"/>
            <w:gridSpan w:val="9"/>
            <w:vMerge w:val="continue"/>
            <w:tcBorders>
              <w:top w:val="single" w:sz="8" w:space="0" w:color="000000"/>
              <w:left w:val="single" w:sz="8" w:space="0" w:color="000000"/>
            </w:tcBorders>
            <w:shd w:fill="FFFFFF" w:val="clear"/>
            <w:tcMar>
              <w:top w:w="52" w:type="dxa"/>
              <w:bottom w:w="0" w:type="dxa"/>
              <w:right w:w="0" w:type="dxa"/>
            </w:tcMar>
            <w:vAlign w:val="center"/>
          </w:tcPr>
          <w:p>
            <w:pPr>
              <w:pStyle w:val="Normal"/>
              <w:bidi w:val="0"/>
              <w:jc w:val="left"/>
              <w:rPr/>
            </w:pPr>
            <w:r>
              <w:rPr/>
            </w:r>
          </w:p>
        </w:tc>
        <w:tc>
          <w:tcPr>
            <w:tcW w:w="46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Impact of foreign exchange rates</w:t>
            </w:r>
            <w:r>
              <w:rPr>
                <w:rFonts w:ascii="Times New Roman;serif" w:hAnsi="Times New Roman;serif"/>
                <w:b w:val="false"/>
                <w:color w:val="000000"/>
                <w:sz w:val="12"/>
              </w:rPr>
              <w:t>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29" w:type="dxa"/>
            <w:gridSpan w:val="9"/>
            <w:vMerge w:val="continue"/>
            <w:tcBorders>
              <w:top w:val="single" w:sz="8" w:space="0" w:color="000000"/>
              <w:left w:val="single" w:sz="8" w:space="0" w:color="000000"/>
            </w:tcBorders>
            <w:shd w:fill="FFFFFF" w:val="clear"/>
            <w:tcMar>
              <w:top w:w="52" w:type="dxa"/>
              <w:bottom w:w="0" w:type="dxa"/>
              <w:right w:w="0" w:type="dxa"/>
            </w:tcMar>
            <w:vAlign w:val="center"/>
          </w:tcPr>
          <w:p>
            <w:pPr>
              <w:pStyle w:val="Normal"/>
              <w:bidi w:val="0"/>
              <w:jc w:val="left"/>
              <w:rPr/>
            </w:pPr>
            <w:r>
              <w:rPr/>
            </w:r>
          </w:p>
        </w:tc>
        <w:tc>
          <w:tcPr>
            <w:tcW w:w="46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29" w:type="dxa"/>
            <w:gridSpan w:val="9"/>
            <w:vMerge w:val="continue"/>
            <w:tcBorders>
              <w:top w:val="single" w:sz="8" w:space="0" w:color="000000"/>
              <w:left w:val="single" w:sz="8" w:space="0" w:color="000000"/>
            </w:tcBorders>
            <w:shd w:fill="FFFFFF" w:val="clear"/>
            <w:tcMar>
              <w:top w:w="52" w:type="dxa"/>
              <w:bottom w:w="0" w:type="dxa"/>
              <w:right w:w="0" w:type="dxa"/>
            </w:tcMar>
            <w:vAlign w:val="center"/>
          </w:tcPr>
          <w:p>
            <w:pPr>
              <w:pStyle w:val="Normal"/>
              <w:bidi w:val="0"/>
              <w:jc w:val="left"/>
              <w:rPr/>
            </w:pPr>
            <w:r>
              <w:rPr/>
            </w:r>
          </w:p>
        </w:tc>
        <w:tc>
          <w:tcPr>
            <w:tcW w:w="46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Columns may not calculate due to rounding.</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5" w:type="dxa"/>
            <w:gridSpan w:val="21"/>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Other includes Gift, Outsourced Card Processing and Payroll Card operating segments. </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8"/>
              </w:rPr>
              <w:t>Revenues reflect the positive impact of movements in foreign exchange rates of approximately $37 million, positive impact from fuel prices of approximately $20 million and the positive impact of fuel price spreads of approximately $10 million.</w:t>
            </w:r>
          </w:p>
        </w:tc>
      </w:tr>
    </w:tbl>
    <w:p>
      <w:pPr>
        <w:pStyle w:val="TextBody"/>
        <w:bidi w:val="0"/>
        <w:spacing w:lineRule="auto" w:line="288" w:before="120" w:after="283"/>
        <w:jc w:val="left"/>
        <w:rPr/>
      </w:pPr>
      <w:r>
        <w:rPr>
          <w:rFonts w:ascii="Times New Roman;serif" w:hAnsi="Times New Roman;serif"/>
          <w:b/>
          <w:i/>
          <w:color w:val="000000"/>
          <w:sz w:val="20"/>
        </w:rPr>
        <w:t xml:space="preserve">Adjusted net income attributable to Corpay and adjusted net income per diluted share attributable to Corpay. </w:t>
      </w:r>
      <w:r>
        <w:rPr>
          <w:rFonts w:ascii="Times New Roman;serif" w:hAnsi="Times New Roman;serif"/>
          <w:b w:val="false"/>
          <w:color w:val="000000"/>
          <w:sz w:val="20"/>
        </w:rPr>
        <w:t xml:space="preserve">We have defined the non-GAAP measure adjusted net income attributable to Corpay as net income attributable to Corpay, as reflected in our Unaudited Consolidated Statements of Income, adjusted to eliminate (a) non-cash stock-based compensation expense related to stock-based compensation awards, (b) amortization of deferred financing costs, discounts, intangible assets, amortization of the premium recognized on the purchase of receivables and amortization attributable to Corpay's noncontrolling interests, (c) integration and deal related costs, and (d) other non-recurring items, including unusual credit losses, certain discrete tax items, the impact of business dispositions, impairment losses, asset write-offs, restructuring costs, loss on extinguishment of debt, taxes associated with stock-based compensation programs, losses and gains on foreign currency transactions and legal settlements and related legal fees. We adjust net income for the tax effect of adjustments using our effective income tax rate, exclusive of certain discrete tax items. We calculate adjusted net income attributable to Corpay and adjusted net income per diluted share attributable to Corpay to eliminate the effect of items that we do not consider indicative of our core operating performance. We have defined the non-GAAP measure adjusted net income per diluted share attributable to Corpay as the calculation previously noted divided by the weighted average diluted shares outstanding as reflected in our Unaudited Consolidated Statements of Income.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net income attributable to Corpay and adjusted net income per diluted share attributable to Corpay are supplemental measures of operating performance that do not represent and should not be considered as an alternative to net income,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per diluted share or cash flow from operations, as determined by GAAP. We believe it is useful to exclude non-cash stock-based compensation expense from adjusted net income because non-cash equity grants made at a certain price and point in time do not necessarily reflect how our business is performing at any particular time and stock-based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Integration and deal related costs represent business acquisition transaction costs, professional services fees, short-term retention bonuses and system migration costs, etc., that are not indicative of the performance of the underlying business. We also believe that certain expenses, certain discrete tax items, gains on business disposition, recoveries (e.g. legal settlements, write-off of customer receivable, etc.), gains and losses on investments, taxes related to stock-based compensation programs and impairment losses do not necessarily reflect how our investments and business are performing. We adjust net income for the tax effect of each of these adjustments using the effective tax rate during the period, exclusive of certain discrete tax items. </w:t>
      </w:r>
    </w:p>
    <w:p>
      <w:pPr>
        <w:pStyle w:val="TextBody"/>
        <w:bidi w:val="0"/>
        <w:spacing w:lineRule="auto" w:line="276"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uses adjusted net income attributable to Corpay, adjusted net income per diluted share attributable to Corpay, organic revenue growth, EBITDA and adjusted EBITDA: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as measurements of operating performance because they assist us in comparing our operating performance on a consistent basis;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for planning purposes, including the preparation of our internal annual operating budget;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to allocate resources to enhance the financial performance of our business; and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to evaluate the performance and effectiveness of our operational strategies.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Set forth below is a reconciliation of adjusted net income attributable to Corpay and adjusted net income per diluted share attributable to Corpay to the most directly comparable GAAP measure, net income attributable to Corpay and net income per diluted share attributable to Corpay (in thousands, except shares and per share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01"/>
        <w:gridCol w:w="1326"/>
        <w:gridCol w:w="133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0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527,401 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 attributable to Corpay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 and litigation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and deal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at equity method investment,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211,471 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impact of pre-tax adjustments at the effective tax rate</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Discrete tax items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689,347 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 per diluted share attributable to Corpay</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58"/>
        <w:gridCol w:w="2748"/>
        <w:gridCol w:w="3899"/>
      </w:tblGrid>
      <w:tr>
        <w:trPr/>
        <w:tc>
          <w:tcPr>
            <w:tcW w:w="355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consolidated amortization related to intangible assets, premium on receivables, deferred financing costs and debt discounts.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Includes losses and gains on foreign currency transactions, amortization expense attributable to the Company's noncontrolling interests, taxes associated with stock-based compensation programs and a loss on an economic hedge of a foreign-denominated purchase price of an acquisition and other non-recurring items.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Represents provision for income taxes of pre-tax adjustments. Adjustments related to our equity method investment are tax effected at the effective tax rate of the investment as stated.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2026, represents discrete taxes on net gain realized upon disposition of our PayByPhone business within Vehicle Payments of $40.0 million and taxes related to our equity method investment.</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 xml:space="preserve">Excludes the impact on earnings per share of the adjustment of a non-controlling interest to its maximum redemption value of $2.8 million and $5.8 million for the three and six months ended June 30, 2026, respectively.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*Columns may not calculate due to rounding.</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pPr>
      <w:r>
        <w:rPr>
          <w:rFonts w:ascii="Times New Roman;serif" w:hAnsi="Times New Roman;serif"/>
          <w:b/>
          <w:i/>
          <w:color w:val="000000"/>
          <w:sz w:val="20"/>
        </w:rPr>
        <w:t xml:space="preserve">EBITDA, Adjusted EBITDA and Adjusted EBITDA margin. </w:t>
      </w:r>
      <w:r>
        <w:rPr>
          <w:rFonts w:ascii="Times New Roman;serif" w:hAnsi="Times New Roman;serif"/>
          <w:b w:val="false"/>
          <w:color w:val="000000"/>
          <w:sz w:val="20"/>
        </w:rPr>
        <w:t>EBITDA is defined as earnings before interest, income taxes, interest expense, net, other (income) expense, net, depreciation and amortization, loss on extinguishment of debt, goodwill impairment, investment loss/gain and other operating, net. Adjusted EBITDA is defined as EBITDA further adjusted for stock-based compensation expense and other one-time items including certain legal expenses, restructuring costs and integration and deal related costs. Adjusted EBITDA margin is defined as adjusted EBITDA as a percentage of revenue.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EBITDA, adjusted EBITDA and adjusted EBITDA margin to net income (in millions)*:</w:t>
      </w:r>
    </w:p>
    <w:p>
      <w:pPr>
        <w:pStyle w:val="TextBody"/>
        <w:bidi w:val="0"/>
        <w:spacing w:before="0" w:after="0"/>
        <w:jc w:val="left"/>
        <w:rPr/>
      </w:pPr>
      <w:r>
        <w:rPr/>
      </w:r>
    </w:p>
    <w:tbl>
      <w:tblPr>
        <w:tblW w:w="9029" w:type="dxa"/>
        <w:jc w:val="center"/>
        <w:tblInd w:w="0" w:type="dxa"/>
        <w:tblLayout w:type="fixed"/>
        <w:tblCellMar>
          <w:top w:w="28" w:type="dxa"/>
          <w:left w:w="28" w:type="dxa"/>
          <w:bottom w:w="28" w:type="dxa"/>
          <w:right w:w="28" w:type="dxa"/>
        </w:tblCellMar>
      </w:tblPr>
      <w:tblGrid>
        <w:gridCol w:w="972"/>
        <w:gridCol w:w="853"/>
        <w:gridCol w:w="859"/>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316"/>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$47.2</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addbacks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9"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certain legal expenses, restructuring costs and integration and deal related costs</w:t>
            </w:r>
          </w:p>
        </w:tc>
      </w:tr>
      <w:tr>
        <w:trPr/>
        <w:tc>
          <w:tcPr>
            <w:tcW w:w="9029"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Columns may not calculate due to rounding.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Special Cautionary Notice Regarding 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federal securities laws. Statements that are not historical facts, including statements about Corpay’s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including those discussed in "Risk Factors" in our Annual Report on Form 10-K for the year ended December 31, 2025 filed with the Securities and Exchange Commission on February 27, 2026, many of which are outside of our control, that could cause our actual results and experience to differ materially from any forward-looking statement.</w:t>
      </w:r>
    </w:p>
    <w:p>
      <w:pPr>
        <w:pStyle w:val="TextBody"/>
        <w:bidi w:val="0"/>
        <w:spacing w:lineRule="auto" w:line="278" w:before="120" w:after="283"/>
        <w:jc w:val="left"/>
        <w:rPr>
          <w:rFonts w:ascii="Times New Roman;serif" w:hAnsi="Times New Roman;serif"/>
          <w:b w:val="false"/>
          <w:color w:val="000000"/>
          <w:sz w:val="20"/>
        </w:rPr>
      </w:pPr>
      <w:r>
        <w:rPr>
          <w:rFonts w:ascii="Times New Roman;serif" w:hAnsi="Times New Roman;serif"/>
          <w:b w:val="false"/>
          <w:color w:val="000000"/>
          <w:sz w:val="20"/>
        </w:rPr>
        <w:t>Forward-looking statements may not be realized due to a variety of factors, including, without limitation: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our ability to successfully execute our strategic plan, manage our growth and achieve our performance targets;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impact of macroeconomic conditions, including any recession or economic downturn that has occurred or may occur in the future, and whether expected trends, including fluctuations in retail fuel prices and fuel price spreads, fuel transaction patterns, electric vehicle adoption, retail lodging prices, foreign exchange rates and interest rates develop as anticipated, and whether we are able to develop and implement successful strategies in light of these trends;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attract new and retain existing partners, fuel merchants, and lodging providers, their promotion and support of our products, and their financial performance;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manage the derivative financial instruments that we use in our cross-border solution to manage our exposure to various market risks, including changes in foreign exchange rates;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failure of management assumptions and estimates, as well as differences in, and changes to, economic, market, interest rate, interchange fees, foreign exchange rates, and credit conditions, including changes in borrowers’ credit risks and payment behaviors;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risks of mergers, acquisitions and divestitures, such as our recent acquisition of a partnership interest in AvidXchange and our acquisition of Alpha, including, without limitation, the related time and costs of implementing such transactions, integrating operations as part of these transactions and possible failures to achieve expected gains, revenue growth and/or expense savings from such transactions;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risk of higher borrowing costs and adverse financial market conditions impacting our funding and liquidity, and any reduction in our credit ratings;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manage our credit risks and the sufficiency of our allowance for expected credit losses;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securitize our trade receivables;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occurrence of fraudulent activity, data breaches or failures of information security controls, or other technology or cybersecurity-related incidents that may compromise our systems or customers’ information;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any disruptions in the operations of our computer systems and data centers;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operational and political risks and compliance and regulatory risks and costs associated with international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international conflicts, including between Russia and Ukraine, as well as within the Middle East, on the global economy or our business and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changes in global tariff and trade policies and potential retaliatory actions by affected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develop and implement new technology, products, and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any alleged infringement of intellectual property rights of others and our ability to protect our intellectual property;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regulation, supervision, and examination of our business by foreign and domestic governmental authorities, as well as litigation and regulatory actions, including the lawsuit filed by the Federal Trade Commission (FTC);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regulations and related requirements relating to privacy, information security and data protection; derivative and hedging activities; use of third-party vendors and other third-party business relationships; and failure to comply with anti-money laundering (AML) and anti-terrorism financing laws;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our senior management team and our ability to attract, motivate and retain qualified personnel consistent with our strategic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tax legislation initiatives or challenges to our tax positions and/or interpretations, and state sales tax rules and regulations;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remediate material weaknesses and the ongoing effectiveness of internal control over financial reporting;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other factors and information in our Annual Report on Form 10-K and other filings that we make with the Securities and Exchange Commission (SEC) under the Exchange Act and Securities Act. See "Risk Factors" in our Annual Report on Form 10-K for the year ended December 31, 2025 filed with the Securities and Exchange Commission on February 27,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 may get Corpay’s SEC filings for free by visiting the SEC web site at www.sec.gov.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report includes non-GAAP financial measures, which are used by Corpay and investors as supplemental measures to evaluate the overall operating performance of companies in our industry. By providing these non-GAAP financial measures, together with reconciliations, we believe we are enhancing investors' understanding of our business and our results of operations, as well as assisting investors in evaluating how well we are executing strategic initiatives. See "Management’s Use of Non-GAAP Financial Measures" elsewhere in this Quarterly Report on Form 10-Q for additional information regarding these Non-GAAP financial measures and a reconciliation to the nearest corresponding GAAP measure.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39" w:type="dxa"/>
        <w:jc w:val="left"/>
        <w:tblInd w:w="0" w:type="dxa"/>
        <w:tblLayout w:type="fixed"/>
        <w:tblCellMar>
          <w:top w:w="28" w:type="dxa"/>
          <w:left w:w="28" w:type="dxa"/>
          <w:bottom w:w="28" w:type="dxa"/>
          <w:right w:w="28" w:type="dxa"/>
        </w:tblCellMar>
      </w:tblPr>
      <w:tblGrid>
        <w:gridCol w:w="255"/>
        <w:gridCol w:w="224"/>
        <w:gridCol w:w="226"/>
        <w:gridCol w:w="1532"/>
        <w:gridCol w:w="1532"/>
        <w:gridCol w:w="2170"/>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have been no material changes to our market risk from that disclosed in our Annual Report on Form 10-K for the year ended December 31,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5" w:type="dxa"/>
        <w:jc w:val="left"/>
        <w:tblInd w:w="0" w:type="dxa"/>
        <w:tblLayout w:type="fixed"/>
        <w:tblCellMar>
          <w:top w:w="28" w:type="dxa"/>
          <w:left w:w="28" w:type="dxa"/>
          <w:bottom w:w="28" w:type="dxa"/>
          <w:right w:w="28" w:type="dxa"/>
        </w:tblCellMar>
      </w:tblPr>
      <w:tblGrid>
        <w:gridCol w:w="255"/>
        <w:gridCol w:w="224"/>
        <w:gridCol w:w="226"/>
        <w:gridCol w:w="658"/>
        <w:gridCol w:w="658"/>
        <w:gridCol w:w="93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our Chief Executive Officer and Chief Financial Officer concluded that, as of June 30, 2026, our disclosure controls and procedures were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designed to ensure that information required to be disclosed in those reports is accumulated and communicated to management, including our Chief Executive Officer and Chief Financial Officer, as appropriate to allow timely decisions regarding required disclosure.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or 15d-15(f) of the Exchange Act)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9" w:type="dxa"/>
        <w:jc w:val="left"/>
        <w:tblInd w:w="0" w:type="dxa"/>
        <w:tblLayout w:type="fixed"/>
        <w:tblCellMar>
          <w:top w:w="28" w:type="dxa"/>
          <w:left w:w="28" w:type="dxa"/>
          <w:bottom w:w="28" w:type="dxa"/>
          <w:right w:w="28" w:type="dxa"/>
        </w:tblCellMar>
      </w:tblPr>
      <w:tblGrid>
        <w:gridCol w:w="255"/>
        <w:gridCol w:w="224"/>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Proceedings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Corpay, Inc. and its subsidiaries, (collectively,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FTC Matter</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believed were unreasonable demands for redress made by the FTC. </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20, 2019, the FTC filed a lawsuit in the Northern District of Georgia (the “District Court”) against the Company and Ron Clarke. See FTC v. FleetCor Technologies, Inc., No. 19-cv-05727 (N.D. Ga.). The complaint alleged the Company and Ron Clarke violated the FTC Act’s prohibitions on unfair and deceptive acts and practices and sought, among other things, injunctive relief, consumer redress and costs of suit. On April 22, 2021, the United States Supreme Court held unanimously in AMG Capital Management v. FTC that the FTC does not have authority under current law to seek monetary redress under Section 13(b) of the FTC Act, the provision on which the FTC had relied in this case. Following that decision, the FTC filed a parallel administrative action under Section 5 of the FTC Act on August 11, 2021, alleging the same underlying facts, and moved to stay or voluntarily dismiss the District Court case. The administrative action was stayed pending resolution of the federal court proceeding. On August 9, 2022, the District Court granted the FTC's motion for summary judgment as to liability for the Company and Ron Clarke, but granted the Company's motion for summary judgment as to the FTC's claim for monetary relief against the Company and Ron Clarke. </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On June 8, 2023, the District Court issued an Order for Permanent Injunction and Other Relief. The Company appealed to the United States Court of Appeals for the Eleventh Circuit on August 3, 2023, and the FTC's parallel Section 5 administrative action remained stayed pending that appeal. On January 6, 2026, the Eleventh Circuit affirmed the judgment against the Company and affirmed the judgment against Ron Clarke except for one count, which was vacated and remanded. On May 5, 2026, the Eleventh Circuit denied the Company’s petition for en banc review.</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On July 1, 2026, the FTC and the Company reached an agreement with the FTC staff on the terms of a proposed consent order that would resolve the FTC investigation, the claims in the action before the District Court, the administrative action and any other remaining issues in the case. The proposed consent order is subject to the customary approvals of the FTC Commissioners and the District Court. The Company has currently recorded a $100 million charge based on the terms of the proposed consent order.</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If the proposed consent order is not approved or if there any changes to the terms of the proposed consent order during the review process, the Company could incur additional redress and/or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5" w:type="dxa"/>
        <w:jc w:val="left"/>
        <w:tblInd w:w="0" w:type="dxa"/>
        <w:tblLayout w:type="fixed"/>
        <w:tblCellMar>
          <w:top w:w="28" w:type="dxa"/>
          <w:left w:w="28" w:type="dxa"/>
          <w:bottom w:w="28" w:type="dxa"/>
          <w:right w:w="28" w:type="dxa"/>
        </w:tblCellMar>
      </w:tblPr>
      <w:tblGrid>
        <w:gridCol w:w="304"/>
        <w:gridCol w:w="268"/>
        <w:gridCol w:w="269"/>
        <w:gridCol w:w="355"/>
        <w:gridCol w:w="355"/>
        <w:gridCol w:w="50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Factors</w:t>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I</w:t>
      </w:r>
      <w:r>
        <w:rPr>
          <w:rFonts w:ascii="Times New Roman;serif" w:hAnsi="Times New Roman;serif"/>
          <w:b w:val="false"/>
          <w:color w:val="000000"/>
          <w:sz w:val="20"/>
        </w:rPr>
        <w:t>n addition to the other information set forth in this report, you should carefully consider the factors discussed in Part I, Item 1A. "Risk Factors" in our Annual Report on Form 10-K for the year ended December 31, 2025 and Part II, Item 1A, "Risk Factors" in other reports we file with the Securities and Exchange Commission, from time to time, all of which could materially affect our business, financial condition or future results. There have been no material changes in our risk factors from those disclosed under the caption "Item 1A. Risk Factors" to our annual report on Form 10-K for the year ended December 31,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475" w:type="dxa"/>
        <w:jc w:val="left"/>
        <w:tblInd w:w="0" w:type="dxa"/>
        <w:tblLayout w:type="fixed"/>
        <w:tblCellMar>
          <w:top w:w="28" w:type="dxa"/>
          <w:left w:w="28" w:type="dxa"/>
          <w:bottom w:w="28" w:type="dxa"/>
          <w:right w:w="28" w:type="dxa"/>
        </w:tblCellMar>
      </w:tblPr>
      <w:tblGrid>
        <w:gridCol w:w="255"/>
        <w:gridCol w:w="224"/>
        <w:gridCol w:w="226"/>
        <w:gridCol w:w="2276"/>
        <w:gridCol w:w="2276"/>
        <w:gridCol w:w="3218"/>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Unregistered Sales of Equity Securities, Use of Proceeds, and Issuer Purchases of Securities</w:t>
            </w:r>
          </w:p>
        </w:tc>
      </w:tr>
    </w:tbl>
    <w:p>
      <w:pPr>
        <w:pStyle w:val="TextBody"/>
        <w:bidi w:val="0"/>
        <w:spacing w:lineRule="auto" w:line="288" w:before="120" w:after="283"/>
        <w:jc w:val="left"/>
        <w:rPr/>
      </w:pPr>
      <w:r>
        <w:rPr>
          <w:rFonts w:ascii="Times New Roman;serif" w:hAnsi="Times New Roman;serif"/>
          <w:b w:val="false"/>
          <w:color w:val="000000"/>
          <w:sz w:val="20"/>
        </w:rPr>
        <w:t>The Company announced on February 4, 2016 that its Board approved a stock repurchase program (as updated from time to time, the "Program") author</w:t>
      </w:r>
      <w:r>
        <w:rPr>
          <w:rFonts w:ascii="Times New Roman;serif" w:hAnsi="Times New Roman;serif"/>
          <w:b w:val="false"/>
          <w:color w:val="000000"/>
          <w:sz w:val="20"/>
          <w:shd w:fill="FFFFFF" w:val="clear"/>
        </w:rPr>
        <w:t>izing the Company to repurch</w:t>
      </w:r>
      <w:r>
        <w:rPr>
          <w:rFonts w:ascii="Times New Roman;serif" w:hAnsi="Times New Roman;serif"/>
          <w:b w:val="false"/>
          <w:color w:val="000000"/>
          <w:sz w:val="20"/>
        </w:rPr>
        <w:t xml:space="preserve">ase its common stock from time to time until December 31, 2026. On April 23, 2026, the Board authorized an increase to the aggregate size of the Program by $1.0 billion to $11.1 billion. Since the beginning of the Program through June 30, 2026, 39,058,875 shares have been repurchased for an aggregate purchase price of $9.7 billion, leaving the Company up to $1.4 billion of remaining authorization available under the Program for future repurchases of shares of its common stock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as of June 30, 2026, with respect to purchases of common stock of the Company made during the three months ended June 30, 2026 by the Company as defined in Rule 10b-18(a)(3) under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54"/>
        <w:gridCol w:w="399"/>
        <w:gridCol w:w="406"/>
        <w:gridCol w:w="109"/>
        <w:gridCol w:w="109"/>
        <w:gridCol w:w="109"/>
        <w:gridCol w:w="730"/>
        <w:gridCol w:w="429"/>
        <w:gridCol w:w="431"/>
        <w:gridCol w:w="109"/>
        <w:gridCol w:w="109"/>
        <w:gridCol w:w="109"/>
        <w:gridCol w:w="262"/>
        <w:gridCol w:w="915"/>
        <w:gridCol w:w="135"/>
        <w:gridCol w:w="109"/>
        <w:gridCol w:w="109"/>
        <w:gridCol w:w="109"/>
        <w:gridCol w:w="929"/>
        <w:gridCol w:w="628"/>
        <w:gridCol w:w="630"/>
        <w:gridCol w:w="109"/>
        <w:gridCol w:w="109"/>
        <w:gridCol w:w="109"/>
        <w:gridCol w:w="400"/>
        <w:gridCol w:w="1851"/>
        <w:gridCol w:w="298"/>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the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Value that May Yet be Purchased Under the Publicly Announced Plan (in thousands)</w:t>
            </w:r>
          </w:p>
        </w:tc>
      </w:tr>
      <w:tr>
        <w:trPr/>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871,181 </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871,181 </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143,347 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143,347 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1,385,616 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1,014,528</w:t>
            </w:r>
            <w:r>
              <w:rPr>
                <w:color w:val="000000"/>
              </w:rPr>
              <w:t> </w:t>
            </w:r>
          </w:p>
        </w:tc>
        <w:tc>
          <w:tcPr>
            <w:tcW w:w="4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316.80</w:t>
            </w:r>
            <w:r>
              <w:rPr>
                <w:color w:val="000000"/>
              </w:rPr>
              <w:t>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1,014,528</w:t>
            </w:r>
            <w:r>
              <w:rPr>
                <w:color w:val="000000"/>
              </w:rPr>
              <w:t> </w:t>
            </w:r>
          </w:p>
        </w:tc>
        <w:tc>
          <w:tcPr>
            <w:tcW w:w="6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8"/>
        <w:gridCol w:w="2867"/>
        <w:gridCol w:w="4070"/>
      </w:tblGrid>
      <w:tr>
        <w:trPr/>
        <w:tc>
          <w:tcPr>
            <w:tcW w:w="3268"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During the quarter ended June 30, 2026, pursuant to our Stock Incentive Plan, we withheld 179,930 shares, at an average price per share of $343.27, in order to satisfy employees' tax withholding obligations and exercise price.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10" w:type="dxa"/>
        <w:jc w:val="left"/>
        <w:tblInd w:w="0" w:type="dxa"/>
        <w:tblLayout w:type="fixed"/>
        <w:tblCellMar>
          <w:top w:w="28" w:type="dxa"/>
          <w:left w:w="28" w:type="dxa"/>
          <w:bottom w:w="28" w:type="dxa"/>
          <w:right w:w="28" w:type="dxa"/>
        </w:tblCellMar>
      </w:tblPr>
      <w:tblGrid>
        <w:gridCol w:w="255"/>
        <w:gridCol w:w="224"/>
        <w:gridCol w:w="226"/>
        <w:gridCol w:w="819"/>
        <w:gridCol w:w="819"/>
        <w:gridCol w:w="1167"/>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Defaults Upon Senior Securities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65" w:type="dxa"/>
        <w:jc w:val="left"/>
        <w:tblInd w:w="0" w:type="dxa"/>
        <w:tblLayout w:type="fixed"/>
        <w:tblCellMar>
          <w:top w:w="28" w:type="dxa"/>
          <w:left w:w="28" w:type="dxa"/>
          <w:bottom w:w="28" w:type="dxa"/>
          <w:right w:w="28" w:type="dxa"/>
        </w:tblCellMar>
      </w:tblPr>
      <w:tblGrid>
        <w:gridCol w:w="255"/>
        <w:gridCol w:w="224"/>
        <w:gridCol w:w="226"/>
        <w:gridCol w:w="632"/>
        <w:gridCol w:w="632"/>
        <w:gridCol w:w="89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Mine Safety Disclosures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9" w:type="dxa"/>
        <w:jc w:val="left"/>
        <w:tblInd w:w="0" w:type="dxa"/>
        <w:tblLayout w:type="fixed"/>
        <w:tblCellMar>
          <w:top w:w="28" w:type="dxa"/>
          <w:left w:w="28" w:type="dxa"/>
          <w:bottom w:w="28" w:type="dxa"/>
          <w:right w:w="28" w:type="dxa"/>
        </w:tblCellMar>
      </w:tblPr>
      <w:tblGrid>
        <w:gridCol w:w="255"/>
        <w:gridCol w:w="224"/>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During the period covered by this Quarterly Report on Form 10-Q, no </w:t>
      </w:r>
      <w:r>
        <w:rPr>
          <w:rFonts w:ascii="Times New Roman;serif" w:hAnsi="Times New Roman;serif"/>
          <w:b w:val="false"/>
          <w:color w:val="000000"/>
          <w:sz w:val="20"/>
        </w:rPr>
        <w:t>director or executive officer of the Company adopted, modified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6. Exhibits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66"/>
        <w:gridCol w:w="2672"/>
        <w:gridCol w:w="379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9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00"/>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FLEETCOR Technologies, Inc., now known as Corpay, Inc., conformed to reflect amendments through June 9, 2022 (incorporated by reference to Exhibit 3.1 to the registrant’s Annual Report on Form 10-K, File No. 001-35004, filed with the SEC on February 28, 2023)</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80"/>
                  <w:sz w:val="20"/>
                  <w:u w:val="single"/>
                </w:rPr>
                <w:t>3.</w:t>
              </w:r>
            </w:hyperlink>
            <w:r>
              <w:rPr>
                <w:rFonts w:ascii="Times New Roman;serif" w:hAnsi="Times New Roman;serif"/>
                <w:b w:val="false"/>
                <w:color w:val="000000"/>
                <w:sz w:val="20"/>
                <w:u w:val="single"/>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Ownership and Merger Merging CPAY Merger Sub, Inc. into FLEETCOR Technologies, Inc. effective on March 24, 2024 (incorporated by reference to Exhibit 3.1 to the Registrant’s Current Report on Form 8-K, File No. 001-35004, filed with the SEC on March 7, 2024)</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00"/>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Corpay, Inc. Amended and Restated Bylaws, effective as of March 24, 2024 (incorporated by reference to Exhibit 3.2 to the Registrant’s Current Report on Form 8-K, File No. 001-35004, filed with the SEC on March 7, 2024)</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00"/>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Eighteenth Amendment to the Credit Agreement, dated as of May 21, 2026 among Corpay Technologies Operating Company, LLC, as the Company, Corpay, Inc., as the Parent, the other borrowers party thereto, Bank of America, N.A., as administrative agent and swing line lender, and the other lenders party thereto (incorporated by reference to Exhibit 10.1 of Registrant’s Current Report on Form 8-K, File No. 001-35004, filed with the SEC on May 22, 2026)</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2market-basedpsujuly20.htm">
              <w:r>
                <w:rPr>
                  <w:rStyle w:val="InternetLink"/>
                  <w:rFonts w:ascii="Times New Roman;serif" w:hAnsi="Times New Roman;serif"/>
                  <w:b w:val="false"/>
                  <w:color w:val="000000"/>
                  <w:sz w:val="20"/>
                  <w:u w:val="single"/>
                </w:rPr>
                <w:t>10.2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Performance Share Unit Award Certificate, dated July 22, 2026, by and between Corpay, Inc. and Ronald F. Clarke, Chief Executive Officer and Chairman of the Board of Directors of Corpay, Inc., pursuant to the Corpay, Inc. Amended and Restated Equity Incentive Plan, as amended.</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3market-basedpsujuly20.htm">
              <w:r>
                <w:rPr>
                  <w:rStyle w:val="InternetLink"/>
                  <w:rFonts w:ascii="Times New Roman;serif" w:hAnsi="Times New Roman;serif"/>
                  <w:b w:val="false"/>
                  <w:color w:val="000000"/>
                  <w:sz w:val="20"/>
                  <w:u w:val="single"/>
                </w:rPr>
                <w:t>10.3</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Performance Share Unit Award Certificate, dated July 22, 2026, by and between Corpay, Inc. and Armando Lins Netto, Group President, Vehicle Payments in Brazil of Corpay, Inc., pursuant to the Corpay, Inc. Amended and Restated Equity Incentive Plan, as amended.</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q22026.htm">
              <w:r>
                <w:rPr>
                  <w:rStyle w:val="InternetLink"/>
                  <w:rFonts w:ascii="Times New Roman;serif" w:hAnsi="Times New Roman;serif"/>
                  <w:b w:val="false"/>
                  <w:color w:val="000000"/>
                  <w:sz w:val="20"/>
                  <w:u w:val="single"/>
                </w:rPr>
                <w:t>31.1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Rule 13a-14(a) and Rule 15d-14(a) of the Securities Exchange Act, as amended</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q22026.htm">
              <w:r>
                <w:rPr>
                  <w:rStyle w:val="InternetLink"/>
                  <w:rFonts w:ascii="Times New Roman;serif" w:hAnsi="Times New Roman;serif"/>
                  <w:b w:val="false"/>
                  <w:color w:val="000000"/>
                  <w:sz w:val="20"/>
                  <w:u w:val="single"/>
                </w:rPr>
                <w:t>31.2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Rule 13a-14(a) and Rule 15d-14(a) of the Securities Exchange Act, as amended</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q22026.htm">
              <w:r>
                <w:rPr>
                  <w:rStyle w:val="InternetLink"/>
                  <w:rFonts w:ascii="Times New Roman;serif" w:hAnsi="Times New Roman;serif"/>
                  <w:b w:val="false"/>
                  <w:color w:val="000000"/>
                  <w:sz w:val="20"/>
                  <w:u w:val="single"/>
                </w:rPr>
                <w:t>32.1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18 U.S.C. 1350, as adopted pursuant to Section 906 of the Sarbanes-Oxley Act of 2002</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2q22026.htm">
              <w:r>
                <w:rPr>
                  <w:rStyle w:val="InternetLink"/>
                  <w:rFonts w:ascii="Times New Roman;serif" w:hAnsi="Times New Roman;serif"/>
                  <w:b w:val="false"/>
                  <w:color w:val="000000"/>
                  <w:sz w:val="20"/>
                  <w:u w:val="single"/>
                </w:rPr>
                <w:t>32.2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18 U.S.C. 1350, as adopted pursuant to Section 906 of the Sarbanes-Oxley Act of 2002</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for the Registrant formatted in XBRL (Extensible Business Reporting Language): (i) the Consolidated Balance Sheets, (ii) the Unaudited Consolidated Statements of Income, (iii) the Unaudited Consolidated Statements of Comprehensive Income; (iv) the Unaudited Consolidated Statements Equity; (v) the Unaudited Consolidated Statements of Cash Flows and (vi) the Notes to Unaudited Consolidated Financial Statements</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Herein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b9efe4cab6734ce9b258158dd8138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62"/>
        <w:gridCol w:w="494"/>
        <w:gridCol w:w="496"/>
        <w:gridCol w:w="109"/>
        <w:gridCol w:w="109"/>
        <w:gridCol w:w="109"/>
        <w:gridCol w:w="109"/>
        <w:gridCol w:w="109"/>
        <w:gridCol w:w="109"/>
        <w:gridCol w:w="109"/>
        <w:gridCol w:w="109"/>
        <w:gridCol w:w="109"/>
        <w:gridCol w:w="2244"/>
        <w:gridCol w:w="2244"/>
        <w:gridCol w:w="3184"/>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Corpay, Inc.</w:t>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r>
      <w:tr>
        <w:trPr/>
        <w:tc>
          <w:tcPr>
            <w:tcW w:w="1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F. Clarke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 of the Board of Directors (Duly Authorized Officer and Principal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Officer)</w:t>
            </w:r>
          </w:p>
        </w:tc>
      </w:tr>
      <w:tr>
        <w:trPr/>
        <w:tc>
          <w:tcPr>
            <w:tcW w:w="15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F. Clarke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Peter Walker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r>
        <w:trPr/>
        <w:tc>
          <w:tcPr>
            <w:tcW w:w="15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Peter Walker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CORPAY, INC.</w:t>
        <w:br/>
        <w:t xml:space="preserve">AMENDED AND RESTATED 2010 EQUITY COMPENSATION PLAN </w:t>
        <w:br/>
        <w:t>PERFORMANCE STOCK UNIT AWARD CERTIFICATE</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Pursuant to the provisions of the Corpay, Inc. Amended and Restated 2010 Equity Compensation Plan (“Plan”), Corpay, Inc. (“Company”) hereby grants to the individual identified below (the “Key Employee”) an award of Performance Stock Units (“PSUs”) as set forth below, subject to the terms and conditions of the Plan, Exhibit A of this Performance Stock Unit Award Certificate, and the Statement of Performance Goals provided to the Key Employee in connection with the PSUs (the “Statement of Performance Goals”).</w:t>
      </w:r>
    </w:p>
    <w:tbl>
      <w:tblPr>
        <w:tblW w:w="10205" w:type="dxa"/>
        <w:jc w:val="left"/>
        <w:tblInd w:w="0" w:type="dxa"/>
        <w:tblLayout w:type="fixed"/>
        <w:tblCellMar>
          <w:top w:w="28" w:type="dxa"/>
          <w:left w:w="28" w:type="dxa"/>
          <w:bottom w:w="28" w:type="dxa"/>
          <w:right w:w="28" w:type="dxa"/>
        </w:tblCellMar>
      </w:tblPr>
      <w:tblGrid>
        <w:gridCol w:w="822"/>
        <w:gridCol w:w="583"/>
        <w:gridCol w:w="584"/>
        <w:gridCol w:w="2462"/>
        <w:gridCol w:w="2462"/>
        <w:gridCol w:w="3292"/>
      </w:tblGrid>
      <w:tr>
        <w:trPr/>
        <w:tc>
          <w:tcPr>
            <w:tcW w:w="82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Key Employee:</w:t>
            </w:r>
          </w:p>
        </w:tc>
        <w:tc>
          <w:tcPr>
            <w:tcW w:w="8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Ronald F. Clarke</w:t>
            </w:r>
          </w:p>
        </w:tc>
      </w:tr>
      <w:tr>
        <w:trPr/>
        <w:tc>
          <w:tcPr>
            <w:tcW w:w="198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 xml:space="preserve">Award Number: </w:t>
            </w:r>
          </w:p>
        </w:tc>
        <w:tc>
          <w:tcPr>
            <w:tcW w:w="8216" w:type="dxa"/>
            <w:gridSpan w:val="3"/>
            <w:tcBorders/>
            <w:tcMar>
              <w:top w:w="0" w:type="dxa"/>
              <w:left w:w="0" w:type="dxa"/>
              <w:bottom w:w="0" w:type="dxa"/>
              <w:right w:w="0" w:type="dxa"/>
            </w:tcMar>
            <w:vAlign w:val="center"/>
          </w:tcPr>
          <w:p>
            <w:pPr>
              <w:pStyle w:val="TableContents"/>
              <w:bidi w:val="0"/>
              <w:spacing w:before="0" w:after="240"/>
              <w:jc w:val="left"/>
              <w:rPr/>
            </w:pPr>
            <w:r>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Grant Date:</w:t>
            </w:r>
          </w:p>
        </w:tc>
        <w:tc>
          <w:tcPr>
            <w:tcW w:w="821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July 22, 2026</w:t>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Number of PSUs Granted: </w:t>
            </w:r>
          </w:p>
        </w:tc>
        <w:tc>
          <w:tcPr>
            <w:tcW w:w="8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300,000</w:t>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Performance Criteria:</w:t>
            </w:r>
          </w:p>
        </w:tc>
        <w:tc>
          <w:tcPr>
            <w:tcW w:w="8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Achievement of the objectives set forth in the Statement of Performance Goals, subject to the Key Employee’s continuous employment through the applicable Vesting Date.</w:t>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Performance Period:</w:t>
            </w:r>
          </w:p>
        </w:tc>
        <w:tc>
          <w:tcPr>
            <w:tcW w:w="8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July 22, 2026 through August 31, 2028</w:t>
            </w:r>
          </w:p>
        </w:tc>
      </w:tr>
    </w:tbl>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You may review your equity grant and vesting schedule in your E*TRADE account. If you have any questions, please contact the equity support team.</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CORPAY, INC.</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/s/ Crystal Williams</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_____________________</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Crystal F. Williams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CHRO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PERFORMANCE STOCK UNIT AWARD CERTIFICATE</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EXHIBIT A</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TERMS AND CONDITIONS</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(“Agreement”)</w:t>
      </w:r>
    </w:p>
    <w:p>
      <w:pPr>
        <w:pStyle w:val="TextBody"/>
        <w:bidi w:val="0"/>
        <w:spacing w:lineRule="auto" w:line="288" w:before="0" w:after="240"/>
        <w:jc w:val="left"/>
        <w:rPr/>
      </w:pPr>
      <w:r>
        <w:rPr>
          <w:rFonts w:ascii="Arial;sans-serif" w:hAnsi="Arial;sans-serif"/>
          <w:b w:val="false"/>
          <w:color w:val="000000"/>
          <w:sz w:val="22"/>
        </w:rPr>
        <w:t>Capitalized</w:t>
      </w:r>
      <w:r>
        <w:rPr>
          <w:color w:val="000000"/>
        </w:rPr>
        <w:t xml:space="preserve"> </w:t>
      </w:r>
      <w:r>
        <w:rPr>
          <w:rFonts w:ascii="Arial;sans-serif" w:hAnsi="Arial;sans-serif"/>
          <w:b w:val="false"/>
          <w:color w:val="000000"/>
          <w:sz w:val="22"/>
        </w:rPr>
        <w:t>terms</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otherwise</w:t>
      </w:r>
      <w:r>
        <w:rPr>
          <w:color w:val="000000"/>
        </w:rPr>
        <w:t xml:space="preserve"> </w:t>
      </w:r>
      <w:r>
        <w:rPr>
          <w:rFonts w:ascii="Arial;sans-serif" w:hAnsi="Arial;sans-serif"/>
          <w:b w:val="false"/>
          <w:color w:val="000000"/>
          <w:sz w:val="22"/>
        </w:rPr>
        <w:t>defined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have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meaning</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set</w:t>
      </w:r>
      <w:r>
        <w:rPr>
          <w:color w:val="000000"/>
        </w:rPr>
        <w:t xml:space="preserve"> </w:t>
      </w:r>
      <w:r>
        <w:rPr>
          <w:rFonts w:ascii="Arial;sans-serif" w:hAnsi="Arial;sans-serif"/>
          <w:b w:val="false"/>
          <w:color w:val="000000"/>
          <w:sz w:val="22"/>
        </w:rPr>
        <w:t>forth</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first page of the Performance Stock Unit Award Certificate, or if not defined therein, then in the</w:t>
      </w:r>
      <w:r>
        <w:rPr>
          <w:color w:val="000000"/>
        </w:rPr>
        <w:t xml:space="preserve"> </w:t>
      </w:r>
      <w:r>
        <w:rPr>
          <w:rFonts w:ascii="Arial;sans-serif" w:hAnsi="Arial;sans-serif"/>
          <w:b w:val="false"/>
          <w:color w:val="000000"/>
          <w:sz w:val="22"/>
        </w:rPr>
        <w:t>Plan.</w:t>
      </w:r>
    </w:p>
    <w:p>
      <w:pPr>
        <w:pStyle w:val="TextBody"/>
        <w:bidi w:val="0"/>
        <w:spacing w:lineRule="auto" w:line="240" w:before="0" w:after="240"/>
        <w:ind w:left="0" w:right="0" w:firstLine="720"/>
        <w:jc w:val="both"/>
        <w:rPr/>
      </w:pPr>
      <w:r>
        <w:rPr>
          <w:rFonts w:ascii="Arial;sans-serif" w:hAnsi="Arial;sans-serif"/>
          <w:b/>
          <w:color w:val="000000"/>
          <w:sz w:val="22"/>
        </w:rPr>
        <w:t>§ 1.</w:t>
      </w:r>
      <w:r>
        <w:rPr>
          <w:rFonts w:ascii="Arial;sans-serif" w:hAnsi="Arial;sans-serif"/>
          <w:b/>
          <w:color w:val="000000"/>
          <w:sz w:val="22"/>
          <w:u w:val="single"/>
        </w:rPr>
        <w:t>Grant of Performance Stock Unit Award</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Pursuant to the provisions of the Plan, the Company grants to the Key Employee an award of Performance Stock Units (“PSUs”), in the number set forth on the first page of the Performance Stock Unit Award Certificate. Each PSU represents the right to receive one share of Stock, subject to the terms and conditions set forth in this Agreement and in the Plan, a copy of which has and will be made available to the Key Employee upon written request to the corporate Secretary of the Company.</w:t>
      </w:r>
    </w:p>
    <w:p>
      <w:pPr>
        <w:pStyle w:val="TextBody"/>
        <w:bidi w:val="0"/>
        <w:spacing w:lineRule="auto" w:line="240" w:before="0" w:after="240"/>
        <w:ind w:left="0" w:right="0" w:firstLine="720"/>
        <w:jc w:val="both"/>
        <w:rPr/>
      </w:pPr>
      <w:r>
        <w:rPr>
          <w:rFonts w:ascii="Arial;sans-serif" w:hAnsi="Arial;sans-serif"/>
          <w:b/>
          <w:color w:val="000000"/>
          <w:sz w:val="22"/>
        </w:rPr>
        <w:t>§ 2.</w:t>
      </w:r>
      <w:r>
        <w:rPr>
          <w:rFonts w:ascii="Arial;sans-serif" w:hAnsi="Arial;sans-serif"/>
          <w:b/>
          <w:color w:val="000000"/>
          <w:sz w:val="22"/>
          <w:u w:val="single"/>
        </w:rPr>
        <w:t>Vesting</w:t>
      </w:r>
      <w:r>
        <w:rPr>
          <w:rFonts w:ascii="Arial;sans-serif" w:hAnsi="Arial;sans-serif"/>
          <w:b w:val="false"/>
          <w:color w:val="000000"/>
          <w:sz w:val="22"/>
        </w:rPr>
        <w:t xml:space="preserve">. Except as otherwise provided in this Agreement, the PSUs set forth on the first page of the Performance Stock Unit Award Certificate shall vest and become non-forfeitable on the applicable Vesting Date, subject to (1) the achievement of the applicable Performance Goal set forth in the Statement of Performance Goals during the Performance Period </w:t>
      </w:r>
      <w:r>
        <w:rPr>
          <w:rFonts w:ascii="Arial;sans-serif" w:hAnsi="Arial;sans-serif"/>
          <w:b w:val="false"/>
          <w:color w:val="000000"/>
          <w:sz w:val="22"/>
          <w:u w:val="single"/>
        </w:rPr>
        <w:t>and</w:t>
      </w:r>
      <w:r>
        <w:rPr>
          <w:color w:val="000000"/>
        </w:rPr>
        <w:t xml:space="preserve"> </w:t>
      </w:r>
      <w:r>
        <w:rPr>
          <w:rFonts w:ascii="Arial;sans-serif" w:hAnsi="Arial;sans-serif"/>
          <w:b w:val="false"/>
          <w:color w:val="000000"/>
          <w:sz w:val="22"/>
        </w:rPr>
        <w:t>(2) the Key Employee remaining continuously in the Active Employment of the Company through the applicable Vesting Date. For purposes of this Agreement, “Vesting Date” means, with respect to each Tranche (as defined in the Statement of Performance Goals) of PSUs for which the applicable Performance Goal is achieved, subject to the terms of the Plan. For purposes hereof, the “Active Employment” of the Key Employee shall be deemed to cease on the earliest of:</w:t>
      </w:r>
    </w:p>
    <w:p>
      <w:pPr>
        <w:pStyle w:val="TextBody"/>
        <w:bidi w:val="0"/>
        <w:spacing w:lineRule="auto" w:line="288" w:before="0" w:after="0"/>
        <w:ind w:left="0" w:right="0" w:hanging="231"/>
        <w:jc w:val="both"/>
        <w:rPr/>
      </w:pPr>
      <w:r>
        <w:rPr>
          <w:rFonts w:ascii="Arial;sans-serif" w:hAnsi="Arial;sans-serif"/>
          <w:b w:val="false"/>
          <w:color w:val="000000"/>
          <w:sz w:val="20"/>
        </w:rPr>
        <w:t>(i)</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Key</w:t>
      </w:r>
      <w:r>
        <w:rPr>
          <w:color w:val="000000"/>
        </w:rPr>
        <w:t xml:space="preserve"> </w:t>
      </w:r>
      <w:r>
        <w:rPr>
          <w:rFonts w:ascii="Arial;sans-serif" w:hAnsi="Arial;sans-serif"/>
          <w:b w:val="false"/>
          <w:color w:val="000000"/>
          <w:sz w:val="22"/>
        </w:rPr>
        <w:t>Employee</w:t>
      </w:r>
      <w:r>
        <w:rPr>
          <w:color w:val="000000"/>
        </w:rPr>
        <w:t xml:space="preserve"> </w:t>
      </w:r>
      <w:r>
        <w:rPr>
          <w:rFonts w:ascii="Arial;sans-serif" w:hAnsi="Arial;sans-serif"/>
          <w:b w:val="false"/>
          <w:color w:val="000000"/>
          <w:sz w:val="22"/>
        </w:rPr>
        <w:t>has</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termination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employment,</w:t>
      </w:r>
    </w:p>
    <w:p>
      <w:pPr>
        <w:pStyle w:val="TextBody"/>
        <w:bidi w:val="0"/>
        <w:spacing w:before="8" w:after="283"/>
        <w:jc w:val="both"/>
        <w:rPr/>
      </w:pPr>
      <w:r>
        <w:rPr/>
      </w:r>
    </w:p>
    <w:p>
      <w:pPr>
        <w:pStyle w:val="TextBody"/>
        <w:bidi w:val="0"/>
        <w:spacing w:lineRule="auto" w:line="288" w:before="0" w:after="0"/>
        <w:jc w:val="both"/>
        <w:rPr/>
      </w:pPr>
      <w:r>
        <w:rPr>
          <w:rFonts w:ascii="Arial;sans-serif" w:hAnsi="Arial;sans-serif"/>
          <w:b w:val="false"/>
          <w:color w:val="000000"/>
          <w:sz w:val="20"/>
        </w:rPr>
        <w:t>(ii)</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provides notice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Key</w:t>
      </w:r>
      <w:r>
        <w:rPr>
          <w:color w:val="000000"/>
        </w:rPr>
        <w:t xml:space="preserve"> </w:t>
      </w:r>
      <w:r>
        <w:rPr>
          <w:rFonts w:ascii="Arial;sans-serif" w:hAnsi="Arial;sans-serif"/>
          <w:b w:val="false"/>
          <w:color w:val="000000"/>
          <w:sz w:val="22"/>
        </w:rPr>
        <w:t>Employee</w:t>
      </w:r>
      <w:r>
        <w:rPr>
          <w:color w:val="000000"/>
        </w:rPr>
        <w:t xml:space="preserve"> </w:t>
      </w:r>
      <w:r>
        <w:rPr>
          <w:rFonts w:ascii="Arial;sans-serif" w:hAnsi="Arial;sans-serif"/>
          <w:b w:val="false"/>
          <w:color w:val="000000"/>
          <w:sz w:val="22"/>
        </w:rPr>
        <w:t>terminating</w:t>
      </w:r>
      <w:r>
        <w:rPr>
          <w:color w:val="000000"/>
        </w:rPr>
        <w:t xml:space="preserve"> </w:t>
      </w:r>
      <w:r>
        <w:rPr>
          <w:rFonts w:ascii="Arial;sans-serif" w:hAnsi="Arial;sans-serif"/>
          <w:b w:val="false"/>
          <w:color w:val="000000"/>
          <w:sz w:val="22"/>
        </w:rPr>
        <w:t>his</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her</w:t>
      </w:r>
      <w:r>
        <w:rPr>
          <w:color w:val="000000"/>
        </w:rPr>
        <w:t xml:space="preserve"> </w:t>
      </w:r>
      <w:r>
        <w:rPr>
          <w:rFonts w:ascii="Arial;sans-serif" w:hAnsi="Arial;sans-serif"/>
          <w:b w:val="false"/>
          <w:color w:val="000000"/>
          <w:sz w:val="22"/>
        </w:rPr>
        <w:t>employment with the Company (whether such termination is effective immediately or at a specified date in the future), or</w:t>
      </w:r>
    </w:p>
    <w:p>
      <w:pPr>
        <w:pStyle w:val="TextBody"/>
        <w:bidi w:val="0"/>
        <w:spacing w:before="11" w:after="283"/>
        <w:jc w:val="both"/>
        <w:rPr/>
      </w:pPr>
      <w:r>
        <w:rPr/>
      </w:r>
    </w:p>
    <w:p>
      <w:pPr>
        <w:pStyle w:val="TextBody"/>
        <w:bidi w:val="0"/>
        <w:spacing w:lineRule="auto" w:line="288" w:before="0" w:after="0"/>
        <w:jc w:val="both"/>
        <w:rPr/>
      </w:pPr>
      <w:r>
        <w:rPr>
          <w:rFonts w:ascii="Arial;sans-serif" w:hAnsi="Arial;sans-serif"/>
          <w:b w:val="false"/>
          <w:color w:val="000000"/>
          <w:sz w:val="20"/>
        </w:rPr>
        <w:t>(iii)</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Key</w:t>
      </w:r>
      <w:r>
        <w:rPr>
          <w:color w:val="000000"/>
        </w:rPr>
        <w:t xml:space="preserve"> </w:t>
      </w:r>
      <w:r>
        <w:rPr>
          <w:rFonts w:ascii="Arial;sans-serif" w:hAnsi="Arial;sans-serif"/>
          <w:b w:val="false"/>
          <w:color w:val="000000"/>
          <w:sz w:val="22"/>
        </w:rPr>
        <w:t>Employee</w:t>
      </w:r>
      <w:r>
        <w:rPr>
          <w:color w:val="000000"/>
        </w:rPr>
        <w:t xml:space="preserve"> </w:t>
      </w:r>
      <w:r>
        <w:rPr>
          <w:rFonts w:ascii="Arial;sans-serif" w:hAnsi="Arial;sans-serif"/>
          <w:b w:val="false"/>
          <w:color w:val="000000"/>
          <w:sz w:val="22"/>
        </w:rPr>
        <w:t>provides</w:t>
      </w:r>
      <w:r>
        <w:rPr>
          <w:color w:val="000000"/>
        </w:rPr>
        <w:t xml:space="preserve"> </w:t>
      </w:r>
      <w:r>
        <w:rPr>
          <w:rFonts w:ascii="Arial;sans-serif" w:hAnsi="Arial;sans-serif"/>
          <w:b w:val="false"/>
          <w:color w:val="000000"/>
          <w:sz w:val="22"/>
        </w:rPr>
        <w:t>notice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terminating</w:t>
      </w:r>
      <w:r>
        <w:rPr>
          <w:color w:val="000000"/>
        </w:rPr>
        <w:t xml:space="preserve"> </w:t>
      </w:r>
      <w:r>
        <w:rPr>
          <w:rFonts w:ascii="Arial;sans-serif" w:hAnsi="Arial;sans-serif"/>
          <w:b w:val="false"/>
          <w:color w:val="000000"/>
          <w:sz w:val="22"/>
        </w:rPr>
        <w:t>his</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her</w:t>
      </w:r>
      <w:r>
        <w:rPr>
          <w:color w:val="000000"/>
        </w:rPr>
        <w:t xml:space="preserve"> </w:t>
      </w:r>
      <w:r>
        <w:rPr>
          <w:rFonts w:ascii="Arial;sans-serif" w:hAnsi="Arial;sans-serif"/>
          <w:b w:val="false"/>
          <w:color w:val="000000"/>
          <w:sz w:val="22"/>
        </w:rPr>
        <w:t>employment with the Company (whether such termination is effective immediately or at a specified date in the future);</w:t>
      </w:r>
    </w:p>
    <w:p>
      <w:pPr>
        <w:pStyle w:val="TextBody"/>
        <w:bidi w:val="0"/>
        <w:spacing w:before="0" w:after="240"/>
        <w:jc w:val="both"/>
        <w:rPr/>
      </w:pPr>
      <w:r>
        <w:rPr/>
      </w:r>
    </w:p>
    <w:p>
      <w:pPr>
        <w:pStyle w:val="TextBody"/>
        <w:bidi w:val="0"/>
        <w:spacing w:lineRule="auto" w:line="288" w:before="0" w:after="240"/>
        <w:jc w:val="both"/>
        <w:rPr/>
      </w:pPr>
      <w:r>
        <w:rPr>
          <w:rFonts w:ascii="Arial;sans-serif" w:hAnsi="Arial;sans-serif"/>
          <w:b w:val="false"/>
          <w:color w:val="000000"/>
          <w:sz w:val="22"/>
          <w:u w:val="single"/>
        </w:rPr>
        <w:t>provided</w:t>
      </w:r>
      <w:r>
        <w:rPr>
          <w:color w:val="000000"/>
        </w:rPr>
        <w:t xml:space="preserve"> </w:t>
      </w:r>
      <w:r>
        <w:rPr>
          <w:rFonts w:ascii="Arial;sans-serif" w:hAnsi="Arial;sans-serif"/>
          <w:b w:val="false"/>
          <w:color w:val="000000"/>
          <w:sz w:val="22"/>
        </w:rPr>
        <w:t>that if the Key Employee is terminated by the Company without Cause, the Key Employee shall be deemed to continue in Active Employment through to the end of any statutory notice of termination period.</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certainty,</w:t>
      </w:r>
      <w:r>
        <w:rPr>
          <w:color w:val="000000"/>
        </w:rPr>
        <w:t xml:space="preserve"> </w:t>
      </w:r>
      <w:r>
        <w:rPr>
          <w:rFonts w:ascii="Arial;sans-serif" w:hAnsi="Arial;sans-serif"/>
          <w:b w:val="false"/>
          <w:color w:val="000000"/>
          <w:sz w:val="22"/>
        </w:rPr>
        <w:t>if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Key</w:t>
      </w:r>
      <w:r>
        <w:rPr>
          <w:color w:val="000000"/>
        </w:rPr>
        <w:t xml:space="preserve"> </w:t>
      </w:r>
      <w:r>
        <w:rPr>
          <w:rFonts w:ascii="Arial;sans-serif" w:hAnsi="Arial;sans-serif"/>
          <w:b w:val="false"/>
          <w:color w:val="000000"/>
          <w:sz w:val="22"/>
        </w:rPr>
        <w:t>Employee</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terminated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without</w:t>
      </w:r>
      <w:r>
        <w:rPr>
          <w:color w:val="000000"/>
        </w:rPr>
        <w:t xml:space="preserve"> </w:t>
      </w:r>
      <w:r>
        <w:rPr>
          <w:rFonts w:ascii="Arial;sans-serif" w:hAnsi="Arial;sans-serif"/>
          <w:b w:val="false"/>
          <w:color w:val="000000"/>
          <w:sz w:val="22"/>
        </w:rPr>
        <w:t>Cause,</w:t>
      </w:r>
      <w:r>
        <w:rPr>
          <w:color w:val="000000"/>
        </w:rPr>
        <w:t xml:space="preserve"> </w:t>
      </w:r>
      <w:r>
        <w:rPr>
          <w:rFonts w:ascii="Arial;sans-serif" w:hAnsi="Arial;sans-serif"/>
          <w:b w:val="false"/>
          <w:color w:val="000000"/>
          <w:sz w:val="22"/>
        </w:rPr>
        <w:t>Active</w:t>
      </w:r>
      <w:r>
        <w:rPr>
          <w:color w:val="000000"/>
        </w:rPr>
        <w:t xml:space="preserve"> </w:t>
      </w:r>
      <w:r>
        <w:rPr>
          <w:rFonts w:ascii="Arial;sans-serif" w:hAnsi="Arial;sans-serif"/>
          <w:b w:val="false"/>
          <w:color w:val="000000"/>
          <w:sz w:val="22"/>
        </w:rPr>
        <w:t>Employment shall</w:t>
      </w:r>
      <w:r>
        <w:rPr>
          <w:color w:val="000000"/>
        </w:rPr>
        <w:t xml:space="preserve"> </w:t>
      </w:r>
      <w:r>
        <w:rPr>
          <w:rFonts w:ascii="Arial;sans-serif" w:hAnsi="Arial;sans-serif"/>
          <w:b w:val="false"/>
          <w:color w:val="000000"/>
          <w:sz w:val="22"/>
        </w:rPr>
        <w:t>immediately</w:t>
      </w:r>
      <w:r>
        <w:rPr>
          <w:color w:val="000000"/>
        </w:rPr>
        <w:t xml:space="preserve"> </w:t>
      </w:r>
      <w:r>
        <w:rPr>
          <w:rFonts w:ascii="Arial;sans-serif" w:hAnsi="Arial;sans-serif"/>
          <w:b w:val="false"/>
          <w:color w:val="000000"/>
          <w:sz w:val="22"/>
        </w:rPr>
        <w:t>cease</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end</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statutory</w:t>
      </w:r>
      <w:r>
        <w:rPr>
          <w:color w:val="000000"/>
        </w:rPr>
        <w:t xml:space="preserve"> </w:t>
      </w:r>
      <w:r>
        <w:rPr>
          <w:rFonts w:ascii="Arial;sans-serif" w:hAnsi="Arial;sans-serif"/>
          <w:b w:val="false"/>
          <w:color w:val="000000"/>
          <w:sz w:val="22"/>
        </w:rPr>
        <w:t>notice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termination</w:t>
      </w:r>
      <w:r>
        <w:rPr>
          <w:color w:val="000000"/>
        </w:rPr>
        <w:t xml:space="preserve"> </w:t>
      </w:r>
      <w:r>
        <w:rPr>
          <w:rFonts w:ascii="Arial;sans-serif" w:hAnsi="Arial;sans-serif"/>
          <w:b w:val="false"/>
          <w:color w:val="000000"/>
          <w:sz w:val="22"/>
        </w:rPr>
        <w:t>period</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extended by</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contractual</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common</w:t>
      </w:r>
      <w:r>
        <w:rPr>
          <w:color w:val="000000"/>
        </w:rPr>
        <w:t xml:space="preserve"> </w:t>
      </w:r>
      <w:r>
        <w:rPr>
          <w:rFonts w:ascii="Arial;sans-serif" w:hAnsi="Arial;sans-serif"/>
          <w:b w:val="false"/>
          <w:color w:val="000000"/>
          <w:sz w:val="22"/>
        </w:rPr>
        <w:t>law</w:t>
      </w:r>
      <w:r>
        <w:rPr>
          <w:color w:val="000000"/>
        </w:rPr>
        <w:t xml:space="preserve"> </w:t>
      </w:r>
      <w:r>
        <w:rPr>
          <w:rFonts w:ascii="Arial;sans-serif" w:hAnsi="Arial;sans-serif"/>
          <w:b w:val="false"/>
          <w:color w:val="000000"/>
          <w:sz w:val="22"/>
        </w:rPr>
        <w:t>notice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termination,</w:t>
      </w:r>
      <w:r>
        <w:rPr>
          <w:color w:val="000000"/>
        </w:rPr>
        <w:t xml:space="preserve"> </w:t>
      </w:r>
      <w:r>
        <w:rPr>
          <w:rFonts w:ascii="Arial;sans-serif" w:hAnsi="Arial;sans-serif"/>
          <w:b w:val="false"/>
          <w:color w:val="000000"/>
          <w:sz w:val="22"/>
        </w:rPr>
        <w:t>pay</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lieu</w:t>
      </w:r>
      <w:r>
        <w:rPr>
          <w:color w:val="000000"/>
        </w:rPr>
        <w:t xml:space="preserve"> </w:t>
      </w:r>
      <w:r>
        <w:rPr>
          <w:rFonts w:ascii="Arial;sans-serif" w:hAnsi="Arial;sans-serif"/>
          <w:b w:val="false"/>
          <w:color w:val="000000"/>
          <w:sz w:val="22"/>
        </w:rPr>
        <w:t>thereof,</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entitlement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payment of severance. The Committee shall determine, in its sole</w:t>
      </w:r>
      <w:r>
        <w:rPr>
          <w:color w:val="000000"/>
        </w:rPr>
        <w:t xml:space="preserve"> </w:t>
      </w:r>
      <w:r>
        <w:rPr>
          <w:rFonts w:ascii="Arial;sans-serif" w:hAnsi="Arial;sans-serif"/>
          <w:b w:val="false"/>
          <w:color w:val="000000"/>
          <w:sz w:val="22"/>
        </w:rPr>
        <w:t>discretion, the date as of which a Key Employee has</w:t>
      </w:r>
      <w:r>
        <w:rPr>
          <w:color w:val="000000"/>
        </w:rPr>
        <w:t xml:space="preserve"> </w:t>
      </w:r>
      <w:r>
        <w:rPr>
          <w:rFonts w:ascii="Arial;sans-serif" w:hAnsi="Arial;sans-serif"/>
          <w:b w:val="false"/>
          <w:color w:val="000000"/>
          <w:sz w:val="22"/>
        </w:rPr>
        <w:t>ceased</w:t>
      </w:r>
      <w:r>
        <w:rPr>
          <w:color w:val="000000"/>
        </w:rPr>
        <w:t xml:space="preserve"> </w:t>
      </w:r>
      <w:r>
        <w:rPr>
          <w:rFonts w:ascii="Arial;sans-serif" w:hAnsi="Arial;sans-serif"/>
          <w:b w:val="false"/>
          <w:color w:val="000000"/>
          <w:sz w:val="22"/>
        </w:rPr>
        <w:t>Active</w:t>
      </w:r>
      <w:r>
        <w:rPr>
          <w:color w:val="000000"/>
        </w:rPr>
        <w:t xml:space="preserve"> </w:t>
      </w:r>
      <w:r>
        <w:rPr>
          <w:rFonts w:ascii="Arial;sans-serif" w:hAnsi="Arial;sans-serif"/>
          <w:b w:val="false"/>
          <w:color w:val="000000"/>
          <w:sz w:val="22"/>
        </w:rPr>
        <w:t>Employment</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purposes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determining</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vesting</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PSUs. The Key Employee shall not be deemed to have a termination of employment as a result of a transfer between the Company, a Parent, or a Subsidiary or Affiliate or any combinations of such organizations.</w:t>
      </w:r>
    </w:p>
    <w:p>
      <w:pPr>
        <w:pStyle w:val="TextBody"/>
        <w:bidi w:val="0"/>
        <w:spacing w:lineRule="auto" w:line="288" w:before="0" w:after="240"/>
        <w:ind w:left="0" w:right="0" w:firstLine="720"/>
        <w:jc w:val="both"/>
        <w:rPr/>
      </w:pPr>
      <w:r>
        <w:rPr>
          <w:rFonts w:ascii="Arial;sans-serif" w:hAnsi="Arial;sans-serif"/>
          <w:b w:val="false"/>
          <w:color w:val="000000"/>
          <w:sz w:val="22"/>
        </w:rPr>
        <w:t>§ 3.</w:t>
      </w:r>
      <w:r>
        <w:rPr>
          <w:rFonts w:ascii="Arial;sans-serif" w:hAnsi="Arial;sans-serif"/>
          <w:b w:val="false"/>
          <w:color w:val="000000"/>
          <w:sz w:val="22"/>
        </w:rPr>
        <w:t>Subject to § 3, if either condition set forth in the first sentence of this § 2 is not satisfied with respect to any PSUs, such PSUs</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automatically</w:t>
      </w:r>
      <w:r>
        <w:rPr>
          <w:color w:val="000000"/>
        </w:rPr>
        <w:t xml:space="preserve"> </w:t>
      </w:r>
      <w:r>
        <w:rPr>
          <w:rFonts w:ascii="Arial;sans-serif" w:hAnsi="Arial;sans-serif"/>
          <w:b w:val="false"/>
          <w:color w:val="000000"/>
          <w:sz w:val="22"/>
        </w:rPr>
        <w:t>forfeited</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have</w:t>
      </w:r>
      <w:r>
        <w:rPr>
          <w:color w:val="000000"/>
        </w:rPr>
        <w:t xml:space="preserve"> </w:t>
      </w:r>
      <w:r>
        <w:rPr>
          <w:rFonts w:ascii="Arial;sans-serif" w:hAnsi="Arial;sans-serif"/>
          <w:b w:val="false"/>
          <w:color w:val="000000"/>
          <w:sz w:val="22"/>
        </w:rPr>
        <w:t>any further</w:t>
      </w:r>
      <w:r>
        <w:rPr>
          <w:color w:val="000000"/>
        </w:rPr>
        <w:t xml:space="preserve"> </w:t>
      </w:r>
      <w:r>
        <w:rPr>
          <w:rFonts w:ascii="Arial;sans-serif" w:hAnsi="Arial;sans-serif"/>
          <w:b w:val="false"/>
          <w:color w:val="000000"/>
          <w:sz w:val="22"/>
        </w:rPr>
        <w:t>obligation</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Key Employee</w:t>
      </w:r>
      <w:r>
        <w:rPr>
          <w:color w:val="000000"/>
        </w:rPr>
        <w:t xml:space="preserve"> </w:t>
      </w:r>
      <w:r>
        <w:rPr>
          <w:rFonts w:ascii="Arial;sans-serif" w:hAnsi="Arial;sans-serif"/>
          <w:b w:val="false"/>
          <w:color w:val="000000"/>
          <w:sz w:val="22"/>
        </w:rPr>
        <w:t>under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 with respect to such PSUs.</w:t>
      </w:r>
      <w:r>
        <w:rPr>
          <w:color w:val="000000"/>
        </w:rPr>
        <w:t xml:space="preserve"> </w:t>
      </w:r>
      <w:r>
        <w:rPr>
          <w:rFonts w:ascii="Arial;sans-serif" w:hAnsi="Arial;sans-serif"/>
          <w:b w:val="false"/>
          <w:color w:val="000000"/>
          <w:sz w:val="22"/>
        </w:rPr>
        <w:t>Once</w:t>
      </w:r>
      <w:r>
        <w:rPr>
          <w:color w:val="000000"/>
        </w:rPr>
        <w:t xml:space="preserve"> </w:t>
      </w:r>
      <w:r>
        <w:rPr>
          <w:rFonts w:ascii="Arial;sans-serif" w:hAnsi="Arial;sans-serif"/>
          <w:b w:val="false"/>
          <w:color w:val="000000"/>
          <w:sz w:val="22"/>
        </w:rPr>
        <w:t>vested,</w:t>
      </w:r>
      <w:r>
        <w:rPr>
          <w:color w:val="000000"/>
        </w:rPr>
        <w:t xml:space="preserve"> </w:t>
      </w:r>
      <w:r>
        <w:rPr>
          <w:rFonts w:ascii="Arial;sans-serif" w:hAnsi="Arial;sans-serif"/>
          <w:b w:val="false"/>
          <w:color w:val="000000"/>
          <w:sz w:val="22"/>
        </w:rPr>
        <w:t>PSUs</w:t>
      </w:r>
      <w:r>
        <w:rPr>
          <w:color w:val="000000"/>
        </w:rPr>
        <w:t xml:space="preserve"> </w:t>
      </w:r>
      <w:r>
        <w:rPr>
          <w:rFonts w:ascii="Arial;sans-serif" w:hAnsi="Arial;sans-serif"/>
          <w:b w:val="false"/>
          <w:color w:val="000000"/>
          <w:sz w:val="22"/>
        </w:rPr>
        <w:t>shall become “Vested Units.”</w:t>
      </w:r>
    </w:p>
    <w:p>
      <w:pPr>
        <w:pStyle w:val="TextBody"/>
        <w:bidi w:val="0"/>
        <w:spacing w:lineRule="auto" w:line="240" w:before="0" w:after="240"/>
        <w:ind w:left="0" w:right="0" w:firstLine="720"/>
        <w:jc w:val="both"/>
        <w:rPr/>
      </w:pPr>
      <w:r>
        <w:rPr>
          <w:rFonts w:ascii="Arial;sans-serif" w:hAnsi="Arial;sans-serif"/>
          <w:b/>
          <w:color w:val="000000"/>
          <w:sz w:val="22"/>
        </w:rPr>
        <w:t>§ 4.</w:t>
      </w:r>
      <w:r>
        <w:rPr>
          <w:rFonts w:ascii="Arial;sans-serif" w:hAnsi="Arial;sans-serif"/>
          <w:b/>
          <w:color w:val="000000"/>
          <w:sz w:val="22"/>
          <w:u w:val="single"/>
        </w:rPr>
        <w:t>Change in Control, Death, or Disability:</w:t>
      </w:r>
      <w:r>
        <w:rPr>
          <w:color w:val="000000"/>
        </w:rPr>
        <w:t xml:space="preserve"> </w:t>
      </w:r>
      <w:r>
        <w:rPr>
          <w:rFonts w:ascii="Arial;sans-serif" w:hAnsi="Arial;sans-serif"/>
          <w:b w:val="false"/>
          <w:color w:val="000000"/>
          <w:sz w:val="22"/>
        </w:rPr>
        <w:t>If (1) there is a Change in Control on any date and the Plan and the PSUs</w:t>
      </w:r>
      <w:r>
        <w:rPr>
          <w:color w:val="000000"/>
        </w:rPr>
        <w:t xml:space="preserve"> </w:t>
      </w:r>
      <w:r>
        <w:rPr>
          <w:rFonts w:ascii="Arial;sans-serif" w:hAnsi="Arial;sans-serif"/>
          <w:b w:val="false"/>
          <w:color w:val="000000"/>
          <w:sz w:val="22"/>
        </w:rPr>
        <w:t>are</w:t>
      </w:r>
      <w:r>
        <w:rPr>
          <w:color w:val="000000"/>
        </w:rPr>
        <w:t xml:space="preserve"> </w:t>
      </w:r>
      <w:r>
        <w:rPr>
          <w:rFonts w:ascii="Arial;sans-serif" w:hAnsi="Arial;sans-serif"/>
          <w:b w:val="false"/>
          <w:color w:val="000000"/>
          <w:sz w:val="22"/>
        </w:rPr>
        <w:t>continued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full</w:t>
      </w:r>
      <w:r>
        <w:rPr>
          <w:color w:val="000000"/>
        </w:rPr>
        <w:t xml:space="preserve"> </w:t>
      </w:r>
      <w:r>
        <w:rPr>
          <w:rFonts w:ascii="Arial;sans-serif" w:hAnsi="Arial;sans-serif"/>
          <w:b w:val="false"/>
          <w:color w:val="000000"/>
          <w:sz w:val="22"/>
        </w:rPr>
        <w:t>force</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effect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there</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an</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assumption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substitution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PSUs pursuant to the merger or other agreement which</w:t>
      </w:r>
      <w:r>
        <w:rPr>
          <w:color w:val="000000"/>
        </w:rPr>
        <w:t xml:space="preserve"> </w:t>
      </w:r>
      <w:r>
        <w:rPr>
          <w:rFonts w:ascii="Arial;sans-serif" w:hAnsi="Arial;sans-serif"/>
          <w:b w:val="false"/>
          <w:color w:val="000000"/>
          <w:sz w:val="22"/>
        </w:rPr>
        <w:t>effects such</w:t>
      </w:r>
      <w:r>
        <w:rPr>
          <w:color w:val="000000"/>
        </w:rPr>
        <w:t xml:space="preserve"> </w:t>
      </w:r>
      <w:r>
        <w:rPr>
          <w:rFonts w:ascii="Arial;sans-serif" w:hAnsi="Arial;sans-serif"/>
          <w:b w:val="false"/>
          <w:color w:val="000000"/>
          <w:sz w:val="22"/>
        </w:rPr>
        <w:t>Change in</w:t>
      </w:r>
      <w:r>
        <w:rPr>
          <w:color w:val="000000"/>
        </w:rPr>
        <w:t xml:space="preserve"> </w:t>
      </w:r>
      <w:r>
        <w:rPr>
          <w:rFonts w:ascii="Arial;sans-serif" w:hAnsi="Arial;sans-serif"/>
          <w:b w:val="false"/>
          <w:color w:val="000000"/>
          <w:sz w:val="22"/>
        </w:rPr>
        <w:t>Control and</w:t>
      </w:r>
      <w:r>
        <w:rPr>
          <w:color w:val="000000"/>
        </w:rPr>
        <w:t xml:space="preserve"> </w:t>
      </w:r>
      <w:r>
        <w:rPr>
          <w:rFonts w:ascii="Arial;sans-serif" w:hAnsi="Arial;sans-serif"/>
          <w:b w:val="false"/>
          <w:color w:val="000000"/>
          <w:sz w:val="22"/>
        </w:rPr>
        <w:t>(2) the Key Employee’s employment</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terminated</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Company’s</w:t>
      </w:r>
      <w:r>
        <w:rPr>
          <w:color w:val="000000"/>
        </w:rPr>
        <w:t xml:space="preserve"> </w:t>
      </w:r>
      <w:r>
        <w:rPr>
          <w:rFonts w:ascii="Arial;sans-serif" w:hAnsi="Arial;sans-serif"/>
          <w:b w:val="false"/>
          <w:color w:val="000000"/>
          <w:sz w:val="22"/>
        </w:rPr>
        <w:t>initiative</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reasons</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than</w:t>
      </w:r>
      <w:r>
        <w:rPr>
          <w:color w:val="000000"/>
        </w:rPr>
        <w:t xml:space="preserve"> </w:t>
      </w:r>
      <w:r>
        <w:rPr>
          <w:rFonts w:ascii="Arial;sans-serif" w:hAnsi="Arial;sans-serif"/>
          <w:b w:val="false"/>
          <w:color w:val="000000"/>
          <w:sz w:val="22"/>
        </w:rPr>
        <w:t>Cause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terminated</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the Key Employee’s</w:t>
      </w:r>
      <w:r>
        <w:rPr>
          <w:color w:val="000000"/>
        </w:rPr>
        <w:t xml:space="preserve"> </w:t>
      </w:r>
      <w:r>
        <w:rPr>
          <w:rFonts w:ascii="Arial;sans-serif" w:hAnsi="Arial;sans-serif"/>
          <w:b w:val="false"/>
          <w:color w:val="000000"/>
          <w:sz w:val="22"/>
        </w:rPr>
        <w:t>initiative</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Good</w:t>
      </w:r>
      <w:r>
        <w:rPr>
          <w:color w:val="000000"/>
        </w:rPr>
        <w:t xml:space="preserve"> </w:t>
      </w:r>
      <w:r>
        <w:rPr>
          <w:rFonts w:ascii="Arial;sans-serif" w:hAnsi="Arial;sans-serif"/>
          <w:b w:val="false"/>
          <w:color w:val="000000"/>
          <w:sz w:val="22"/>
        </w:rPr>
        <w:t>Reason</w:t>
      </w:r>
      <w:r>
        <w:rPr>
          <w:color w:val="000000"/>
        </w:rPr>
        <w:t xml:space="preserve"> </w:t>
      </w:r>
      <w:r>
        <w:rPr>
          <w:rFonts w:ascii="Arial;sans-serif" w:hAnsi="Arial;sans-serif"/>
          <w:b w:val="false"/>
          <w:color w:val="000000"/>
          <w:sz w:val="22"/>
        </w:rPr>
        <w:t>within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Protection</w:t>
      </w:r>
      <w:r>
        <w:rPr>
          <w:color w:val="000000"/>
        </w:rPr>
        <w:t xml:space="preserve"> </w:t>
      </w:r>
      <w:r>
        <w:rPr>
          <w:rFonts w:ascii="Arial;sans-serif" w:hAnsi="Arial;sans-serif"/>
          <w:b w:val="false"/>
          <w:color w:val="000000"/>
          <w:sz w:val="22"/>
        </w:rPr>
        <w:t>Period,</w:t>
      </w:r>
      <w:r>
        <w:rPr>
          <w:color w:val="000000"/>
        </w:rPr>
        <w:t xml:space="preserve"> </w:t>
      </w:r>
      <w:r>
        <w:rPr>
          <w:rFonts w:ascii="Arial;sans-serif" w:hAnsi="Arial;sans-serif"/>
          <w:b w:val="false"/>
          <w:color w:val="000000"/>
          <w:sz w:val="22"/>
        </w:rPr>
        <w:t>then the PSUs shall fully vest and be non-forfeitable on the date his or her employment so terminates (without regard to § 2 of this Agreement) in accordance with § 14 of the Plan as in effect on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Grant</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If there</w:t>
      </w:r>
      <w:r>
        <w:rPr>
          <w:color w:val="000000"/>
        </w:rPr>
        <w:t xml:space="preserve"> </w:t>
      </w:r>
      <w:r>
        <w:rPr>
          <w:rFonts w:ascii="Arial;sans-serif" w:hAnsi="Arial;sans-serif"/>
          <w:b w:val="false"/>
          <w:color w:val="000000"/>
          <w:sz w:val="22"/>
        </w:rPr>
        <w:t>is a</w:t>
      </w:r>
      <w:r>
        <w:rPr>
          <w:color w:val="000000"/>
        </w:rPr>
        <w:t xml:space="preserve"> </w:t>
      </w:r>
      <w:r>
        <w:rPr>
          <w:rFonts w:ascii="Arial;sans-serif" w:hAnsi="Arial;sans-serif"/>
          <w:b w:val="false"/>
          <w:color w:val="000000"/>
          <w:sz w:val="22"/>
        </w:rPr>
        <w:t>Change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Control</w:t>
      </w:r>
      <w:r>
        <w:rPr>
          <w:color w:val="000000"/>
        </w:rPr>
        <w:t xml:space="preserve"> </w:t>
      </w:r>
      <w:r>
        <w:rPr>
          <w:rFonts w:ascii="Arial;sans-serif" w:hAnsi="Arial;sans-serif"/>
          <w:b w:val="false"/>
          <w:color w:val="000000"/>
          <w:sz w:val="22"/>
        </w:rPr>
        <w:t>on any</w:t>
      </w:r>
      <w:r>
        <w:rPr>
          <w:color w:val="000000"/>
        </w:rPr>
        <w:t xml:space="preserve"> </w:t>
      </w:r>
      <w:r>
        <w:rPr>
          <w:rFonts w:ascii="Arial;sans-serif" w:hAnsi="Arial;sans-serif"/>
          <w:b w:val="false"/>
          <w:color w:val="000000"/>
          <w:sz w:val="22"/>
        </w:rPr>
        <w:t>date and</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PSUs are not continued in full force and effect or there is no assumption or substitution of the PSUs pursuant to the merger or</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which effects</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Change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Control,</w:t>
      </w:r>
      <w:r>
        <w:rPr>
          <w:color w:val="000000"/>
        </w:rPr>
        <w:t xml:space="preserve"> </w:t>
      </w:r>
      <w:r>
        <w:rPr>
          <w:rFonts w:ascii="Arial;sans-serif" w:hAnsi="Arial;sans-serif"/>
          <w:b w:val="false"/>
          <w:color w:val="000000"/>
          <w:sz w:val="22"/>
        </w:rPr>
        <w:t>then the PSUs shall fully</w:t>
      </w:r>
      <w:r>
        <w:rPr>
          <w:color w:val="000000"/>
        </w:rPr>
        <w:t xml:space="preserve"> </w:t>
      </w:r>
      <w:r>
        <w:rPr>
          <w:rFonts w:ascii="Arial;sans-serif" w:hAnsi="Arial;sans-serif"/>
          <w:b w:val="false"/>
          <w:color w:val="000000"/>
          <w:sz w:val="22"/>
        </w:rPr>
        <w:t>vest</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non-forfeitable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accordance</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14</w:t>
      </w:r>
      <w:r>
        <w:rPr>
          <w:color w:val="000000"/>
        </w:rPr>
        <w:t xml:space="preserve"> </w:t>
      </w:r>
      <w:r>
        <w:rPr>
          <w:rFonts w:ascii="Arial;sans-serif" w:hAnsi="Arial;sans-serif"/>
          <w:b w:val="false"/>
          <w:color w:val="000000"/>
          <w:sz w:val="22"/>
        </w:rPr>
        <w:t>of the</w:t>
      </w:r>
      <w:r>
        <w:rPr>
          <w:color w:val="000000"/>
        </w:rPr>
        <w:t xml:space="preserve"> </w:t>
      </w:r>
      <w:r>
        <w:rPr>
          <w:rFonts w:ascii="Arial;sans-serif" w:hAnsi="Arial;sans-serif"/>
          <w:b w:val="false"/>
          <w:color w:val="000000"/>
          <w:sz w:val="22"/>
        </w:rPr>
        <w:t>Plan</w:t>
      </w:r>
      <w:r>
        <w:rPr>
          <w:color w:val="000000"/>
        </w:rPr>
        <w:t xml:space="preserve"> </w:t>
      </w:r>
      <w:r>
        <w:rPr>
          <w:rFonts w:ascii="Arial;sans-serif" w:hAnsi="Arial;sans-serif"/>
          <w:b w:val="false"/>
          <w:color w:val="000000"/>
          <w:sz w:val="22"/>
        </w:rPr>
        <w:t>(as in effect on the Grant Date) on the date of the Change in Control.</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 xml:space="preserve">In the event that Key Employee’s Active Employment terminates because Key Employee dies or becomes disabled, the unvested portion of the PSUs will vest subject to the degree of achievement of the Stock Price Hurdle requirements. </w:t>
      </w:r>
    </w:p>
    <w:p>
      <w:pPr>
        <w:pStyle w:val="TextBody"/>
        <w:bidi w:val="0"/>
        <w:spacing w:lineRule="auto" w:line="240" w:before="0" w:after="240"/>
        <w:ind w:left="0" w:right="0" w:firstLine="720"/>
        <w:jc w:val="both"/>
        <w:rPr/>
      </w:pPr>
      <w:r>
        <w:rPr>
          <w:rFonts w:ascii="Arial;sans-serif" w:hAnsi="Arial;sans-serif"/>
          <w:b/>
          <w:color w:val="000000"/>
          <w:sz w:val="22"/>
        </w:rPr>
        <w:t>§ 5.</w:t>
      </w:r>
      <w:r>
        <w:rPr>
          <w:rFonts w:ascii="Arial;sans-serif" w:hAnsi="Arial;sans-serif"/>
          <w:b/>
          <w:color w:val="000000"/>
          <w:sz w:val="22"/>
          <w:u w:val="single"/>
        </w:rPr>
        <w:t>Restrictions</w:t>
      </w:r>
      <w:r>
        <w:rPr>
          <w:rFonts w:ascii="Arial;sans-serif" w:hAnsi="Arial;sans-serif"/>
          <w:b w:val="false"/>
          <w:color w:val="000000"/>
          <w:sz w:val="22"/>
        </w:rPr>
        <w:t>. Subject to any exceptions set forth in this Agreement or the Plan, until the PSUs</w:t>
      </w:r>
      <w:r>
        <w:rPr>
          <w:color w:val="000000"/>
        </w:rPr>
        <w:t xml:space="preserve"> </w:t>
      </w:r>
      <w:r>
        <w:rPr>
          <w:rFonts w:ascii="Arial;sans-serif" w:hAnsi="Arial;sans-serif"/>
          <w:b w:val="false"/>
          <w:color w:val="000000"/>
          <w:sz w:val="22"/>
        </w:rPr>
        <w:t>are</w:t>
      </w:r>
      <w:r>
        <w:rPr>
          <w:color w:val="000000"/>
        </w:rPr>
        <w:t xml:space="preserve"> </w:t>
      </w:r>
      <w:r>
        <w:rPr>
          <w:rFonts w:ascii="Arial;sans-serif" w:hAnsi="Arial;sans-serif"/>
          <w:b w:val="false"/>
          <w:color w:val="000000"/>
          <w:sz w:val="22"/>
        </w:rPr>
        <w:t>settled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accordance</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7</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PSUs or the rights relating thereto may not be assigned, alienated, pledged, attached, sold or otherwise transferred or encumbered by the Key Employee. Any attempt to assign, alienate, pledge, attach, sell or otherwise transfer or encumber the PSUs or the rights relating thereto shall be wholly ineffective and, if any such attempt is made, the PSUs will be forfeited by the Key Employee and all of the Key Employee's rights to such PSUs shall immediately terminate without any payment or consideration by the Company.</w:t>
      </w:r>
    </w:p>
    <w:p>
      <w:pPr>
        <w:pStyle w:val="TextBody"/>
        <w:bidi w:val="0"/>
        <w:spacing w:lineRule="auto" w:line="240" w:before="0" w:after="240"/>
        <w:ind w:left="0" w:right="0" w:firstLine="720"/>
        <w:jc w:val="both"/>
        <w:rPr/>
      </w:pPr>
      <w:r>
        <w:rPr>
          <w:rFonts w:ascii="Arial;sans-serif" w:hAnsi="Arial;sans-serif"/>
          <w:b/>
          <w:color w:val="000000"/>
          <w:sz w:val="22"/>
        </w:rPr>
        <w:t>§ 6.</w:t>
      </w:r>
      <w:r>
        <w:rPr>
          <w:rFonts w:ascii="Arial;sans-serif" w:hAnsi="Arial;sans-serif"/>
          <w:b/>
          <w:color w:val="000000"/>
          <w:sz w:val="22"/>
          <w:u w:val="single"/>
        </w:rPr>
        <w:t>Clawback Provisions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Notwithstanding any other provision of this Agreement to the contrary, any PSU granted, shares of stock issued, and/or any amount received with respect to</w:t>
      </w:r>
      <w:r>
        <w:rPr>
          <w:color w:val="000000"/>
        </w:rPr>
        <w:t xml:space="preserve"> </w:t>
      </w:r>
      <w:r>
        <w:rPr>
          <w:rFonts w:ascii="Arial;sans-serif" w:hAnsi="Arial;sans-serif"/>
          <w:b w:val="false"/>
          <w:color w:val="000000"/>
          <w:sz w:val="22"/>
        </w:rPr>
        <w:t>any sale</w:t>
      </w:r>
      <w:r>
        <w:rPr>
          <w:color w:val="000000"/>
        </w:rPr>
        <w:t xml:space="preserve"> </w:t>
      </w:r>
      <w:r>
        <w:rPr>
          <w:rFonts w:ascii="Arial;sans-serif" w:hAnsi="Arial;sans-serif"/>
          <w:b w:val="false"/>
          <w:color w:val="000000"/>
          <w:sz w:val="22"/>
        </w:rPr>
        <w:t>of any such</w:t>
      </w:r>
      <w:r>
        <w:rPr>
          <w:color w:val="000000"/>
        </w:rPr>
        <w:t xml:space="preserve"> </w:t>
      </w:r>
      <w:r>
        <w:rPr>
          <w:rFonts w:ascii="Arial;sans-serif" w:hAnsi="Arial;sans-serif"/>
          <w:b w:val="false"/>
          <w:color w:val="000000"/>
          <w:sz w:val="22"/>
        </w:rPr>
        <w:t>shares of</w:t>
      </w:r>
      <w:r>
        <w:rPr>
          <w:color w:val="000000"/>
        </w:rPr>
        <w:t xml:space="preserve"> </w:t>
      </w:r>
      <w:r>
        <w:rPr>
          <w:rFonts w:ascii="Arial;sans-serif" w:hAnsi="Arial;sans-serif"/>
          <w:b w:val="false"/>
          <w:color w:val="000000"/>
          <w:sz w:val="22"/>
        </w:rPr>
        <w:t>stock,</w:t>
      </w:r>
      <w:r>
        <w:rPr>
          <w:color w:val="000000"/>
        </w:rPr>
        <w:t xml:space="preserve"> </w:t>
      </w:r>
      <w:r>
        <w:rPr>
          <w:rFonts w:ascii="Arial;sans-serif" w:hAnsi="Arial;sans-serif"/>
          <w:b w:val="false"/>
          <w:color w:val="000000"/>
          <w:sz w:val="22"/>
        </w:rPr>
        <w:t>shall be subject</w:t>
      </w:r>
      <w:r>
        <w:rPr>
          <w:color w:val="000000"/>
        </w:rPr>
        <w:t xml:space="preserve"> </w:t>
      </w:r>
      <w:r>
        <w:rPr>
          <w:rFonts w:ascii="Arial;sans-serif" w:hAnsi="Arial;sans-serif"/>
          <w:b w:val="false"/>
          <w:color w:val="000000"/>
          <w:sz w:val="22"/>
        </w:rPr>
        <w:t>to potential</w:t>
      </w:r>
      <w:r>
        <w:rPr>
          <w:color w:val="000000"/>
        </w:rPr>
        <w:t xml:space="preserve"> </w:t>
      </w:r>
      <w:r>
        <w:rPr>
          <w:rFonts w:ascii="Arial;sans-serif" w:hAnsi="Arial;sans-serif"/>
          <w:b w:val="false"/>
          <w:color w:val="000000"/>
          <w:sz w:val="22"/>
        </w:rPr>
        <w:t>cancellation, recoupment, rescission, payback or other action in accordance with the terms of the Company’s Compensation Recoupment Policy effective October 23, 2023, as it may be amended from time to time (the “Policy”). The Key Employee agrees and consents to the Company’s application, implementation and enforcement of (a) the Policy or any similar policy established by the Company that may apply to the Key Employee and (b) any provision of applicable law relating to cancellation,</w:t>
      </w:r>
      <w:r>
        <w:rPr>
          <w:color w:val="000000"/>
        </w:rPr>
        <w:t xml:space="preserve"> </w:t>
      </w:r>
      <w:r>
        <w:rPr>
          <w:rFonts w:ascii="Arial;sans-serif" w:hAnsi="Arial;sans-serif"/>
          <w:b w:val="false"/>
          <w:color w:val="000000"/>
          <w:sz w:val="22"/>
        </w:rPr>
        <w:t>rescission,</w:t>
      </w:r>
      <w:r>
        <w:rPr>
          <w:color w:val="000000"/>
        </w:rPr>
        <w:t xml:space="preserve"> </w:t>
      </w:r>
      <w:r>
        <w:rPr>
          <w:rFonts w:ascii="Arial;sans-serif" w:hAnsi="Arial;sans-serif"/>
          <w:b w:val="false"/>
          <w:color w:val="000000"/>
          <w:sz w:val="22"/>
        </w:rPr>
        <w:t>payback</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recoupment</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compensation,</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expressly</w:t>
      </w:r>
      <w:r>
        <w:rPr>
          <w:color w:val="000000"/>
        </w:rPr>
        <w:t xml:space="preserve"> </w:t>
      </w:r>
      <w:r>
        <w:rPr>
          <w:rFonts w:ascii="Arial;sans-serif" w:hAnsi="Arial;sans-serif"/>
          <w:b w:val="false"/>
          <w:color w:val="000000"/>
          <w:sz w:val="22"/>
        </w:rPr>
        <w:t>agrees</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 may take such actions as are necessary to effectuate the Policy, any similar policy (as applicable to the Key Employee)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law</w:t>
      </w:r>
      <w:r>
        <w:rPr>
          <w:color w:val="000000"/>
        </w:rPr>
        <w:t xml:space="preserve"> </w:t>
      </w:r>
      <w:r>
        <w:rPr>
          <w:rFonts w:ascii="Arial;sans-serif" w:hAnsi="Arial;sans-serif"/>
          <w:b w:val="false"/>
          <w:color w:val="000000"/>
          <w:sz w:val="22"/>
        </w:rPr>
        <w:t>without</w:t>
      </w:r>
      <w:r>
        <w:rPr>
          <w:color w:val="000000"/>
        </w:rPr>
        <w:t xml:space="preserve"> </w:t>
      </w:r>
      <w:r>
        <w:rPr>
          <w:rFonts w:ascii="Arial;sans-serif" w:hAnsi="Arial;sans-serif"/>
          <w:b w:val="false"/>
          <w:color w:val="000000"/>
          <w:sz w:val="22"/>
        </w:rPr>
        <w:t>further</w:t>
      </w:r>
      <w:r>
        <w:rPr>
          <w:color w:val="000000"/>
        </w:rPr>
        <w:t xml:space="preserve"> </w:t>
      </w:r>
      <w:r>
        <w:rPr>
          <w:rFonts w:ascii="Arial;sans-serif" w:hAnsi="Arial;sans-serif"/>
          <w:b w:val="false"/>
          <w:color w:val="000000"/>
          <w:sz w:val="22"/>
        </w:rPr>
        <w:t>consent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action</w:t>
      </w:r>
      <w:r>
        <w:rPr>
          <w:color w:val="000000"/>
        </w:rPr>
        <w:t xml:space="preserve"> </w:t>
      </w:r>
      <w:r>
        <w:rPr>
          <w:rFonts w:ascii="Arial;sans-serif" w:hAnsi="Arial;sans-serif"/>
          <w:b w:val="false"/>
          <w:color w:val="000000"/>
          <w:sz w:val="22"/>
        </w:rPr>
        <w:t>being</w:t>
      </w:r>
      <w:r>
        <w:rPr>
          <w:color w:val="000000"/>
        </w:rPr>
        <w:t xml:space="preserve"> </w:t>
      </w:r>
      <w:r>
        <w:rPr>
          <w:rFonts w:ascii="Arial;sans-serif" w:hAnsi="Arial;sans-serif"/>
          <w:b w:val="false"/>
          <w:color w:val="000000"/>
          <w:sz w:val="22"/>
        </w:rPr>
        <w:t>required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 Key Employee.</w:t>
      </w:r>
      <w:r>
        <w:rPr>
          <w:color w:val="000000"/>
        </w:rPr>
        <w:t xml:space="preserve"> </w:t>
      </w:r>
      <w:r>
        <w:rPr>
          <w:rFonts w:ascii="Arial;sans-serif" w:hAnsi="Arial;sans-serif"/>
          <w:b w:val="false"/>
          <w:color w:val="000000"/>
          <w:sz w:val="22"/>
        </w:rPr>
        <w:t>To the extent that the terms of this Agreement and the Policy or any similar policy conflict, then the terms of the Policy shall prevail.</w:t>
      </w:r>
    </w:p>
    <w:p>
      <w:pPr>
        <w:pStyle w:val="TextBody"/>
        <w:bidi w:val="0"/>
        <w:spacing w:lineRule="auto" w:line="240" w:before="0" w:after="240"/>
        <w:ind w:left="0" w:right="0" w:firstLine="720"/>
        <w:jc w:val="both"/>
        <w:rPr/>
      </w:pPr>
      <w:r>
        <w:rPr>
          <w:rFonts w:ascii="Arial;sans-serif" w:hAnsi="Arial;sans-serif"/>
          <w:b/>
          <w:color w:val="000000"/>
          <w:sz w:val="22"/>
        </w:rPr>
        <w:t>§ 7.</w:t>
      </w:r>
      <w:r>
        <w:rPr>
          <w:rFonts w:ascii="Arial;sans-serif" w:hAnsi="Arial;sans-serif"/>
          <w:b/>
          <w:color w:val="000000"/>
          <w:sz w:val="22"/>
          <w:u w:val="single"/>
        </w:rPr>
        <w:t>Voting Rights</w:t>
      </w:r>
      <w:r>
        <w:rPr>
          <w:rFonts w:ascii="Arial;sans-serif" w:hAnsi="Arial;sans-serif"/>
          <w:b w:val="false"/>
          <w:color w:val="000000"/>
          <w:sz w:val="22"/>
        </w:rPr>
        <w:t>. The Key Employee shall not have any rights as a shareholder with respect to PSUs unless and until such PSUs vest and are settled by the issuance of shares of Stock in accordance with § 7 of this Agreement.</w:t>
      </w:r>
    </w:p>
    <w:p>
      <w:pPr>
        <w:pStyle w:val="TextBody"/>
        <w:bidi w:val="0"/>
        <w:spacing w:lineRule="auto" w:line="240" w:before="0" w:after="240"/>
        <w:ind w:left="0" w:right="0" w:firstLine="720"/>
        <w:jc w:val="both"/>
        <w:rPr/>
      </w:pPr>
      <w:r>
        <w:rPr>
          <w:rFonts w:ascii="Arial;sans-serif" w:hAnsi="Arial;sans-serif"/>
          <w:b/>
          <w:color w:val="000000"/>
          <w:sz w:val="22"/>
        </w:rPr>
        <w:t>§ 8.</w:t>
      </w:r>
      <w:r>
        <w:rPr>
          <w:rFonts w:ascii="Arial;sans-serif" w:hAnsi="Arial;sans-serif"/>
          <w:b/>
          <w:color w:val="000000"/>
          <w:sz w:val="22"/>
          <w:u w:val="single"/>
        </w:rPr>
        <w:t>Settlement</w:t>
      </w:r>
      <w:r>
        <w:rPr>
          <w:color w:val="000000"/>
          <w:u w:val="single"/>
        </w:rPr>
        <w:t xml:space="preserve"> </w:t>
      </w:r>
      <w:r>
        <w:rPr>
          <w:rFonts w:ascii="Arial;sans-serif" w:hAnsi="Arial;sans-serif"/>
          <w:b/>
          <w:color w:val="000000"/>
          <w:sz w:val="22"/>
          <w:u w:val="single"/>
        </w:rPr>
        <w:t>and</w:t>
      </w:r>
      <w:r>
        <w:rPr>
          <w:color w:val="000000"/>
          <w:u w:val="single"/>
        </w:rPr>
        <w:t xml:space="preserve"> </w:t>
      </w:r>
      <w:r>
        <w:rPr>
          <w:rFonts w:ascii="Arial;sans-serif" w:hAnsi="Arial;sans-serif"/>
          <w:b/>
          <w:color w:val="000000"/>
          <w:sz w:val="22"/>
          <w:u w:val="single"/>
        </w:rPr>
        <w:t>Payment</w:t>
      </w:r>
      <w:r>
        <w:rPr>
          <w:color w:val="000000"/>
          <w:u w:val="single"/>
        </w:rPr>
        <w:t xml:space="preserve"> </w:t>
      </w:r>
      <w:r>
        <w:rPr>
          <w:rFonts w:ascii="Arial;sans-serif" w:hAnsi="Arial;sans-serif"/>
          <w:b/>
          <w:color w:val="000000"/>
          <w:sz w:val="22"/>
          <w:u w:val="single"/>
        </w:rPr>
        <w:t>of</w:t>
      </w:r>
      <w:r>
        <w:rPr>
          <w:color w:val="000000"/>
          <w:u w:val="single"/>
        </w:rPr>
        <w:t xml:space="preserve"> </w:t>
      </w:r>
      <w:r>
        <w:rPr>
          <w:rFonts w:ascii="Arial;sans-serif" w:hAnsi="Arial;sans-serif"/>
          <w:b/>
          <w:color w:val="000000"/>
          <w:sz w:val="22"/>
          <w:u w:val="single"/>
        </w:rPr>
        <w:t>Performance</w:t>
      </w:r>
      <w:r>
        <w:rPr>
          <w:color w:val="000000"/>
          <w:u w:val="single"/>
        </w:rPr>
        <w:t xml:space="preserve"> </w:t>
      </w:r>
      <w:r>
        <w:rPr>
          <w:rFonts w:ascii="Arial;sans-serif" w:hAnsi="Arial;sans-serif"/>
          <w:b/>
          <w:color w:val="000000"/>
          <w:sz w:val="22"/>
          <w:u w:val="single"/>
        </w:rPr>
        <w:t>Stock</w:t>
      </w:r>
      <w:r>
        <w:rPr>
          <w:color w:val="000000"/>
          <w:u w:val="single"/>
        </w:rPr>
        <w:t xml:space="preserve"> </w:t>
      </w:r>
      <w:r>
        <w:rPr>
          <w:rFonts w:ascii="Arial;sans-serif" w:hAnsi="Arial;sans-serif"/>
          <w:b/>
          <w:color w:val="000000"/>
          <w:sz w:val="22"/>
          <w:u w:val="single"/>
        </w:rPr>
        <w:t>Units</w:t>
      </w:r>
      <w:r>
        <w:rPr>
          <w:rFonts w:ascii="Arial;sans-serif" w:hAnsi="Arial;sans-serif"/>
          <w:b w:val="false"/>
          <w:color w:val="000000"/>
          <w:sz w:val="22"/>
        </w:rPr>
        <w:t>.</w:t>
      </w:r>
    </w:p>
    <w:p>
      <w:pPr>
        <w:pStyle w:val="TextBody"/>
        <w:bidi w:val="0"/>
        <w:spacing w:lineRule="auto" w:line="240" w:before="0" w:after="240"/>
        <w:ind w:left="0" w:right="0" w:hanging="720"/>
        <w:jc w:val="both"/>
        <w:rPr/>
      </w:pPr>
      <w:r>
        <w:rPr>
          <w:rFonts w:ascii="Arial;sans-serif" w:hAnsi="Arial;sans-serif"/>
          <w:b w:val="false"/>
          <w:color w:val="000000"/>
          <w:sz w:val="22"/>
        </w:rPr>
        <w:t>(a)Within 30 days after any PSUs become Vested Units, and in all events within the short-term deferral period for purposes of Section 409A of the Code, the Company shall (1) issue and deliver</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 Key Employee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number</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shares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Stock</w:t>
      </w:r>
      <w:r>
        <w:rPr>
          <w:color w:val="000000"/>
        </w:rPr>
        <w:t xml:space="preserve"> </w:t>
      </w:r>
      <w:r>
        <w:rPr>
          <w:rFonts w:ascii="Arial;sans-serif" w:hAnsi="Arial;sans-serif"/>
          <w:b w:val="false"/>
          <w:color w:val="000000"/>
          <w:sz w:val="22"/>
        </w:rPr>
        <w:t>equal</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number</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such Vested Units, and (2) enter the Key Employee’s name on the books of the Company as the shareholder of record with respect to the shares of Stock delivered to the Key Employee.</w:t>
      </w:r>
    </w:p>
    <w:p>
      <w:pPr>
        <w:pStyle w:val="TextBody"/>
        <w:bidi w:val="0"/>
        <w:spacing w:lineRule="auto" w:line="240" w:before="0" w:after="240"/>
        <w:ind w:left="0" w:right="0" w:hanging="720"/>
        <w:jc w:val="both"/>
        <w:rPr/>
      </w:pPr>
      <w:r>
        <w:rPr>
          <w:rFonts w:ascii="Arial;sans-serif" w:hAnsi="Arial;sans-serif"/>
          <w:b w:val="false"/>
          <w:color w:val="000000"/>
          <w:sz w:val="22"/>
        </w:rPr>
        <w:t>(b)If</w:t>
      </w:r>
      <w:r>
        <w:rPr>
          <w:color w:val="000000"/>
        </w:rPr>
        <w:t xml:space="preserve"> </w:t>
      </w:r>
      <w:r>
        <w:rPr>
          <w:rFonts w:ascii="Arial;sans-serif" w:hAnsi="Arial;sans-serif"/>
          <w:b w:val="false"/>
          <w:color w:val="000000"/>
          <w:sz w:val="22"/>
        </w:rPr>
        <w:t>the Key Employee</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deemed</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"specified</w:t>
      </w:r>
      <w:r>
        <w:rPr>
          <w:color w:val="000000"/>
        </w:rPr>
        <w:t xml:space="preserve"> </w:t>
      </w:r>
      <w:r>
        <w:rPr>
          <w:rFonts w:ascii="Arial;sans-serif" w:hAnsi="Arial;sans-serif"/>
          <w:b w:val="false"/>
          <w:color w:val="000000"/>
          <w:sz w:val="22"/>
        </w:rPr>
        <w:t>employee"</w:t>
      </w:r>
      <w:r>
        <w:rPr>
          <w:color w:val="000000"/>
        </w:rPr>
        <w:t xml:space="preserve"> </w:t>
      </w:r>
      <w:r>
        <w:rPr>
          <w:rFonts w:ascii="Arial;sans-serif" w:hAnsi="Arial;sans-serif"/>
          <w:b w:val="false"/>
          <w:color w:val="000000"/>
          <w:sz w:val="22"/>
        </w:rPr>
        <w:t>within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meaning</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409A 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Code,</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determined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Committee,</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time</w:t>
      </w:r>
      <w:r>
        <w:rPr>
          <w:color w:val="000000"/>
        </w:rPr>
        <w:t xml:space="preserve"> </w:t>
      </w:r>
      <w:r>
        <w:rPr>
          <w:rFonts w:ascii="Arial;sans-serif" w:hAnsi="Arial;sans-serif"/>
          <w:b w:val="false"/>
          <w:color w:val="000000"/>
          <w:sz w:val="22"/>
        </w:rPr>
        <w:t>when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Key Employee</w:t>
      </w:r>
      <w:r>
        <w:rPr>
          <w:color w:val="000000"/>
        </w:rPr>
        <w:t xml:space="preserve"> </w:t>
      </w:r>
      <w:r>
        <w:rPr>
          <w:rFonts w:ascii="Arial;sans-serif" w:hAnsi="Arial;sans-serif"/>
          <w:b w:val="false"/>
          <w:color w:val="000000"/>
          <w:sz w:val="22"/>
        </w:rPr>
        <w:t>becomes eligible for settlement of the PSUs upon his "separation from service" within the meaning of Section 409A of the Code, then to the extent necessary to prevent any</w:t>
      </w:r>
      <w:r>
        <w:rPr>
          <w:color w:val="000000"/>
        </w:rPr>
        <w:t xml:space="preserve"> </w:t>
      </w:r>
      <w:r>
        <w:rPr>
          <w:rFonts w:ascii="Arial;sans-serif" w:hAnsi="Arial;sans-serif"/>
          <w:b w:val="false"/>
          <w:color w:val="000000"/>
          <w:sz w:val="22"/>
        </w:rPr>
        <w:t>accelerated</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additional</w:t>
      </w:r>
      <w:r>
        <w:rPr>
          <w:color w:val="000000"/>
        </w:rPr>
        <w:t xml:space="preserve"> </w:t>
      </w:r>
      <w:r>
        <w:rPr>
          <w:rFonts w:ascii="Arial;sans-serif" w:hAnsi="Arial;sans-serif"/>
          <w:b w:val="false"/>
          <w:color w:val="000000"/>
          <w:sz w:val="22"/>
        </w:rPr>
        <w:t>tax under</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409A 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Code,</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settlement</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 delayed</w:t>
      </w:r>
      <w:r>
        <w:rPr>
          <w:color w:val="000000"/>
        </w:rPr>
        <w:t xml:space="preserve"> </w:t>
      </w:r>
      <w:r>
        <w:rPr>
          <w:rFonts w:ascii="Arial;sans-serif" w:hAnsi="Arial;sans-serif"/>
          <w:b w:val="false"/>
          <w:color w:val="000000"/>
          <w:sz w:val="22"/>
        </w:rPr>
        <w:t>until</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earlier</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(1)</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six</w:t>
      </w:r>
      <w:r>
        <w:rPr>
          <w:color w:val="000000"/>
        </w:rPr>
        <w:t xml:space="preserve"> </w:t>
      </w:r>
      <w:r>
        <w:rPr>
          <w:rFonts w:ascii="Arial;sans-serif" w:hAnsi="Arial;sans-serif"/>
          <w:b w:val="false"/>
          <w:color w:val="000000"/>
          <w:sz w:val="22"/>
        </w:rPr>
        <w:t>(6)</w:t>
      </w:r>
      <w:r>
        <w:rPr>
          <w:color w:val="000000"/>
        </w:rPr>
        <w:t xml:space="preserve"> </w:t>
      </w:r>
      <w:r>
        <w:rPr>
          <w:rFonts w:ascii="Arial;sans-serif" w:hAnsi="Arial;sans-serif"/>
          <w:b w:val="false"/>
          <w:color w:val="000000"/>
          <w:sz w:val="22"/>
        </w:rPr>
        <w:t>months</w:t>
      </w:r>
      <w:r>
        <w:rPr>
          <w:color w:val="000000"/>
        </w:rPr>
        <w:t xml:space="preserve"> </w:t>
      </w:r>
      <w:r>
        <w:rPr>
          <w:rFonts w:ascii="Arial;sans-serif" w:hAnsi="Arial;sans-serif"/>
          <w:b w:val="false"/>
          <w:color w:val="000000"/>
          <w:sz w:val="22"/>
        </w:rPr>
        <w:t>following</w:t>
      </w:r>
      <w:r>
        <w:rPr>
          <w:color w:val="000000"/>
        </w:rPr>
        <w:t xml:space="preserve"> </w:t>
      </w:r>
      <w:r>
        <w:rPr>
          <w:rFonts w:ascii="Arial;sans-serif" w:hAnsi="Arial;sans-serif"/>
          <w:b w:val="false"/>
          <w:color w:val="000000"/>
          <w:sz w:val="22"/>
        </w:rPr>
        <w:t>the Key Employee's separation from service and (2) the Key Employee's death.</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Arial;sans-serif" w:hAnsi="Arial;sans-serif"/>
          <w:b w:val="false"/>
          <w:color w:val="000000"/>
          <w:sz w:val="22"/>
        </w:rPr>
        <w:t>(c)To the extent that the Key Employee does not vest in any PSUs, all interest</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PSUs</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forfeited.</w:t>
      </w:r>
      <w:r>
        <w:rPr>
          <w:color w:val="000000"/>
        </w:rPr>
        <w:t xml:space="preserve"> </w:t>
      </w:r>
      <w:r>
        <w:rPr>
          <w:rFonts w:ascii="Arial;sans-serif" w:hAnsi="Arial;sans-serif"/>
          <w:b w:val="false"/>
          <w:color w:val="000000"/>
          <w:sz w:val="22"/>
        </w:rPr>
        <w:t>The Key Employee</w:t>
      </w:r>
      <w:r>
        <w:rPr>
          <w:color w:val="000000"/>
        </w:rPr>
        <w:t xml:space="preserve"> </w:t>
      </w:r>
      <w:r>
        <w:rPr>
          <w:rFonts w:ascii="Arial;sans-serif" w:hAnsi="Arial;sans-serif"/>
          <w:b w:val="false"/>
          <w:color w:val="000000"/>
          <w:sz w:val="22"/>
        </w:rPr>
        <w:t>has</w:t>
      </w:r>
      <w:r>
        <w:rPr>
          <w:color w:val="000000"/>
        </w:rPr>
        <w:t xml:space="preserve"> </w:t>
      </w:r>
      <w:r>
        <w:rPr>
          <w:rFonts w:ascii="Arial;sans-serif" w:hAnsi="Arial;sans-serif"/>
          <w:b w:val="false"/>
          <w:color w:val="000000"/>
          <w:sz w:val="22"/>
        </w:rPr>
        <w:t>no</w:t>
      </w:r>
      <w:r>
        <w:rPr>
          <w:color w:val="000000"/>
        </w:rPr>
        <w:t xml:space="preserve"> </w:t>
      </w:r>
      <w:r>
        <w:rPr>
          <w:rFonts w:ascii="Arial;sans-serif" w:hAnsi="Arial;sans-serif"/>
          <w:b w:val="false"/>
          <w:color w:val="000000"/>
          <w:sz w:val="22"/>
        </w:rPr>
        <w:t>right or interest in any PSUs that are forfeited.</w:t>
      </w:r>
    </w:p>
    <w:p>
      <w:pPr>
        <w:pStyle w:val="TextBody"/>
        <w:bidi w:val="0"/>
        <w:spacing w:lineRule="auto" w:line="240" w:before="0" w:after="240"/>
        <w:ind w:left="0" w:right="0" w:firstLine="720"/>
        <w:jc w:val="both"/>
        <w:rPr/>
      </w:pPr>
      <w:r>
        <w:rPr>
          <w:rFonts w:ascii="Arial;sans-serif" w:hAnsi="Arial;sans-serif"/>
          <w:b/>
          <w:color w:val="000000"/>
          <w:sz w:val="22"/>
        </w:rPr>
        <w:t>§ 9.</w:t>
      </w:r>
      <w:r>
        <w:rPr>
          <w:rFonts w:ascii="Arial;sans-serif" w:hAnsi="Arial;sans-serif"/>
          <w:b/>
          <w:color w:val="000000"/>
          <w:sz w:val="22"/>
          <w:u w:val="single"/>
        </w:rPr>
        <w:t>No Right to Continued Service</w:t>
      </w:r>
      <w:r>
        <w:rPr>
          <w:rFonts w:ascii="Arial;sans-serif" w:hAnsi="Arial;sans-serif"/>
          <w:b w:val="false"/>
          <w:color w:val="000000"/>
          <w:sz w:val="22"/>
        </w:rPr>
        <w:t>. Neither the Plan nor this Agreement shall confer upon</w:t>
      </w:r>
      <w:r>
        <w:rPr>
          <w:color w:val="000000"/>
        </w:rPr>
        <w:t xml:space="preserve"> </w:t>
      </w:r>
      <w:r>
        <w:rPr>
          <w:rFonts w:ascii="Arial;sans-serif" w:hAnsi="Arial;sans-serif"/>
          <w:b w:val="false"/>
          <w:color w:val="000000"/>
          <w:sz w:val="22"/>
        </w:rPr>
        <w:t>the Key Employee</w:t>
      </w:r>
      <w:r>
        <w:rPr>
          <w:color w:val="000000"/>
        </w:rPr>
        <w:t xml:space="preserve"> </w:t>
      </w:r>
      <w:r>
        <w:rPr>
          <w:rFonts w:ascii="Arial;sans-serif" w:hAnsi="Arial;sans-serif"/>
          <w:b w:val="false"/>
          <w:color w:val="000000"/>
          <w:sz w:val="22"/>
        </w:rPr>
        <w:t>any right to</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retained 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employment</w:t>
      </w:r>
      <w:r>
        <w:rPr>
          <w:color w:val="000000"/>
        </w:rPr>
        <w:t xml:space="preserve"> </w:t>
      </w:r>
      <w:r>
        <w:rPr>
          <w:rFonts w:ascii="Arial;sans-serif" w:hAnsi="Arial;sans-serif"/>
          <w:b w:val="false"/>
          <w:color w:val="000000"/>
          <w:sz w:val="22"/>
        </w:rPr>
        <w:t>or service</w:t>
      </w:r>
      <w:r>
        <w:rPr>
          <w:color w:val="000000"/>
        </w:rPr>
        <w:t xml:space="preserve"> </w:t>
      </w:r>
      <w:r>
        <w:rPr>
          <w:rFonts w:ascii="Arial;sans-serif" w:hAnsi="Arial;sans-serif"/>
          <w:b w:val="false"/>
          <w:color w:val="000000"/>
          <w:sz w:val="22"/>
        </w:rPr>
        <w:t>of 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Further,</w:t>
      </w:r>
      <w:r>
        <w:rPr>
          <w:color w:val="000000"/>
        </w:rPr>
        <w:t xml:space="preserve"> </w:t>
      </w:r>
      <w:r>
        <w:rPr>
          <w:rFonts w:ascii="Arial;sans-serif" w:hAnsi="Arial;sans-serif"/>
          <w:b w:val="false"/>
          <w:color w:val="000000"/>
          <w:sz w:val="22"/>
        </w:rPr>
        <w:t>nothing 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Plan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construed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limit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discretion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terminate</w:t>
      </w:r>
      <w:r>
        <w:rPr>
          <w:color w:val="000000"/>
        </w:rPr>
        <w:t xml:space="preserve"> </w:t>
      </w:r>
      <w:r>
        <w:rPr>
          <w:rFonts w:ascii="Arial;sans-serif" w:hAnsi="Arial;sans-serif"/>
          <w:b w:val="false"/>
          <w:color w:val="000000"/>
          <w:sz w:val="22"/>
        </w:rPr>
        <w:t>the Key Employee's employment or service at any time for any reason.</w:t>
      </w:r>
    </w:p>
    <w:p>
      <w:pPr>
        <w:pStyle w:val="TextBody"/>
        <w:bidi w:val="0"/>
        <w:spacing w:lineRule="auto" w:line="240" w:before="0" w:after="240"/>
        <w:ind w:left="0" w:right="0" w:firstLine="720"/>
        <w:jc w:val="both"/>
        <w:rPr/>
      </w:pPr>
      <w:r>
        <w:rPr>
          <w:rFonts w:ascii="Arial;sans-serif" w:hAnsi="Arial;sans-serif"/>
          <w:b/>
          <w:color w:val="000000"/>
          <w:sz w:val="22"/>
        </w:rPr>
        <w:t>§ 10.</w:t>
      </w:r>
      <w:r>
        <w:rPr>
          <w:rFonts w:ascii="Arial;sans-serif" w:hAnsi="Arial;sans-serif"/>
          <w:b/>
          <w:color w:val="000000"/>
          <w:sz w:val="22"/>
          <w:u w:val="single"/>
        </w:rPr>
        <w:t>Adjustments</w:t>
      </w:r>
      <w:r>
        <w:rPr>
          <w:rFonts w:ascii="Arial;sans-serif" w:hAnsi="Arial;sans-serif"/>
          <w:b w:val="false"/>
          <w:color w:val="000000"/>
          <w:sz w:val="22"/>
        </w:rPr>
        <w:t>. If any change is made to the outstanding shares of Stock or the capital structure of the Company, if required, the PSUs shall be adjusted in any manner as contemplated by § 13 of the Plan.</w:t>
      </w:r>
    </w:p>
    <w:p>
      <w:pPr>
        <w:pStyle w:val="TextBody"/>
        <w:bidi w:val="0"/>
        <w:spacing w:lineRule="auto" w:line="240" w:before="0" w:after="240"/>
        <w:ind w:left="0" w:right="0" w:firstLine="720"/>
        <w:jc w:val="both"/>
        <w:rPr/>
      </w:pPr>
      <w:r>
        <w:rPr>
          <w:rFonts w:ascii="Arial;sans-serif" w:hAnsi="Arial;sans-serif"/>
          <w:b/>
          <w:color w:val="000000"/>
          <w:sz w:val="22"/>
        </w:rPr>
        <w:t>§ 11.</w:t>
      </w:r>
      <w:r>
        <w:rPr>
          <w:rFonts w:ascii="Arial;sans-serif" w:hAnsi="Arial;sans-serif"/>
          <w:b/>
          <w:color w:val="000000"/>
          <w:sz w:val="22"/>
          <w:u w:val="single"/>
        </w:rPr>
        <w:t>Tax Liability and Withholding</w:t>
      </w:r>
      <w:r>
        <w:rPr>
          <w:rFonts w:ascii="Arial;sans-serif" w:hAnsi="Arial;sans-serif"/>
          <w:b w:val="false"/>
          <w:color w:val="000000"/>
          <w:sz w:val="22"/>
        </w:rPr>
        <w:t>. The Key Employee hereby directs that the Company satisfy any applicable tax withholding requirements arising out of the vesting of this grant of PSUs by withholding shares of Stock that otherwise would be transferred to the Key Employee, provided that any such action by the Company shall not result in a violation of Section 16(b) of the 1934 Act.</w:t>
      </w:r>
    </w:p>
    <w:p>
      <w:pPr>
        <w:pStyle w:val="TextBody"/>
        <w:bidi w:val="0"/>
        <w:spacing w:lineRule="auto" w:line="240" w:before="0" w:after="240"/>
        <w:ind w:left="0" w:right="0" w:firstLine="720"/>
        <w:jc w:val="both"/>
        <w:rPr/>
      </w:pPr>
      <w:r>
        <w:rPr>
          <w:rFonts w:ascii="Arial;sans-serif" w:hAnsi="Arial;sans-serif"/>
          <w:b/>
          <w:color w:val="000000"/>
          <w:sz w:val="22"/>
        </w:rPr>
        <w:t>§ 12.</w:t>
      </w:r>
      <w:r>
        <w:rPr>
          <w:rFonts w:ascii="Arial;sans-serif" w:hAnsi="Arial;sans-serif"/>
          <w:b/>
          <w:color w:val="000000"/>
          <w:sz w:val="22"/>
          <w:u w:val="single"/>
        </w:rPr>
        <w:t>Compliance with Law</w:t>
      </w:r>
      <w:r>
        <w:rPr>
          <w:rFonts w:ascii="Arial;sans-serif" w:hAnsi="Arial;sans-serif"/>
          <w:b w:val="false"/>
          <w:color w:val="000000"/>
          <w:sz w:val="22"/>
        </w:rPr>
        <w:t>. The PSUs and the issuance or transfer of shares of Stock in accordance with § 7 shall be subject to compliance by the Company and the Key Employee with all applicable requirements of federal and state securities laws and with all applicable requirements of any stock exchange on which the shares of Stock may be listed. No shares of Stock shall be issued or transferred unless and until all applicable requirements of state and federal law and regulatory agencies have been fully complied with to the satisfaction of the Company and its counsel. The Key Employee understands that the Company is under no obligation to register the shares of Stock with the Securities and Exchange Commission, any state securities commission or any stock exchange to effect such compliance.</w:t>
      </w:r>
    </w:p>
    <w:p>
      <w:pPr>
        <w:pStyle w:val="TextBody"/>
        <w:bidi w:val="0"/>
        <w:spacing w:lineRule="auto" w:line="240" w:before="0" w:after="240"/>
        <w:ind w:left="0" w:right="0" w:firstLine="720"/>
        <w:jc w:val="both"/>
        <w:rPr/>
      </w:pPr>
      <w:r>
        <w:rPr>
          <w:rFonts w:ascii="Arial;sans-serif" w:hAnsi="Arial;sans-serif"/>
          <w:b/>
          <w:color w:val="000000"/>
          <w:sz w:val="22"/>
        </w:rPr>
        <w:t>§ 13.</w:t>
      </w:r>
      <w:r>
        <w:rPr>
          <w:rFonts w:ascii="Arial;sans-serif" w:hAnsi="Arial;sans-serif"/>
          <w:b/>
          <w:color w:val="000000"/>
          <w:sz w:val="22"/>
          <w:u w:val="single"/>
        </w:rPr>
        <w:t>Notices</w:t>
      </w:r>
      <w:r>
        <w:rPr>
          <w:rFonts w:ascii="Arial;sans-serif" w:hAnsi="Arial;sans-serif"/>
          <w:b w:val="false"/>
          <w:color w:val="000000"/>
          <w:sz w:val="22"/>
        </w:rPr>
        <w:t>. Any notice required to be delivered to the Company under this Agreement shall be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writing</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addressed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Committee,</w:t>
      </w:r>
      <w:r>
        <w:rPr>
          <w:color w:val="000000"/>
        </w:rPr>
        <w:t xml:space="preserve"> </w:t>
      </w:r>
      <w:r>
        <w:rPr>
          <w:rFonts w:ascii="Arial;sans-serif" w:hAnsi="Arial;sans-serif"/>
          <w:b w:val="false"/>
          <w:color w:val="000000"/>
          <w:sz w:val="22"/>
        </w:rPr>
        <w:t>care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Company's</w:t>
      </w:r>
      <w:r>
        <w:rPr>
          <w:color w:val="000000"/>
        </w:rPr>
        <w:t xml:space="preserve"> </w:t>
      </w:r>
      <w:r>
        <w:rPr>
          <w:rFonts w:ascii="Arial;sans-serif" w:hAnsi="Arial;sans-serif"/>
          <w:b w:val="false"/>
          <w:color w:val="000000"/>
          <w:sz w:val="22"/>
        </w:rPr>
        <w:t>principal</w:t>
      </w:r>
      <w:r>
        <w:rPr>
          <w:color w:val="000000"/>
        </w:rPr>
        <w:t xml:space="preserve"> </w:t>
      </w:r>
      <w:r>
        <w:rPr>
          <w:rFonts w:ascii="Arial;sans-serif" w:hAnsi="Arial;sans-serif"/>
          <w:b w:val="false"/>
          <w:color w:val="000000"/>
          <w:sz w:val="22"/>
        </w:rPr>
        <w:t>corporate offices. Any notice required to be delivered to the Key Employee under this Agreement shall be in writing and addressed to the Key Employee at the Key Employee's address as shown in the records of the Company.</w:t>
      </w:r>
      <w:r>
        <w:rPr>
          <w:color w:val="000000"/>
        </w:rPr>
        <w:t xml:space="preserve"> </w:t>
      </w:r>
      <w:r>
        <w:rPr>
          <w:rFonts w:ascii="Arial;sans-serif" w:hAnsi="Arial;sans-serif"/>
          <w:b w:val="false"/>
          <w:color w:val="000000"/>
          <w:sz w:val="22"/>
        </w:rPr>
        <w:t>Either</w:t>
      </w:r>
      <w:r>
        <w:rPr>
          <w:color w:val="000000"/>
        </w:rPr>
        <w:t xml:space="preserve"> </w:t>
      </w:r>
      <w:r>
        <w:rPr>
          <w:rFonts w:ascii="Arial;sans-serif" w:hAnsi="Arial;sans-serif"/>
          <w:b w:val="false"/>
          <w:color w:val="000000"/>
          <w:sz w:val="22"/>
        </w:rPr>
        <w:t>party</w:t>
      </w:r>
      <w:r>
        <w:rPr>
          <w:color w:val="000000"/>
        </w:rPr>
        <w:t xml:space="preserve"> </w:t>
      </w:r>
      <w:r>
        <w:rPr>
          <w:rFonts w:ascii="Arial;sans-serif" w:hAnsi="Arial;sans-serif"/>
          <w:b w:val="false"/>
          <w:color w:val="000000"/>
          <w:sz w:val="22"/>
        </w:rPr>
        <w:t>may</w:t>
      </w:r>
      <w:r>
        <w:rPr>
          <w:color w:val="000000"/>
        </w:rPr>
        <w:t xml:space="preserve"> </w:t>
      </w:r>
      <w:r>
        <w:rPr>
          <w:rFonts w:ascii="Arial;sans-serif" w:hAnsi="Arial;sans-serif"/>
          <w:b w:val="false"/>
          <w:color w:val="000000"/>
          <w:sz w:val="22"/>
        </w:rPr>
        <w:t>designate</w:t>
      </w:r>
      <w:r>
        <w:rPr>
          <w:color w:val="000000"/>
        </w:rPr>
        <w:t xml:space="preserve"> </w:t>
      </w:r>
      <w:r>
        <w:rPr>
          <w:rFonts w:ascii="Arial;sans-serif" w:hAnsi="Arial;sans-serif"/>
          <w:b w:val="false"/>
          <w:color w:val="000000"/>
          <w:sz w:val="22"/>
        </w:rPr>
        <w:t>another</w:t>
      </w:r>
      <w:r>
        <w:rPr>
          <w:color w:val="000000"/>
        </w:rPr>
        <w:t xml:space="preserve"> </w:t>
      </w:r>
      <w:r>
        <w:rPr>
          <w:rFonts w:ascii="Arial;sans-serif" w:hAnsi="Arial;sans-serif"/>
          <w:b w:val="false"/>
          <w:color w:val="000000"/>
          <w:sz w:val="22"/>
        </w:rPr>
        <w:t>address</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writing</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method</w:t>
      </w:r>
      <w:r>
        <w:rPr>
          <w:color w:val="000000"/>
        </w:rPr>
        <w:t xml:space="preserve"> </w:t>
      </w:r>
      <w:r>
        <w:rPr>
          <w:rFonts w:ascii="Arial;sans-serif" w:hAnsi="Arial;sans-serif"/>
          <w:b w:val="false"/>
          <w:color w:val="000000"/>
          <w:sz w:val="22"/>
        </w:rPr>
        <w:t>approved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 Committee) from time to time.</w:t>
      </w:r>
    </w:p>
    <w:p>
      <w:pPr>
        <w:pStyle w:val="TextBody"/>
        <w:bidi w:val="0"/>
        <w:spacing w:lineRule="auto" w:line="240" w:before="0" w:after="240"/>
        <w:ind w:left="0" w:right="0" w:firstLine="720"/>
        <w:jc w:val="both"/>
        <w:rPr/>
      </w:pPr>
      <w:r>
        <w:rPr>
          <w:rFonts w:ascii="Arial;sans-serif" w:hAnsi="Arial;sans-serif"/>
          <w:b/>
          <w:color w:val="000000"/>
          <w:sz w:val="22"/>
        </w:rPr>
        <w:t>§ 14.</w:t>
      </w:r>
      <w:r>
        <w:rPr>
          <w:rFonts w:ascii="Arial;sans-serif" w:hAnsi="Arial;sans-serif"/>
          <w:b/>
          <w:color w:val="000000"/>
          <w:sz w:val="22"/>
          <w:u w:val="single"/>
        </w:rPr>
        <w:t>Governing</w:t>
      </w:r>
      <w:r>
        <w:rPr>
          <w:color w:val="000000"/>
          <w:u w:val="single"/>
        </w:rPr>
        <w:t xml:space="preserve"> </w:t>
      </w:r>
      <w:r>
        <w:rPr>
          <w:rFonts w:ascii="Arial;sans-serif" w:hAnsi="Arial;sans-serif"/>
          <w:b/>
          <w:color w:val="000000"/>
          <w:sz w:val="22"/>
          <w:u w:val="single"/>
        </w:rPr>
        <w:t>Law</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construed</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interpreted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accordance</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the laws of the State of Delaware without regard to conflict of law principles.</w:t>
      </w:r>
    </w:p>
    <w:p>
      <w:pPr>
        <w:pStyle w:val="TextBody"/>
        <w:bidi w:val="0"/>
        <w:spacing w:lineRule="auto" w:line="240" w:before="0" w:after="240"/>
        <w:ind w:left="0" w:right="0" w:firstLine="720"/>
        <w:jc w:val="both"/>
        <w:rPr/>
      </w:pPr>
      <w:r>
        <w:rPr>
          <w:rFonts w:ascii="Arial;sans-serif" w:hAnsi="Arial;sans-serif"/>
          <w:b/>
          <w:color w:val="000000"/>
          <w:sz w:val="22"/>
        </w:rPr>
        <w:t>§ 15.</w:t>
      </w:r>
      <w:r>
        <w:rPr>
          <w:rFonts w:ascii="Arial;sans-serif" w:hAnsi="Arial;sans-serif"/>
          <w:b/>
          <w:color w:val="000000"/>
          <w:sz w:val="22"/>
          <w:u w:val="single"/>
        </w:rPr>
        <w:t>Interpretation</w:t>
      </w:r>
      <w:r>
        <w:rPr>
          <w:rFonts w:ascii="Arial;sans-serif" w:hAnsi="Arial;sans-serif"/>
          <w:b w:val="false"/>
          <w:color w:val="000000"/>
          <w:sz w:val="22"/>
        </w:rPr>
        <w:t>. In the event of a conflict between any term or provision contained herein and</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term</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provision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Plan,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terms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provisions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Plan</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govern</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prevail. Any dispute</w:t>
      </w:r>
      <w:r>
        <w:rPr>
          <w:color w:val="000000"/>
        </w:rPr>
        <w:t xml:space="preserve"> </w:t>
      </w:r>
      <w:r>
        <w:rPr>
          <w:rFonts w:ascii="Arial;sans-serif" w:hAnsi="Arial;sans-serif"/>
          <w:b w:val="false"/>
          <w:color w:val="000000"/>
          <w:sz w:val="22"/>
        </w:rPr>
        <w:t>regarding</w:t>
      </w:r>
      <w:r>
        <w:rPr>
          <w:color w:val="000000"/>
        </w:rPr>
        <w:t xml:space="preserve"> </w:t>
      </w:r>
      <w:r>
        <w:rPr>
          <w:rFonts w:ascii="Arial;sans-serif" w:hAnsi="Arial;sans-serif"/>
          <w:b w:val="false"/>
          <w:color w:val="000000"/>
          <w:sz w:val="22"/>
        </w:rPr>
        <w:t>the interpretation of this Agreement 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submitted by the Key Employee or the Company to the</w:t>
      </w:r>
      <w:r>
        <w:rPr>
          <w:color w:val="000000"/>
        </w:rPr>
        <w:t xml:space="preserve"> </w:t>
      </w:r>
      <w:r>
        <w:rPr>
          <w:rFonts w:ascii="Arial;sans-serif" w:hAnsi="Arial;sans-serif"/>
          <w:b w:val="false"/>
          <w:color w:val="000000"/>
          <w:sz w:val="22"/>
        </w:rPr>
        <w:t>Committee for review.</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resolution of</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dispute</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 Committee</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final</w:t>
      </w:r>
      <w:r>
        <w:rPr>
          <w:color w:val="000000"/>
        </w:rPr>
        <w:t xml:space="preserve"> </w:t>
      </w:r>
      <w:r>
        <w:rPr>
          <w:rFonts w:ascii="Arial;sans-serif" w:hAnsi="Arial;sans-serif"/>
          <w:b w:val="false"/>
          <w:color w:val="000000"/>
          <w:sz w:val="22"/>
        </w:rPr>
        <w:t>and binding on the Key Employee and the Company.</w:t>
      </w:r>
    </w:p>
    <w:p>
      <w:pPr>
        <w:pStyle w:val="TextBody"/>
        <w:bidi w:val="0"/>
        <w:spacing w:before="0" w:after="240"/>
        <w:jc w:val="left"/>
        <w:rPr/>
      </w:pPr>
      <w:r>
        <w:rPr/>
      </w:r>
    </w:p>
    <w:p>
      <w:pPr>
        <w:pStyle w:val="TextBody"/>
        <w:bidi w:val="0"/>
        <w:spacing w:lineRule="auto" w:line="240" w:before="0" w:after="240"/>
        <w:ind w:left="0" w:right="0" w:firstLine="720"/>
        <w:jc w:val="both"/>
        <w:rPr/>
      </w:pPr>
      <w:r>
        <w:rPr>
          <w:rFonts w:ascii="Arial;sans-serif" w:hAnsi="Arial;sans-serif"/>
          <w:b/>
          <w:color w:val="000000"/>
          <w:sz w:val="22"/>
        </w:rPr>
        <w:t>§ 16.</w:t>
      </w:r>
      <w:r>
        <w:rPr>
          <w:rFonts w:ascii="Arial;sans-serif" w:hAnsi="Arial;sans-serif"/>
          <w:b/>
          <w:color w:val="000000"/>
          <w:sz w:val="22"/>
          <w:u w:val="single"/>
        </w:rPr>
        <w:t>Successors and Assigns</w:t>
      </w:r>
      <w:r>
        <w:rPr>
          <w:rFonts w:ascii="Arial;sans-serif" w:hAnsi="Arial;sans-serif"/>
          <w:b w:val="false"/>
          <w:color w:val="000000"/>
          <w:sz w:val="22"/>
        </w:rPr>
        <w:t>. The Company may assign any of its rights under this Agreement.</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binding</w:t>
      </w:r>
      <w:r>
        <w:rPr>
          <w:color w:val="000000"/>
        </w:rPr>
        <w:t xml:space="preserve"> </w:t>
      </w:r>
      <w:r>
        <w:rPr>
          <w:rFonts w:ascii="Arial;sans-serif" w:hAnsi="Arial;sans-serif"/>
          <w:b w:val="false"/>
          <w:color w:val="000000"/>
          <w:sz w:val="22"/>
        </w:rPr>
        <w:t>upon</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inure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benefit</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successors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assigns</w:t>
      </w:r>
      <w:r>
        <w:rPr>
          <w:color w:val="000000"/>
        </w:rPr>
        <w:t xml:space="preserve"> </w:t>
      </w:r>
      <w:r>
        <w:rPr>
          <w:rFonts w:ascii="Arial;sans-serif" w:hAnsi="Arial;sans-serif"/>
          <w:b w:val="false"/>
          <w:color w:val="000000"/>
          <w:sz w:val="22"/>
        </w:rPr>
        <w:t>of the Company. Subject to the restrictions on transfer set forth herein, this Agreement will be binding upon the Key Employee and the Key Employee's beneficiaries, executors, administrators and the person(s) to whom the PSUs may be transferred by will or the laws of descent or distribution.</w:t>
      </w:r>
    </w:p>
    <w:p>
      <w:pPr>
        <w:pStyle w:val="TextBody"/>
        <w:bidi w:val="0"/>
        <w:spacing w:lineRule="auto" w:line="240" w:before="0" w:after="240"/>
        <w:ind w:left="0" w:right="0" w:firstLine="720"/>
        <w:jc w:val="both"/>
        <w:rPr/>
      </w:pPr>
      <w:r>
        <w:rPr>
          <w:rFonts w:ascii="Arial;sans-serif" w:hAnsi="Arial;sans-serif"/>
          <w:b/>
          <w:color w:val="000000"/>
          <w:sz w:val="22"/>
        </w:rPr>
        <w:t>§ 17.</w:t>
      </w:r>
      <w:r>
        <w:rPr>
          <w:rFonts w:ascii="Arial;sans-serif" w:hAnsi="Arial;sans-serif"/>
          <w:b/>
          <w:color w:val="000000"/>
          <w:sz w:val="22"/>
          <w:u w:val="single"/>
        </w:rPr>
        <w:t>Severability</w:t>
      </w:r>
      <w:r>
        <w:rPr>
          <w:rFonts w:ascii="Arial;sans-serif" w:hAnsi="Arial;sans-serif"/>
          <w:b w:val="false"/>
          <w:color w:val="000000"/>
          <w:sz w:val="22"/>
        </w:rPr>
        <w:t>. The invalidity or unenforceability of any provision of the Plan or this Agreement</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affect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validity</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enforceability</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provision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Plan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 and each provision of the Plan and this Agreement shall be severable and enforceable to the extent permitted by law.</w:t>
      </w:r>
    </w:p>
    <w:p>
      <w:pPr>
        <w:pStyle w:val="TextBody"/>
        <w:bidi w:val="0"/>
        <w:spacing w:lineRule="auto" w:line="240" w:before="0" w:after="240"/>
        <w:ind w:left="0" w:right="0" w:firstLine="720"/>
        <w:jc w:val="both"/>
        <w:rPr/>
      </w:pPr>
      <w:r>
        <w:rPr>
          <w:rFonts w:ascii="Arial;sans-serif" w:hAnsi="Arial;sans-serif"/>
          <w:b/>
          <w:color w:val="000000"/>
          <w:sz w:val="22"/>
        </w:rPr>
        <w:t>§ 18.</w:t>
      </w:r>
      <w:r>
        <w:rPr>
          <w:rFonts w:ascii="Arial;sans-serif" w:hAnsi="Arial;sans-serif"/>
          <w:b/>
          <w:color w:val="000000"/>
          <w:sz w:val="22"/>
          <w:u w:val="single"/>
        </w:rPr>
        <w:t>Discretionary Nature of Plan; Amendment</w:t>
      </w:r>
      <w:r>
        <w:rPr>
          <w:rFonts w:ascii="Arial;sans-serif" w:hAnsi="Arial;sans-serif"/>
          <w:b w:val="false"/>
          <w:color w:val="000000"/>
          <w:sz w:val="22"/>
        </w:rPr>
        <w:t xml:space="preserve">. The Plan is discretionary and may be amended, altered, suspended or terminated by the Board at any time, in its discretion. The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grant of the PSUs</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does</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create</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contractual</w:t>
      </w:r>
      <w:r>
        <w:rPr>
          <w:color w:val="000000"/>
        </w:rPr>
        <w:t xml:space="preserve"> </w:t>
      </w:r>
      <w:r>
        <w:rPr>
          <w:rFonts w:ascii="Arial;sans-serif" w:hAnsi="Arial;sans-serif"/>
          <w:b w:val="false"/>
          <w:color w:val="000000"/>
          <w:sz w:val="22"/>
        </w:rPr>
        <w:t>right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right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receive</w:t>
      </w:r>
      <w:r>
        <w:rPr>
          <w:color w:val="000000"/>
        </w:rPr>
        <w:t xml:space="preserve"> </w:t>
      </w:r>
      <w:r>
        <w:rPr>
          <w:rFonts w:ascii="Arial;sans-serif" w:hAnsi="Arial;sans-serif"/>
          <w:b w:val="false"/>
          <w:color w:val="000000"/>
          <w:sz w:val="22"/>
        </w:rPr>
        <w:t>any PSUs or other awards in the future. Any amendment, modification, or termination of</w:t>
      </w:r>
      <w:r>
        <w:rPr>
          <w:color w:val="000000"/>
        </w:rPr>
        <w:t xml:space="preserve"> </w:t>
      </w:r>
      <w:r>
        <w:rPr>
          <w:rFonts w:ascii="Arial;sans-serif" w:hAnsi="Arial;sans-serif"/>
          <w:b w:val="false"/>
          <w:color w:val="000000"/>
          <w:sz w:val="22"/>
        </w:rPr>
        <w:t>the Plan</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constitute</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change</w:t>
      </w:r>
      <w:r>
        <w:rPr>
          <w:color w:val="000000"/>
        </w:rPr>
        <w:t xml:space="preserve"> </w:t>
      </w:r>
      <w:r>
        <w:rPr>
          <w:rFonts w:ascii="Arial;sans-serif" w:hAnsi="Arial;sans-serif"/>
          <w:b w:val="false"/>
          <w:color w:val="000000"/>
          <w:sz w:val="22"/>
        </w:rPr>
        <w:t>or impairment of</w:t>
      </w:r>
      <w:r>
        <w:rPr>
          <w:color w:val="000000"/>
        </w:rPr>
        <w:t xml:space="preserve"> </w:t>
      </w:r>
      <w:r>
        <w:rPr>
          <w:rFonts w:ascii="Arial;sans-serif" w:hAnsi="Arial;sans-serif"/>
          <w:b w:val="false"/>
          <w:color w:val="000000"/>
          <w:sz w:val="22"/>
        </w:rPr>
        <w:t>the terms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conditions</w:t>
      </w:r>
      <w:r>
        <w:rPr>
          <w:color w:val="000000"/>
        </w:rPr>
        <w:t xml:space="preserve"> </w:t>
      </w:r>
      <w:r>
        <w:rPr>
          <w:rFonts w:ascii="Arial;sans-serif" w:hAnsi="Arial;sans-serif"/>
          <w:b w:val="false"/>
          <w:color w:val="000000"/>
          <w:sz w:val="22"/>
        </w:rPr>
        <w:t>of the Key Employee's employment with, or service to, the Company or its Affiliates.</w:t>
      </w:r>
    </w:p>
    <w:p>
      <w:pPr>
        <w:pStyle w:val="TextBody"/>
        <w:bidi w:val="0"/>
        <w:spacing w:lineRule="auto" w:line="240" w:before="0" w:after="240"/>
        <w:ind w:left="0" w:right="0" w:firstLine="720"/>
        <w:jc w:val="both"/>
        <w:rPr/>
      </w:pPr>
      <w:r>
        <w:rPr>
          <w:rFonts w:ascii="Arial;sans-serif" w:hAnsi="Arial;sans-serif"/>
          <w:b/>
          <w:color w:val="000000"/>
          <w:sz w:val="22"/>
        </w:rPr>
        <w:t>§ 19.</w:t>
      </w:r>
      <w:r>
        <w:rPr>
          <w:rFonts w:ascii="Arial;sans-serif" w:hAnsi="Arial;sans-serif"/>
          <w:b/>
          <w:color w:val="000000"/>
          <w:sz w:val="22"/>
          <w:u w:val="single"/>
        </w:rPr>
        <w:t>Section 409A</w:t>
      </w:r>
      <w:r>
        <w:rPr>
          <w:rFonts w:ascii="Arial;sans-serif" w:hAnsi="Arial;sans-serif"/>
          <w:b w:val="false"/>
          <w:color w:val="000000"/>
          <w:sz w:val="22"/>
        </w:rPr>
        <w:t>. This Agreement is intended to be exempt from Section 409A of the Code under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short-term</w:t>
      </w:r>
      <w:r>
        <w:rPr>
          <w:color w:val="000000"/>
        </w:rPr>
        <w:t xml:space="preserve"> </w:t>
      </w:r>
      <w:r>
        <w:rPr>
          <w:rFonts w:ascii="Arial;sans-serif" w:hAnsi="Arial;sans-serif"/>
          <w:b w:val="false"/>
          <w:color w:val="000000"/>
          <w:sz w:val="22"/>
        </w:rPr>
        <w:t>deferral</w:t>
      </w:r>
      <w:r>
        <w:rPr>
          <w:color w:val="000000"/>
        </w:rPr>
        <w:t xml:space="preserve"> </w:t>
      </w:r>
      <w:r>
        <w:rPr>
          <w:rFonts w:ascii="Arial;sans-serif" w:hAnsi="Arial;sans-serif"/>
          <w:b w:val="false"/>
          <w:color w:val="000000"/>
          <w:sz w:val="22"/>
        </w:rPr>
        <w:t>exclusion</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construed</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interpreted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manner</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consistent with such intent. If, for any reason, the Company determines that the PSUs are subject to Section 409A of the</w:t>
      </w:r>
      <w:r>
        <w:rPr>
          <w:color w:val="000000"/>
        </w:rPr>
        <w:t xml:space="preserve"> </w:t>
      </w:r>
      <w:r>
        <w:rPr>
          <w:rFonts w:ascii="Arial;sans-serif" w:hAnsi="Arial;sans-serif"/>
          <w:b w:val="false"/>
          <w:color w:val="000000"/>
          <w:sz w:val="22"/>
        </w:rPr>
        <w:t>Code,</w:t>
      </w:r>
      <w:r>
        <w:rPr>
          <w:color w:val="000000"/>
        </w:rPr>
        <w:t xml:space="preserve"> </w:t>
      </w:r>
      <w:r>
        <w:rPr>
          <w:rFonts w:ascii="Arial;sans-serif" w:hAnsi="Arial;sans-serif"/>
          <w:b w:val="false"/>
          <w:color w:val="000000"/>
          <w:sz w:val="22"/>
        </w:rPr>
        <w:t>the Company shall have the</w:t>
      </w:r>
      <w:r>
        <w:rPr>
          <w:color w:val="000000"/>
        </w:rPr>
        <w:t xml:space="preserve"> </w:t>
      </w:r>
      <w:r>
        <w:rPr>
          <w:rFonts w:ascii="Arial;sans-serif" w:hAnsi="Arial;sans-serif"/>
          <w:b w:val="false"/>
          <w:color w:val="000000"/>
          <w:sz w:val="22"/>
        </w:rPr>
        <w:t>right in</w:t>
      </w:r>
      <w:r>
        <w:rPr>
          <w:color w:val="000000"/>
        </w:rPr>
        <w:t xml:space="preserve"> </w:t>
      </w:r>
      <w:r>
        <w:rPr>
          <w:rFonts w:ascii="Arial;sans-serif" w:hAnsi="Arial;sans-serif"/>
          <w:b w:val="false"/>
          <w:color w:val="000000"/>
          <w:sz w:val="22"/>
        </w:rPr>
        <w:t>its</w:t>
      </w:r>
      <w:r>
        <w:rPr>
          <w:color w:val="000000"/>
        </w:rPr>
        <w:t xml:space="preserve"> </w:t>
      </w:r>
      <w:r>
        <w:rPr>
          <w:rFonts w:ascii="Arial;sans-serif" w:hAnsi="Arial;sans-serif"/>
          <w:b w:val="false"/>
          <w:color w:val="000000"/>
          <w:sz w:val="22"/>
        </w:rPr>
        <w:t>sole discretion</w:t>
      </w:r>
      <w:r>
        <w:rPr>
          <w:color w:val="000000"/>
        </w:rPr>
        <w:t xml:space="preserve"> </w:t>
      </w:r>
      <w:r>
        <w:rPr>
          <w:rFonts w:ascii="Arial;sans-serif" w:hAnsi="Arial;sans-serif"/>
          <w:b w:val="false"/>
          <w:color w:val="000000"/>
          <w:sz w:val="22"/>
        </w:rPr>
        <w:t>(without any obligation to do</w:t>
      </w:r>
      <w:r>
        <w:rPr>
          <w:color w:val="000000"/>
        </w:rPr>
        <w:t xml:space="preserve"> </w:t>
      </w:r>
      <w:r>
        <w:rPr>
          <w:rFonts w:ascii="Arial;sans-serif" w:hAnsi="Arial;sans-serif"/>
          <w:b w:val="false"/>
          <w:color w:val="000000"/>
          <w:sz w:val="22"/>
        </w:rPr>
        <w:t>so) to adopt such amendments to the Plan or this Agreement, or to adopt other policies and procedures (including amendments, policies and procedures with retroactive effect), or take other actions, as the Company determines are necessary or appropriate for the Agreement to either be exempt from or comply with the requirements of Section 409A of the Code. Notwithstanding the foregoing, the Company makes no representations that the payments and</w:t>
      </w:r>
      <w:r>
        <w:rPr>
          <w:color w:val="000000"/>
        </w:rPr>
        <w:t xml:space="preserve"> </w:t>
      </w:r>
      <w:r>
        <w:rPr>
          <w:rFonts w:ascii="Arial;sans-serif" w:hAnsi="Arial;sans-serif"/>
          <w:b w:val="false"/>
          <w:color w:val="000000"/>
          <w:sz w:val="22"/>
        </w:rPr>
        <w:t>benefits provided under this Agreement comply with Section 409A of the Code and in no event shall the Company be liable for all or any portion of any taxes, penalties, interest or other expenses that may be incurred by the Key Employee on account of non-compliance with Section 409A of the Code.</w:t>
      </w:r>
    </w:p>
    <w:p>
      <w:pPr>
        <w:pStyle w:val="TextBody"/>
        <w:bidi w:val="0"/>
        <w:spacing w:lineRule="auto" w:line="240" w:before="0" w:after="240"/>
        <w:ind w:left="0" w:right="0" w:firstLine="720"/>
        <w:jc w:val="both"/>
        <w:rPr/>
      </w:pPr>
      <w:r>
        <w:rPr>
          <w:rFonts w:ascii="Arial;sans-serif" w:hAnsi="Arial;sans-serif"/>
          <w:b/>
          <w:color w:val="000000"/>
          <w:sz w:val="22"/>
        </w:rPr>
        <w:t>§ 20.</w:t>
      </w:r>
      <w:r>
        <w:rPr>
          <w:rFonts w:ascii="Arial;sans-serif" w:hAnsi="Arial;sans-serif"/>
          <w:b/>
          <w:color w:val="000000"/>
          <w:sz w:val="22"/>
          <w:u w:val="single"/>
        </w:rPr>
        <w:t>Counterparts</w:t>
      </w:r>
      <w:r>
        <w:rPr>
          <w:rFonts w:ascii="Arial;sans-serif" w:hAnsi="Arial;sans-serif"/>
          <w:b w:val="false"/>
          <w:color w:val="000000"/>
          <w:sz w:val="22"/>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lineRule="auto" w:line="240" w:before="0" w:after="240"/>
        <w:ind w:left="0" w:right="0" w:firstLine="720"/>
        <w:jc w:val="both"/>
        <w:rPr/>
      </w:pPr>
      <w:r>
        <w:rPr>
          <w:rFonts w:ascii="Arial;sans-serif" w:hAnsi="Arial;sans-serif"/>
          <w:b/>
          <w:color w:val="000000"/>
          <w:sz w:val="22"/>
        </w:rPr>
        <w:t>§ 21.</w:t>
      </w:r>
      <w:r>
        <w:rPr>
          <w:rFonts w:ascii="Arial;sans-serif" w:hAnsi="Arial;sans-serif"/>
          <w:b/>
          <w:color w:val="000000"/>
          <w:sz w:val="22"/>
          <w:u w:val="single"/>
        </w:rPr>
        <w:t>Acceptance</w:t>
      </w:r>
      <w:r>
        <w:rPr>
          <w:rFonts w:ascii="Arial;sans-serif" w:hAnsi="Arial;sans-serif"/>
          <w:b w:val="false"/>
          <w:color w:val="000000"/>
          <w:sz w:val="22"/>
        </w:rPr>
        <w:t>. The Key Employee hereby acknowledges receipt of a copy of the Plan and this Agreement. The Key Employee accepts the PSUs subject to the terms and conditions of the Plan and this Agreement. The Key Employee acknowledges that there may be adverse tax consequences upon the vesting or settlement of the PSUs or disposition of the underlying shares of Stock, and that the Key Employee has been advised to</w:t>
      </w:r>
      <w:r>
        <w:rPr>
          <w:color w:val="000000"/>
        </w:rPr>
        <w:t xml:space="preserve"> </w:t>
      </w:r>
      <w:r>
        <w:rPr>
          <w:rFonts w:ascii="Arial;sans-serif" w:hAnsi="Arial;sans-serif"/>
          <w:b w:val="false"/>
          <w:color w:val="000000"/>
          <w:sz w:val="22"/>
        </w:rPr>
        <w:t>consult a tax advisor prior to such vesting, settlement or disposition.</w:t>
      </w:r>
    </w:p>
    <w:p>
      <w:pPr>
        <w:pStyle w:val="TextBody"/>
        <w:bidi w:val="0"/>
        <w:spacing w:lineRule="auto" w:line="240" w:before="0" w:after="240"/>
        <w:ind w:left="0" w:right="0" w:firstLine="720"/>
        <w:jc w:val="both"/>
        <w:rPr/>
      </w:pPr>
      <w:r>
        <w:rPr>
          <w:rFonts w:ascii="Arial;sans-serif" w:hAnsi="Arial;sans-serif"/>
          <w:b/>
          <w:color w:val="000000"/>
          <w:sz w:val="22"/>
        </w:rPr>
        <w:t>§ 22.</w:t>
      </w:r>
      <w:r>
        <w:rPr>
          <w:rFonts w:ascii="Arial;sans-serif" w:hAnsi="Arial;sans-serif"/>
          <w:b/>
          <w:color w:val="000000"/>
          <w:sz w:val="22"/>
          <w:u w:val="single"/>
        </w:rPr>
        <w:t>Data Privacy</w:t>
      </w:r>
      <w:r>
        <w:rPr>
          <w:rFonts w:ascii="Arial;sans-serif" w:hAnsi="Arial;sans-serif"/>
          <w:b w:val="false"/>
          <w:color w:val="000000"/>
          <w:sz w:val="22"/>
        </w:rPr>
        <w:t>. The Key Employee acknowledges that the Company and its Affiliates will collect, process, transfer and hold the Key Employee’s personal data as is necessary for the purposes of operating the Plan and administering the Key Employee’s PSUs, and hereby provides consent to these actions.</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Arial;sans-serif" w:hAnsi="Arial;sans-serif"/>
          <w:b/>
          <w:color w:val="000000"/>
          <w:sz w:val="22"/>
        </w:rPr>
      </w:pPr>
      <w:r>
        <w:rPr>
          <w:rFonts w:ascii="Arial;sans-serif" w:hAnsi="Arial;sans-serif"/>
          <w:b/>
          <w:color w:val="000000"/>
          <w:sz w:val="22"/>
        </w:rPr>
        <w:t>§ 23.</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STATEMENT OF PERFORMANCE GOALS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This Statement of Performance Goals applies to the PSUs granted to the Key Employee on the Grant Date and applies with respect to the Performance Stock Unit Award Certificate between the Company and the Key Employee (the “Certificate”). Capitalized terms used in this Statement of Performance Goals that are not specifically defined in this Statement of Performance Goals have the meanings assigned to them in the Certificate. </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PSUs granted under the Certificate are divided into three tranches (each, a “Tranche”) as follows: the first Tranche consists of 100,000 PSUs (the “First Tranche”); the second Tranche consists of 100,000 PSUs (the “Second Tranche”); and the third Tranche consists of the remaining 100,000 PSUs (the “Third Tranche”). Each Tranche will be earned and eligible to vest in accordance with the Certificate, if at all, upon the satisfaction of the stock price hurdles set forth below, subject to the Committee’s prompt review and determination that the requisite stock price hurdles have been attained (the “Committee Determination”).</w:t>
      </w:r>
    </w:p>
    <w:p>
      <w:pPr>
        <w:pStyle w:val="TextBody"/>
        <w:bidi w:val="0"/>
        <w:spacing w:lineRule="auto" w:line="288" w:before="0" w:after="240"/>
        <w:jc w:val="both"/>
        <w:rPr/>
      </w:pPr>
      <w:r>
        <w:rPr>
          <w:rFonts w:ascii="Arial;sans-serif" w:hAnsi="Arial;sans-serif"/>
          <w:b/>
          <w:color w:val="000000"/>
          <w:sz w:val="22"/>
        </w:rPr>
        <w:t>First Tranche:</w:t>
      </w:r>
      <w:r>
        <w:rPr>
          <w:color w:val="000000"/>
        </w:rPr>
        <w:t xml:space="preserve"> </w:t>
      </w:r>
      <w:r>
        <w:rPr>
          <w:rFonts w:ascii="Arial;sans-serif" w:hAnsi="Arial;sans-serif"/>
          <w:b w:val="false"/>
          <w:color w:val="000000"/>
          <w:sz w:val="22"/>
        </w:rPr>
        <w:t>The First Tranche will be earned and eligible to vest on the first calendar day by which the Company’s closing price per share of Stock (as reasonably determined by the Company) on the primary national securities exchange on which the Company’s Stock then trades (the “Exchange”) has met or exceeded $425 for five (5) separate trading days during the Performance Period.</w:t>
      </w:r>
    </w:p>
    <w:p>
      <w:pPr>
        <w:pStyle w:val="TextBody"/>
        <w:bidi w:val="0"/>
        <w:spacing w:lineRule="auto" w:line="288" w:before="0" w:after="240"/>
        <w:jc w:val="both"/>
        <w:rPr/>
      </w:pPr>
      <w:r>
        <w:rPr>
          <w:rFonts w:ascii="Arial;sans-serif" w:hAnsi="Arial;sans-serif"/>
          <w:b/>
          <w:color w:val="000000"/>
          <w:sz w:val="22"/>
        </w:rPr>
        <w:t>Second Tranche:</w:t>
      </w:r>
      <w:r>
        <w:rPr>
          <w:color w:val="000000"/>
        </w:rPr>
        <w:t xml:space="preserve"> </w:t>
      </w:r>
      <w:r>
        <w:rPr>
          <w:rFonts w:ascii="Arial;sans-serif" w:hAnsi="Arial;sans-serif"/>
          <w:b w:val="false"/>
          <w:color w:val="000000"/>
          <w:sz w:val="22"/>
        </w:rPr>
        <w:t>The Second Tranche will be earned and eligible to vest on the first calendar day by which the Company’s closing price per share of Stock (as reasonably determined by the Company) on the Exchange has met or exceeded $450 for five (5) separate trading days during the Performance Period.</w:t>
      </w:r>
    </w:p>
    <w:p>
      <w:pPr>
        <w:pStyle w:val="TextBody"/>
        <w:bidi w:val="0"/>
        <w:spacing w:lineRule="auto" w:line="288" w:before="0" w:after="240"/>
        <w:jc w:val="both"/>
        <w:rPr/>
      </w:pPr>
      <w:r>
        <w:rPr>
          <w:rFonts w:ascii="Arial;sans-serif" w:hAnsi="Arial;sans-serif"/>
          <w:b/>
          <w:color w:val="000000"/>
          <w:sz w:val="22"/>
        </w:rPr>
        <w:t>Third Tranche:</w:t>
      </w:r>
      <w:r>
        <w:rPr>
          <w:color w:val="000000"/>
        </w:rPr>
        <w:t xml:space="preserve"> </w:t>
      </w:r>
      <w:r>
        <w:rPr>
          <w:rFonts w:ascii="Arial;sans-serif" w:hAnsi="Arial;sans-serif"/>
          <w:b w:val="false"/>
          <w:color w:val="000000"/>
          <w:sz w:val="22"/>
        </w:rPr>
        <w:t>The Third Tranche will be earned and eligible to vest on the first calendar day by which the Company’s closing price per share of Stock (as reasonably determined by the Company) on the Exchange has met or exceeded $475 for five (5) separate trading days during the Performance Period.</w:t>
      </w:r>
    </w:p>
    <w:p>
      <w:pPr>
        <w:pStyle w:val="TextBody"/>
        <w:bidi w:val="0"/>
        <w:spacing w:lineRule="auto" w:line="288" w:before="0" w:after="240"/>
        <w:jc w:val="both"/>
        <w:rPr/>
      </w:pPr>
      <w:r>
        <w:rPr>
          <w:rFonts w:ascii="Arial;sans-serif" w:hAnsi="Arial;sans-serif"/>
          <w:b/>
          <w:color w:val="000000"/>
          <w:sz w:val="22"/>
          <w:u w:val="single"/>
        </w:rPr>
        <w:t>Certification of Performance Goals</w:t>
      </w:r>
      <w:r>
        <w:rPr>
          <w:rFonts w:ascii="Arial;sans-serif" w:hAnsi="Arial;sans-serif"/>
          <w:b/>
          <w:color w:val="000000"/>
          <w:sz w:val="22"/>
        </w:rPr>
        <w:t>.</w:t>
      </w:r>
      <w:r>
        <w:rPr>
          <w:color w:val="000000"/>
        </w:rPr>
        <w:t xml:space="preserve"> </w:t>
      </w:r>
      <w:r>
        <w:rPr>
          <w:rFonts w:ascii="Arial;sans-serif" w:hAnsi="Arial;sans-serif"/>
          <w:b w:val="false"/>
          <w:color w:val="000000"/>
          <w:sz w:val="22"/>
        </w:rPr>
        <w:t>Except as otherwise provided in § 3 of the Agreement, in order for any Tranche to be earned and eligible to vest, the Tranche’s applicable stock price hurdle must be achieved during the Performance Period, and the Committee Determination must be made; otherwise, such Tranche will not be eligible to vest.</w:t>
      </w:r>
    </w:p>
    <w:p>
      <w:pPr>
        <w:pStyle w:val="TextBody"/>
        <w:bidi w:val="0"/>
        <w:spacing w:lineRule="auto" w:line="288" w:before="0" w:after="240"/>
        <w:jc w:val="both"/>
        <w:rPr/>
      </w:pPr>
      <w:r>
        <w:rPr>
          <w:rFonts w:ascii="Arial;sans-serif" w:hAnsi="Arial;sans-serif"/>
          <w:b/>
          <w:color w:val="000000"/>
          <w:sz w:val="22"/>
          <w:u w:val="single"/>
        </w:rPr>
        <w:t>Stock Price Hurdle Adjustments</w:t>
      </w:r>
      <w:r>
        <w:rPr>
          <w:rFonts w:ascii="Arial;sans-serif" w:hAnsi="Arial;sans-serif"/>
          <w:b/>
          <w:color w:val="000000"/>
          <w:sz w:val="22"/>
        </w:rPr>
        <w:t>.</w:t>
      </w:r>
      <w:r>
        <w:rPr>
          <w:color w:val="000000"/>
        </w:rPr>
        <w:t xml:space="preserve"> </w:t>
      </w:r>
      <w:r>
        <w:rPr>
          <w:rFonts w:ascii="Arial;sans-serif" w:hAnsi="Arial;sans-serif"/>
          <w:b w:val="false"/>
          <w:color w:val="000000"/>
          <w:sz w:val="22"/>
        </w:rPr>
        <w:t>If any change is made to the outstanding shares of Stock or the capital structure of the Company, if required, the Performance Stock Units shall be adjusted in any manner as contemplated by § 13 of the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CORPAY, INC.</w:t>
        <w:br/>
        <w:t xml:space="preserve">AMENDED AND RESTATED 2010 EQUITY COMPENSATION PLAN </w:t>
        <w:br/>
        <w:t>PERFORMANCE STOCK UNIT AWARD CERTIFICATE</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Pursuant to the provisions of the Corpay, Inc. Amended and Restated 2010 Equity Compensation Plan (“Plan”), Corpay, Inc. (“Company”) hereby grants to the individual identified below (the “Key Employee”) an award of Performance Stock Units (“PSUs”) as set forth below, subject to the terms and conditions of the Plan, Exhibit A of this Performance Stock Unit Award Certificate, and the Statement of Performance Goals provided to the Key Employee in connection with the PSUs (the “Statement of Performance Goals”).</w:t>
      </w:r>
    </w:p>
    <w:tbl>
      <w:tblPr>
        <w:tblW w:w="10205" w:type="dxa"/>
        <w:jc w:val="left"/>
        <w:tblInd w:w="0" w:type="dxa"/>
        <w:tblLayout w:type="fixed"/>
        <w:tblCellMar>
          <w:top w:w="28" w:type="dxa"/>
          <w:left w:w="28" w:type="dxa"/>
          <w:bottom w:w="28" w:type="dxa"/>
          <w:right w:w="28" w:type="dxa"/>
        </w:tblCellMar>
      </w:tblPr>
      <w:tblGrid>
        <w:gridCol w:w="822"/>
        <w:gridCol w:w="583"/>
        <w:gridCol w:w="584"/>
        <w:gridCol w:w="2511"/>
        <w:gridCol w:w="2386"/>
        <w:gridCol w:w="3319"/>
      </w:tblGrid>
      <w:tr>
        <w:trPr/>
        <w:tc>
          <w:tcPr>
            <w:tcW w:w="82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3319" w:type="dxa"/>
            <w:tcBorders/>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Key Employee:</w:t>
            </w:r>
          </w:p>
        </w:tc>
        <w:tc>
          <w:tcPr>
            <w:tcW w:w="8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Armando Lins Netto</w:t>
            </w:r>
          </w:p>
        </w:tc>
      </w:tr>
      <w:tr>
        <w:trPr/>
        <w:tc>
          <w:tcPr>
            <w:tcW w:w="198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 xml:space="preserve">Award Number: </w:t>
            </w:r>
          </w:p>
        </w:tc>
        <w:tc>
          <w:tcPr>
            <w:tcW w:w="8216" w:type="dxa"/>
            <w:gridSpan w:val="3"/>
            <w:tcBorders/>
            <w:tcMar>
              <w:top w:w="0" w:type="dxa"/>
              <w:left w:w="0" w:type="dxa"/>
              <w:bottom w:w="0" w:type="dxa"/>
              <w:right w:w="0" w:type="dxa"/>
            </w:tcMar>
            <w:vAlign w:val="center"/>
          </w:tcPr>
          <w:p>
            <w:pPr>
              <w:pStyle w:val="TableContents"/>
              <w:bidi w:val="0"/>
              <w:spacing w:before="0" w:after="240"/>
              <w:jc w:val="left"/>
              <w:rPr/>
            </w:pPr>
            <w:r>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Grant Date:</w:t>
            </w:r>
          </w:p>
        </w:tc>
        <w:tc>
          <w:tcPr>
            <w:tcW w:w="821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July 22, 2026</w:t>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Number of PSUs Granted: </w:t>
            </w:r>
          </w:p>
        </w:tc>
        <w:tc>
          <w:tcPr>
            <w:tcW w:w="8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28,213</w:t>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Performance Criteria:</w:t>
            </w:r>
          </w:p>
        </w:tc>
        <w:tc>
          <w:tcPr>
            <w:tcW w:w="8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Achievement of the objectives set forth in the Statement of Performance Goals, subject to the Key Employee’s continuous employment through the applicable Vesting Date.</w:t>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Performance Period:</w:t>
            </w:r>
          </w:p>
        </w:tc>
        <w:tc>
          <w:tcPr>
            <w:tcW w:w="8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July 22, 2026 through August 31, 2028</w:t>
            </w:r>
          </w:p>
        </w:tc>
      </w:tr>
    </w:tbl>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You may review your equity grant and vesting schedule in your E*TRADE account. If you have any questions, please contact the equity support team.</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CORPAY, INC.</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 Crystal Williams</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_____________________</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Crystal F. Williams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CHRO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PERFORMANCE STOCK UNIT AWARD CERTIFICATE</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EXHIBIT A</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TERMS AND CONDITIONS</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(“Agreement”)</w:t>
      </w:r>
    </w:p>
    <w:p>
      <w:pPr>
        <w:pStyle w:val="TextBody"/>
        <w:bidi w:val="0"/>
        <w:spacing w:lineRule="auto" w:line="288" w:before="0" w:after="240"/>
        <w:jc w:val="left"/>
        <w:rPr/>
      </w:pPr>
      <w:r>
        <w:rPr>
          <w:rFonts w:ascii="Arial;sans-serif" w:hAnsi="Arial;sans-serif"/>
          <w:b w:val="false"/>
          <w:color w:val="000000"/>
          <w:sz w:val="22"/>
        </w:rPr>
        <w:t>Capitalized</w:t>
      </w:r>
      <w:r>
        <w:rPr>
          <w:color w:val="000000"/>
        </w:rPr>
        <w:t xml:space="preserve"> </w:t>
      </w:r>
      <w:r>
        <w:rPr>
          <w:rFonts w:ascii="Arial;sans-serif" w:hAnsi="Arial;sans-serif"/>
          <w:b w:val="false"/>
          <w:color w:val="000000"/>
          <w:sz w:val="22"/>
        </w:rPr>
        <w:t>terms</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otherwise</w:t>
      </w:r>
      <w:r>
        <w:rPr>
          <w:color w:val="000000"/>
        </w:rPr>
        <w:t xml:space="preserve"> </w:t>
      </w:r>
      <w:r>
        <w:rPr>
          <w:rFonts w:ascii="Arial;sans-serif" w:hAnsi="Arial;sans-serif"/>
          <w:b w:val="false"/>
          <w:color w:val="000000"/>
          <w:sz w:val="22"/>
        </w:rPr>
        <w:t>defined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have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meaning</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set</w:t>
      </w:r>
      <w:r>
        <w:rPr>
          <w:color w:val="000000"/>
        </w:rPr>
        <w:t xml:space="preserve"> </w:t>
      </w:r>
      <w:r>
        <w:rPr>
          <w:rFonts w:ascii="Arial;sans-serif" w:hAnsi="Arial;sans-serif"/>
          <w:b w:val="false"/>
          <w:color w:val="000000"/>
          <w:sz w:val="22"/>
        </w:rPr>
        <w:t>forth</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first page of the Performance Stock Unit Award Certificate, or if not defined therein, then in the</w:t>
      </w:r>
      <w:r>
        <w:rPr>
          <w:color w:val="000000"/>
        </w:rPr>
        <w:t xml:space="preserve"> </w:t>
      </w:r>
      <w:r>
        <w:rPr>
          <w:rFonts w:ascii="Arial;sans-serif" w:hAnsi="Arial;sans-serif"/>
          <w:b w:val="false"/>
          <w:color w:val="000000"/>
          <w:sz w:val="22"/>
        </w:rPr>
        <w:t>Plan.</w:t>
      </w:r>
    </w:p>
    <w:p>
      <w:pPr>
        <w:pStyle w:val="TextBody"/>
        <w:bidi w:val="0"/>
        <w:spacing w:lineRule="auto" w:line="240" w:before="0" w:after="240"/>
        <w:ind w:left="0" w:right="0" w:firstLine="720"/>
        <w:jc w:val="both"/>
        <w:rPr/>
      </w:pPr>
      <w:r>
        <w:rPr>
          <w:rFonts w:ascii="Arial;sans-serif" w:hAnsi="Arial;sans-serif"/>
          <w:b/>
          <w:color w:val="000000"/>
          <w:sz w:val="22"/>
        </w:rPr>
        <w:t>§ 1.</w:t>
      </w:r>
      <w:r>
        <w:rPr>
          <w:rFonts w:ascii="Arial;sans-serif" w:hAnsi="Arial;sans-serif"/>
          <w:b/>
          <w:color w:val="000000"/>
          <w:sz w:val="22"/>
          <w:u w:val="single"/>
        </w:rPr>
        <w:t>Grant of Performance Stock Unit Award</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Pursuant to the provisions of the Plan, the Company grants to the Key Employee an award of Performance Stock Units (“PSUs”), in the number set forth on the first page of the Performance Stock Unit Award Certificate. Each PSU represents the right to receive one share of Stock, subject to the terms and conditions set forth in this Agreement and in the Plan, a copy of which has and will be made available to the Key Employee upon written request to the corporate Secretary of the Company.</w:t>
      </w:r>
    </w:p>
    <w:p>
      <w:pPr>
        <w:pStyle w:val="TextBody"/>
        <w:bidi w:val="0"/>
        <w:spacing w:lineRule="auto" w:line="240" w:before="0" w:after="240"/>
        <w:ind w:left="0" w:right="0" w:firstLine="720"/>
        <w:jc w:val="both"/>
        <w:rPr/>
      </w:pPr>
      <w:r>
        <w:rPr>
          <w:rFonts w:ascii="Arial;sans-serif" w:hAnsi="Arial;sans-serif"/>
          <w:b/>
          <w:color w:val="000000"/>
          <w:sz w:val="22"/>
        </w:rPr>
        <w:t>§ 2.</w:t>
      </w:r>
      <w:r>
        <w:rPr>
          <w:rFonts w:ascii="Arial;sans-serif" w:hAnsi="Arial;sans-serif"/>
          <w:b/>
          <w:color w:val="000000"/>
          <w:sz w:val="22"/>
          <w:u w:val="single"/>
        </w:rPr>
        <w:t>Vesting</w:t>
      </w:r>
      <w:r>
        <w:rPr>
          <w:rFonts w:ascii="Arial;sans-serif" w:hAnsi="Arial;sans-serif"/>
          <w:b w:val="false"/>
          <w:color w:val="000000"/>
          <w:sz w:val="22"/>
        </w:rPr>
        <w:t xml:space="preserve">. Except as otherwise provided in this Agreement, the PSUs set forth on the first page of the Performance Stock Unit Award Certificate shall vest and become non-forfeitable on the applicable Vesting Date, subject to (1) the achievement of the applicable Performance Goal set forth in the Statement of Performance Goals during the Performance Period </w:t>
      </w:r>
      <w:r>
        <w:rPr>
          <w:rFonts w:ascii="Arial;sans-serif" w:hAnsi="Arial;sans-serif"/>
          <w:b w:val="false"/>
          <w:color w:val="000000"/>
          <w:sz w:val="22"/>
          <w:u w:val="single"/>
        </w:rPr>
        <w:t>and</w:t>
      </w:r>
      <w:r>
        <w:rPr>
          <w:color w:val="000000"/>
        </w:rPr>
        <w:t xml:space="preserve"> </w:t>
      </w:r>
      <w:r>
        <w:rPr>
          <w:rFonts w:ascii="Arial;sans-serif" w:hAnsi="Arial;sans-serif"/>
          <w:b w:val="false"/>
          <w:color w:val="000000"/>
          <w:sz w:val="22"/>
        </w:rPr>
        <w:t>(2) the Key Employee remaining continuously in the Active Employment of the Company through the applicable Vesting Date. For purposes of this Agreement, “Vesting Date” means, with respect to each Tranche (as defined in the Statement of Performance Goals) of PSUs for which the applicable Performance Goal is achieved, subject to the terms of the Plan. For purposes hereof, the “Active Employment” of the Key Employee shall be deemed to cease on the earliest of:</w:t>
      </w:r>
    </w:p>
    <w:p>
      <w:pPr>
        <w:pStyle w:val="TextBody"/>
        <w:bidi w:val="0"/>
        <w:spacing w:lineRule="auto" w:line="288" w:before="0" w:after="0"/>
        <w:ind w:left="0" w:right="0" w:hanging="231"/>
        <w:jc w:val="both"/>
        <w:rPr/>
      </w:pPr>
      <w:r>
        <w:rPr>
          <w:rFonts w:ascii="Arial;sans-serif" w:hAnsi="Arial;sans-serif"/>
          <w:b w:val="false"/>
          <w:color w:val="000000"/>
          <w:sz w:val="20"/>
        </w:rPr>
        <w:t>(i)</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Key</w:t>
      </w:r>
      <w:r>
        <w:rPr>
          <w:color w:val="000000"/>
        </w:rPr>
        <w:t xml:space="preserve"> </w:t>
      </w:r>
      <w:r>
        <w:rPr>
          <w:rFonts w:ascii="Arial;sans-serif" w:hAnsi="Arial;sans-serif"/>
          <w:b w:val="false"/>
          <w:color w:val="000000"/>
          <w:sz w:val="22"/>
        </w:rPr>
        <w:t>Employee</w:t>
      </w:r>
      <w:r>
        <w:rPr>
          <w:color w:val="000000"/>
        </w:rPr>
        <w:t xml:space="preserve"> </w:t>
      </w:r>
      <w:r>
        <w:rPr>
          <w:rFonts w:ascii="Arial;sans-serif" w:hAnsi="Arial;sans-serif"/>
          <w:b w:val="false"/>
          <w:color w:val="000000"/>
          <w:sz w:val="22"/>
        </w:rPr>
        <w:t>has</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termination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employment,</w:t>
      </w:r>
    </w:p>
    <w:p>
      <w:pPr>
        <w:pStyle w:val="TextBody"/>
        <w:bidi w:val="0"/>
        <w:spacing w:before="8" w:after="283"/>
        <w:jc w:val="both"/>
        <w:rPr/>
      </w:pPr>
      <w:r>
        <w:rPr/>
      </w:r>
    </w:p>
    <w:p>
      <w:pPr>
        <w:pStyle w:val="TextBody"/>
        <w:bidi w:val="0"/>
        <w:spacing w:lineRule="auto" w:line="288" w:before="0" w:after="0"/>
        <w:jc w:val="both"/>
        <w:rPr/>
      </w:pPr>
      <w:r>
        <w:rPr>
          <w:rFonts w:ascii="Arial;sans-serif" w:hAnsi="Arial;sans-serif"/>
          <w:b w:val="false"/>
          <w:color w:val="000000"/>
          <w:sz w:val="20"/>
        </w:rPr>
        <w:t>(ii)</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provides notice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Key</w:t>
      </w:r>
      <w:r>
        <w:rPr>
          <w:color w:val="000000"/>
        </w:rPr>
        <w:t xml:space="preserve"> </w:t>
      </w:r>
      <w:r>
        <w:rPr>
          <w:rFonts w:ascii="Arial;sans-serif" w:hAnsi="Arial;sans-serif"/>
          <w:b w:val="false"/>
          <w:color w:val="000000"/>
          <w:sz w:val="22"/>
        </w:rPr>
        <w:t>Employee</w:t>
      </w:r>
      <w:r>
        <w:rPr>
          <w:color w:val="000000"/>
        </w:rPr>
        <w:t xml:space="preserve"> </w:t>
      </w:r>
      <w:r>
        <w:rPr>
          <w:rFonts w:ascii="Arial;sans-serif" w:hAnsi="Arial;sans-serif"/>
          <w:b w:val="false"/>
          <w:color w:val="000000"/>
          <w:sz w:val="22"/>
        </w:rPr>
        <w:t>terminating</w:t>
      </w:r>
      <w:r>
        <w:rPr>
          <w:color w:val="000000"/>
        </w:rPr>
        <w:t xml:space="preserve"> </w:t>
      </w:r>
      <w:r>
        <w:rPr>
          <w:rFonts w:ascii="Arial;sans-serif" w:hAnsi="Arial;sans-serif"/>
          <w:b w:val="false"/>
          <w:color w:val="000000"/>
          <w:sz w:val="22"/>
        </w:rPr>
        <w:t>his</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her</w:t>
      </w:r>
      <w:r>
        <w:rPr>
          <w:color w:val="000000"/>
        </w:rPr>
        <w:t xml:space="preserve"> </w:t>
      </w:r>
      <w:r>
        <w:rPr>
          <w:rFonts w:ascii="Arial;sans-serif" w:hAnsi="Arial;sans-serif"/>
          <w:b w:val="false"/>
          <w:color w:val="000000"/>
          <w:sz w:val="22"/>
        </w:rPr>
        <w:t>employment with the Company (whether such termination is effective immediately or at a specified date in the future), or</w:t>
      </w:r>
    </w:p>
    <w:p>
      <w:pPr>
        <w:pStyle w:val="TextBody"/>
        <w:bidi w:val="0"/>
        <w:spacing w:before="11" w:after="283"/>
        <w:jc w:val="both"/>
        <w:rPr/>
      </w:pPr>
      <w:r>
        <w:rPr/>
      </w:r>
    </w:p>
    <w:p>
      <w:pPr>
        <w:pStyle w:val="TextBody"/>
        <w:bidi w:val="0"/>
        <w:spacing w:lineRule="auto" w:line="288" w:before="0" w:after="0"/>
        <w:jc w:val="both"/>
        <w:rPr/>
      </w:pPr>
      <w:r>
        <w:rPr>
          <w:rFonts w:ascii="Arial;sans-serif" w:hAnsi="Arial;sans-serif"/>
          <w:b w:val="false"/>
          <w:color w:val="000000"/>
          <w:sz w:val="20"/>
        </w:rPr>
        <w:t>(iii)</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Key</w:t>
      </w:r>
      <w:r>
        <w:rPr>
          <w:color w:val="000000"/>
        </w:rPr>
        <w:t xml:space="preserve"> </w:t>
      </w:r>
      <w:r>
        <w:rPr>
          <w:rFonts w:ascii="Arial;sans-serif" w:hAnsi="Arial;sans-serif"/>
          <w:b w:val="false"/>
          <w:color w:val="000000"/>
          <w:sz w:val="22"/>
        </w:rPr>
        <w:t>Employee</w:t>
      </w:r>
      <w:r>
        <w:rPr>
          <w:color w:val="000000"/>
        </w:rPr>
        <w:t xml:space="preserve"> </w:t>
      </w:r>
      <w:r>
        <w:rPr>
          <w:rFonts w:ascii="Arial;sans-serif" w:hAnsi="Arial;sans-serif"/>
          <w:b w:val="false"/>
          <w:color w:val="000000"/>
          <w:sz w:val="22"/>
        </w:rPr>
        <w:t>provides</w:t>
      </w:r>
      <w:r>
        <w:rPr>
          <w:color w:val="000000"/>
        </w:rPr>
        <w:t xml:space="preserve"> </w:t>
      </w:r>
      <w:r>
        <w:rPr>
          <w:rFonts w:ascii="Arial;sans-serif" w:hAnsi="Arial;sans-serif"/>
          <w:b w:val="false"/>
          <w:color w:val="000000"/>
          <w:sz w:val="22"/>
        </w:rPr>
        <w:t>notice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terminating</w:t>
      </w:r>
      <w:r>
        <w:rPr>
          <w:color w:val="000000"/>
        </w:rPr>
        <w:t xml:space="preserve"> </w:t>
      </w:r>
      <w:r>
        <w:rPr>
          <w:rFonts w:ascii="Arial;sans-serif" w:hAnsi="Arial;sans-serif"/>
          <w:b w:val="false"/>
          <w:color w:val="000000"/>
          <w:sz w:val="22"/>
        </w:rPr>
        <w:t>his</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her</w:t>
      </w:r>
      <w:r>
        <w:rPr>
          <w:color w:val="000000"/>
        </w:rPr>
        <w:t xml:space="preserve"> </w:t>
      </w:r>
      <w:r>
        <w:rPr>
          <w:rFonts w:ascii="Arial;sans-serif" w:hAnsi="Arial;sans-serif"/>
          <w:b w:val="false"/>
          <w:color w:val="000000"/>
          <w:sz w:val="22"/>
        </w:rPr>
        <w:t>employment with the Company (whether such termination is effective immediately or at a specified date in the future);</w:t>
      </w:r>
    </w:p>
    <w:p>
      <w:pPr>
        <w:pStyle w:val="TextBody"/>
        <w:bidi w:val="0"/>
        <w:spacing w:before="0" w:after="240"/>
        <w:jc w:val="both"/>
        <w:rPr/>
      </w:pPr>
      <w:r>
        <w:rPr/>
      </w:r>
    </w:p>
    <w:p>
      <w:pPr>
        <w:pStyle w:val="TextBody"/>
        <w:bidi w:val="0"/>
        <w:spacing w:lineRule="auto" w:line="288" w:before="0" w:after="240"/>
        <w:jc w:val="both"/>
        <w:rPr/>
      </w:pPr>
      <w:r>
        <w:rPr>
          <w:rFonts w:ascii="Arial;sans-serif" w:hAnsi="Arial;sans-serif"/>
          <w:b w:val="false"/>
          <w:color w:val="000000"/>
          <w:sz w:val="22"/>
          <w:u w:val="single"/>
        </w:rPr>
        <w:t>provided</w:t>
      </w:r>
      <w:r>
        <w:rPr>
          <w:color w:val="000000"/>
        </w:rPr>
        <w:t xml:space="preserve"> </w:t>
      </w:r>
      <w:r>
        <w:rPr>
          <w:rFonts w:ascii="Arial;sans-serif" w:hAnsi="Arial;sans-serif"/>
          <w:b w:val="false"/>
          <w:color w:val="000000"/>
          <w:sz w:val="22"/>
        </w:rPr>
        <w:t>that if the Key Employee is terminated by the Company without Cause, the Key Employee shall be deemed to continue in Active Employment through to the end of any statutory notice of termination period.</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certainty,</w:t>
      </w:r>
      <w:r>
        <w:rPr>
          <w:color w:val="000000"/>
        </w:rPr>
        <w:t xml:space="preserve"> </w:t>
      </w:r>
      <w:r>
        <w:rPr>
          <w:rFonts w:ascii="Arial;sans-serif" w:hAnsi="Arial;sans-serif"/>
          <w:b w:val="false"/>
          <w:color w:val="000000"/>
          <w:sz w:val="22"/>
        </w:rPr>
        <w:t>if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Key</w:t>
      </w:r>
      <w:r>
        <w:rPr>
          <w:color w:val="000000"/>
        </w:rPr>
        <w:t xml:space="preserve"> </w:t>
      </w:r>
      <w:r>
        <w:rPr>
          <w:rFonts w:ascii="Arial;sans-serif" w:hAnsi="Arial;sans-serif"/>
          <w:b w:val="false"/>
          <w:color w:val="000000"/>
          <w:sz w:val="22"/>
        </w:rPr>
        <w:t>Employee</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terminated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without</w:t>
      </w:r>
      <w:r>
        <w:rPr>
          <w:color w:val="000000"/>
        </w:rPr>
        <w:t xml:space="preserve"> </w:t>
      </w:r>
      <w:r>
        <w:rPr>
          <w:rFonts w:ascii="Arial;sans-serif" w:hAnsi="Arial;sans-serif"/>
          <w:b w:val="false"/>
          <w:color w:val="000000"/>
          <w:sz w:val="22"/>
        </w:rPr>
        <w:t>Cause,</w:t>
      </w:r>
      <w:r>
        <w:rPr>
          <w:color w:val="000000"/>
        </w:rPr>
        <w:t xml:space="preserve"> </w:t>
      </w:r>
      <w:r>
        <w:rPr>
          <w:rFonts w:ascii="Arial;sans-serif" w:hAnsi="Arial;sans-serif"/>
          <w:b w:val="false"/>
          <w:color w:val="000000"/>
          <w:sz w:val="22"/>
        </w:rPr>
        <w:t>Active</w:t>
      </w:r>
      <w:r>
        <w:rPr>
          <w:color w:val="000000"/>
        </w:rPr>
        <w:t xml:space="preserve"> </w:t>
      </w:r>
      <w:r>
        <w:rPr>
          <w:rFonts w:ascii="Arial;sans-serif" w:hAnsi="Arial;sans-serif"/>
          <w:b w:val="false"/>
          <w:color w:val="000000"/>
          <w:sz w:val="22"/>
        </w:rPr>
        <w:t>Employment shall</w:t>
      </w:r>
      <w:r>
        <w:rPr>
          <w:color w:val="000000"/>
        </w:rPr>
        <w:t xml:space="preserve"> </w:t>
      </w:r>
      <w:r>
        <w:rPr>
          <w:rFonts w:ascii="Arial;sans-serif" w:hAnsi="Arial;sans-serif"/>
          <w:b w:val="false"/>
          <w:color w:val="000000"/>
          <w:sz w:val="22"/>
        </w:rPr>
        <w:t>immediately</w:t>
      </w:r>
      <w:r>
        <w:rPr>
          <w:color w:val="000000"/>
        </w:rPr>
        <w:t xml:space="preserve"> </w:t>
      </w:r>
      <w:r>
        <w:rPr>
          <w:rFonts w:ascii="Arial;sans-serif" w:hAnsi="Arial;sans-serif"/>
          <w:b w:val="false"/>
          <w:color w:val="000000"/>
          <w:sz w:val="22"/>
        </w:rPr>
        <w:t>cease</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end</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statutory</w:t>
      </w:r>
      <w:r>
        <w:rPr>
          <w:color w:val="000000"/>
        </w:rPr>
        <w:t xml:space="preserve"> </w:t>
      </w:r>
      <w:r>
        <w:rPr>
          <w:rFonts w:ascii="Arial;sans-serif" w:hAnsi="Arial;sans-serif"/>
          <w:b w:val="false"/>
          <w:color w:val="000000"/>
          <w:sz w:val="22"/>
        </w:rPr>
        <w:t>notice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termination</w:t>
      </w:r>
      <w:r>
        <w:rPr>
          <w:color w:val="000000"/>
        </w:rPr>
        <w:t xml:space="preserve"> </w:t>
      </w:r>
      <w:r>
        <w:rPr>
          <w:rFonts w:ascii="Arial;sans-serif" w:hAnsi="Arial;sans-serif"/>
          <w:b w:val="false"/>
          <w:color w:val="000000"/>
          <w:sz w:val="22"/>
        </w:rPr>
        <w:t>period</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extended by</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contractual</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common</w:t>
      </w:r>
      <w:r>
        <w:rPr>
          <w:color w:val="000000"/>
        </w:rPr>
        <w:t xml:space="preserve"> </w:t>
      </w:r>
      <w:r>
        <w:rPr>
          <w:rFonts w:ascii="Arial;sans-serif" w:hAnsi="Arial;sans-serif"/>
          <w:b w:val="false"/>
          <w:color w:val="000000"/>
          <w:sz w:val="22"/>
        </w:rPr>
        <w:t>law</w:t>
      </w:r>
      <w:r>
        <w:rPr>
          <w:color w:val="000000"/>
        </w:rPr>
        <w:t xml:space="preserve"> </w:t>
      </w:r>
      <w:r>
        <w:rPr>
          <w:rFonts w:ascii="Arial;sans-serif" w:hAnsi="Arial;sans-serif"/>
          <w:b w:val="false"/>
          <w:color w:val="000000"/>
          <w:sz w:val="22"/>
        </w:rPr>
        <w:t>notice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termination,</w:t>
      </w:r>
      <w:r>
        <w:rPr>
          <w:color w:val="000000"/>
        </w:rPr>
        <w:t xml:space="preserve"> </w:t>
      </w:r>
      <w:r>
        <w:rPr>
          <w:rFonts w:ascii="Arial;sans-serif" w:hAnsi="Arial;sans-serif"/>
          <w:b w:val="false"/>
          <w:color w:val="000000"/>
          <w:sz w:val="22"/>
        </w:rPr>
        <w:t>pay</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lieu</w:t>
      </w:r>
      <w:r>
        <w:rPr>
          <w:color w:val="000000"/>
        </w:rPr>
        <w:t xml:space="preserve"> </w:t>
      </w:r>
      <w:r>
        <w:rPr>
          <w:rFonts w:ascii="Arial;sans-serif" w:hAnsi="Arial;sans-serif"/>
          <w:b w:val="false"/>
          <w:color w:val="000000"/>
          <w:sz w:val="22"/>
        </w:rPr>
        <w:t>thereof,</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entitlement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payment of severance. The Committee shall determine, in its sole</w:t>
      </w:r>
      <w:r>
        <w:rPr>
          <w:color w:val="000000"/>
        </w:rPr>
        <w:t xml:space="preserve"> </w:t>
      </w:r>
      <w:r>
        <w:rPr>
          <w:rFonts w:ascii="Arial;sans-serif" w:hAnsi="Arial;sans-serif"/>
          <w:b w:val="false"/>
          <w:color w:val="000000"/>
          <w:sz w:val="22"/>
        </w:rPr>
        <w:t>discretion, the date as of which a Key Employee has</w:t>
      </w:r>
      <w:r>
        <w:rPr>
          <w:color w:val="000000"/>
        </w:rPr>
        <w:t xml:space="preserve"> </w:t>
      </w:r>
      <w:r>
        <w:rPr>
          <w:rFonts w:ascii="Arial;sans-serif" w:hAnsi="Arial;sans-serif"/>
          <w:b w:val="false"/>
          <w:color w:val="000000"/>
          <w:sz w:val="22"/>
        </w:rPr>
        <w:t>ceased</w:t>
      </w:r>
      <w:r>
        <w:rPr>
          <w:color w:val="000000"/>
        </w:rPr>
        <w:t xml:space="preserve"> </w:t>
      </w:r>
      <w:r>
        <w:rPr>
          <w:rFonts w:ascii="Arial;sans-serif" w:hAnsi="Arial;sans-serif"/>
          <w:b w:val="false"/>
          <w:color w:val="000000"/>
          <w:sz w:val="22"/>
        </w:rPr>
        <w:t>Active</w:t>
      </w:r>
      <w:r>
        <w:rPr>
          <w:color w:val="000000"/>
        </w:rPr>
        <w:t xml:space="preserve"> </w:t>
      </w:r>
      <w:r>
        <w:rPr>
          <w:rFonts w:ascii="Arial;sans-serif" w:hAnsi="Arial;sans-serif"/>
          <w:b w:val="false"/>
          <w:color w:val="000000"/>
          <w:sz w:val="22"/>
        </w:rPr>
        <w:t>Employment</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purposes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determining</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vesting</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PSUs. The Key Employee shall not be deemed to have a termination of employment as a result of a transfer between the Company, a Parent, or a Subsidiary or Affiliate or any combinations of such organizations.</w:t>
      </w:r>
    </w:p>
    <w:p>
      <w:pPr>
        <w:pStyle w:val="TextBody"/>
        <w:bidi w:val="0"/>
        <w:spacing w:lineRule="auto" w:line="288" w:before="0" w:after="240"/>
        <w:ind w:left="0" w:right="0" w:firstLine="720"/>
        <w:jc w:val="both"/>
        <w:rPr/>
      </w:pPr>
      <w:r>
        <w:rPr>
          <w:rFonts w:ascii="Arial;sans-serif" w:hAnsi="Arial;sans-serif"/>
          <w:b w:val="false"/>
          <w:color w:val="000000"/>
          <w:sz w:val="22"/>
        </w:rPr>
        <w:t>§ 3.</w:t>
      </w:r>
      <w:r>
        <w:rPr>
          <w:rFonts w:ascii="Arial;sans-serif" w:hAnsi="Arial;sans-serif"/>
          <w:b w:val="false"/>
          <w:color w:val="000000"/>
          <w:sz w:val="22"/>
        </w:rPr>
        <w:t>Subject to § 3, if either condition set forth in the first sentence of this § 2 is not satisfied with respect to any PSUs, such PSUs</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automatically</w:t>
      </w:r>
      <w:r>
        <w:rPr>
          <w:color w:val="000000"/>
        </w:rPr>
        <w:t xml:space="preserve"> </w:t>
      </w:r>
      <w:r>
        <w:rPr>
          <w:rFonts w:ascii="Arial;sans-serif" w:hAnsi="Arial;sans-serif"/>
          <w:b w:val="false"/>
          <w:color w:val="000000"/>
          <w:sz w:val="22"/>
        </w:rPr>
        <w:t>forfeited</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have</w:t>
      </w:r>
      <w:r>
        <w:rPr>
          <w:color w:val="000000"/>
        </w:rPr>
        <w:t xml:space="preserve"> </w:t>
      </w:r>
      <w:r>
        <w:rPr>
          <w:rFonts w:ascii="Arial;sans-serif" w:hAnsi="Arial;sans-serif"/>
          <w:b w:val="false"/>
          <w:color w:val="000000"/>
          <w:sz w:val="22"/>
        </w:rPr>
        <w:t>any further</w:t>
      </w:r>
      <w:r>
        <w:rPr>
          <w:color w:val="000000"/>
        </w:rPr>
        <w:t xml:space="preserve"> </w:t>
      </w:r>
      <w:r>
        <w:rPr>
          <w:rFonts w:ascii="Arial;sans-serif" w:hAnsi="Arial;sans-serif"/>
          <w:b w:val="false"/>
          <w:color w:val="000000"/>
          <w:sz w:val="22"/>
        </w:rPr>
        <w:t>obligation</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Key Employee</w:t>
      </w:r>
      <w:r>
        <w:rPr>
          <w:color w:val="000000"/>
        </w:rPr>
        <w:t xml:space="preserve"> </w:t>
      </w:r>
      <w:r>
        <w:rPr>
          <w:rFonts w:ascii="Arial;sans-serif" w:hAnsi="Arial;sans-serif"/>
          <w:b w:val="false"/>
          <w:color w:val="000000"/>
          <w:sz w:val="22"/>
        </w:rPr>
        <w:t>under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 with respect to such PSUs.</w:t>
      </w:r>
      <w:r>
        <w:rPr>
          <w:color w:val="000000"/>
        </w:rPr>
        <w:t xml:space="preserve"> </w:t>
      </w:r>
      <w:r>
        <w:rPr>
          <w:rFonts w:ascii="Arial;sans-serif" w:hAnsi="Arial;sans-serif"/>
          <w:b w:val="false"/>
          <w:color w:val="000000"/>
          <w:sz w:val="22"/>
        </w:rPr>
        <w:t>Once</w:t>
      </w:r>
      <w:r>
        <w:rPr>
          <w:color w:val="000000"/>
        </w:rPr>
        <w:t xml:space="preserve"> </w:t>
      </w:r>
      <w:r>
        <w:rPr>
          <w:rFonts w:ascii="Arial;sans-serif" w:hAnsi="Arial;sans-serif"/>
          <w:b w:val="false"/>
          <w:color w:val="000000"/>
          <w:sz w:val="22"/>
        </w:rPr>
        <w:t>vested,</w:t>
      </w:r>
      <w:r>
        <w:rPr>
          <w:color w:val="000000"/>
        </w:rPr>
        <w:t xml:space="preserve"> </w:t>
      </w:r>
      <w:r>
        <w:rPr>
          <w:rFonts w:ascii="Arial;sans-serif" w:hAnsi="Arial;sans-serif"/>
          <w:b w:val="false"/>
          <w:color w:val="000000"/>
          <w:sz w:val="22"/>
        </w:rPr>
        <w:t>PSUs</w:t>
      </w:r>
      <w:r>
        <w:rPr>
          <w:color w:val="000000"/>
        </w:rPr>
        <w:t xml:space="preserve"> </w:t>
      </w:r>
      <w:r>
        <w:rPr>
          <w:rFonts w:ascii="Arial;sans-serif" w:hAnsi="Arial;sans-serif"/>
          <w:b w:val="false"/>
          <w:color w:val="000000"/>
          <w:sz w:val="22"/>
        </w:rPr>
        <w:t>shall become “Vested Units.”</w:t>
      </w:r>
    </w:p>
    <w:p>
      <w:pPr>
        <w:pStyle w:val="TextBody"/>
        <w:bidi w:val="0"/>
        <w:spacing w:lineRule="auto" w:line="240" w:before="0" w:after="240"/>
        <w:ind w:left="0" w:right="0" w:firstLine="720"/>
        <w:jc w:val="both"/>
        <w:rPr/>
      </w:pPr>
      <w:r>
        <w:rPr>
          <w:rFonts w:ascii="Arial;sans-serif" w:hAnsi="Arial;sans-serif"/>
          <w:b/>
          <w:color w:val="000000"/>
          <w:sz w:val="22"/>
        </w:rPr>
        <w:t>§ 4.</w:t>
      </w:r>
      <w:r>
        <w:rPr>
          <w:rFonts w:ascii="Arial;sans-serif" w:hAnsi="Arial;sans-serif"/>
          <w:b/>
          <w:color w:val="000000"/>
          <w:sz w:val="22"/>
          <w:u w:val="single"/>
        </w:rPr>
        <w:t>Change in Control, Death, or Disability:</w:t>
      </w:r>
      <w:r>
        <w:rPr>
          <w:color w:val="000000"/>
        </w:rPr>
        <w:t xml:space="preserve"> </w:t>
      </w:r>
      <w:r>
        <w:rPr>
          <w:rFonts w:ascii="Arial;sans-serif" w:hAnsi="Arial;sans-serif"/>
          <w:b w:val="false"/>
          <w:color w:val="000000"/>
          <w:sz w:val="22"/>
        </w:rPr>
        <w:t>If (1) there is a Change in Control on any date and the Plan and the PSUs</w:t>
      </w:r>
      <w:r>
        <w:rPr>
          <w:color w:val="000000"/>
        </w:rPr>
        <w:t xml:space="preserve"> </w:t>
      </w:r>
      <w:r>
        <w:rPr>
          <w:rFonts w:ascii="Arial;sans-serif" w:hAnsi="Arial;sans-serif"/>
          <w:b w:val="false"/>
          <w:color w:val="000000"/>
          <w:sz w:val="22"/>
        </w:rPr>
        <w:t>are</w:t>
      </w:r>
      <w:r>
        <w:rPr>
          <w:color w:val="000000"/>
        </w:rPr>
        <w:t xml:space="preserve"> </w:t>
      </w:r>
      <w:r>
        <w:rPr>
          <w:rFonts w:ascii="Arial;sans-serif" w:hAnsi="Arial;sans-serif"/>
          <w:b w:val="false"/>
          <w:color w:val="000000"/>
          <w:sz w:val="22"/>
        </w:rPr>
        <w:t>continued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full</w:t>
      </w:r>
      <w:r>
        <w:rPr>
          <w:color w:val="000000"/>
        </w:rPr>
        <w:t xml:space="preserve"> </w:t>
      </w:r>
      <w:r>
        <w:rPr>
          <w:rFonts w:ascii="Arial;sans-serif" w:hAnsi="Arial;sans-serif"/>
          <w:b w:val="false"/>
          <w:color w:val="000000"/>
          <w:sz w:val="22"/>
        </w:rPr>
        <w:t>force</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effect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there</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an</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assumption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substitution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PSUs pursuant to the merger or other agreement which</w:t>
      </w:r>
      <w:r>
        <w:rPr>
          <w:color w:val="000000"/>
        </w:rPr>
        <w:t xml:space="preserve"> </w:t>
      </w:r>
      <w:r>
        <w:rPr>
          <w:rFonts w:ascii="Arial;sans-serif" w:hAnsi="Arial;sans-serif"/>
          <w:b w:val="false"/>
          <w:color w:val="000000"/>
          <w:sz w:val="22"/>
        </w:rPr>
        <w:t>effects such</w:t>
      </w:r>
      <w:r>
        <w:rPr>
          <w:color w:val="000000"/>
        </w:rPr>
        <w:t xml:space="preserve"> </w:t>
      </w:r>
      <w:r>
        <w:rPr>
          <w:rFonts w:ascii="Arial;sans-serif" w:hAnsi="Arial;sans-serif"/>
          <w:b w:val="false"/>
          <w:color w:val="000000"/>
          <w:sz w:val="22"/>
        </w:rPr>
        <w:t>Change in</w:t>
      </w:r>
      <w:r>
        <w:rPr>
          <w:color w:val="000000"/>
        </w:rPr>
        <w:t xml:space="preserve"> </w:t>
      </w:r>
      <w:r>
        <w:rPr>
          <w:rFonts w:ascii="Arial;sans-serif" w:hAnsi="Arial;sans-serif"/>
          <w:b w:val="false"/>
          <w:color w:val="000000"/>
          <w:sz w:val="22"/>
        </w:rPr>
        <w:t>Control and</w:t>
      </w:r>
      <w:r>
        <w:rPr>
          <w:color w:val="000000"/>
        </w:rPr>
        <w:t xml:space="preserve"> </w:t>
      </w:r>
      <w:r>
        <w:rPr>
          <w:rFonts w:ascii="Arial;sans-serif" w:hAnsi="Arial;sans-serif"/>
          <w:b w:val="false"/>
          <w:color w:val="000000"/>
          <w:sz w:val="22"/>
        </w:rPr>
        <w:t>(2) the Key Employee’s employment</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terminated</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Company’s</w:t>
      </w:r>
      <w:r>
        <w:rPr>
          <w:color w:val="000000"/>
        </w:rPr>
        <w:t xml:space="preserve"> </w:t>
      </w:r>
      <w:r>
        <w:rPr>
          <w:rFonts w:ascii="Arial;sans-serif" w:hAnsi="Arial;sans-serif"/>
          <w:b w:val="false"/>
          <w:color w:val="000000"/>
          <w:sz w:val="22"/>
        </w:rPr>
        <w:t>initiative</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reasons</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than</w:t>
      </w:r>
      <w:r>
        <w:rPr>
          <w:color w:val="000000"/>
        </w:rPr>
        <w:t xml:space="preserve"> </w:t>
      </w:r>
      <w:r>
        <w:rPr>
          <w:rFonts w:ascii="Arial;sans-serif" w:hAnsi="Arial;sans-serif"/>
          <w:b w:val="false"/>
          <w:color w:val="000000"/>
          <w:sz w:val="22"/>
        </w:rPr>
        <w:t>Cause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terminated</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the Key Employee’s</w:t>
      </w:r>
      <w:r>
        <w:rPr>
          <w:color w:val="000000"/>
        </w:rPr>
        <w:t xml:space="preserve"> </w:t>
      </w:r>
      <w:r>
        <w:rPr>
          <w:rFonts w:ascii="Arial;sans-serif" w:hAnsi="Arial;sans-serif"/>
          <w:b w:val="false"/>
          <w:color w:val="000000"/>
          <w:sz w:val="22"/>
        </w:rPr>
        <w:t>initiative</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Good</w:t>
      </w:r>
      <w:r>
        <w:rPr>
          <w:color w:val="000000"/>
        </w:rPr>
        <w:t xml:space="preserve"> </w:t>
      </w:r>
      <w:r>
        <w:rPr>
          <w:rFonts w:ascii="Arial;sans-serif" w:hAnsi="Arial;sans-serif"/>
          <w:b w:val="false"/>
          <w:color w:val="000000"/>
          <w:sz w:val="22"/>
        </w:rPr>
        <w:t>Reason</w:t>
      </w:r>
      <w:r>
        <w:rPr>
          <w:color w:val="000000"/>
        </w:rPr>
        <w:t xml:space="preserve"> </w:t>
      </w:r>
      <w:r>
        <w:rPr>
          <w:rFonts w:ascii="Arial;sans-serif" w:hAnsi="Arial;sans-serif"/>
          <w:b w:val="false"/>
          <w:color w:val="000000"/>
          <w:sz w:val="22"/>
        </w:rPr>
        <w:t>within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Protection</w:t>
      </w:r>
      <w:r>
        <w:rPr>
          <w:color w:val="000000"/>
        </w:rPr>
        <w:t xml:space="preserve"> </w:t>
      </w:r>
      <w:r>
        <w:rPr>
          <w:rFonts w:ascii="Arial;sans-serif" w:hAnsi="Arial;sans-serif"/>
          <w:b w:val="false"/>
          <w:color w:val="000000"/>
          <w:sz w:val="22"/>
        </w:rPr>
        <w:t>Period,</w:t>
      </w:r>
      <w:r>
        <w:rPr>
          <w:color w:val="000000"/>
        </w:rPr>
        <w:t xml:space="preserve"> </w:t>
      </w:r>
      <w:r>
        <w:rPr>
          <w:rFonts w:ascii="Arial;sans-serif" w:hAnsi="Arial;sans-serif"/>
          <w:b w:val="false"/>
          <w:color w:val="000000"/>
          <w:sz w:val="22"/>
        </w:rPr>
        <w:t>then the PSUs shall fully vest and be non-forfeitable on the date his or her employment so terminates (without regard to § 2 of this Agreement) in accordance with § 14 of the Plan as in effect on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Grant</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If there</w:t>
      </w:r>
      <w:r>
        <w:rPr>
          <w:color w:val="000000"/>
        </w:rPr>
        <w:t xml:space="preserve"> </w:t>
      </w:r>
      <w:r>
        <w:rPr>
          <w:rFonts w:ascii="Arial;sans-serif" w:hAnsi="Arial;sans-serif"/>
          <w:b w:val="false"/>
          <w:color w:val="000000"/>
          <w:sz w:val="22"/>
        </w:rPr>
        <w:t>is a</w:t>
      </w:r>
      <w:r>
        <w:rPr>
          <w:color w:val="000000"/>
        </w:rPr>
        <w:t xml:space="preserve"> </w:t>
      </w:r>
      <w:r>
        <w:rPr>
          <w:rFonts w:ascii="Arial;sans-serif" w:hAnsi="Arial;sans-serif"/>
          <w:b w:val="false"/>
          <w:color w:val="000000"/>
          <w:sz w:val="22"/>
        </w:rPr>
        <w:t>Change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Control</w:t>
      </w:r>
      <w:r>
        <w:rPr>
          <w:color w:val="000000"/>
        </w:rPr>
        <w:t xml:space="preserve"> </w:t>
      </w:r>
      <w:r>
        <w:rPr>
          <w:rFonts w:ascii="Arial;sans-serif" w:hAnsi="Arial;sans-serif"/>
          <w:b w:val="false"/>
          <w:color w:val="000000"/>
          <w:sz w:val="22"/>
        </w:rPr>
        <w:t>on any</w:t>
      </w:r>
      <w:r>
        <w:rPr>
          <w:color w:val="000000"/>
        </w:rPr>
        <w:t xml:space="preserve"> </w:t>
      </w:r>
      <w:r>
        <w:rPr>
          <w:rFonts w:ascii="Arial;sans-serif" w:hAnsi="Arial;sans-serif"/>
          <w:b w:val="false"/>
          <w:color w:val="000000"/>
          <w:sz w:val="22"/>
        </w:rPr>
        <w:t>date and</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PSUs are not continued in full force and effect or there is no assumption or substitution of the PSUs pursuant to the merger or</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which effects</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Change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Control,</w:t>
      </w:r>
      <w:r>
        <w:rPr>
          <w:color w:val="000000"/>
        </w:rPr>
        <w:t xml:space="preserve"> </w:t>
      </w:r>
      <w:r>
        <w:rPr>
          <w:rFonts w:ascii="Arial;sans-serif" w:hAnsi="Arial;sans-serif"/>
          <w:b w:val="false"/>
          <w:color w:val="000000"/>
          <w:sz w:val="22"/>
        </w:rPr>
        <w:t>then the PSUs shall fully</w:t>
      </w:r>
      <w:r>
        <w:rPr>
          <w:color w:val="000000"/>
        </w:rPr>
        <w:t xml:space="preserve"> </w:t>
      </w:r>
      <w:r>
        <w:rPr>
          <w:rFonts w:ascii="Arial;sans-serif" w:hAnsi="Arial;sans-serif"/>
          <w:b w:val="false"/>
          <w:color w:val="000000"/>
          <w:sz w:val="22"/>
        </w:rPr>
        <w:t>vest</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non-forfeitable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accordance</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14</w:t>
      </w:r>
      <w:r>
        <w:rPr>
          <w:color w:val="000000"/>
        </w:rPr>
        <w:t xml:space="preserve"> </w:t>
      </w:r>
      <w:r>
        <w:rPr>
          <w:rFonts w:ascii="Arial;sans-serif" w:hAnsi="Arial;sans-serif"/>
          <w:b w:val="false"/>
          <w:color w:val="000000"/>
          <w:sz w:val="22"/>
        </w:rPr>
        <w:t>of the</w:t>
      </w:r>
      <w:r>
        <w:rPr>
          <w:color w:val="000000"/>
        </w:rPr>
        <w:t xml:space="preserve"> </w:t>
      </w:r>
      <w:r>
        <w:rPr>
          <w:rFonts w:ascii="Arial;sans-serif" w:hAnsi="Arial;sans-serif"/>
          <w:b w:val="false"/>
          <w:color w:val="000000"/>
          <w:sz w:val="22"/>
        </w:rPr>
        <w:t>Plan</w:t>
      </w:r>
      <w:r>
        <w:rPr>
          <w:color w:val="000000"/>
        </w:rPr>
        <w:t xml:space="preserve"> </w:t>
      </w:r>
      <w:r>
        <w:rPr>
          <w:rFonts w:ascii="Arial;sans-serif" w:hAnsi="Arial;sans-serif"/>
          <w:b w:val="false"/>
          <w:color w:val="000000"/>
          <w:sz w:val="22"/>
        </w:rPr>
        <w:t>(as in effect on the Grant Date) on the date of the Change in Control.</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 xml:space="preserve">In the event that Key Employee’s Active Employment terminates because Key Employee dies or becomes disabled, the unvested portion of the PSUs will vest subject to the degree of achievement of the Stock Price Hurdle requirements. </w:t>
      </w:r>
    </w:p>
    <w:p>
      <w:pPr>
        <w:pStyle w:val="TextBody"/>
        <w:bidi w:val="0"/>
        <w:spacing w:lineRule="auto" w:line="240" w:before="0" w:after="240"/>
        <w:ind w:left="0" w:right="0" w:firstLine="720"/>
        <w:jc w:val="both"/>
        <w:rPr/>
      </w:pPr>
      <w:r>
        <w:rPr>
          <w:rFonts w:ascii="Arial;sans-serif" w:hAnsi="Arial;sans-serif"/>
          <w:b/>
          <w:color w:val="000000"/>
          <w:sz w:val="22"/>
        </w:rPr>
        <w:t>§ 5.</w:t>
      </w:r>
      <w:r>
        <w:rPr>
          <w:rFonts w:ascii="Arial;sans-serif" w:hAnsi="Arial;sans-serif"/>
          <w:b/>
          <w:color w:val="000000"/>
          <w:sz w:val="22"/>
          <w:u w:val="single"/>
        </w:rPr>
        <w:t>Restrictions</w:t>
      </w:r>
      <w:r>
        <w:rPr>
          <w:rFonts w:ascii="Arial;sans-serif" w:hAnsi="Arial;sans-serif"/>
          <w:b w:val="false"/>
          <w:color w:val="000000"/>
          <w:sz w:val="22"/>
        </w:rPr>
        <w:t>. Subject to any exceptions set forth in this Agreement or the Plan, until the PSUs</w:t>
      </w:r>
      <w:r>
        <w:rPr>
          <w:color w:val="000000"/>
        </w:rPr>
        <w:t xml:space="preserve"> </w:t>
      </w:r>
      <w:r>
        <w:rPr>
          <w:rFonts w:ascii="Arial;sans-serif" w:hAnsi="Arial;sans-serif"/>
          <w:b w:val="false"/>
          <w:color w:val="000000"/>
          <w:sz w:val="22"/>
        </w:rPr>
        <w:t>are</w:t>
      </w:r>
      <w:r>
        <w:rPr>
          <w:color w:val="000000"/>
        </w:rPr>
        <w:t xml:space="preserve"> </w:t>
      </w:r>
      <w:r>
        <w:rPr>
          <w:rFonts w:ascii="Arial;sans-serif" w:hAnsi="Arial;sans-serif"/>
          <w:b w:val="false"/>
          <w:color w:val="000000"/>
          <w:sz w:val="22"/>
        </w:rPr>
        <w:t>settled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accordance</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7</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PSUs or the rights relating thereto may not be assigned, alienated, pledged, attached, sold or otherwise transferred or encumbered by the Key Employee. Any attempt to assign, alienate, pledge, attach, sell or otherwise transfer or encumber the PSUs or the rights relating thereto shall be wholly ineffective and, if any such attempt is made, the PSUs will be forfeited by the Key Employee and all of the Key Employee's rights to such PSUs shall immediately terminate without any payment or consideration by the Company.</w:t>
      </w:r>
    </w:p>
    <w:p>
      <w:pPr>
        <w:pStyle w:val="TextBody"/>
        <w:bidi w:val="0"/>
        <w:spacing w:lineRule="auto" w:line="240" w:before="0" w:after="240"/>
        <w:ind w:left="0" w:right="0" w:firstLine="720"/>
        <w:jc w:val="both"/>
        <w:rPr/>
      </w:pPr>
      <w:r>
        <w:rPr>
          <w:rFonts w:ascii="Arial;sans-serif" w:hAnsi="Arial;sans-serif"/>
          <w:b/>
          <w:color w:val="000000"/>
          <w:sz w:val="22"/>
        </w:rPr>
        <w:t>§ 6.</w:t>
      </w:r>
      <w:r>
        <w:rPr>
          <w:rFonts w:ascii="Arial;sans-serif" w:hAnsi="Arial;sans-serif"/>
          <w:b/>
          <w:color w:val="000000"/>
          <w:sz w:val="22"/>
          <w:u w:val="single"/>
        </w:rPr>
        <w:t>Clawback Provisions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Notwithstanding any other provision of this Agreement to the contrary, any PSU granted, shares of stock issued, and/or any amount received with respect to</w:t>
      </w:r>
      <w:r>
        <w:rPr>
          <w:color w:val="000000"/>
        </w:rPr>
        <w:t xml:space="preserve"> </w:t>
      </w:r>
      <w:r>
        <w:rPr>
          <w:rFonts w:ascii="Arial;sans-serif" w:hAnsi="Arial;sans-serif"/>
          <w:b w:val="false"/>
          <w:color w:val="000000"/>
          <w:sz w:val="22"/>
        </w:rPr>
        <w:t>any sale</w:t>
      </w:r>
      <w:r>
        <w:rPr>
          <w:color w:val="000000"/>
        </w:rPr>
        <w:t xml:space="preserve"> </w:t>
      </w:r>
      <w:r>
        <w:rPr>
          <w:rFonts w:ascii="Arial;sans-serif" w:hAnsi="Arial;sans-serif"/>
          <w:b w:val="false"/>
          <w:color w:val="000000"/>
          <w:sz w:val="22"/>
        </w:rPr>
        <w:t>of any such</w:t>
      </w:r>
      <w:r>
        <w:rPr>
          <w:color w:val="000000"/>
        </w:rPr>
        <w:t xml:space="preserve"> </w:t>
      </w:r>
      <w:r>
        <w:rPr>
          <w:rFonts w:ascii="Arial;sans-serif" w:hAnsi="Arial;sans-serif"/>
          <w:b w:val="false"/>
          <w:color w:val="000000"/>
          <w:sz w:val="22"/>
        </w:rPr>
        <w:t>shares of</w:t>
      </w:r>
      <w:r>
        <w:rPr>
          <w:color w:val="000000"/>
        </w:rPr>
        <w:t xml:space="preserve"> </w:t>
      </w:r>
      <w:r>
        <w:rPr>
          <w:rFonts w:ascii="Arial;sans-serif" w:hAnsi="Arial;sans-serif"/>
          <w:b w:val="false"/>
          <w:color w:val="000000"/>
          <w:sz w:val="22"/>
        </w:rPr>
        <w:t>stock,</w:t>
      </w:r>
      <w:r>
        <w:rPr>
          <w:color w:val="000000"/>
        </w:rPr>
        <w:t xml:space="preserve"> </w:t>
      </w:r>
      <w:r>
        <w:rPr>
          <w:rFonts w:ascii="Arial;sans-serif" w:hAnsi="Arial;sans-serif"/>
          <w:b w:val="false"/>
          <w:color w:val="000000"/>
          <w:sz w:val="22"/>
        </w:rPr>
        <w:t>shall be subject</w:t>
      </w:r>
      <w:r>
        <w:rPr>
          <w:color w:val="000000"/>
        </w:rPr>
        <w:t xml:space="preserve"> </w:t>
      </w:r>
      <w:r>
        <w:rPr>
          <w:rFonts w:ascii="Arial;sans-serif" w:hAnsi="Arial;sans-serif"/>
          <w:b w:val="false"/>
          <w:color w:val="000000"/>
          <w:sz w:val="22"/>
        </w:rPr>
        <w:t>to potential</w:t>
      </w:r>
      <w:r>
        <w:rPr>
          <w:color w:val="000000"/>
        </w:rPr>
        <w:t xml:space="preserve"> </w:t>
      </w:r>
      <w:r>
        <w:rPr>
          <w:rFonts w:ascii="Arial;sans-serif" w:hAnsi="Arial;sans-serif"/>
          <w:b w:val="false"/>
          <w:color w:val="000000"/>
          <w:sz w:val="22"/>
        </w:rPr>
        <w:t>cancellation, recoupment, rescission, payback or other action in accordance with the terms of the Company’s Compensation Recoupment Policy effective October 23, 2023, as it may be amended from time to time (the “Policy”). The Key Employee agrees and consents to the Company’s application, implementation and enforcement of (a) the Policy or any similar policy established by the Company that may apply to the Key Employee and (b) any provision of applicable law relating to cancellation,</w:t>
      </w:r>
      <w:r>
        <w:rPr>
          <w:color w:val="000000"/>
        </w:rPr>
        <w:t xml:space="preserve"> </w:t>
      </w:r>
      <w:r>
        <w:rPr>
          <w:rFonts w:ascii="Arial;sans-serif" w:hAnsi="Arial;sans-serif"/>
          <w:b w:val="false"/>
          <w:color w:val="000000"/>
          <w:sz w:val="22"/>
        </w:rPr>
        <w:t>rescission,</w:t>
      </w:r>
      <w:r>
        <w:rPr>
          <w:color w:val="000000"/>
        </w:rPr>
        <w:t xml:space="preserve"> </w:t>
      </w:r>
      <w:r>
        <w:rPr>
          <w:rFonts w:ascii="Arial;sans-serif" w:hAnsi="Arial;sans-serif"/>
          <w:b w:val="false"/>
          <w:color w:val="000000"/>
          <w:sz w:val="22"/>
        </w:rPr>
        <w:t>payback</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recoupment</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compensation,</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expressly</w:t>
      </w:r>
      <w:r>
        <w:rPr>
          <w:color w:val="000000"/>
        </w:rPr>
        <w:t xml:space="preserve"> </w:t>
      </w:r>
      <w:r>
        <w:rPr>
          <w:rFonts w:ascii="Arial;sans-serif" w:hAnsi="Arial;sans-serif"/>
          <w:b w:val="false"/>
          <w:color w:val="000000"/>
          <w:sz w:val="22"/>
        </w:rPr>
        <w:t>agrees</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 may take such actions as are necessary to effectuate the Policy, any similar policy (as applicable to the Key Employee)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law</w:t>
      </w:r>
      <w:r>
        <w:rPr>
          <w:color w:val="000000"/>
        </w:rPr>
        <w:t xml:space="preserve"> </w:t>
      </w:r>
      <w:r>
        <w:rPr>
          <w:rFonts w:ascii="Arial;sans-serif" w:hAnsi="Arial;sans-serif"/>
          <w:b w:val="false"/>
          <w:color w:val="000000"/>
          <w:sz w:val="22"/>
        </w:rPr>
        <w:t>without</w:t>
      </w:r>
      <w:r>
        <w:rPr>
          <w:color w:val="000000"/>
        </w:rPr>
        <w:t xml:space="preserve"> </w:t>
      </w:r>
      <w:r>
        <w:rPr>
          <w:rFonts w:ascii="Arial;sans-serif" w:hAnsi="Arial;sans-serif"/>
          <w:b w:val="false"/>
          <w:color w:val="000000"/>
          <w:sz w:val="22"/>
        </w:rPr>
        <w:t>further</w:t>
      </w:r>
      <w:r>
        <w:rPr>
          <w:color w:val="000000"/>
        </w:rPr>
        <w:t xml:space="preserve"> </w:t>
      </w:r>
      <w:r>
        <w:rPr>
          <w:rFonts w:ascii="Arial;sans-serif" w:hAnsi="Arial;sans-serif"/>
          <w:b w:val="false"/>
          <w:color w:val="000000"/>
          <w:sz w:val="22"/>
        </w:rPr>
        <w:t>consent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action</w:t>
      </w:r>
      <w:r>
        <w:rPr>
          <w:color w:val="000000"/>
        </w:rPr>
        <w:t xml:space="preserve"> </w:t>
      </w:r>
      <w:r>
        <w:rPr>
          <w:rFonts w:ascii="Arial;sans-serif" w:hAnsi="Arial;sans-serif"/>
          <w:b w:val="false"/>
          <w:color w:val="000000"/>
          <w:sz w:val="22"/>
        </w:rPr>
        <w:t>being</w:t>
      </w:r>
      <w:r>
        <w:rPr>
          <w:color w:val="000000"/>
        </w:rPr>
        <w:t xml:space="preserve"> </w:t>
      </w:r>
      <w:r>
        <w:rPr>
          <w:rFonts w:ascii="Arial;sans-serif" w:hAnsi="Arial;sans-serif"/>
          <w:b w:val="false"/>
          <w:color w:val="000000"/>
          <w:sz w:val="22"/>
        </w:rPr>
        <w:t>required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 Key Employee.</w:t>
      </w:r>
      <w:r>
        <w:rPr>
          <w:color w:val="000000"/>
        </w:rPr>
        <w:t xml:space="preserve"> </w:t>
      </w:r>
      <w:r>
        <w:rPr>
          <w:rFonts w:ascii="Arial;sans-serif" w:hAnsi="Arial;sans-serif"/>
          <w:b w:val="false"/>
          <w:color w:val="000000"/>
          <w:sz w:val="22"/>
        </w:rPr>
        <w:t>To the extent that the terms of this Agreement and the Policy or any similar policy conflict, then the terms of the Policy shall prevail.</w:t>
      </w:r>
    </w:p>
    <w:p>
      <w:pPr>
        <w:pStyle w:val="TextBody"/>
        <w:bidi w:val="0"/>
        <w:spacing w:lineRule="auto" w:line="240" w:before="0" w:after="240"/>
        <w:ind w:left="0" w:right="0" w:firstLine="720"/>
        <w:jc w:val="both"/>
        <w:rPr/>
      </w:pPr>
      <w:r>
        <w:rPr>
          <w:rFonts w:ascii="Arial;sans-serif" w:hAnsi="Arial;sans-serif"/>
          <w:b/>
          <w:color w:val="000000"/>
          <w:sz w:val="22"/>
        </w:rPr>
        <w:t>§ 7.</w:t>
      </w:r>
      <w:r>
        <w:rPr>
          <w:rFonts w:ascii="Arial;sans-serif" w:hAnsi="Arial;sans-serif"/>
          <w:b/>
          <w:color w:val="000000"/>
          <w:sz w:val="22"/>
          <w:u w:val="single"/>
        </w:rPr>
        <w:t>Voting Rights</w:t>
      </w:r>
      <w:r>
        <w:rPr>
          <w:rFonts w:ascii="Arial;sans-serif" w:hAnsi="Arial;sans-serif"/>
          <w:b w:val="false"/>
          <w:color w:val="000000"/>
          <w:sz w:val="22"/>
        </w:rPr>
        <w:t>. The Key Employee shall not have any rights as a shareholder with respect to PSUs unless and until such PSUs vest and are settled by the issuance of shares of Stock in accordance with § 7 of this Agreement.</w:t>
      </w:r>
    </w:p>
    <w:p>
      <w:pPr>
        <w:pStyle w:val="TextBody"/>
        <w:bidi w:val="0"/>
        <w:spacing w:lineRule="auto" w:line="240" w:before="0" w:after="240"/>
        <w:ind w:left="0" w:right="0" w:firstLine="720"/>
        <w:jc w:val="both"/>
        <w:rPr/>
      </w:pPr>
      <w:r>
        <w:rPr>
          <w:rFonts w:ascii="Arial;sans-serif" w:hAnsi="Arial;sans-serif"/>
          <w:b/>
          <w:color w:val="000000"/>
          <w:sz w:val="22"/>
        </w:rPr>
        <w:t>§ 8.</w:t>
      </w:r>
      <w:r>
        <w:rPr>
          <w:rFonts w:ascii="Arial;sans-serif" w:hAnsi="Arial;sans-serif"/>
          <w:b/>
          <w:color w:val="000000"/>
          <w:sz w:val="22"/>
          <w:u w:val="single"/>
        </w:rPr>
        <w:t>Settlement</w:t>
      </w:r>
      <w:r>
        <w:rPr>
          <w:color w:val="000000"/>
          <w:u w:val="single"/>
        </w:rPr>
        <w:t xml:space="preserve"> </w:t>
      </w:r>
      <w:r>
        <w:rPr>
          <w:rFonts w:ascii="Arial;sans-serif" w:hAnsi="Arial;sans-serif"/>
          <w:b/>
          <w:color w:val="000000"/>
          <w:sz w:val="22"/>
          <w:u w:val="single"/>
        </w:rPr>
        <w:t>and</w:t>
      </w:r>
      <w:r>
        <w:rPr>
          <w:color w:val="000000"/>
          <w:u w:val="single"/>
        </w:rPr>
        <w:t xml:space="preserve"> </w:t>
      </w:r>
      <w:r>
        <w:rPr>
          <w:rFonts w:ascii="Arial;sans-serif" w:hAnsi="Arial;sans-serif"/>
          <w:b/>
          <w:color w:val="000000"/>
          <w:sz w:val="22"/>
          <w:u w:val="single"/>
        </w:rPr>
        <w:t>Payment</w:t>
      </w:r>
      <w:r>
        <w:rPr>
          <w:color w:val="000000"/>
          <w:u w:val="single"/>
        </w:rPr>
        <w:t xml:space="preserve"> </w:t>
      </w:r>
      <w:r>
        <w:rPr>
          <w:rFonts w:ascii="Arial;sans-serif" w:hAnsi="Arial;sans-serif"/>
          <w:b/>
          <w:color w:val="000000"/>
          <w:sz w:val="22"/>
          <w:u w:val="single"/>
        </w:rPr>
        <w:t>of</w:t>
      </w:r>
      <w:r>
        <w:rPr>
          <w:color w:val="000000"/>
          <w:u w:val="single"/>
        </w:rPr>
        <w:t xml:space="preserve"> </w:t>
      </w:r>
      <w:r>
        <w:rPr>
          <w:rFonts w:ascii="Arial;sans-serif" w:hAnsi="Arial;sans-serif"/>
          <w:b/>
          <w:color w:val="000000"/>
          <w:sz w:val="22"/>
          <w:u w:val="single"/>
        </w:rPr>
        <w:t>Performance</w:t>
      </w:r>
      <w:r>
        <w:rPr>
          <w:color w:val="000000"/>
          <w:u w:val="single"/>
        </w:rPr>
        <w:t xml:space="preserve"> </w:t>
      </w:r>
      <w:r>
        <w:rPr>
          <w:rFonts w:ascii="Arial;sans-serif" w:hAnsi="Arial;sans-serif"/>
          <w:b/>
          <w:color w:val="000000"/>
          <w:sz w:val="22"/>
          <w:u w:val="single"/>
        </w:rPr>
        <w:t>Stock</w:t>
      </w:r>
      <w:r>
        <w:rPr>
          <w:color w:val="000000"/>
          <w:u w:val="single"/>
        </w:rPr>
        <w:t xml:space="preserve"> </w:t>
      </w:r>
      <w:r>
        <w:rPr>
          <w:rFonts w:ascii="Arial;sans-serif" w:hAnsi="Arial;sans-serif"/>
          <w:b/>
          <w:color w:val="000000"/>
          <w:sz w:val="22"/>
          <w:u w:val="single"/>
        </w:rPr>
        <w:t>Units</w:t>
      </w:r>
      <w:r>
        <w:rPr>
          <w:rFonts w:ascii="Arial;sans-serif" w:hAnsi="Arial;sans-serif"/>
          <w:b w:val="false"/>
          <w:color w:val="000000"/>
          <w:sz w:val="22"/>
        </w:rPr>
        <w:t>.</w:t>
      </w:r>
    </w:p>
    <w:p>
      <w:pPr>
        <w:pStyle w:val="TextBody"/>
        <w:bidi w:val="0"/>
        <w:spacing w:lineRule="auto" w:line="240" w:before="0" w:after="240"/>
        <w:ind w:left="0" w:right="0" w:hanging="720"/>
        <w:jc w:val="both"/>
        <w:rPr/>
      </w:pPr>
      <w:r>
        <w:rPr>
          <w:rFonts w:ascii="Arial;sans-serif" w:hAnsi="Arial;sans-serif"/>
          <w:b w:val="false"/>
          <w:color w:val="000000"/>
          <w:sz w:val="22"/>
        </w:rPr>
        <w:t>(a)Within 30 days after any PSUs become Vested Units, and in all events within the short-term deferral period for purposes of Section 409A of the Code, the Company shall (1) issue and deliver</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 Key Employee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number</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shares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Stock</w:t>
      </w:r>
      <w:r>
        <w:rPr>
          <w:color w:val="000000"/>
        </w:rPr>
        <w:t xml:space="preserve"> </w:t>
      </w:r>
      <w:r>
        <w:rPr>
          <w:rFonts w:ascii="Arial;sans-serif" w:hAnsi="Arial;sans-serif"/>
          <w:b w:val="false"/>
          <w:color w:val="000000"/>
          <w:sz w:val="22"/>
        </w:rPr>
        <w:t>equal</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number</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such Vested Units, and (2) enter the Key Employee’s name on the books of the Company as the shareholder of record with respect to the shares of Stock delivered to the Key Employee.</w:t>
      </w:r>
    </w:p>
    <w:p>
      <w:pPr>
        <w:pStyle w:val="TextBody"/>
        <w:bidi w:val="0"/>
        <w:spacing w:lineRule="auto" w:line="240" w:before="0" w:after="240"/>
        <w:ind w:left="0" w:right="0" w:hanging="720"/>
        <w:jc w:val="both"/>
        <w:rPr/>
      </w:pPr>
      <w:r>
        <w:rPr>
          <w:rFonts w:ascii="Arial;sans-serif" w:hAnsi="Arial;sans-serif"/>
          <w:b w:val="false"/>
          <w:color w:val="000000"/>
          <w:sz w:val="22"/>
        </w:rPr>
        <w:t>(b)If</w:t>
      </w:r>
      <w:r>
        <w:rPr>
          <w:color w:val="000000"/>
        </w:rPr>
        <w:t xml:space="preserve"> </w:t>
      </w:r>
      <w:r>
        <w:rPr>
          <w:rFonts w:ascii="Arial;sans-serif" w:hAnsi="Arial;sans-serif"/>
          <w:b w:val="false"/>
          <w:color w:val="000000"/>
          <w:sz w:val="22"/>
        </w:rPr>
        <w:t>the Key Employee</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deemed</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"specified</w:t>
      </w:r>
      <w:r>
        <w:rPr>
          <w:color w:val="000000"/>
        </w:rPr>
        <w:t xml:space="preserve"> </w:t>
      </w:r>
      <w:r>
        <w:rPr>
          <w:rFonts w:ascii="Arial;sans-serif" w:hAnsi="Arial;sans-serif"/>
          <w:b w:val="false"/>
          <w:color w:val="000000"/>
          <w:sz w:val="22"/>
        </w:rPr>
        <w:t>employee"</w:t>
      </w:r>
      <w:r>
        <w:rPr>
          <w:color w:val="000000"/>
        </w:rPr>
        <w:t xml:space="preserve"> </w:t>
      </w:r>
      <w:r>
        <w:rPr>
          <w:rFonts w:ascii="Arial;sans-serif" w:hAnsi="Arial;sans-serif"/>
          <w:b w:val="false"/>
          <w:color w:val="000000"/>
          <w:sz w:val="22"/>
        </w:rPr>
        <w:t>within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meaning</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409A 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Code,</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determined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Committee,</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time</w:t>
      </w:r>
      <w:r>
        <w:rPr>
          <w:color w:val="000000"/>
        </w:rPr>
        <w:t xml:space="preserve"> </w:t>
      </w:r>
      <w:r>
        <w:rPr>
          <w:rFonts w:ascii="Arial;sans-serif" w:hAnsi="Arial;sans-serif"/>
          <w:b w:val="false"/>
          <w:color w:val="000000"/>
          <w:sz w:val="22"/>
        </w:rPr>
        <w:t>when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Key Employee</w:t>
      </w:r>
      <w:r>
        <w:rPr>
          <w:color w:val="000000"/>
        </w:rPr>
        <w:t xml:space="preserve"> </w:t>
      </w:r>
      <w:r>
        <w:rPr>
          <w:rFonts w:ascii="Arial;sans-serif" w:hAnsi="Arial;sans-serif"/>
          <w:b w:val="false"/>
          <w:color w:val="000000"/>
          <w:sz w:val="22"/>
        </w:rPr>
        <w:t>becomes eligible for settlement of the PSUs upon his "separation from service" within the meaning of Section 409A of the Code, then to the extent necessary to prevent any</w:t>
      </w:r>
      <w:r>
        <w:rPr>
          <w:color w:val="000000"/>
        </w:rPr>
        <w:t xml:space="preserve"> </w:t>
      </w:r>
      <w:r>
        <w:rPr>
          <w:rFonts w:ascii="Arial;sans-serif" w:hAnsi="Arial;sans-serif"/>
          <w:b w:val="false"/>
          <w:color w:val="000000"/>
          <w:sz w:val="22"/>
        </w:rPr>
        <w:t>accelerated</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additional</w:t>
      </w:r>
      <w:r>
        <w:rPr>
          <w:color w:val="000000"/>
        </w:rPr>
        <w:t xml:space="preserve"> </w:t>
      </w:r>
      <w:r>
        <w:rPr>
          <w:rFonts w:ascii="Arial;sans-serif" w:hAnsi="Arial;sans-serif"/>
          <w:b w:val="false"/>
          <w:color w:val="000000"/>
          <w:sz w:val="22"/>
        </w:rPr>
        <w:t>tax under</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409A 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Code,</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settlement</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 delayed</w:t>
      </w:r>
      <w:r>
        <w:rPr>
          <w:color w:val="000000"/>
        </w:rPr>
        <w:t xml:space="preserve"> </w:t>
      </w:r>
      <w:r>
        <w:rPr>
          <w:rFonts w:ascii="Arial;sans-serif" w:hAnsi="Arial;sans-serif"/>
          <w:b w:val="false"/>
          <w:color w:val="000000"/>
          <w:sz w:val="22"/>
        </w:rPr>
        <w:t>until</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earlier</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(1)</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six</w:t>
      </w:r>
      <w:r>
        <w:rPr>
          <w:color w:val="000000"/>
        </w:rPr>
        <w:t xml:space="preserve"> </w:t>
      </w:r>
      <w:r>
        <w:rPr>
          <w:rFonts w:ascii="Arial;sans-serif" w:hAnsi="Arial;sans-serif"/>
          <w:b w:val="false"/>
          <w:color w:val="000000"/>
          <w:sz w:val="22"/>
        </w:rPr>
        <w:t>(6)</w:t>
      </w:r>
      <w:r>
        <w:rPr>
          <w:color w:val="000000"/>
        </w:rPr>
        <w:t xml:space="preserve"> </w:t>
      </w:r>
      <w:r>
        <w:rPr>
          <w:rFonts w:ascii="Arial;sans-serif" w:hAnsi="Arial;sans-serif"/>
          <w:b w:val="false"/>
          <w:color w:val="000000"/>
          <w:sz w:val="22"/>
        </w:rPr>
        <w:t>months</w:t>
      </w:r>
      <w:r>
        <w:rPr>
          <w:color w:val="000000"/>
        </w:rPr>
        <w:t xml:space="preserve"> </w:t>
      </w:r>
      <w:r>
        <w:rPr>
          <w:rFonts w:ascii="Arial;sans-serif" w:hAnsi="Arial;sans-serif"/>
          <w:b w:val="false"/>
          <w:color w:val="000000"/>
          <w:sz w:val="22"/>
        </w:rPr>
        <w:t>following</w:t>
      </w:r>
      <w:r>
        <w:rPr>
          <w:color w:val="000000"/>
        </w:rPr>
        <w:t xml:space="preserve"> </w:t>
      </w:r>
      <w:r>
        <w:rPr>
          <w:rFonts w:ascii="Arial;sans-serif" w:hAnsi="Arial;sans-serif"/>
          <w:b w:val="false"/>
          <w:color w:val="000000"/>
          <w:sz w:val="22"/>
        </w:rPr>
        <w:t>the Key Employee's separation from service and (2) the Key Employee's death.</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Arial;sans-serif" w:hAnsi="Arial;sans-serif"/>
          <w:b w:val="false"/>
          <w:color w:val="000000"/>
          <w:sz w:val="22"/>
        </w:rPr>
        <w:t>(c)To the extent that the Key Employee does not vest in any PSUs, all interest</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PSUs</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forfeited.</w:t>
      </w:r>
      <w:r>
        <w:rPr>
          <w:color w:val="000000"/>
        </w:rPr>
        <w:t xml:space="preserve"> </w:t>
      </w:r>
      <w:r>
        <w:rPr>
          <w:rFonts w:ascii="Arial;sans-serif" w:hAnsi="Arial;sans-serif"/>
          <w:b w:val="false"/>
          <w:color w:val="000000"/>
          <w:sz w:val="22"/>
        </w:rPr>
        <w:t>The Key Employee</w:t>
      </w:r>
      <w:r>
        <w:rPr>
          <w:color w:val="000000"/>
        </w:rPr>
        <w:t xml:space="preserve"> </w:t>
      </w:r>
      <w:r>
        <w:rPr>
          <w:rFonts w:ascii="Arial;sans-serif" w:hAnsi="Arial;sans-serif"/>
          <w:b w:val="false"/>
          <w:color w:val="000000"/>
          <w:sz w:val="22"/>
        </w:rPr>
        <w:t>has</w:t>
      </w:r>
      <w:r>
        <w:rPr>
          <w:color w:val="000000"/>
        </w:rPr>
        <w:t xml:space="preserve"> </w:t>
      </w:r>
      <w:r>
        <w:rPr>
          <w:rFonts w:ascii="Arial;sans-serif" w:hAnsi="Arial;sans-serif"/>
          <w:b w:val="false"/>
          <w:color w:val="000000"/>
          <w:sz w:val="22"/>
        </w:rPr>
        <w:t>no</w:t>
      </w:r>
      <w:r>
        <w:rPr>
          <w:color w:val="000000"/>
        </w:rPr>
        <w:t xml:space="preserve"> </w:t>
      </w:r>
      <w:r>
        <w:rPr>
          <w:rFonts w:ascii="Arial;sans-serif" w:hAnsi="Arial;sans-serif"/>
          <w:b w:val="false"/>
          <w:color w:val="000000"/>
          <w:sz w:val="22"/>
        </w:rPr>
        <w:t>right or interest in any PSUs that are forfeited.</w:t>
      </w:r>
    </w:p>
    <w:p>
      <w:pPr>
        <w:pStyle w:val="TextBody"/>
        <w:bidi w:val="0"/>
        <w:spacing w:lineRule="auto" w:line="240" w:before="0" w:after="240"/>
        <w:ind w:left="0" w:right="0" w:firstLine="720"/>
        <w:jc w:val="both"/>
        <w:rPr/>
      </w:pPr>
      <w:r>
        <w:rPr>
          <w:rFonts w:ascii="Arial;sans-serif" w:hAnsi="Arial;sans-serif"/>
          <w:b/>
          <w:color w:val="000000"/>
          <w:sz w:val="22"/>
        </w:rPr>
        <w:t>§ 9.</w:t>
      </w:r>
      <w:r>
        <w:rPr>
          <w:rFonts w:ascii="Arial;sans-serif" w:hAnsi="Arial;sans-serif"/>
          <w:b/>
          <w:color w:val="000000"/>
          <w:sz w:val="22"/>
          <w:u w:val="single"/>
        </w:rPr>
        <w:t>No Right to Continued Service</w:t>
      </w:r>
      <w:r>
        <w:rPr>
          <w:rFonts w:ascii="Arial;sans-serif" w:hAnsi="Arial;sans-serif"/>
          <w:b w:val="false"/>
          <w:color w:val="000000"/>
          <w:sz w:val="22"/>
        </w:rPr>
        <w:t>. Neither the Plan nor this Agreement shall confer upon</w:t>
      </w:r>
      <w:r>
        <w:rPr>
          <w:color w:val="000000"/>
        </w:rPr>
        <w:t xml:space="preserve"> </w:t>
      </w:r>
      <w:r>
        <w:rPr>
          <w:rFonts w:ascii="Arial;sans-serif" w:hAnsi="Arial;sans-serif"/>
          <w:b w:val="false"/>
          <w:color w:val="000000"/>
          <w:sz w:val="22"/>
        </w:rPr>
        <w:t>the Key Employee</w:t>
      </w:r>
      <w:r>
        <w:rPr>
          <w:color w:val="000000"/>
        </w:rPr>
        <w:t xml:space="preserve"> </w:t>
      </w:r>
      <w:r>
        <w:rPr>
          <w:rFonts w:ascii="Arial;sans-serif" w:hAnsi="Arial;sans-serif"/>
          <w:b w:val="false"/>
          <w:color w:val="000000"/>
          <w:sz w:val="22"/>
        </w:rPr>
        <w:t>any right to</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retained 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employment</w:t>
      </w:r>
      <w:r>
        <w:rPr>
          <w:color w:val="000000"/>
        </w:rPr>
        <w:t xml:space="preserve"> </w:t>
      </w:r>
      <w:r>
        <w:rPr>
          <w:rFonts w:ascii="Arial;sans-serif" w:hAnsi="Arial;sans-serif"/>
          <w:b w:val="false"/>
          <w:color w:val="000000"/>
          <w:sz w:val="22"/>
        </w:rPr>
        <w:t>or service</w:t>
      </w:r>
      <w:r>
        <w:rPr>
          <w:color w:val="000000"/>
        </w:rPr>
        <w:t xml:space="preserve"> </w:t>
      </w:r>
      <w:r>
        <w:rPr>
          <w:rFonts w:ascii="Arial;sans-serif" w:hAnsi="Arial;sans-serif"/>
          <w:b w:val="false"/>
          <w:color w:val="000000"/>
          <w:sz w:val="22"/>
        </w:rPr>
        <w:t>of 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Further,</w:t>
      </w:r>
      <w:r>
        <w:rPr>
          <w:color w:val="000000"/>
        </w:rPr>
        <w:t xml:space="preserve"> </w:t>
      </w:r>
      <w:r>
        <w:rPr>
          <w:rFonts w:ascii="Arial;sans-serif" w:hAnsi="Arial;sans-serif"/>
          <w:b w:val="false"/>
          <w:color w:val="000000"/>
          <w:sz w:val="22"/>
        </w:rPr>
        <w:t>nothing 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Plan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construed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limit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discretion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terminate</w:t>
      </w:r>
      <w:r>
        <w:rPr>
          <w:color w:val="000000"/>
        </w:rPr>
        <w:t xml:space="preserve"> </w:t>
      </w:r>
      <w:r>
        <w:rPr>
          <w:rFonts w:ascii="Arial;sans-serif" w:hAnsi="Arial;sans-serif"/>
          <w:b w:val="false"/>
          <w:color w:val="000000"/>
          <w:sz w:val="22"/>
        </w:rPr>
        <w:t>the Key Employee's employment or service at any time for any reason.</w:t>
      </w:r>
    </w:p>
    <w:p>
      <w:pPr>
        <w:pStyle w:val="TextBody"/>
        <w:bidi w:val="0"/>
        <w:spacing w:lineRule="auto" w:line="240" w:before="0" w:after="240"/>
        <w:ind w:left="0" w:right="0" w:firstLine="720"/>
        <w:jc w:val="both"/>
        <w:rPr/>
      </w:pPr>
      <w:r>
        <w:rPr>
          <w:rFonts w:ascii="Arial;sans-serif" w:hAnsi="Arial;sans-serif"/>
          <w:b/>
          <w:color w:val="000000"/>
          <w:sz w:val="22"/>
        </w:rPr>
        <w:t>§ 10.</w:t>
      </w:r>
      <w:r>
        <w:rPr>
          <w:rFonts w:ascii="Arial;sans-serif" w:hAnsi="Arial;sans-serif"/>
          <w:b/>
          <w:color w:val="000000"/>
          <w:sz w:val="22"/>
          <w:u w:val="single"/>
        </w:rPr>
        <w:t>Adjustments</w:t>
      </w:r>
      <w:r>
        <w:rPr>
          <w:rFonts w:ascii="Arial;sans-serif" w:hAnsi="Arial;sans-serif"/>
          <w:b w:val="false"/>
          <w:color w:val="000000"/>
          <w:sz w:val="22"/>
        </w:rPr>
        <w:t>. If any change is made to the outstanding shares of Stock or the capital structure of the Company, if required, the PSUs shall be adjusted in any manner as contemplated by § 13 of the Plan.</w:t>
      </w:r>
    </w:p>
    <w:p>
      <w:pPr>
        <w:pStyle w:val="TextBody"/>
        <w:bidi w:val="0"/>
        <w:spacing w:lineRule="auto" w:line="240" w:before="0" w:after="240"/>
        <w:ind w:left="0" w:right="0" w:firstLine="720"/>
        <w:jc w:val="both"/>
        <w:rPr/>
      </w:pPr>
      <w:r>
        <w:rPr>
          <w:rFonts w:ascii="Arial;sans-serif" w:hAnsi="Arial;sans-serif"/>
          <w:b/>
          <w:color w:val="000000"/>
          <w:sz w:val="22"/>
        </w:rPr>
        <w:t>§ 11.</w:t>
      </w:r>
      <w:r>
        <w:rPr>
          <w:rFonts w:ascii="Arial;sans-serif" w:hAnsi="Arial;sans-serif"/>
          <w:b/>
          <w:color w:val="000000"/>
          <w:sz w:val="22"/>
          <w:u w:val="single"/>
        </w:rPr>
        <w:t>Tax Liability and Withholding</w:t>
      </w:r>
      <w:r>
        <w:rPr>
          <w:rFonts w:ascii="Arial;sans-serif" w:hAnsi="Arial;sans-serif"/>
          <w:b w:val="false"/>
          <w:color w:val="000000"/>
          <w:sz w:val="22"/>
        </w:rPr>
        <w:t>. The Key Employee hereby directs that the Company satisfy any applicable tax withholding requirements arising out of the vesting of this grant of PSUs by withholding shares of Stock that otherwise would be transferred to the Key Employee, provided that any such action by the Company shall not result in a violation of Section 16(b) of the 1934 Act.</w:t>
      </w:r>
    </w:p>
    <w:p>
      <w:pPr>
        <w:pStyle w:val="TextBody"/>
        <w:bidi w:val="0"/>
        <w:spacing w:lineRule="auto" w:line="240" w:before="0" w:after="240"/>
        <w:ind w:left="0" w:right="0" w:firstLine="720"/>
        <w:jc w:val="both"/>
        <w:rPr/>
      </w:pPr>
      <w:r>
        <w:rPr>
          <w:rFonts w:ascii="Arial;sans-serif" w:hAnsi="Arial;sans-serif"/>
          <w:b/>
          <w:color w:val="000000"/>
          <w:sz w:val="22"/>
        </w:rPr>
        <w:t>§ 12.</w:t>
      </w:r>
      <w:r>
        <w:rPr>
          <w:rFonts w:ascii="Arial;sans-serif" w:hAnsi="Arial;sans-serif"/>
          <w:b/>
          <w:color w:val="000000"/>
          <w:sz w:val="22"/>
          <w:u w:val="single"/>
        </w:rPr>
        <w:t>Compliance with Law</w:t>
      </w:r>
      <w:r>
        <w:rPr>
          <w:rFonts w:ascii="Arial;sans-serif" w:hAnsi="Arial;sans-serif"/>
          <w:b w:val="false"/>
          <w:color w:val="000000"/>
          <w:sz w:val="22"/>
        </w:rPr>
        <w:t>. The PSUs and the issuance or transfer of shares of Stock in accordance with § 7 shall be subject to compliance by the Company and the Key Employee with all applicable requirements of federal and state securities laws and with all applicable requirements of any stock exchange on which the shares of Stock may be listed. No shares of Stock shall be issued or transferred unless and until all applicable requirements of state and federal law and regulatory agencies have been fully complied with to the satisfaction of the Company and its counsel. The Key Employee understands that the Company is under no obligation to register the shares of Stock with the Securities and Exchange Commission, any state securities commission or any stock exchange to effect such compliance.</w:t>
      </w:r>
    </w:p>
    <w:p>
      <w:pPr>
        <w:pStyle w:val="TextBody"/>
        <w:bidi w:val="0"/>
        <w:spacing w:lineRule="auto" w:line="240" w:before="0" w:after="240"/>
        <w:ind w:left="0" w:right="0" w:firstLine="720"/>
        <w:jc w:val="both"/>
        <w:rPr/>
      </w:pPr>
      <w:r>
        <w:rPr>
          <w:rFonts w:ascii="Arial;sans-serif" w:hAnsi="Arial;sans-serif"/>
          <w:b/>
          <w:color w:val="000000"/>
          <w:sz w:val="22"/>
        </w:rPr>
        <w:t>§ 13.</w:t>
      </w:r>
      <w:r>
        <w:rPr>
          <w:rFonts w:ascii="Arial;sans-serif" w:hAnsi="Arial;sans-serif"/>
          <w:b/>
          <w:color w:val="000000"/>
          <w:sz w:val="22"/>
          <w:u w:val="single"/>
        </w:rPr>
        <w:t>Notices</w:t>
      </w:r>
      <w:r>
        <w:rPr>
          <w:rFonts w:ascii="Arial;sans-serif" w:hAnsi="Arial;sans-serif"/>
          <w:b w:val="false"/>
          <w:color w:val="000000"/>
          <w:sz w:val="22"/>
        </w:rPr>
        <w:t>. Any notice required to be delivered to the Company under this Agreement shall be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writing</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addressed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Committee,</w:t>
      </w:r>
      <w:r>
        <w:rPr>
          <w:color w:val="000000"/>
        </w:rPr>
        <w:t xml:space="preserve"> </w:t>
      </w:r>
      <w:r>
        <w:rPr>
          <w:rFonts w:ascii="Arial;sans-serif" w:hAnsi="Arial;sans-serif"/>
          <w:b w:val="false"/>
          <w:color w:val="000000"/>
          <w:sz w:val="22"/>
        </w:rPr>
        <w:t>care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Company's</w:t>
      </w:r>
      <w:r>
        <w:rPr>
          <w:color w:val="000000"/>
        </w:rPr>
        <w:t xml:space="preserve"> </w:t>
      </w:r>
      <w:r>
        <w:rPr>
          <w:rFonts w:ascii="Arial;sans-serif" w:hAnsi="Arial;sans-serif"/>
          <w:b w:val="false"/>
          <w:color w:val="000000"/>
          <w:sz w:val="22"/>
        </w:rPr>
        <w:t>principal</w:t>
      </w:r>
      <w:r>
        <w:rPr>
          <w:color w:val="000000"/>
        </w:rPr>
        <w:t xml:space="preserve"> </w:t>
      </w:r>
      <w:r>
        <w:rPr>
          <w:rFonts w:ascii="Arial;sans-serif" w:hAnsi="Arial;sans-serif"/>
          <w:b w:val="false"/>
          <w:color w:val="000000"/>
          <w:sz w:val="22"/>
        </w:rPr>
        <w:t>corporate offices. Any notice required to be delivered to the Key Employee under this Agreement shall be in writing and addressed to the Key Employee at the Key Employee's address as shown in the records of the Company.</w:t>
      </w:r>
      <w:r>
        <w:rPr>
          <w:color w:val="000000"/>
        </w:rPr>
        <w:t xml:space="preserve"> </w:t>
      </w:r>
      <w:r>
        <w:rPr>
          <w:rFonts w:ascii="Arial;sans-serif" w:hAnsi="Arial;sans-serif"/>
          <w:b w:val="false"/>
          <w:color w:val="000000"/>
          <w:sz w:val="22"/>
        </w:rPr>
        <w:t>Either</w:t>
      </w:r>
      <w:r>
        <w:rPr>
          <w:color w:val="000000"/>
        </w:rPr>
        <w:t xml:space="preserve"> </w:t>
      </w:r>
      <w:r>
        <w:rPr>
          <w:rFonts w:ascii="Arial;sans-serif" w:hAnsi="Arial;sans-serif"/>
          <w:b w:val="false"/>
          <w:color w:val="000000"/>
          <w:sz w:val="22"/>
        </w:rPr>
        <w:t>party</w:t>
      </w:r>
      <w:r>
        <w:rPr>
          <w:color w:val="000000"/>
        </w:rPr>
        <w:t xml:space="preserve"> </w:t>
      </w:r>
      <w:r>
        <w:rPr>
          <w:rFonts w:ascii="Arial;sans-serif" w:hAnsi="Arial;sans-serif"/>
          <w:b w:val="false"/>
          <w:color w:val="000000"/>
          <w:sz w:val="22"/>
        </w:rPr>
        <w:t>may</w:t>
      </w:r>
      <w:r>
        <w:rPr>
          <w:color w:val="000000"/>
        </w:rPr>
        <w:t xml:space="preserve"> </w:t>
      </w:r>
      <w:r>
        <w:rPr>
          <w:rFonts w:ascii="Arial;sans-serif" w:hAnsi="Arial;sans-serif"/>
          <w:b w:val="false"/>
          <w:color w:val="000000"/>
          <w:sz w:val="22"/>
        </w:rPr>
        <w:t>designate</w:t>
      </w:r>
      <w:r>
        <w:rPr>
          <w:color w:val="000000"/>
        </w:rPr>
        <w:t xml:space="preserve"> </w:t>
      </w:r>
      <w:r>
        <w:rPr>
          <w:rFonts w:ascii="Arial;sans-serif" w:hAnsi="Arial;sans-serif"/>
          <w:b w:val="false"/>
          <w:color w:val="000000"/>
          <w:sz w:val="22"/>
        </w:rPr>
        <w:t>another</w:t>
      </w:r>
      <w:r>
        <w:rPr>
          <w:color w:val="000000"/>
        </w:rPr>
        <w:t xml:space="preserve"> </w:t>
      </w:r>
      <w:r>
        <w:rPr>
          <w:rFonts w:ascii="Arial;sans-serif" w:hAnsi="Arial;sans-serif"/>
          <w:b w:val="false"/>
          <w:color w:val="000000"/>
          <w:sz w:val="22"/>
        </w:rPr>
        <w:t>address</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writing</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method</w:t>
      </w:r>
      <w:r>
        <w:rPr>
          <w:color w:val="000000"/>
        </w:rPr>
        <w:t xml:space="preserve"> </w:t>
      </w:r>
      <w:r>
        <w:rPr>
          <w:rFonts w:ascii="Arial;sans-serif" w:hAnsi="Arial;sans-serif"/>
          <w:b w:val="false"/>
          <w:color w:val="000000"/>
          <w:sz w:val="22"/>
        </w:rPr>
        <w:t>approved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 Committee) from time to time.</w:t>
      </w:r>
    </w:p>
    <w:p>
      <w:pPr>
        <w:pStyle w:val="TextBody"/>
        <w:bidi w:val="0"/>
        <w:spacing w:lineRule="auto" w:line="240" w:before="0" w:after="240"/>
        <w:ind w:left="0" w:right="0" w:firstLine="720"/>
        <w:jc w:val="both"/>
        <w:rPr/>
      </w:pPr>
      <w:r>
        <w:rPr>
          <w:rFonts w:ascii="Arial;sans-serif" w:hAnsi="Arial;sans-serif"/>
          <w:b/>
          <w:color w:val="000000"/>
          <w:sz w:val="22"/>
        </w:rPr>
        <w:t>§ 14.</w:t>
      </w:r>
      <w:r>
        <w:rPr>
          <w:rFonts w:ascii="Arial;sans-serif" w:hAnsi="Arial;sans-serif"/>
          <w:b/>
          <w:color w:val="000000"/>
          <w:sz w:val="22"/>
          <w:u w:val="single"/>
        </w:rPr>
        <w:t>Governing</w:t>
      </w:r>
      <w:r>
        <w:rPr>
          <w:color w:val="000000"/>
          <w:u w:val="single"/>
        </w:rPr>
        <w:t xml:space="preserve"> </w:t>
      </w:r>
      <w:r>
        <w:rPr>
          <w:rFonts w:ascii="Arial;sans-serif" w:hAnsi="Arial;sans-serif"/>
          <w:b/>
          <w:color w:val="000000"/>
          <w:sz w:val="22"/>
          <w:u w:val="single"/>
        </w:rPr>
        <w:t>Law</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construed</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interpreted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accordance</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the laws of the State of Delaware without regard to conflict of law principles.</w:t>
      </w:r>
    </w:p>
    <w:p>
      <w:pPr>
        <w:pStyle w:val="TextBody"/>
        <w:bidi w:val="0"/>
        <w:spacing w:lineRule="auto" w:line="240" w:before="0" w:after="240"/>
        <w:ind w:left="0" w:right="0" w:firstLine="720"/>
        <w:jc w:val="both"/>
        <w:rPr/>
      </w:pPr>
      <w:r>
        <w:rPr>
          <w:rFonts w:ascii="Arial;sans-serif" w:hAnsi="Arial;sans-serif"/>
          <w:b/>
          <w:color w:val="000000"/>
          <w:sz w:val="22"/>
        </w:rPr>
        <w:t>§ 15.</w:t>
      </w:r>
      <w:r>
        <w:rPr>
          <w:rFonts w:ascii="Arial;sans-serif" w:hAnsi="Arial;sans-serif"/>
          <w:b/>
          <w:color w:val="000000"/>
          <w:sz w:val="22"/>
          <w:u w:val="single"/>
        </w:rPr>
        <w:t>Interpretation</w:t>
      </w:r>
      <w:r>
        <w:rPr>
          <w:rFonts w:ascii="Arial;sans-serif" w:hAnsi="Arial;sans-serif"/>
          <w:b w:val="false"/>
          <w:color w:val="000000"/>
          <w:sz w:val="22"/>
        </w:rPr>
        <w:t>. In the event of a conflict between any term or provision contained herein and</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term</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provision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Plan,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terms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provisions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Plan</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govern</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prevail. Any dispute</w:t>
      </w:r>
      <w:r>
        <w:rPr>
          <w:color w:val="000000"/>
        </w:rPr>
        <w:t xml:space="preserve"> </w:t>
      </w:r>
      <w:r>
        <w:rPr>
          <w:rFonts w:ascii="Arial;sans-serif" w:hAnsi="Arial;sans-serif"/>
          <w:b w:val="false"/>
          <w:color w:val="000000"/>
          <w:sz w:val="22"/>
        </w:rPr>
        <w:t>regarding</w:t>
      </w:r>
      <w:r>
        <w:rPr>
          <w:color w:val="000000"/>
        </w:rPr>
        <w:t xml:space="preserve"> </w:t>
      </w:r>
      <w:r>
        <w:rPr>
          <w:rFonts w:ascii="Arial;sans-serif" w:hAnsi="Arial;sans-serif"/>
          <w:b w:val="false"/>
          <w:color w:val="000000"/>
          <w:sz w:val="22"/>
        </w:rPr>
        <w:t>the interpretation of this Agreement 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submitted by the Key Employee or the Company to the</w:t>
      </w:r>
      <w:r>
        <w:rPr>
          <w:color w:val="000000"/>
        </w:rPr>
        <w:t xml:space="preserve"> </w:t>
      </w:r>
      <w:r>
        <w:rPr>
          <w:rFonts w:ascii="Arial;sans-serif" w:hAnsi="Arial;sans-serif"/>
          <w:b w:val="false"/>
          <w:color w:val="000000"/>
          <w:sz w:val="22"/>
        </w:rPr>
        <w:t>Committee for review.</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resolution of</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dispute</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 Committee</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final</w:t>
      </w:r>
      <w:r>
        <w:rPr>
          <w:color w:val="000000"/>
        </w:rPr>
        <w:t xml:space="preserve"> </w:t>
      </w:r>
      <w:r>
        <w:rPr>
          <w:rFonts w:ascii="Arial;sans-serif" w:hAnsi="Arial;sans-serif"/>
          <w:b w:val="false"/>
          <w:color w:val="000000"/>
          <w:sz w:val="22"/>
        </w:rPr>
        <w:t>and binding on the Key Employee and the Company.</w:t>
      </w:r>
    </w:p>
    <w:p>
      <w:pPr>
        <w:pStyle w:val="TextBody"/>
        <w:bidi w:val="0"/>
        <w:spacing w:before="0" w:after="240"/>
        <w:jc w:val="left"/>
        <w:rPr/>
      </w:pPr>
      <w:r>
        <w:rPr/>
      </w:r>
    </w:p>
    <w:p>
      <w:pPr>
        <w:pStyle w:val="TextBody"/>
        <w:bidi w:val="0"/>
        <w:spacing w:lineRule="auto" w:line="240" w:before="0" w:after="240"/>
        <w:ind w:left="0" w:right="0" w:firstLine="720"/>
        <w:jc w:val="both"/>
        <w:rPr/>
      </w:pPr>
      <w:r>
        <w:rPr>
          <w:rFonts w:ascii="Arial;sans-serif" w:hAnsi="Arial;sans-serif"/>
          <w:b/>
          <w:color w:val="000000"/>
          <w:sz w:val="22"/>
        </w:rPr>
        <w:t>§ 16.</w:t>
      </w:r>
      <w:r>
        <w:rPr>
          <w:rFonts w:ascii="Arial;sans-serif" w:hAnsi="Arial;sans-serif"/>
          <w:b/>
          <w:color w:val="000000"/>
          <w:sz w:val="22"/>
          <w:u w:val="single"/>
        </w:rPr>
        <w:t>Successors and Assigns</w:t>
      </w:r>
      <w:r>
        <w:rPr>
          <w:rFonts w:ascii="Arial;sans-serif" w:hAnsi="Arial;sans-serif"/>
          <w:b w:val="false"/>
          <w:color w:val="000000"/>
          <w:sz w:val="22"/>
        </w:rPr>
        <w:t>. The Company may assign any of its rights under this Agreement.</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binding</w:t>
      </w:r>
      <w:r>
        <w:rPr>
          <w:color w:val="000000"/>
        </w:rPr>
        <w:t xml:space="preserve"> </w:t>
      </w:r>
      <w:r>
        <w:rPr>
          <w:rFonts w:ascii="Arial;sans-serif" w:hAnsi="Arial;sans-serif"/>
          <w:b w:val="false"/>
          <w:color w:val="000000"/>
          <w:sz w:val="22"/>
        </w:rPr>
        <w:t>upon</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inure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benefit</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successors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assigns</w:t>
      </w:r>
      <w:r>
        <w:rPr>
          <w:color w:val="000000"/>
        </w:rPr>
        <w:t xml:space="preserve"> </w:t>
      </w:r>
      <w:r>
        <w:rPr>
          <w:rFonts w:ascii="Arial;sans-serif" w:hAnsi="Arial;sans-serif"/>
          <w:b w:val="false"/>
          <w:color w:val="000000"/>
          <w:sz w:val="22"/>
        </w:rPr>
        <w:t>of the Company. Subject to the restrictions on transfer set forth herein, this Agreement will be binding upon the Key Employee and the Key Employee's beneficiaries, executors, administrators and the person(s) to whom the PSUs may be transferred by will or the laws of descent or distribution.</w:t>
      </w:r>
    </w:p>
    <w:p>
      <w:pPr>
        <w:pStyle w:val="TextBody"/>
        <w:bidi w:val="0"/>
        <w:spacing w:lineRule="auto" w:line="240" w:before="0" w:after="240"/>
        <w:ind w:left="0" w:right="0" w:firstLine="720"/>
        <w:jc w:val="both"/>
        <w:rPr/>
      </w:pPr>
      <w:r>
        <w:rPr>
          <w:rFonts w:ascii="Arial;sans-serif" w:hAnsi="Arial;sans-serif"/>
          <w:b/>
          <w:color w:val="000000"/>
          <w:sz w:val="22"/>
        </w:rPr>
        <w:t>§ 17.</w:t>
      </w:r>
      <w:r>
        <w:rPr>
          <w:rFonts w:ascii="Arial;sans-serif" w:hAnsi="Arial;sans-serif"/>
          <w:b/>
          <w:color w:val="000000"/>
          <w:sz w:val="22"/>
          <w:u w:val="single"/>
        </w:rPr>
        <w:t>Severability</w:t>
      </w:r>
      <w:r>
        <w:rPr>
          <w:rFonts w:ascii="Arial;sans-serif" w:hAnsi="Arial;sans-serif"/>
          <w:b w:val="false"/>
          <w:color w:val="000000"/>
          <w:sz w:val="22"/>
        </w:rPr>
        <w:t>. The invalidity or unenforceability of any provision of the Plan or this Agreement</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affect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validity</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enforceability</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provision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Plan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 and each provision of the Plan and this Agreement shall be severable and enforceable to the extent permitted by law.</w:t>
      </w:r>
    </w:p>
    <w:p>
      <w:pPr>
        <w:pStyle w:val="TextBody"/>
        <w:bidi w:val="0"/>
        <w:spacing w:lineRule="auto" w:line="240" w:before="0" w:after="240"/>
        <w:ind w:left="0" w:right="0" w:firstLine="720"/>
        <w:jc w:val="both"/>
        <w:rPr/>
      </w:pPr>
      <w:r>
        <w:rPr>
          <w:rFonts w:ascii="Arial;sans-serif" w:hAnsi="Arial;sans-serif"/>
          <w:b/>
          <w:color w:val="000000"/>
          <w:sz w:val="22"/>
        </w:rPr>
        <w:t>§ 18.</w:t>
      </w:r>
      <w:r>
        <w:rPr>
          <w:rFonts w:ascii="Arial;sans-serif" w:hAnsi="Arial;sans-serif"/>
          <w:b/>
          <w:color w:val="000000"/>
          <w:sz w:val="22"/>
          <w:u w:val="single"/>
        </w:rPr>
        <w:t>Discretionary Nature of Plan; Amendment</w:t>
      </w:r>
      <w:r>
        <w:rPr>
          <w:rFonts w:ascii="Arial;sans-serif" w:hAnsi="Arial;sans-serif"/>
          <w:b w:val="false"/>
          <w:color w:val="000000"/>
          <w:sz w:val="22"/>
        </w:rPr>
        <w:t xml:space="preserve">. The Plan is discretionary and may be amended, altered, suspended or terminated by the Board at any time, in its discretion. The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2"/>
        </w:rPr>
        <w:t>grant of the PSUs</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does</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create</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contractual</w:t>
      </w:r>
      <w:r>
        <w:rPr>
          <w:color w:val="000000"/>
        </w:rPr>
        <w:t xml:space="preserve"> </w:t>
      </w:r>
      <w:r>
        <w:rPr>
          <w:rFonts w:ascii="Arial;sans-serif" w:hAnsi="Arial;sans-serif"/>
          <w:b w:val="false"/>
          <w:color w:val="000000"/>
          <w:sz w:val="22"/>
        </w:rPr>
        <w:t>right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right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receive</w:t>
      </w:r>
      <w:r>
        <w:rPr>
          <w:color w:val="000000"/>
        </w:rPr>
        <w:t xml:space="preserve"> </w:t>
      </w:r>
      <w:r>
        <w:rPr>
          <w:rFonts w:ascii="Arial;sans-serif" w:hAnsi="Arial;sans-serif"/>
          <w:b w:val="false"/>
          <w:color w:val="000000"/>
          <w:sz w:val="22"/>
        </w:rPr>
        <w:t>any PSUs or other awards in the future. Any amendment, modification, or termination of</w:t>
      </w:r>
      <w:r>
        <w:rPr>
          <w:color w:val="000000"/>
        </w:rPr>
        <w:t xml:space="preserve"> </w:t>
      </w:r>
      <w:r>
        <w:rPr>
          <w:rFonts w:ascii="Arial;sans-serif" w:hAnsi="Arial;sans-serif"/>
          <w:b w:val="false"/>
          <w:color w:val="000000"/>
          <w:sz w:val="22"/>
        </w:rPr>
        <w:t>the Plan</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constitute</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change</w:t>
      </w:r>
      <w:r>
        <w:rPr>
          <w:color w:val="000000"/>
        </w:rPr>
        <w:t xml:space="preserve"> </w:t>
      </w:r>
      <w:r>
        <w:rPr>
          <w:rFonts w:ascii="Arial;sans-serif" w:hAnsi="Arial;sans-serif"/>
          <w:b w:val="false"/>
          <w:color w:val="000000"/>
          <w:sz w:val="22"/>
        </w:rPr>
        <w:t>or impairment of</w:t>
      </w:r>
      <w:r>
        <w:rPr>
          <w:color w:val="000000"/>
        </w:rPr>
        <w:t xml:space="preserve"> </w:t>
      </w:r>
      <w:r>
        <w:rPr>
          <w:rFonts w:ascii="Arial;sans-serif" w:hAnsi="Arial;sans-serif"/>
          <w:b w:val="false"/>
          <w:color w:val="000000"/>
          <w:sz w:val="22"/>
        </w:rPr>
        <w:t>the terms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conditions</w:t>
      </w:r>
      <w:r>
        <w:rPr>
          <w:color w:val="000000"/>
        </w:rPr>
        <w:t xml:space="preserve"> </w:t>
      </w:r>
      <w:r>
        <w:rPr>
          <w:rFonts w:ascii="Arial;sans-serif" w:hAnsi="Arial;sans-serif"/>
          <w:b w:val="false"/>
          <w:color w:val="000000"/>
          <w:sz w:val="22"/>
        </w:rPr>
        <w:t>of the Key Employee's employment with, or service to, the Company or its Affiliates.</w:t>
      </w:r>
    </w:p>
    <w:p>
      <w:pPr>
        <w:pStyle w:val="TextBody"/>
        <w:bidi w:val="0"/>
        <w:spacing w:lineRule="auto" w:line="240" w:before="0" w:after="240"/>
        <w:ind w:left="0" w:right="0" w:firstLine="720"/>
        <w:jc w:val="both"/>
        <w:rPr/>
      </w:pPr>
      <w:r>
        <w:rPr>
          <w:rFonts w:ascii="Arial;sans-serif" w:hAnsi="Arial;sans-serif"/>
          <w:b/>
          <w:color w:val="000000"/>
          <w:sz w:val="22"/>
        </w:rPr>
        <w:t>§ 19.</w:t>
      </w:r>
      <w:r>
        <w:rPr>
          <w:rFonts w:ascii="Arial;sans-serif" w:hAnsi="Arial;sans-serif"/>
          <w:b/>
          <w:color w:val="000000"/>
          <w:sz w:val="22"/>
          <w:u w:val="single"/>
        </w:rPr>
        <w:t>Section 409A</w:t>
      </w:r>
      <w:r>
        <w:rPr>
          <w:rFonts w:ascii="Arial;sans-serif" w:hAnsi="Arial;sans-serif"/>
          <w:b w:val="false"/>
          <w:color w:val="000000"/>
          <w:sz w:val="22"/>
        </w:rPr>
        <w:t>. This Agreement is intended to be exempt from Section 409A of the Code under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short-term</w:t>
      </w:r>
      <w:r>
        <w:rPr>
          <w:color w:val="000000"/>
        </w:rPr>
        <w:t xml:space="preserve"> </w:t>
      </w:r>
      <w:r>
        <w:rPr>
          <w:rFonts w:ascii="Arial;sans-serif" w:hAnsi="Arial;sans-serif"/>
          <w:b w:val="false"/>
          <w:color w:val="000000"/>
          <w:sz w:val="22"/>
        </w:rPr>
        <w:t>deferral</w:t>
      </w:r>
      <w:r>
        <w:rPr>
          <w:color w:val="000000"/>
        </w:rPr>
        <w:t xml:space="preserve"> </w:t>
      </w:r>
      <w:r>
        <w:rPr>
          <w:rFonts w:ascii="Arial;sans-serif" w:hAnsi="Arial;sans-serif"/>
          <w:b w:val="false"/>
          <w:color w:val="000000"/>
          <w:sz w:val="22"/>
        </w:rPr>
        <w:t>exclusion</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construed</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interpreted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manner</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consistent with such intent. If, for any reason, the Company determines that the PSUs are subject to Section 409A of the</w:t>
      </w:r>
      <w:r>
        <w:rPr>
          <w:color w:val="000000"/>
        </w:rPr>
        <w:t xml:space="preserve"> </w:t>
      </w:r>
      <w:r>
        <w:rPr>
          <w:rFonts w:ascii="Arial;sans-serif" w:hAnsi="Arial;sans-serif"/>
          <w:b w:val="false"/>
          <w:color w:val="000000"/>
          <w:sz w:val="22"/>
        </w:rPr>
        <w:t>Code,</w:t>
      </w:r>
      <w:r>
        <w:rPr>
          <w:color w:val="000000"/>
        </w:rPr>
        <w:t xml:space="preserve"> </w:t>
      </w:r>
      <w:r>
        <w:rPr>
          <w:rFonts w:ascii="Arial;sans-serif" w:hAnsi="Arial;sans-serif"/>
          <w:b w:val="false"/>
          <w:color w:val="000000"/>
          <w:sz w:val="22"/>
        </w:rPr>
        <w:t>the Company shall have the</w:t>
      </w:r>
      <w:r>
        <w:rPr>
          <w:color w:val="000000"/>
        </w:rPr>
        <w:t xml:space="preserve"> </w:t>
      </w:r>
      <w:r>
        <w:rPr>
          <w:rFonts w:ascii="Arial;sans-serif" w:hAnsi="Arial;sans-serif"/>
          <w:b w:val="false"/>
          <w:color w:val="000000"/>
          <w:sz w:val="22"/>
        </w:rPr>
        <w:t>right in</w:t>
      </w:r>
      <w:r>
        <w:rPr>
          <w:color w:val="000000"/>
        </w:rPr>
        <w:t xml:space="preserve"> </w:t>
      </w:r>
      <w:r>
        <w:rPr>
          <w:rFonts w:ascii="Arial;sans-serif" w:hAnsi="Arial;sans-serif"/>
          <w:b w:val="false"/>
          <w:color w:val="000000"/>
          <w:sz w:val="22"/>
        </w:rPr>
        <w:t>its</w:t>
      </w:r>
      <w:r>
        <w:rPr>
          <w:color w:val="000000"/>
        </w:rPr>
        <w:t xml:space="preserve"> </w:t>
      </w:r>
      <w:r>
        <w:rPr>
          <w:rFonts w:ascii="Arial;sans-serif" w:hAnsi="Arial;sans-serif"/>
          <w:b w:val="false"/>
          <w:color w:val="000000"/>
          <w:sz w:val="22"/>
        </w:rPr>
        <w:t>sole discretion</w:t>
      </w:r>
      <w:r>
        <w:rPr>
          <w:color w:val="000000"/>
        </w:rPr>
        <w:t xml:space="preserve"> </w:t>
      </w:r>
      <w:r>
        <w:rPr>
          <w:rFonts w:ascii="Arial;sans-serif" w:hAnsi="Arial;sans-serif"/>
          <w:b w:val="false"/>
          <w:color w:val="000000"/>
          <w:sz w:val="22"/>
        </w:rPr>
        <w:t>(without any obligation to do</w:t>
      </w:r>
      <w:r>
        <w:rPr>
          <w:color w:val="000000"/>
        </w:rPr>
        <w:t xml:space="preserve"> </w:t>
      </w:r>
      <w:r>
        <w:rPr>
          <w:rFonts w:ascii="Arial;sans-serif" w:hAnsi="Arial;sans-serif"/>
          <w:b w:val="false"/>
          <w:color w:val="000000"/>
          <w:sz w:val="22"/>
        </w:rPr>
        <w:t>so) to adopt such amendments to the Plan or this Agreement, or to adopt other policies and procedures (including amendments, policies and procedures with retroactive effect), or take other actions, as the Company determines are necessary or appropriate for the Agreement to either be exempt from or comply with the requirements of Section 409A of the Code. Notwithstanding the foregoing, the Company makes no representations that the payments and</w:t>
      </w:r>
      <w:r>
        <w:rPr>
          <w:color w:val="000000"/>
        </w:rPr>
        <w:t xml:space="preserve"> </w:t>
      </w:r>
      <w:r>
        <w:rPr>
          <w:rFonts w:ascii="Arial;sans-serif" w:hAnsi="Arial;sans-serif"/>
          <w:b w:val="false"/>
          <w:color w:val="000000"/>
          <w:sz w:val="22"/>
        </w:rPr>
        <w:t>benefits provided under this Agreement comply with Section 409A of the Code and in no event shall the Company be liable for all or any portion of any taxes, penalties, interest or other expenses that may be incurred by the Key Employee on account of non-compliance with Section 409A of the Code.</w:t>
      </w:r>
    </w:p>
    <w:p>
      <w:pPr>
        <w:pStyle w:val="TextBody"/>
        <w:bidi w:val="0"/>
        <w:spacing w:lineRule="auto" w:line="240" w:before="0" w:after="240"/>
        <w:ind w:left="0" w:right="0" w:firstLine="720"/>
        <w:jc w:val="both"/>
        <w:rPr/>
      </w:pPr>
      <w:r>
        <w:rPr>
          <w:rFonts w:ascii="Arial;sans-serif" w:hAnsi="Arial;sans-serif"/>
          <w:b/>
          <w:color w:val="000000"/>
          <w:sz w:val="22"/>
        </w:rPr>
        <w:t>§ 20.</w:t>
      </w:r>
      <w:r>
        <w:rPr>
          <w:rFonts w:ascii="Arial;sans-serif" w:hAnsi="Arial;sans-serif"/>
          <w:b/>
          <w:color w:val="000000"/>
          <w:sz w:val="22"/>
          <w:u w:val="single"/>
        </w:rPr>
        <w:t>Counterparts</w:t>
      </w:r>
      <w:r>
        <w:rPr>
          <w:rFonts w:ascii="Arial;sans-serif" w:hAnsi="Arial;sans-serif"/>
          <w:b w:val="false"/>
          <w:color w:val="000000"/>
          <w:sz w:val="22"/>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lineRule="auto" w:line="240" w:before="0" w:after="240"/>
        <w:ind w:left="0" w:right="0" w:firstLine="720"/>
        <w:jc w:val="both"/>
        <w:rPr/>
      </w:pPr>
      <w:r>
        <w:rPr>
          <w:rFonts w:ascii="Arial;sans-serif" w:hAnsi="Arial;sans-serif"/>
          <w:b/>
          <w:color w:val="000000"/>
          <w:sz w:val="22"/>
        </w:rPr>
        <w:t>§ 21.</w:t>
      </w:r>
      <w:r>
        <w:rPr>
          <w:rFonts w:ascii="Arial;sans-serif" w:hAnsi="Arial;sans-serif"/>
          <w:b/>
          <w:color w:val="000000"/>
          <w:sz w:val="22"/>
          <w:u w:val="single"/>
        </w:rPr>
        <w:t>Acceptance</w:t>
      </w:r>
      <w:r>
        <w:rPr>
          <w:rFonts w:ascii="Arial;sans-serif" w:hAnsi="Arial;sans-serif"/>
          <w:b w:val="false"/>
          <w:color w:val="000000"/>
          <w:sz w:val="22"/>
        </w:rPr>
        <w:t>. The Key Employee hereby acknowledges receipt of a copy of the Plan and this Agreement. The Key Employee accepts the PSUs subject to the terms and conditions of the Plan and this Agreement. The Key Employee acknowledges that there may be adverse tax consequences upon the vesting or settlement of the PSUs or disposition of the underlying shares of Stock, and that the Key Employee has been advised to</w:t>
      </w:r>
      <w:r>
        <w:rPr>
          <w:color w:val="000000"/>
        </w:rPr>
        <w:t xml:space="preserve"> </w:t>
      </w:r>
      <w:r>
        <w:rPr>
          <w:rFonts w:ascii="Arial;sans-serif" w:hAnsi="Arial;sans-serif"/>
          <w:b w:val="false"/>
          <w:color w:val="000000"/>
          <w:sz w:val="22"/>
        </w:rPr>
        <w:t>consult a tax advisor prior to such vesting, settlement or disposition.</w:t>
      </w:r>
    </w:p>
    <w:p>
      <w:pPr>
        <w:pStyle w:val="TextBody"/>
        <w:bidi w:val="0"/>
        <w:spacing w:lineRule="auto" w:line="240" w:before="0" w:after="240"/>
        <w:ind w:left="0" w:right="0" w:firstLine="720"/>
        <w:jc w:val="both"/>
        <w:rPr/>
      </w:pPr>
      <w:r>
        <w:rPr>
          <w:rFonts w:ascii="Arial;sans-serif" w:hAnsi="Arial;sans-serif"/>
          <w:b/>
          <w:color w:val="000000"/>
          <w:sz w:val="22"/>
        </w:rPr>
        <w:t>§ 22.</w:t>
      </w:r>
      <w:r>
        <w:rPr>
          <w:rFonts w:ascii="Arial;sans-serif" w:hAnsi="Arial;sans-serif"/>
          <w:b/>
          <w:color w:val="000000"/>
          <w:sz w:val="22"/>
          <w:u w:val="single"/>
        </w:rPr>
        <w:t>Data Privacy</w:t>
      </w:r>
      <w:r>
        <w:rPr>
          <w:rFonts w:ascii="Arial;sans-serif" w:hAnsi="Arial;sans-serif"/>
          <w:b w:val="false"/>
          <w:color w:val="000000"/>
          <w:sz w:val="22"/>
        </w:rPr>
        <w:t>. The Key Employee acknowledges that the Company and its Affiliates will collect, process, transfer and hold the Key Employee’s personal data as is necessary for the purposes of operating the Plan and administering the Key Employee’s PSUs, and hereby provides consent to these actions.</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Arial;sans-serif" w:hAnsi="Arial;sans-serif"/>
          <w:b/>
          <w:color w:val="000000"/>
          <w:sz w:val="22"/>
        </w:rPr>
      </w:pPr>
      <w:r>
        <w:rPr>
          <w:rFonts w:ascii="Arial;sans-serif" w:hAnsi="Arial;sans-serif"/>
          <w:b/>
          <w:color w:val="000000"/>
          <w:sz w:val="22"/>
        </w:rPr>
        <w:t>§ 23.</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STATEMENT OF PERFORMANCE GOALS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This Statement of Performance Goals applies to the PSUs granted to the Key Employee on the Grant Date and applies with respect to the Performance Stock Unit Award Certificate between the Company and the Key Employee (the “Certificate”). Capitalized terms used in this Statement of Performance Goals that are not specifically defined in this Statement of Performance Goals have the meanings assigned to them in the Certificate. </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PSUs granted under the Certificate are divided into three tranches (each, a “Tranche”) as follows: the first Tranche consists of 9,405 PSUs (the “First Tranche”); the second Tranche consists of 9,404 PSUs (the “Second Tranche”); and the third Tranche consists of the remaining 9,404 PSUs (the “Third Tranche”). Each Tranche will be earned and eligible to vest in accordance with the Certificate, if at all, upon the satisfaction of the stock price hurdles set forth below, subject to the Committee’s prompt review and determination that the requisite stock price hurdles have been attained (the “Committee Determination”).</w:t>
      </w:r>
    </w:p>
    <w:p>
      <w:pPr>
        <w:pStyle w:val="TextBody"/>
        <w:bidi w:val="0"/>
        <w:spacing w:lineRule="auto" w:line="288" w:before="0" w:after="240"/>
        <w:jc w:val="both"/>
        <w:rPr/>
      </w:pPr>
      <w:r>
        <w:rPr>
          <w:rFonts w:ascii="Arial;sans-serif" w:hAnsi="Arial;sans-serif"/>
          <w:b/>
          <w:color w:val="000000"/>
          <w:sz w:val="22"/>
        </w:rPr>
        <w:t>First Tranche:</w:t>
      </w:r>
      <w:r>
        <w:rPr>
          <w:color w:val="000000"/>
        </w:rPr>
        <w:t xml:space="preserve"> </w:t>
      </w:r>
      <w:r>
        <w:rPr>
          <w:rFonts w:ascii="Arial;sans-serif" w:hAnsi="Arial;sans-serif"/>
          <w:b w:val="false"/>
          <w:color w:val="000000"/>
          <w:sz w:val="22"/>
        </w:rPr>
        <w:t>The First Tranche will be earned and eligible to vest on the first calendar day by which the Company’s closing price per share of Stock (as reasonably determined by the Company) on the primary national securities exchange on which the Company’s Stock then trades (the “Exchange”) has met or exceeded $425 for five (5) separate trading days during the Performance Period.</w:t>
      </w:r>
    </w:p>
    <w:p>
      <w:pPr>
        <w:pStyle w:val="TextBody"/>
        <w:bidi w:val="0"/>
        <w:spacing w:lineRule="auto" w:line="288" w:before="0" w:after="240"/>
        <w:jc w:val="both"/>
        <w:rPr/>
      </w:pPr>
      <w:r>
        <w:rPr>
          <w:rFonts w:ascii="Arial;sans-serif" w:hAnsi="Arial;sans-serif"/>
          <w:b/>
          <w:color w:val="000000"/>
          <w:sz w:val="22"/>
        </w:rPr>
        <w:t>Second Tranche:</w:t>
      </w:r>
      <w:r>
        <w:rPr>
          <w:color w:val="000000"/>
        </w:rPr>
        <w:t xml:space="preserve"> </w:t>
      </w:r>
      <w:r>
        <w:rPr>
          <w:rFonts w:ascii="Arial;sans-serif" w:hAnsi="Arial;sans-serif"/>
          <w:b w:val="false"/>
          <w:color w:val="000000"/>
          <w:sz w:val="22"/>
        </w:rPr>
        <w:t>The Second Tranche will be earned and eligible to vest on the first calendar day by which the Company’s closing price per share of Stock (as reasonably determined by the Company) on the Exchange has met or exceeded $450 for five (5) separate trading days during the Performance Period.</w:t>
      </w:r>
    </w:p>
    <w:p>
      <w:pPr>
        <w:pStyle w:val="TextBody"/>
        <w:bidi w:val="0"/>
        <w:spacing w:lineRule="auto" w:line="288" w:before="0" w:after="240"/>
        <w:jc w:val="both"/>
        <w:rPr/>
      </w:pPr>
      <w:r>
        <w:rPr>
          <w:rFonts w:ascii="Arial;sans-serif" w:hAnsi="Arial;sans-serif"/>
          <w:b/>
          <w:color w:val="000000"/>
          <w:sz w:val="22"/>
        </w:rPr>
        <w:t>Third Tranche:</w:t>
      </w:r>
      <w:r>
        <w:rPr>
          <w:color w:val="000000"/>
        </w:rPr>
        <w:t xml:space="preserve"> </w:t>
      </w:r>
      <w:r>
        <w:rPr>
          <w:rFonts w:ascii="Arial;sans-serif" w:hAnsi="Arial;sans-serif"/>
          <w:b w:val="false"/>
          <w:color w:val="000000"/>
          <w:sz w:val="22"/>
        </w:rPr>
        <w:t>The Third Tranche will be earned and eligible to vest on the first calendar day by which the Company’s closing price per share of Stock (as reasonably determined by the Company) on the Exchange has met or exceeded $475 for five (5) separate trading days during the Performance Period.</w:t>
      </w:r>
    </w:p>
    <w:p>
      <w:pPr>
        <w:pStyle w:val="TextBody"/>
        <w:bidi w:val="0"/>
        <w:spacing w:lineRule="auto" w:line="288" w:before="0" w:after="240"/>
        <w:jc w:val="both"/>
        <w:rPr/>
      </w:pPr>
      <w:r>
        <w:rPr>
          <w:rFonts w:ascii="Arial;sans-serif" w:hAnsi="Arial;sans-serif"/>
          <w:b/>
          <w:color w:val="000000"/>
          <w:sz w:val="22"/>
          <w:u w:val="single"/>
        </w:rPr>
        <w:t>Certification of Performance Goals</w:t>
      </w:r>
      <w:r>
        <w:rPr>
          <w:rFonts w:ascii="Arial;sans-serif" w:hAnsi="Arial;sans-serif"/>
          <w:b/>
          <w:color w:val="000000"/>
          <w:sz w:val="22"/>
        </w:rPr>
        <w:t>.</w:t>
      </w:r>
      <w:r>
        <w:rPr>
          <w:color w:val="000000"/>
        </w:rPr>
        <w:t xml:space="preserve"> </w:t>
      </w:r>
      <w:r>
        <w:rPr>
          <w:rFonts w:ascii="Arial;sans-serif" w:hAnsi="Arial;sans-serif"/>
          <w:b w:val="false"/>
          <w:color w:val="000000"/>
          <w:sz w:val="22"/>
        </w:rPr>
        <w:t>Except as otherwise provided in § 3 of the Agreement, in order for any Tranche to be earned and eligible to vest, the Tranche’s applicable stock price hurdle must be achieved during the Performance Period, and the Committee Determination must be made; otherwise, such Tranche will not be eligible to vest.</w:t>
      </w:r>
    </w:p>
    <w:p>
      <w:pPr>
        <w:pStyle w:val="TextBody"/>
        <w:bidi w:val="0"/>
        <w:spacing w:lineRule="auto" w:line="288" w:before="0" w:after="240"/>
        <w:jc w:val="both"/>
        <w:rPr/>
      </w:pPr>
      <w:r>
        <w:rPr>
          <w:rFonts w:ascii="Arial;sans-serif" w:hAnsi="Arial;sans-serif"/>
          <w:b/>
          <w:color w:val="000000"/>
          <w:sz w:val="22"/>
          <w:u w:val="single"/>
        </w:rPr>
        <w:t>Stock Price Hurdle Adjustments</w:t>
      </w:r>
      <w:r>
        <w:rPr>
          <w:rFonts w:ascii="Arial;sans-serif" w:hAnsi="Arial;sans-serif"/>
          <w:b/>
          <w:color w:val="000000"/>
          <w:sz w:val="22"/>
        </w:rPr>
        <w:t>.</w:t>
      </w:r>
      <w:r>
        <w:rPr>
          <w:color w:val="000000"/>
        </w:rPr>
        <w:t xml:space="preserve"> </w:t>
      </w:r>
      <w:r>
        <w:rPr>
          <w:rFonts w:ascii="Arial;sans-serif" w:hAnsi="Arial;sans-serif"/>
          <w:b w:val="false"/>
          <w:color w:val="000000"/>
          <w:sz w:val="22"/>
        </w:rPr>
        <w:t>If any change is made to the outstanding shares of Stock or the capital structure of the Company, if required, the Performance Stock Units shall be adjusted in any manner as contemplated by § 13 of the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Ronald F. Clarke,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Corpay,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2084" w:type="dxa"/>
        <w:jc w:val="left"/>
        <w:tblInd w:w="0" w:type="dxa"/>
        <w:tblLayout w:type="fixed"/>
        <w:tblCellMar>
          <w:top w:w="28" w:type="dxa"/>
          <w:left w:w="28" w:type="dxa"/>
          <w:bottom w:w="28" w:type="dxa"/>
          <w:right w:w="28" w:type="dxa"/>
        </w:tblCellMar>
      </w:tblPr>
      <w:tblGrid>
        <w:gridCol w:w="667"/>
        <w:gridCol w:w="586"/>
        <w:gridCol w:w="83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F. Clarke</w:t>
            </w:r>
          </w:p>
        </w:tc>
      </w:tr>
      <w:tr>
        <w:trPr/>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F. Clarke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Peter Walker,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Corpay,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Peter Walker</w:t>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Walker</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Corpay, Inc., a Delaware corporation (the “Company”), on Form 10-Q for the period ended June 30, 2026, as filed with the Securities and Exchange Commission (the “Report”), Ronald F. Clarke, Chief Executive Officer of the Company, does hereby certify, pursuant to § 906 of the Sarbanes-Oxley Act of 2002 (18 U.S.C. § 1350), that to his knowledge: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2084" w:type="dxa"/>
        <w:jc w:val="left"/>
        <w:tblInd w:w="0" w:type="dxa"/>
        <w:tblLayout w:type="fixed"/>
        <w:tblCellMar>
          <w:top w:w="28" w:type="dxa"/>
          <w:left w:w="28" w:type="dxa"/>
          <w:bottom w:w="28" w:type="dxa"/>
          <w:right w:w="28" w:type="dxa"/>
        </w:tblCellMar>
      </w:tblPr>
      <w:tblGrid>
        <w:gridCol w:w="667"/>
        <w:gridCol w:w="586"/>
        <w:gridCol w:w="83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F. Clarke</w:t>
            </w:r>
          </w:p>
        </w:tc>
      </w:tr>
      <w:tr>
        <w:trPr/>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F. Clarke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Corpay, Inc. and will be retained by Corpay,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Corpay, Inc., a Delaware corporation (the “Company”), on Form 10-Q for the period ended June 30, 2026, as filed with the Securities and Exchange Commission (the “Report”), Peter Walker, Chief Financial Officer of the Company, does hereby certify, pursuant to § 906 of the Sarbanes-Oxley Act of 2002 (18 U.S.C. § 1350), that to his knowledge: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9"/>
        <w:gridCol w:w="808"/>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t>
            </w:r>
            <w:r>
              <w:rPr>
                <w:rFonts w:ascii="Times New Roman;serif" w:hAnsi="Times New Roman;serif"/>
                <w:b w:val="false"/>
                <w:color w:val="000000"/>
                <w:sz w:val="20"/>
                <w:shd w:fill="FFFFFF" w:val="clear"/>
              </w:rPr>
              <w:t>Peter Walker</w:t>
            </w:r>
          </w:p>
        </w:tc>
      </w:tr>
      <w:tr>
        <w:trPr/>
        <w:tc>
          <w:tcPr>
            <w:tcW w:w="20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Walker</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Corpay, Inc. and will be retained by Corpay,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75454/000162828023005444/ex31certificateofincorpora.htm" TargetMode="External"/><Relationship Id="rId3" Type="http://schemas.openxmlformats.org/officeDocument/2006/relationships/hyperlink" Target="https://www.sec.gov/Archives/edgar/data/1175454/000162828024010593/exhibit31certificateofowne.htm" TargetMode="External"/><Relationship Id="rId4" Type="http://schemas.openxmlformats.org/officeDocument/2006/relationships/hyperlink" Target="https://www.sec.gov/Archives/edgar/data/1175454/000162828024010593/exhibit32amendedandrestate.htm" TargetMode="External"/><Relationship Id="rId5" Type="http://schemas.openxmlformats.org/officeDocument/2006/relationships/hyperlink" Target="https://www.sec.gov/Archives/edgar/data/1175454/000117545426000040/ex101eighteenthamendmentto.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37015</Words>
  <Characters>203474</Characters>
  <CharactersWithSpaces>238186</CharactersWithSpaces>
  <Paragraphs>4574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