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jc w:val="left"/>
        <w:rPr/>
      </w:pPr>
      <w:hyperlink w:anchor="i27d5f920da3f4d0c86f822f7ff119dbf_7">
        <w:bookmarkStart w:id="0" w:name="flt-20251231.htm"/>
        <w:bookmarkStart w:id="1" w:name="ksflt20251231"/>
        <w:bookmarkEnd w:id="0"/>
        <w:bookmarkEnd w:id="1"/>
        <w:r>
          <w:rPr>
            <w:rStyle w:val="InternetLink"/>
            <w:rFonts w:ascii="Times New Roman;serif" w:hAnsi="Times New Roman;serif"/>
            <w:b w:val="false"/>
            <w:i w:val="false"/>
            <w:caps w:val="false"/>
            <w:smallCaps w:val="false"/>
            <w:color w:val="0000FF"/>
            <w:sz w:val="20"/>
            <w:u w:val="single"/>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sz w:val="24"/>
        </w:rPr>
      </w:pPr>
      <w:r>
        <w:rPr>
          <w:rFonts w:ascii="Times New Roman;serif" w:hAnsi="Times New Roman;serif"/>
          <w:b/>
          <w:i w:val="false"/>
          <w:caps w:val="false"/>
          <w:smallCaps w:val="false"/>
          <w:strike w:val="false"/>
          <w:dstrike w:val="false"/>
          <w:sz w:val="36"/>
          <w:u w:val="none"/>
          <w:effect w:val="none"/>
        </w:rPr>
        <w:t>UNITED</w:t>
      </w:r>
      <w:r>
        <w:rPr>
          <w:caps w:val="false"/>
          <w:smallCaps w:val="false"/>
          <w:sz w:val="24"/>
        </w:rPr>
        <w:t xml:space="preserve"> </w:t>
      </w:r>
      <w:r>
        <w:rPr>
          <w:rFonts w:ascii="Times New Roman;serif" w:hAnsi="Times New Roman;serif"/>
          <w:b/>
          <w:i w:val="false"/>
          <w:caps w:val="false"/>
          <w:smallCaps w:val="false"/>
          <w:sz w:val="36"/>
        </w:rPr>
        <w:t>STATES</w:t>
      </w:r>
    </w:p>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tLeast" w:line="240" w:before="0" w:after="0"/>
        <w:jc w:val="left"/>
        <w:rPr/>
      </w:pPr>
      <w:r>
        <w:rPr>
          <w:rFonts w:ascii="Times New Roman;serif" w:hAnsi="Times New Roman;serif"/>
          <w:b/>
          <w:i w:val="false"/>
          <w:caps w:val="false"/>
          <w:smallCaps w:val="false"/>
          <w:sz w:val="24"/>
        </w:rPr>
        <w:t>Washington, D.C. 20549</w:t>
      </w:r>
      <w:r>
        <w:rPr>
          <w:caps w:val="false"/>
          <w:smallCaps w:val="false"/>
        </w:rPr>
        <w:t> </w:t>
      </w:r>
    </w:p>
    <w:p>
      <w:pPr>
        <w:pStyle w:val="TextBody"/>
        <w:bidi w:val="0"/>
        <w:spacing w:lineRule="atLeast" w:line="200" w:before="0" w:after="0"/>
        <w:jc w:val="left"/>
        <w:rPr>
          <w:caps w:val="false"/>
          <w:smallCaps w:val="false"/>
        </w:rPr>
      </w:pPr>
      <w:r>
        <w:rPr>
          <w:caps w:val="false"/>
          <w:smallCaps w:val="false"/>
        </w:rPr>
        <w:t>  </w:t>
      </w:r>
      <w:r>
        <w:rPr>
          <w:rFonts w:ascii="Times New Roman;serif" w:hAnsi="Times New Roman;serif"/>
          <w:b w:val="false"/>
          <w:i w:val="false"/>
          <w:caps w:val="false"/>
          <w:smallCaps w:val="false"/>
          <w:sz w:val="20"/>
        </w:rPr>
        <w:t>__________________________________________________________</w:t>
      </w:r>
    </w:p>
    <w:p>
      <w:pPr>
        <w:pStyle w:val="TextBody"/>
        <w:bidi w:val="0"/>
        <w:spacing w:lineRule="atLeast" w:line="360" w:before="0" w:after="0"/>
        <w:jc w:val="left"/>
        <w:rPr>
          <w:sz w:val="36"/>
        </w:rPr>
      </w:pPr>
      <w:r>
        <w:rPr>
          <w:rFonts w:ascii="Times New Roman;serif" w:hAnsi="Times New Roman;serif"/>
          <w:b/>
          <w:i w:val="false"/>
          <w:caps w:val="false"/>
          <w:smallCaps w:val="false"/>
          <w:sz w:val="36"/>
        </w:rPr>
        <w:t xml:space="preserve">FORM </w:t>
      </w:r>
      <w:r>
        <w:rPr>
          <w:rFonts w:ascii="Times New Roman;serif" w:hAnsi="Times New Roman;serif"/>
          <w:b/>
          <w:i w:val="false"/>
          <w:caps w:val="false"/>
          <w:smallCaps w:val="false"/>
          <w:strike w:val="false"/>
          <w:dstrike w:val="false"/>
          <w:sz w:val="36"/>
          <w:u w:val="none"/>
          <w:effect w:val="none"/>
        </w:rPr>
        <w:t>10-K</w:t>
      </w:r>
      <w:r>
        <w:rPr>
          <w:caps w:val="false"/>
          <w:smallCaps w:val="false"/>
          <w:sz w:val="36"/>
        </w:rPr>
        <w:t> </w:t>
      </w:r>
    </w:p>
    <w:p>
      <w:pPr>
        <w:pStyle w:val="TextBody"/>
        <w:bidi w:val="0"/>
        <w:spacing w:lineRule="atLeast" w:line="200" w:before="0" w:after="0"/>
        <w:jc w:val="left"/>
        <w:rPr>
          <w:caps w:val="false"/>
          <w:smallCaps w:val="false"/>
        </w:rPr>
      </w:pPr>
      <w:r>
        <w:rPr>
          <w:caps w:val="false"/>
          <w:smallCaps w:val="false"/>
        </w:rPr>
        <w:t>  </w:t>
      </w:r>
      <w:r>
        <w:rPr>
          <w:rFonts w:ascii="Times New Roman;serif" w:hAnsi="Times New Roman;serif"/>
          <w:b w:val="false"/>
          <w:i w:val="false"/>
          <w:caps w:val="false"/>
          <w:smallCaps w:val="false"/>
          <w:sz w:val="20"/>
        </w:rPr>
        <w:t>__________________________________________________________</w:t>
      </w:r>
    </w:p>
    <w:p>
      <w:pPr>
        <w:pStyle w:val="TextBody"/>
        <w:bidi w:val="0"/>
        <w:spacing w:before="0" w:after="0"/>
        <w:jc w:val="left"/>
        <w:rPr>
          <w:caps w:val="false"/>
          <w:smallCaps w:val="false"/>
        </w:rPr>
      </w:pPr>
      <w:r>
        <w:rPr>
          <w:caps w:val="false"/>
          <w:smallCaps w:val="false"/>
        </w:rPr>
        <w:t> </w:t>
      </w:r>
    </w:p>
    <w:tbl>
      <w:tblPr>
        <w:tblW w:w="9467" w:type="dxa"/>
        <w:jc w:val="left"/>
        <w:tblInd w:w="0" w:type="dxa"/>
        <w:tblLayout w:type="fixed"/>
        <w:tblCellMar>
          <w:top w:w="28" w:type="dxa"/>
          <w:left w:w="28" w:type="dxa"/>
          <w:bottom w:w="28" w:type="dxa"/>
          <w:right w:w="28" w:type="dxa"/>
        </w:tblCellMar>
      </w:tblPr>
      <w:tblGrid>
        <w:gridCol w:w="331"/>
        <w:gridCol w:w="9136"/>
      </w:tblGrid>
      <w:tr>
        <w:trPr/>
        <w:tc>
          <w:tcPr>
            <w:tcW w:w="331"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24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136" w:type="dxa"/>
            <w:tcBorders/>
            <w:vAlign w:val="center"/>
          </w:tcPr>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ANNUAL REPORT PURSUANT TO SECTION 13 OR 15(d) OF THE SECURITIES </w:t>
            </w:r>
          </w:p>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EXCHANGE ACT OF 1934</w:t>
            </w:r>
          </w:p>
        </w:tc>
      </w:tr>
    </w:tbl>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For the Fiscal Ye</w:t>
      </w:r>
      <w:r>
        <w:rPr>
          <w:rFonts w:ascii="Times New Roman;serif" w:hAnsi="Times New Roman;serif"/>
          <w:b/>
          <w:i w:val="false"/>
          <w:caps w:val="false"/>
          <w:smallCaps w:val="false"/>
          <w:sz w:val="20"/>
        </w:rPr>
        <w:t xml:space="preserve">ar Ended </w:t>
      </w:r>
      <w:r>
        <w:rPr>
          <w:rFonts w:ascii="Times New Roman;serif" w:hAnsi="Times New Roman;serif"/>
          <w:b/>
          <w:i w:val="false"/>
          <w:caps w:val="false"/>
          <w:smallCaps w:val="false"/>
          <w:strike w:val="false"/>
          <w:dstrike w:val="false"/>
          <w:sz w:val="20"/>
          <w:u w:val="none"/>
          <w:effect w:val="none"/>
        </w:rPr>
        <w:t>December 31, 2025</w:t>
      </w:r>
      <w:r>
        <w:rPr>
          <w:caps w:val="false"/>
          <w:smallCaps w:val="false"/>
          <w:sz w:val="24"/>
        </w:rPr>
        <w:t xml:space="preserve"> </w:t>
      </w:r>
    </w:p>
    <w:p>
      <w:pPr>
        <w:pStyle w:val="TextBody"/>
        <w:bidi w:val="0"/>
        <w:spacing w:lineRule="atLeast" w:line="200" w:before="0" w:after="0"/>
        <w:jc w:val="left"/>
        <w:rPr/>
      </w:pPr>
      <w:r>
        <w:rPr>
          <w:rFonts w:ascii="Times New Roman;serif" w:hAnsi="Times New Roman;serif"/>
          <w:b/>
          <w:i w:val="false"/>
          <w:caps w:val="false"/>
          <w:smallCaps w:val="false"/>
          <w:sz w:val="20"/>
        </w:rPr>
        <w:t>OR</w:t>
      </w:r>
      <w:r>
        <w:rPr>
          <w:caps w:val="false"/>
          <w:smallCaps w:val="false"/>
        </w:rPr>
        <w:t> </w:t>
      </w:r>
    </w:p>
    <w:tbl>
      <w:tblPr>
        <w:tblW w:w="9947" w:type="dxa"/>
        <w:jc w:val="left"/>
        <w:tblInd w:w="0" w:type="dxa"/>
        <w:tblLayout w:type="fixed"/>
        <w:tblCellMar>
          <w:top w:w="28" w:type="dxa"/>
          <w:left w:w="28" w:type="dxa"/>
          <w:bottom w:w="28" w:type="dxa"/>
          <w:right w:w="28" w:type="dxa"/>
        </w:tblCellMar>
      </w:tblPr>
      <w:tblGrid>
        <w:gridCol w:w="331"/>
        <w:gridCol w:w="9616"/>
      </w:tblGrid>
      <w:tr>
        <w:trPr/>
        <w:tc>
          <w:tcPr>
            <w:tcW w:w="331" w:type="dxa"/>
            <w:tcBorders/>
            <w:vAlign w:val="center"/>
          </w:tcPr>
          <w:p>
            <w:pPr>
              <w:pStyle w:val="TableContents"/>
              <w:bidi w:val="0"/>
              <w:spacing w:before="0" w:after="283"/>
              <w:jc w:val="left"/>
              <w:rPr>
                <w:sz w:val="4"/>
                <w:szCs w:val="4"/>
              </w:rPr>
            </w:pPr>
            <w:r>
              <w:rPr>
                <w:sz w:val="4"/>
                <w:szCs w:val="4"/>
              </w:rPr>
            </w:r>
          </w:p>
        </w:tc>
        <w:tc>
          <w:tcPr>
            <w:tcW w:w="96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24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616" w:type="dxa"/>
            <w:tcBorders/>
            <w:vAlign w:val="center"/>
          </w:tcPr>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TRANSITION REPORT PURSUANT TO SECTION 13 OR 15(d) OF THE SECURITIES </w:t>
            </w:r>
          </w:p>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EXCHANGE ACT OF 1934</w:t>
            </w:r>
          </w:p>
        </w:tc>
      </w:tr>
    </w:tbl>
    <w:p>
      <w:pPr>
        <w:pStyle w:val="TextBody"/>
        <w:bidi w:val="0"/>
        <w:spacing w:lineRule="atLeast" w:line="200" w:before="0" w:after="0"/>
        <w:jc w:val="left"/>
        <w:rPr/>
      </w:pPr>
      <w:r>
        <w:rPr>
          <w:rFonts w:ascii="Times New Roman;serif" w:hAnsi="Times New Roman;serif"/>
          <w:b/>
          <w:i w:val="false"/>
          <w:caps w:val="false"/>
          <w:smallCaps w:val="false"/>
          <w:sz w:val="20"/>
        </w:rPr>
        <w:t xml:space="preserve">For the Transition Period From </w:t>
      </w:r>
      <w:r>
        <w:rPr>
          <w:caps w:val="false"/>
          <w:smallCaps w:val="false"/>
          <w:u w:val="single"/>
        </w:rPr>
        <w:t>                </w:t>
      </w:r>
      <w:r>
        <w:rPr>
          <w:caps w:val="false"/>
          <w:smallCaps w:val="false"/>
        </w:rPr>
        <w:t xml:space="preserve"> </w:t>
      </w:r>
      <w:r>
        <w:rPr>
          <w:rFonts w:ascii="Times New Roman;serif" w:hAnsi="Times New Roman;serif"/>
          <w:b/>
          <w:i w:val="false"/>
          <w:caps w:val="false"/>
          <w:smallCaps w:val="false"/>
          <w:sz w:val="20"/>
        </w:rPr>
        <w:t xml:space="preserve">to </w:t>
      </w:r>
      <w:r>
        <w:rPr>
          <w:caps w:val="false"/>
          <w:smallCaps w:val="false"/>
          <w:u w:val="single"/>
        </w:rPr>
        <w:t>                </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Commission File Number </w:t>
      </w:r>
      <w:r>
        <w:rPr>
          <w:rFonts w:ascii="Times New Roman;serif" w:hAnsi="Times New Roman;serif"/>
          <w:b/>
          <w:i w:val="false"/>
          <w:caps w:val="false"/>
          <w:smallCaps w:val="false"/>
          <w:strike w:val="false"/>
          <w:dstrike w:val="false"/>
          <w:sz w:val="20"/>
          <w:u w:val="none"/>
          <w:effect w:val="none"/>
        </w:rPr>
        <w:t>001-35004</w:t>
      </w:r>
      <w:r>
        <w:rPr>
          <w:caps w:val="false"/>
          <w:smallCaps w:val="false"/>
          <w:sz w:val="24"/>
        </w:rPr>
        <w:t xml:space="preserve"> </w:t>
      </w:r>
    </w:p>
    <w:p>
      <w:pPr>
        <w:pStyle w:val="TextBody"/>
        <w:bidi w:val="0"/>
        <w:spacing w:lineRule="atLeast" w:line="200" w:before="0" w:after="0"/>
        <w:jc w:val="left"/>
        <w:rPr>
          <w:caps w:val="false"/>
          <w:smallCaps w:val="false"/>
        </w:rPr>
      </w:pPr>
      <w:r>
        <w:rPr>
          <w:caps w:val="false"/>
          <w:smallCaps w:val="false"/>
        </w:rPr>
        <w:t>  </w:t>
      </w:r>
      <w:r>
        <w:rPr>
          <w:rFonts w:ascii="Times New Roman;serif" w:hAnsi="Times New Roman;serif"/>
          <w:b w:val="false"/>
          <w:i w:val="false"/>
          <w:caps w:val="false"/>
          <w:smallCaps w:val="false"/>
          <w:sz w:val="20"/>
        </w:rPr>
        <w:t>__________________________________________________________</w:t>
      </w:r>
    </w:p>
    <w:p>
      <w:pPr>
        <w:pStyle w:val="TextBody"/>
        <w:bidi w:val="0"/>
        <w:spacing w:lineRule="atLeast" w:line="480" w:before="0" w:after="0"/>
        <w:jc w:val="left"/>
        <w:rPr>
          <w:sz w:val="48"/>
        </w:rPr>
      </w:pPr>
      <w:r>
        <w:rPr>
          <w:rFonts w:ascii="Times New Roman;serif" w:hAnsi="Times New Roman;serif"/>
          <w:b/>
          <w:i w:val="false"/>
          <w:caps w:val="false"/>
          <w:smallCaps w:val="false"/>
          <w:strike w:val="false"/>
          <w:dstrike w:val="false"/>
          <w:sz w:val="48"/>
          <w:u w:val="none"/>
          <w:effect w:val="none"/>
        </w:rPr>
        <w:t>Corpay, Inc.</w:t>
      </w:r>
      <w:r>
        <w:rPr>
          <w:caps w:val="false"/>
          <w:smallCaps w:val="false"/>
          <w:strike w:val="false"/>
          <w:dstrike w:val="false"/>
          <w:sz w:val="48"/>
          <w:u w:val="none"/>
          <w:effect w:val="none"/>
        </w:rPr>
        <w:t> </w:t>
      </w:r>
      <w:r>
        <w:rPr>
          <w:caps w:val="false"/>
          <w:smallCaps w:val="false"/>
          <w:sz w:val="48"/>
        </w:rPr>
        <w:t xml:space="preserve"> </w:t>
      </w:r>
    </w:p>
    <w:p>
      <w:pPr>
        <w:pStyle w:val="TextBody"/>
        <w:bidi w:val="0"/>
        <w:spacing w:lineRule="atLeast" w:line="142" w:before="0" w:after="0"/>
        <w:jc w:val="left"/>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(Exact name of registrant as specified in its charter)</w:t>
      </w:r>
    </w:p>
    <w:p>
      <w:pPr>
        <w:pStyle w:val="TextBody"/>
        <w:bidi w:val="0"/>
        <w:spacing w:lineRule="atLeast" w:line="200" w:before="0" w:after="0"/>
        <w:jc w:val="left"/>
        <w:rPr/>
      </w:pPr>
      <w:r>
        <w:rPr>
          <w:caps w:val="false"/>
          <w:smallCaps w:val="false"/>
        </w:rPr>
        <w:t>  </w:t>
      </w:r>
      <w:r>
        <w:rPr>
          <w:rFonts w:ascii="Times New Roman;serif" w:hAnsi="Times New Roman;serif"/>
          <w:b w:val="false"/>
          <w:i w:val="false"/>
          <w:caps w:val="false"/>
          <w:smallCaps w:val="false"/>
          <w:sz w:val="20"/>
        </w:rPr>
        <w:t>__________________________________________________________</w:t>
      </w:r>
    </w:p>
    <w:tbl>
      <w:tblPr>
        <w:tblW w:w="6214" w:type="dxa"/>
        <w:jc w:val="left"/>
        <w:tblInd w:w="0" w:type="dxa"/>
        <w:tblLayout w:type="fixed"/>
        <w:tblCellMar>
          <w:top w:w="28" w:type="dxa"/>
          <w:left w:w="28" w:type="dxa"/>
          <w:bottom w:w="28" w:type="dxa"/>
          <w:right w:w="28" w:type="dxa"/>
        </w:tblCellMar>
      </w:tblPr>
      <w:tblGrid>
        <w:gridCol w:w="2941"/>
        <w:gridCol w:w="781"/>
        <w:gridCol w:w="811"/>
        <w:gridCol w:w="1681"/>
      </w:tblGrid>
      <w:tr>
        <w:trPr/>
        <w:tc>
          <w:tcPr>
            <w:tcW w:w="29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Delaware</w:t>
            </w:r>
          </w:p>
        </w:tc>
        <w:tc>
          <w:tcPr>
            <w:tcW w:w="78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72-1074903</w:t>
            </w:r>
          </w:p>
        </w:tc>
      </w:tr>
      <w:tr>
        <w:trPr/>
        <w:tc>
          <w:tcPr>
            <w:tcW w:w="294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(State or other jurisdiction of</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incorporation or organization)</w:t>
            </w:r>
          </w:p>
        </w:tc>
        <w:tc>
          <w:tcPr>
            <w:tcW w:w="78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(I.R.S. Employer</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Identification No.)</w:t>
            </w:r>
          </w:p>
        </w:tc>
      </w:tr>
      <w:tr>
        <w:trPr/>
        <w:tc>
          <w:tcPr>
            <w:tcW w:w="29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3280 Peachtree Road</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Suite 2400</w:t>
            </w:r>
            <w:r>
              <w:rPr>
                <w:rFonts w:ascii="Times New Roman;serif" w:hAnsi="Times New Roman;serif"/>
                <w:b/>
                <w:i w:val="false"/>
                <w:caps w:val="false"/>
                <w:smallCaps w:val="false"/>
                <w:sz w:val="20"/>
              </w:rPr>
              <w:t>,</w:t>
            </w:r>
          </w:p>
        </w:tc>
        <w:tc>
          <w:tcPr>
            <w:tcW w:w="7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Atlanta,</w:t>
            </w:r>
          </w:p>
        </w:tc>
        <w:tc>
          <w:tcPr>
            <w:tcW w:w="81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Georgia</w:t>
            </w:r>
          </w:p>
        </w:tc>
        <w:tc>
          <w:tcPr>
            <w:tcW w:w="1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30305</w:t>
            </w:r>
          </w:p>
        </w:tc>
      </w:tr>
      <w:tr>
        <w:trPr/>
        <w:tc>
          <w:tcPr>
            <w:tcW w:w="294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(Address of principal executive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offices)</w:t>
            </w:r>
          </w:p>
        </w:tc>
        <w:tc>
          <w:tcPr>
            <w:tcW w:w="78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(Zip Code)</w:t>
            </w:r>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20"/>
        </w:rPr>
        <w:t>Registrant’s telephone number, including area code: (</w:t>
      </w:r>
      <w:r>
        <w:rPr>
          <w:rFonts w:ascii="Times New Roman;serif" w:hAnsi="Times New Roman;serif"/>
          <w:b/>
          <w:i w:val="false"/>
          <w:caps w:val="false"/>
          <w:smallCaps w:val="false"/>
          <w:strike w:val="false"/>
          <w:dstrike w:val="false"/>
          <w:sz w:val="20"/>
          <w:u w:val="none"/>
          <w:effect w:val="none"/>
        </w:rPr>
        <w:t>770</w:t>
      </w:r>
      <w:r>
        <w:rPr>
          <w:rFonts w:ascii="Times New Roman;serif" w:hAnsi="Times New Roman;serif"/>
          <w:b/>
          <w:i w:val="false"/>
          <w:caps w:val="false"/>
          <w:smallCaps w:val="false"/>
          <w:sz w:val="20"/>
        </w:rPr>
        <w:t>) </w:t>
      </w:r>
      <w:r>
        <w:rPr>
          <w:rFonts w:ascii="Times New Roman;serif" w:hAnsi="Times New Roman;serif"/>
          <w:b/>
          <w:i w:val="false"/>
          <w:caps w:val="false"/>
          <w:smallCaps w:val="false"/>
          <w:strike w:val="false"/>
          <w:dstrike w:val="false"/>
          <w:sz w:val="20"/>
          <w:u w:val="none"/>
          <w:effect w:val="none"/>
        </w:rPr>
        <w:t>449-0479</w:t>
      </w:r>
      <w:r>
        <w:rPr>
          <w:caps w:val="false"/>
          <w:smallCaps w:val="false"/>
          <w:sz w:val="24"/>
        </w:rPr>
        <w:t xml:space="preserv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 of each class</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Trading Symbol(s)</w:t>
            </w:r>
          </w:p>
        </w:tc>
        <w:tc>
          <w:tcPr>
            <w:tcW w:w="37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 of each exchange on which registered</w:t>
            </w:r>
          </w:p>
        </w:tc>
      </w:tr>
      <w:tr>
        <w:trPr/>
        <w:tc>
          <w:tcPr>
            <w:tcW w:w="36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Common Stock, $0.001 par value per share</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CPAY</w:t>
            </w:r>
          </w:p>
        </w:tc>
        <w:tc>
          <w:tcPr>
            <w:tcW w:w="37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NYSE</w:t>
            </w:r>
          </w:p>
        </w:tc>
      </w:tr>
    </w:tbl>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registered pursuant to Section 12(g) of the Act:</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NONE</w:t>
      </w:r>
    </w:p>
    <w:p>
      <w:pPr>
        <w:pStyle w:val="TextBody"/>
        <w:bidi w:val="0"/>
        <w:spacing w:lineRule="atLeast" w:line="200" w:before="0" w:after="0"/>
        <w:jc w:val="left"/>
        <w:rPr/>
      </w:pPr>
      <w:r>
        <w:rPr>
          <w:caps w:val="false"/>
          <w:smallCaps w:val="false"/>
        </w:rPr>
        <w:t>  </w:t>
      </w:r>
      <w:r>
        <w:rPr>
          <w:rFonts w:ascii="Times New Roman;serif" w:hAnsi="Times New Roman;serif"/>
          <w:b w:val="false"/>
          <w:i w:val="false"/>
          <w:caps w:val="false"/>
          <w:smallCaps w:val="false"/>
          <w:sz w:val="20"/>
        </w:rPr>
        <w:t>__________________________________________________________</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if the registrant is a well-known seasoned issuer, as defined in Rule 405 of the Securities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Act.    </w:t>
      </w:r>
      <w:r>
        <w:rPr>
          <w:rFonts w:ascii="Times New Roman;serif" w:hAnsi="Times New Roman;serif"/>
          <w:b w:val="false"/>
          <w:i w:val="false"/>
          <w:caps w:val="false"/>
          <w:smallCaps w:val="false"/>
          <w:strike w:val="false"/>
          <w:dstrike w:val="false"/>
          <w:sz w:val="20"/>
          <w:u w:val="none"/>
          <w:effect w:val="none"/>
        </w:rPr>
        <w:t>Yes</w:t>
      </w:r>
      <w:r>
        <w:rPr>
          <w:caps w:val="false"/>
          <w:smallCaps w:val="false"/>
          <w:sz w:val="24"/>
        </w:rPr>
        <w:t>  ☒    </w:t>
      </w:r>
      <w:r>
        <w:rPr>
          <w:rFonts w:ascii="Times New Roman;serif" w:hAnsi="Times New Roman;serif"/>
          <w:b w:val="false"/>
          <w:i w:val="false"/>
          <w:caps w:val="false"/>
          <w:smallCaps w:val="false"/>
          <w:sz w:val="20"/>
        </w:rPr>
        <w:t>No  </w:t>
      </w:r>
      <w:r>
        <w:rPr>
          <w:caps w:val="false"/>
          <w:smallCaps w:val="false"/>
          <w:sz w:val="24"/>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if the registrant is not required to file reports pursuant to Section 13 or Section 15(d)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Act.    Yes  </w:t>
      </w:r>
      <w:r>
        <w:rPr>
          <w:caps w:val="false"/>
          <w:smallCaps w:val="false"/>
          <w:sz w:val="24"/>
        </w:rPr>
        <w:t>☐    </w:t>
      </w:r>
      <w:r>
        <w:rPr>
          <w:rFonts w:ascii="Times New Roman;serif" w:hAnsi="Times New Roman;serif"/>
          <w:b w:val="false"/>
          <w:i w:val="false"/>
          <w:caps w:val="false"/>
          <w:smallCaps w:val="false"/>
          <w:strike w:val="false"/>
          <w:dstrike w:val="false"/>
          <w:sz w:val="20"/>
          <w:u w:val="none"/>
          <w:effect w:val="none"/>
        </w:rPr>
        <w:t>No</w:t>
      </w:r>
      <w:r>
        <w:rPr>
          <w:caps w:val="false"/>
          <w:smallCaps w:val="false"/>
          <w:sz w:val="24"/>
        </w:rPr>
        <w: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(1) has filed all reports required to be filed by Section 13 or 15(d)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Exchange Act of 1934 during the preceding 12 months (or for such shorter period that the registrant was required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file such reports), and (2) has been subject to such filing requirements for the past 90 days.    </w:t>
      </w:r>
      <w:r>
        <w:rPr>
          <w:rFonts w:ascii="Times New Roman;serif" w:hAnsi="Times New Roman;serif"/>
          <w:b w:val="false"/>
          <w:i w:val="false"/>
          <w:caps w:val="false"/>
          <w:smallCaps w:val="false"/>
          <w:strike w:val="false"/>
          <w:dstrike w:val="false"/>
          <w:sz w:val="20"/>
          <w:u w:val="none"/>
          <w:effect w:val="none"/>
        </w:rPr>
        <w:t>Yes</w:t>
      </w:r>
      <w:r>
        <w:rPr>
          <w:caps w:val="false"/>
          <w:smallCaps w:val="false"/>
          <w:sz w:val="24"/>
        </w:rPr>
        <w:t>  ☒    </w:t>
      </w:r>
      <w:r>
        <w:rPr>
          <w:rFonts w:ascii="Times New Roman;serif" w:hAnsi="Times New Roman;serif"/>
          <w:b w:val="false"/>
          <w:i w:val="false"/>
          <w:caps w:val="false"/>
          <w:smallCaps w:val="false"/>
          <w:sz w:val="20"/>
        </w:rPr>
        <w:t>No  </w:t>
      </w:r>
      <w:r>
        <w:rPr>
          <w:caps w:val="false"/>
          <w:smallCaps w:val="false"/>
          <w:sz w:val="24"/>
        </w:rPr>
        <w:t>☐</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submitted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Rule 405 of Regulation S-T (§232.405 of this chapter) during the preceding 12 months (or for such shorter period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that the registrant was required to submit and post such files).    </w:t>
      </w:r>
      <w:r>
        <w:rPr>
          <w:rFonts w:ascii="Times New Roman;serif" w:hAnsi="Times New Roman;serif"/>
          <w:b w:val="false"/>
          <w:i w:val="false"/>
          <w:caps w:val="false"/>
          <w:smallCaps w:val="false"/>
          <w:strike w:val="false"/>
          <w:dstrike w:val="false"/>
          <w:sz w:val="20"/>
          <w:u w:val="none"/>
          <w:effect w:val="none"/>
        </w:rPr>
        <w:t>Yes</w:t>
      </w:r>
      <w:r>
        <w:rPr>
          <w:caps w:val="false"/>
          <w:smallCaps w:val="false"/>
          <w:sz w:val="24"/>
        </w:rPr>
        <w:t>  ☒    </w:t>
      </w:r>
      <w:r>
        <w:rPr>
          <w:rFonts w:ascii="Times New Roman;serif" w:hAnsi="Times New Roman;serif"/>
          <w:b w:val="false"/>
          <w:i w:val="false"/>
          <w:caps w:val="false"/>
          <w:smallCaps w:val="false"/>
          <w:sz w:val="20"/>
        </w:rPr>
        <w:t>No  </w:t>
      </w:r>
      <w:r>
        <w:rPr>
          <w:caps w:val="false"/>
          <w:smallCaps w:val="false"/>
          <w:sz w:val="24"/>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company, or an emerging growth company. See the definitions of “large accelerated filer,” “accelerated filer,”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smaller reporting company” and "emerging growth company" in Rule 12b-2 of the Exchange Act.</w:t>
      </w:r>
    </w:p>
    <w:p>
      <w:pPr>
        <w:pStyle w:val="TextBody"/>
        <w:bidi w:val="0"/>
        <w:spacing w:before="0" w:after="0"/>
        <w:jc w:val="left"/>
        <w:rPr>
          <w:caps w:val="false"/>
          <w:smallCaps w:val="false"/>
        </w:rPr>
      </w:pPr>
      <w:r>
        <w:rPr>
          <w:caps w:val="false"/>
          <w:smallCaps w:val="false"/>
        </w:rPr>
        <w:t> </w:t>
      </w:r>
    </w:p>
    <w:tbl>
      <w:tblPr>
        <w:tblW w:w="5726" w:type="dxa"/>
        <w:jc w:val="left"/>
        <w:tblInd w:w="0" w:type="dxa"/>
        <w:tblLayout w:type="fixed"/>
        <w:tblCellMar>
          <w:top w:w="28" w:type="dxa"/>
          <w:left w:w="28" w:type="dxa"/>
          <w:bottom w:w="28" w:type="dxa"/>
          <w:right w:w="28" w:type="dxa"/>
        </w:tblCellMar>
      </w:tblPr>
      <w:tblGrid>
        <w:gridCol w:w="2326"/>
        <w:gridCol w:w="146"/>
        <w:gridCol w:w="43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Large accelerated filer</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3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23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Accelerated filer</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3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Non-accelerated filer</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36" w:type="dxa"/>
            <w:tcBorders/>
            <w:vAlign w:val="center"/>
          </w:tcPr>
          <w:p>
            <w:pPr>
              <w:pStyle w:val="TableContents"/>
              <w:bidi w:val="0"/>
              <w:spacing w:lineRule="atLeast" w:line="200" w:before="0" w:after="0"/>
              <w:jc w:val="left"/>
              <w:rPr>
                <w:caps w:val="false"/>
                <w:smallCaps w:val="false"/>
              </w:rPr>
            </w:pPr>
            <w:r>
              <w:rPr>
                <w:caps w:val="false"/>
                <w:smallCaps w:val="false"/>
              </w:rPr>
              <w:t>☐  </w:t>
            </w:r>
          </w:p>
        </w:tc>
        <w:tc>
          <w:tcPr>
            <w:tcW w:w="23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Smaller reporting company</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3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Emerging growth company</w:t>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tLeast" w:line="200" w:before="0" w:after="0"/>
              <w:jc w:val="left"/>
              <w:rPr>
                <w:caps w:val="false"/>
                <w:smallCaps w:val="false"/>
              </w:rPr>
            </w:pPr>
            <w:r>
              <w:rPr>
                <w:caps w:val="false"/>
                <w:smallCaps w:val="false"/>
              </w:rPr>
              <w:t>☐</w:t>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transition period for complying with any new or revised financial accounting standards provided pursuant to </w:t>
      </w:r>
    </w:p>
    <w:p>
      <w:pPr>
        <w:pStyle w:val="TextBody"/>
        <w:bidi w:val="0"/>
        <w:spacing w:lineRule="atLeast" w:line="200" w:before="0" w:after="0"/>
        <w:jc w:val="left"/>
        <w:rPr/>
      </w:pPr>
      <w:r>
        <w:rPr>
          <w:rFonts w:ascii="Times New Roman;serif" w:hAnsi="Times New Roman;serif"/>
          <w:b w:val="false"/>
          <w:i w:val="false"/>
          <w:caps w:val="false"/>
          <w:smallCaps w:val="false"/>
          <w:sz w:val="20"/>
        </w:rPr>
        <w:t>Section 13(a) of the Exchange Act.   </w:t>
      </w:r>
      <w:r>
        <w:rPr>
          <w:caps w:val="false"/>
          <w:smallCaps w:val="false"/>
        </w:rPr>
        <w: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has filed a report on and attestation to its management’s assessment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effectiveness of its internal control over financial reporting under Section 404(b) of the Sarbanes-Oxley Act (15 U.S.C.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7262(b)) by the registered public accounting firm that prepared or issued its audit report.  </w:t>
      </w:r>
      <w:r>
        <w:rPr>
          <w:caps w:val="false"/>
          <w:smallCaps w:val="false"/>
          <w:strike w:val="false"/>
          <w:dstrike w:val="false"/>
          <w:sz w:val="24"/>
          <w:u w:val="none"/>
          <w:effect w:val="none"/>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securities are registered pursuant to Section 12(b) of the Act, indicate by check mark whether the financial statements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registrant included in the filing reflect the correction of an error to previously issued financial statements.  </w:t>
      </w:r>
      <w:r>
        <w:rPr>
          <w:caps w:val="false"/>
          <w:smallCaps w:val="false"/>
          <w:strike w:val="false"/>
          <w:dstrike w:val="false"/>
          <w:sz w:val="24"/>
          <w:u w:val="none"/>
          <w:effect w:val="none"/>
        </w:rPr>
        <w:t>☐</w:t>
      </w:r>
      <w:r>
        <w:rPr>
          <w:caps w:val="false"/>
          <w:smallCaps w:val="false"/>
          <w:sz w:val="24"/>
        </w:rPr>
        <w: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any of those error corrections are restatements that required a recovery analysis of incentive-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compensation received by any of the registrant's executive officers during the relevant recovery period pursuant to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§240.10D-1(b).  </w:t>
      </w:r>
      <w:r>
        <w:rPr>
          <w:caps w:val="false"/>
          <w:smallCaps w:val="false"/>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Act).    Yes  </w:t>
      </w:r>
      <w:r>
        <w:rPr>
          <w:caps w:val="false"/>
          <w:smallCaps w:val="false"/>
          <w:strike w:val="false"/>
          <w:dstrike w:val="false"/>
          <w:sz w:val="24"/>
          <w:u w:val="none"/>
          <w:effect w:val="none"/>
        </w:rPr>
        <w:t>☐</w:t>
      </w:r>
      <w:r>
        <w:rPr>
          <w:caps w:val="false"/>
          <w:smallCaps w:val="false"/>
          <w:sz w:val="24"/>
        </w:rPr>
        <w:t>    </w:t>
      </w:r>
      <w:r>
        <w:rPr>
          <w:rFonts w:ascii="Times New Roman;serif" w:hAnsi="Times New Roman;serif"/>
          <w:b w:val="false"/>
          <w:i w:val="false"/>
          <w:caps w:val="false"/>
          <w:smallCaps w:val="false"/>
          <w:sz w:val="20"/>
        </w:rPr>
        <w:t>No  </w:t>
      </w:r>
      <w:r>
        <w:rPr>
          <w:caps w:val="false"/>
          <w:smallCaps w:val="false"/>
          <w:strike w:val="false"/>
          <w:dstrike w:val="false"/>
          <w:sz w:val="24"/>
          <w:u w:val="none"/>
          <w:effect w:val="none"/>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aggregate market value of the registrant’s common stock held by non-affiliates of the registrant was approximately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$22,608,739,528</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shd w:fill="FFFFFF" w:val="clear"/>
        </w:rPr>
        <w:t>as of June 30, 2025</w:t>
      </w:r>
      <w:r>
        <w:rPr>
          <w:rFonts w:ascii="Times New Roman;serif" w:hAnsi="Times New Roman;serif"/>
          <w:b w:val="false"/>
          <w:i w:val="false"/>
          <w:caps w:val="false"/>
          <w:smallCaps w:val="false"/>
          <w:sz w:val="20"/>
        </w:rPr>
        <w:t xml:space="preserve">, the last business day of the registrant’s most recently completed second fiscal quarter,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on the closing sale price as reported on the New York Stock Exchange.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As of</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February 17, 2026, </w:t>
      </w:r>
      <w:r>
        <w:rPr>
          <w:rFonts w:ascii="Times New Roman;serif" w:hAnsi="Times New Roman;serif"/>
          <w:b w:val="false"/>
          <w:i w:val="false"/>
          <w:caps w:val="false"/>
          <w:smallCaps w:val="false"/>
          <w:sz w:val="20"/>
        </w:rPr>
        <w:t xml:space="preserve">there were </w:t>
      </w:r>
      <w:r>
        <w:rPr>
          <w:rFonts w:ascii="Times New Roman;serif" w:hAnsi="Times New Roman;serif"/>
          <w:b w:val="false"/>
          <w:i w:val="false"/>
          <w:caps w:val="false"/>
          <w:smallCaps w:val="false"/>
          <w:strike w:val="false"/>
          <w:dstrike w:val="false"/>
          <w:sz w:val="20"/>
          <w:u w:val="none"/>
          <w:effect w:val="none"/>
        </w:rPr>
        <w:t>68,050,296</w:t>
      </w:r>
      <w:r>
        <w:rPr>
          <w:caps w:val="false"/>
          <w:smallCaps w:val="false"/>
          <w:sz w:val="24"/>
        </w:rPr>
        <w:t xml:space="preserve"> </w:t>
      </w:r>
      <w:r>
        <w:rPr>
          <w:rFonts w:ascii="Times New Roman;serif" w:hAnsi="Times New Roman;serif"/>
          <w:b w:val="false"/>
          <w:i w:val="false"/>
          <w:caps w:val="false"/>
          <w:smallCaps w:val="false"/>
          <w:sz w:val="20"/>
        </w:rPr>
        <w:t>shares of common stock outstanding.</w:t>
      </w:r>
    </w:p>
    <w:p>
      <w:pPr>
        <w:pStyle w:val="TextBody"/>
        <w:bidi w:val="0"/>
        <w:spacing w:lineRule="atLeast" w:line="142" w:before="0" w:after="0"/>
        <w:jc w:val="left"/>
        <w:rPr>
          <w:caps w:val="false"/>
          <w:smallCaps w:val="false"/>
        </w:rPr>
      </w:pPr>
      <w:r>
        <w:rPr>
          <w:caps w:val="false"/>
          <w:smallCaps w:val="false"/>
        </w:rPr>
        <w:t> </w:t>
      </w:r>
    </w:p>
    <w:p>
      <w:pPr>
        <w:pStyle w:val="TextBody"/>
        <w:bidi w:val="0"/>
        <w:spacing w:lineRule="atLeast" w:line="200" w:before="0" w:after="0"/>
        <w:jc w:val="left"/>
        <w:rPr>
          <w:caps w:val="false"/>
          <w:smallCaps w:val="false"/>
        </w:rPr>
      </w:pPr>
      <w:r>
        <w:rPr>
          <w:caps w:val="false"/>
          <w:smallCaps w:val="false"/>
        </w:rPr>
        <w:t>  </w:t>
      </w:r>
      <w:r>
        <w:rPr>
          <w:rFonts w:ascii="Times New Roman;serif" w:hAnsi="Times New Roman;serif"/>
          <w:b w:val="false"/>
          <w:i w:val="false"/>
          <w:caps w:val="false"/>
          <w:smallCaps w:val="false"/>
          <w:sz w:val="20"/>
        </w:rPr>
        <w:t>__________________________________________________________</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DOCUMENTS INCORPORATED BY REFERENCE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Portions of the registrant’s definitive Proxy Statement to be delivered to shareholders in connection with the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Annual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Meeting of Shareholders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are incorporated by reference into Part III of this report where indicated. The registrant's definitive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Proxy Statement will be filed with the U.S. Securities and Exchange Commission within 120 days after the end of the fiscal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year to which this report relates.</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Corpay,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10-K</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For The Year Ended </w:t>
      </w:r>
      <w:r>
        <w:rPr>
          <w:rFonts w:ascii="Times New Roman;serif" w:hAnsi="Times New Roman;serif"/>
          <w:b/>
          <w:i w:val="false"/>
          <w:caps w:val="false"/>
          <w:smallCaps w:val="false"/>
          <w:strike w:val="false"/>
          <w:dstrike w:val="false"/>
          <w:sz w:val="20"/>
          <w:u w:val="none"/>
          <w:effect w:val="none"/>
        </w:rPr>
        <w:t>December 31, 2025</w:t>
      </w:r>
      <w:r>
        <w:rPr>
          <w:caps w:val="false"/>
          <w:smallCaps w:val="false"/>
          <w:sz w:val="24"/>
        </w:rPr>
        <w:t xml:space="preserv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INDEX</w:t>
      </w:r>
    </w:p>
    <w:p>
      <w:pPr>
        <w:pStyle w:val="TextBody"/>
        <w:bidi w:val="0"/>
        <w:spacing w:lineRule="atLeast" w:line="240" w:before="0" w:after="0"/>
        <w:jc w:val="left"/>
        <w:rPr>
          <w:caps w:val="false"/>
          <w:smallCaps w:val="false"/>
        </w:rPr>
      </w:pPr>
      <w:r>
        <w:rPr>
          <w:caps w:val="false"/>
          <w:smallCaps w:val="false"/>
        </w:rPr>
        <w:t> </w:t>
      </w:r>
    </w:p>
    <w:tbl>
      <w:tblPr>
        <w:tblW w:w="9708" w:type="dxa"/>
        <w:jc w:val="left"/>
        <w:tblInd w:w="0" w:type="dxa"/>
        <w:tblLayout w:type="fixed"/>
        <w:tblCellMar>
          <w:top w:w="28" w:type="dxa"/>
          <w:left w:w="28" w:type="dxa"/>
          <w:bottom w:w="28" w:type="dxa"/>
          <w:right w:w="28" w:type="dxa"/>
        </w:tblCellMar>
      </w:tblPr>
      <w:tblGrid>
        <w:gridCol w:w="811"/>
        <w:gridCol w:w="8386"/>
        <w:gridCol w:w="511"/>
      </w:tblGrid>
      <w:tr>
        <w:trPr/>
        <w:tc>
          <w:tcPr>
            <w:tcW w:w="81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38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5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Page</w:t>
            </w:r>
          </w:p>
        </w:tc>
      </w:tr>
      <w:tr>
        <w:trPr/>
        <w:tc>
          <w:tcPr>
            <w:tcW w:w="9197" w:type="dxa"/>
            <w:gridSpan w:val="2"/>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PART I</w:t>
            </w:r>
          </w:p>
        </w:tc>
        <w:tc>
          <w:tcPr>
            <w:tcW w:w="5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w:t>
            </w:r>
          </w:p>
        </w:tc>
        <w:tc>
          <w:tcPr>
            <w:tcW w:w="8386" w:type="dxa"/>
            <w:tcBorders/>
            <w:vAlign w:val="center"/>
          </w:tcPr>
          <w:p>
            <w:pPr>
              <w:pStyle w:val="TableContents"/>
              <w:bidi w:val="0"/>
              <w:spacing w:lineRule="atLeast" w:line="200" w:before="0" w:after="0"/>
              <w:jc w:val="left"/>
              <w:rPr/>
            </w:pPr>
            <w:hyperlink w:anchor="i27d5f920da3f4d0c86f822f7ff119dbf_13">
              <w:r>
                <w:rPr>
                  <w:rStyle w:val="InternetLink"/>
                  <w:rFonts w:ascii="Times New Roman;serif" w:hAnsi="Times New Roman;serif"/>
                  <w:b w:val="false"/>
                  <w:i w:val="false"/>
                  <w:caps w:val="false"/>
                  <w:smallCaps w:val="false"/>
                  <w:color w:val="0000FF"/>
                  <w:sz w:val="20"/>
                  <w:u w:val="single"/>
                </w:rPr>
                <w:t>Business</w:t>
              </w:r>
            </w:hyperlink>
          </w:p>
        </w:tc>
        <w:tc>
          <w:tcPr>
            <w:tcW w:w="511" w:type="dxa"/>
            <w:tcBorders/>
            <w:vAlign w:val="center"/>
          </w:tcPr>
          <w:p>
            <w:pPr>
              <w:pStyle w:val="TableContents"/>
              <w:bidi w:val="0"/>
              <w:spacing w:lineRule="atLeast" w:line="200" w:before="0" w:after="0"/>
              <w:jc w:val="left"/>
              <w:rPr/>
            </w:pPr>
            <w:hyperlink w:anchor="i27d5f920da3f4d0c86f822f7ff119dbf_13">
              <w:r>
                <w:rPr>
                  <w:rStyle w:val="InternetLink"/>
                  <w:rFonts w:ascii="Times New Roman;serif" w:hAnsi="Times New Roman;serif"/>
                  <w:b w:val="false"/>
                  <w:i w:val="false"/>
                  <w:caps w:val="false"/>
                  <w:smallCaps w:val="false"/>
                  <w:strike w:val="false"/>
                  <w:dstrike w:val="false"/>
                  <w:color w:val="000000"/>
                  <w:sz w:val="20"/>
                  <w:u w:val="single"/>
                  <w:effect w:val="none"/>
                </w:rPr>
                <w:t>4</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X.</w:t>
            </w:r>
          </w:p>
        </w:tc>
        <w:tc>
          <w:tcPr>
            <w:tcW w:w="8386" w:type="dxa"/>
            <w:tcBorders/>
            <w:vAlign w:val="center"/>
          </w:tcPr>
          <w:p>
            <w:pPr>
              <w:pStyle w:val="TableContents"/>
              <w:bidi w:val="0"/>
              <w:spacing w:lineRule="atLeast" w:line="200" w:before="0" w:after="0"/>
              <w:jc w:val="left"/>
              <w:rPr/>
            </w:pPr>
            <w:hyperlink w:anchor="i27d5f920da3f4d0c86f822f7ff119dbf_16">
              <w:r>
                <w:rPr>
                  <w:rStyle w:val="InternetLink"/>
                  <w:rFonts w:ascii="Times New Roman;serif" w:hAnsi="Times New Roman;serif"/>
                  <w:b w:val="false"/>
                  <w:i w:val="false"/>
                  <w:caps w:val="false"/>
                  <w:smallCaps w:val="false"/>
                  <w:color w:val="0000FF"/>
                  <w:sz w:val="20"/>
                  <w:u w:val="single"/>
                </w:rPr>
                <w:t>Executive Officers of the Registrant</w:t>
              </w:r>
            </w:hyperlink>
          </w:p>
        </w:tc>
        <w:tc>
          <w:tcPr>
            <w:tcW w:w="511" w:type="dxa"/>
            <w:tcBorders/>
            <w:vAlign w:val="center"/>
          </w:tcPr>
          <w:p>
            <w:pPr>
              <w:pStyle w:val="TableContents"/>
              <w:bidi w:val="0"/>
              <w:spacing w:lineRule="atLeast" w:line="200" w:before="0" w:after="0"/>
              <w:jc w:val="left"/>
              <w:rPr/>
            </w:pPr>
            <w:hyperlink w:anchor="i27d5f920da3f4d0c86f822f7ff119dbf_16">
              <w:r>
                <w:rPr>
                  <w:rStyle w:val="InternetLink"/>
                  <w:rFonts w:ascii="Times New Roman;serif" w:hAnsi="Times New Roman;serif"/>
                  <w:b w:val="false"/>
                  <w:i w:val="false"/>
                  <w:caps w:val="false"/>
                  <w:smallCaps w:val="false"/>
                  <w:strike w:val="false"/>
                  <w:dstrike w:val="false"/>
                  <w:color w:val="000000"/>
                  <w:sz w:val="20"/>
                  <w:u w:val="single"/>
                  <w:effect w:val="none"/>
                </w:rPr>
                <w:t>16</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1A.</w:t>
            </w:r>
          </w:p>
        </w:tc>
        <w:tc>
          <w:tcPr>
            <w:tcW w:w="8386" w:type="dxa"/>
            <w:tcBorders/>
            <w:vAlign w:val="center"/>
          </w:tcPr>
          <w:p>
            <w:pPr>
              <w:pStyle w:val="TableContents"/>
              <w:bidi w:val="0"/>
              <w:spacing w:lineRule="atLeast" w:line="200" w:before="0" w:after="0"/>
              <w:jc w:val="left"/>
              <w:rPr/>
            </w:pPr>
            <w:hyperlink w:anchor="i27d5f920da3f4d0c86f822f7ff119dbf_19">
              <w:r>
                <w:rPr>
                  <w:rStyle w:val="InternetLink"/>
                  <w:rFonts w:ascii="Times New Roman;serif" w:hAnsi="Times New Roman;serif"/>
                  <w:b w:val="false"/>
                  <w:i w:val="false"/>
                  <w:caps w:val="false"/>
                  <w:smallCaps w:val="false"/>
                  <w:color w:val="0000FF"/>
                  <w:sz w:val="20"/>
                  <w:u w:val="single"/>
                </w:rPr>
                <w:t>Risk Factors</w:t>
              </w:r>
            </w:hyperlink>
          </w:p>
        </w:tc>
        <w:tc>
          <w:tcPr>
            <w:tcW w:w="511" w:type="dxa"/>
            <w:tcBorders/>
            <w:vAlign w:val="center"/>
          </w:tcPr>
          <w:p>
            <w:pPr>
              <w:pStyle w:val="TableContents"/>
              <w:bidi w:val="0"/>
              <w:spacing w:lineRule="atLeast" w:line="200" w:before="0" w:after="0"/>
              <w:jc w:val="left"/>
              <w:rPr/>
            </w:pPr>
            <w:hyperlink w:anchor="i27d5f920da3f4d0c86f822f7ff119dbf_19">
              <w:r>
                <w:rPr>
                  <w:rStyle w:val="InternetLink"/>
                  <w:rFonts w:ascii="Times New Roman;serif" w:hAnsi="Times New Roman;serif"/>
                  <w:b w:val="false"/>
                  <w:i w:val="false"/>
                  <w:caps w:val="false"/>
                  <w:smallCaps w:val="false"/>
                  <w:strike w:val="false"/>
                  <w:dstrike w:val="false"/>
                  <w:color w:val="000000"/>
                  <w:sz w:val="20"/>
                  <w:u w:val="single"/>
                  <w:effect w:val="none"/>
                </w:rPr>
                <w:t>17</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1B.</w:t>
            </w:r>
          </w:p>
        </w:tc>
        <w:tc>
          <w:tcPr>
            <w:tcW w:w="8386" w:type="dxa"/>
            <w:tcBorders/>
            <w:vAlign w:val="center"/>
          </w:tcPr>
          <w:p>
            <w:pPr>
              <w:pStyle w:val="TableContents"/>
              <w:bidi w:val="0"/>
              <w:spacing w:lineRule="atLeast" w:line="200" w:before="0" w:after="0"/>
              <w:jc w:val="left"/>
              <w:rPr/>
            </w:pPr>
            <w:hyperlink w:anchor="i27d5f920da3f4d0c86f822f7ff119dbf_22">
              <w:r>
                <w:rPr>
                  <w:rStyle w:val="InternetLink"/>
                  <w:rFonts w:ascii="Times New Roman;serif" w:hAnsi="Times New Roman;serif"/>
                  <w:b w:val="false"/>
                  <w:i w:val="false"/>
                  <w:caps w:val="false"/>
                  <w:smallCaps w:val="false"/>
                  <w:color w:val="0000FF"/>
                  <w:sz w:val="20"/>
                  <w:u w:val="single"/>
                </w:rPr>
                <w:t>Unresolved Staff Comments</w:t>
              </w:r>
            </w:hyperlink>
          </w:p>
        </w:tc>
        <w:tc>
          <w:tcPr>
            <w:tcW w:w="511" w:type="dxa"/>
            <w:tcBorders/>
            <w:vAlign w:val="center"/>
          </w:tcPr>
          <w:p>
            <w:pPr>
              <w:pStyle w:val="TableContents"/>
              <w:bidi w:val="0"/>
              <w:spacing w:lineRule="atLeast" w:line="200" w:before="0" w:after="0"/>
              <w:jc w:val="left"/>
              <w:rPr/>
            </w:pPr>
            <w:hyperlink w:anchor="i27d5f920da3f4d0c86f822f7ff119dbf_22">
              <w:r>
                <w:rPr>
                  <w:rStyle w:val="InternetLink"/>
                  <w:rFonts w:ascii="Times New Roman;serif" w:hAnsi="Times New Roman;serif"/>
                  <w:b w:val="false"/>
                  <w:i w:val="false"/>
                  <w:caps w:val="false"/>
                  <w:smallCaps w:val="false"/>
                  <w:strike w:val="false"/>
                  <w:dstrike w:val="false"/>
                  <w:color w:val="000000"/>
                  <w:sz w:val="20"/>
                  <w:u w:val="single"/>
                  <w:effect w:val="none"/>
                </w:rPr>
                <w:t>30</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Item 1C.</w:t>
            </w:r>
          </w:p>
        </w:tc>
        <w:tc>
          <w:tcPr>
            <w:tcW w:w="8386" w:type="dxa"/>
            <w:tcBorders/>
            <w:vAlign w:val="center"/>
          </w:tcPr>
          <w:p>
            <w:pPr>
              <w:pStyle w:val="TableContents"/>
              <w:bidi w:val="0"/>
              <w:spacing w:lineRule="atLeast" w:line="200" w:before="0" w:after="0"/>
              <w:jc w:val="left"/>
              <w:rPr/>
            </w:pPr>
            <w:hyperlink w:anchor="i27d5f920da3f4d0c86f822f7ff119dbf_25">
              <w:r>
                <w:rPr>
                  <w:rStyle w:val="InternetLink"/>
                  <w:rFonts w:ascii="Times New Roman;serif" w:hAnsi="Times New Roman;serif"/>
                  <w:b w:val="false"/>
                  <w:i w:val="false"/>
                  <w:caps w:val="false"/>
                  <w:smallCaps w:val="false"/>
                  <w:color w:val="0000FF"/>
                  <w:sz w:val="20"/>
                  <w:u w:val="single"/>
                </w:rPr>
                <w:t>Cybersecurity</w:t>
              </w:r>
            </w:hyperlink>
          </w:p>
        </w:tc>
        <w:tc>
          <w:tcPr>
            <w:tcW w:w="511" w:type="dxa"/>
            <w:tcBorders/>
            <w:vAlign w:val="center"/>
          </w:tcPr>
          <w:p>
            <w:pPr>
              <w:pStyle w:val="TableContents"/>
              <w:bidi w:val="0"/>
              <w:spacing w:lineRule="atLeast" w:line="200" w:before="0" w:after="0"/>
              <w:jc w:val="left"/>
              <w:rPr/>
            </w:pPr>
            <w:hyperlink w:anchor="i27d5f920da3f4d0c86f822f7ff119dbf_25">
              <w:r>
                <w:rPr>
                  <w:rStyle w:val="InternetLink"/>
                  <w:rFonts w:ascii="Times New Roman;serif" w:hAnsi="Times New Roman;serif"/>
                  <w:b w:val="false"/>
                  <w:i w:val="false"/>
                  <w:caps w:val="false"/>
                  <w:smallCaps w:val="false"/>
                  <w:strike w:val="false"/>
                  <w:dstrike w:val="false"/>
                  <w:color w:val="000000"/>
                  <w:sz w:val="20"/>
                  <w:u w:val="single"/>
                  <w:effect w:val="none"/>
                </w:rPr>
                <w:t>30</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2.</w:t>
            </w:r>
          </w:p>
        </w:tc>
        <w:tc>
          <w:tcPr>
            <w:tcW w:w="8386" w:type="dxa"/>
            <w:tcBorders/>
            <w:vAlign w:val="center"/>
          </w:tcPr>
          <w:p>
            <w:pPr>
              <w:pStyle w:val="TableContents"/>
              <w:bidi w:val="0"/>
              <w:spacing w:lineRule="atLeast" w:line="200" w:before="0" w:after="0"/>
              <w:jc w:val="left"/>
              <w:rPr/>
            </w:pPr>
            <w:hyperlink w:anchor="i27d5f920da3f4d0c86f822f7ff119dbf_28">
              <w:r>
                <w:rPr>
                  <w:rStyle w:val="InternetLink"/>
                  <w:rFonts w:ascii="Times New Roman;serif" w:hAnsi="Times New Roman;serif"/>
                  <w:b w:val="false"/>
                  <w:i w:val="false"/>
                  <w:caps w:val="false"/>
                  <w:smallCaps w:val="false"/>
                  <w:color w:val="0000FF"/>
                  <w:sz w:val="20"/>
                  <w:u w:val="single"/>
                </w:rPr>
                <w:t>Properties</w:t>
              </w:r>
            </w:hyperlink>
          </w:p>
        </w:tc>
        <w:tc>
          <w:tcPr>
            <w:tcW w:w="511" w:type="dxa"/>
            <w:tcBorders/>
            <w:vAlign w:val="center"/>
          </w:tcPr>
          <w:p>
            <w:pPr>
              <w:pStyle w:val="TableContents"/>
              <w:bidi w:val="0"/>
              <w:spacing w:lineRule="atLeast" w:line="200" w:before="0" w:after="0"/>
              <w:jc w:val="left"/>
              <w:rPr/>
            </w:pPr>
            <w:hyperlink w:anchor="i27d5f920da3f4d0c86f822f7ff119dbf_28">
              <w:r>
                <w:rPr>
                  <w:rStyle w:val="InternetLink"/>
                  <w:rFonts w:ascii="Times New Roman;serif" w:hAnsi="Times New Roman;serif"/>
                  <w:b w:val="false"/>
                  <w:i w:val="false"/>
                  <w:caps w:val="false"/>
                  <w:smallCaps w:val="false"/>
                  <w:strike w:val="false"/>
                  <w:dstrike w:val="false"/>
                  <w:color w:val="000000"/>
                  <w:sz w:val="20"/>
                  <w:u w:val="single"/>
                  <w:effect w:val="none"/>
                </w:rPr>
                <w:t>32</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3.</w:t>
            </w:r>
          </w:p>
        </w:tc>
        <w:tc>
          <w:tcPr>
            <w:tcW w:w="8386" w:type="dxa"/>
            <w:tcBorders/>
            <w:vAlign w:val="center"/>
          </w:tcPr>
          <w:p>
            <w:pPr>
              <w:pStyle w:val="TableContents"/>
              <w:bidi w:val="0"/>
              <w:spacing w:lineRule="atLeast" w:line="200" w:before="0" w:after="0"/>
              <w:jc w:val="left"/>
              <w:rPr/>
            </w:pPr>
            <w:hyperlink w:anchor="i27d5f920da3f4d0c86f822f7ff119dbf_31">
              <w:r>
                <w:rPr>
                  <w:rStyle w:val="InternetLink"/>
                  <w:rFonts w:ascii="Times New Roman;serif" w:hAnsi="Times New Roman;serif"/>
                  <w:b w:val="false"/>
                  <w:i w:val="false"/>
                  <w:caps w:val="false"/>
                  <w:smallCaps w:val="false"/>
                  <w:color w:val="0000FF"/>
                  <w:sz w:val="20"/>
                  <w:u w:val="single"/>
                </w:rPr>
                <w:t>Legal Proceedings</w:t>
              </w:r>
            </w:hyperlink>
          </w:p>
        </w:tc>
        <w:tc>
          <w:tcPr>
            <w:tcW w:w="511" w:type="dxa"/>
            <w:tcBorders/>
            <w:vAlign w:val="center"/>
          </w:tcPr>
          <w:p>
            <w:pPr>
              <w:pStyle w:val="TableContents"/>
              <w:bidi w:val="0"/>
              <w:spacing w:lineRule="atLeast" w:line="200" w:before="0" w:after="0"/>
              <w:jc w:val="left"/>
              <w:rPr/>
            </w:pPr>
            <w:hyperlink w:anchor="i27d5f920da3f4d0c86f822f7ff119dbf_31">
              <w:r>
                <w:rPr>
                  <w:rStyle w:val="InternetLink"/>
                  <w:rFonts w:ascii="Times New Roman;serif" w:hAnsi="Times New Roman;serif"/>
                  <w:b w:val="false"/>
                  <w:i w:val="false"/>
                  <w:caps w:val="false"/>
                  <w:smallCaps w:val="false"/>
                  <w:strike w:val="false"/>
                  <w:dstrike w:val="false"/>
                  <w:color w:val="000000"/>
                  <w:sz w:val="20"/>
                  <w:u w:val="single"/>
                  <w:effect w:val="none"/>
                </w:rPr>
                <w:t>33</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4.</w:t>
            </w:r>
          </w:p>
        </w:tc>
        <w:tc>
          <w:tcPr>
            <w:tcW w:w="8386" w:type="dxa"/>
            <w:tcBorders/>
            <w:vAlign w:val="center"/>
          </w:tcPr>
          <w:p>
            <w:pPr>
              <w:pStyle w:val="TableContents"/>
              <w:bidi w:val="0"/>
              <w:spacing w:lineRule="atLeast" w:line="200" w:before="0" w:after="0"/>
              <w:jc w:val="left"/>
              <w:rPr/>
            </w:pPr>
            <w:hyperlink w:anchor="i27d5f920da3f4d0c86f822f7ff119dbf_34">
              <w:r>
                <w:rPr>
                  <w:rStyle w:val="InternetLink"/>
                  <w:rFonts w:ascii="Times New Roman;serif" w:hAnsi="Times New Roman;serif"/>
                  <w:b w:val="false"/>
                  <w:i w:val="false"/>
                  <w:caps w:val="false"/>
                  <w:smallCaps w:val="false"/>
                  <w:color w:val="0000FF"/>
                  <w:sz w:val="20"/>
                  <w:u w:val="single"/>
                </w:rPr>
                <w:t>Mine Safety Disclosures</w:t>
              </w:r>
            </w:hyperlink>
          </w:p>
        </w:tc>
        <w:tc>
          <w:tcPr>
            <w:tcW w:w="511" w:type="dxa"/>
            <w:tcBorders/>
            <w:vAlign w:val="center"/>
          </w:tcPr>
          <w:p>
            <w:pPr>
              <w:pStyle w:val="TableContents"/>
              <w:bidi w:val="0"/>
              <w:spacing w:lineRule="atLeast" w:line="200" w:before="0" w:after="0"/>
              <w:jc w:val="left"/>
              <w:rPr/>
            </w:pPr>
            <w:hyperlink w:anchor="i27d5f920da3f4d0c86f822f7ff119dbf_34">
              <w:r>
                <w:rPr>
                  <w:rStyle w:val="InternetLink"/>
                  <w:rFonts w:ascii="Times New Roman;serif" w:hAnsi="Times New Roman;serif"/>
                  <w:b w:val="false"/>
                  <w:i w:val="false"/>
                  <w:caps w:val="false"/>
                  <w:smallCaps w:val="false"/>
                  <w:strike w:val="false"/>
                  <w:dstrike w:val="false"/>
                  <w:color w:val="000000"/>
                  <w:sz w:val="20"/>
                  <w:u w:val="single"/>
                  <w:effect w:val="none"/>
                </w:rPr>
                <w:t>33</w:t>
              </w:r>
            </w:hyperlink>
          </w:p>
        </w:tc>
      </w:tr>
      <w:tr>
        <w:trPr/>
        <w:tc>
          <w:tcPr>
            <w:tcW w:w="9197" w:type="dxa"/>
            <w:gridSpan w:val="2"/>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197" w:type="dxa"/>
            <w:gridSpan w:val="2"/>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PART II</w:t>
            </w:r>
          </w:p>
        </w:tc>
        <w:tc>
          <w:tcPr>
            <w:tcW w:w="51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5.</w:t>
            </w:r>
          </w:p>
        </w:tc>
        <w:tc>
          <w:tcPr>
            <w:tcW w:w="8386" w:type="dxa"/>
            <w:tcBorders/>
            <w:vAlign w:val="center"/>
          </w:tcPr>
          <w:p>
            <w:pPr>
              <w:pStyle w:val="TableContents"/>
              <w:bidi w:val="0"/>
              <w:spacing w:lineRule="atLeast" w:line="200" w:before="0" w:after="0"/>
              <w:jc w:val="left"/>
              <w:rPr/>
            </w:pPr>
            <w:hyperlink w:anchor="i27d5f920da3f4d0c86f822f7ff119dbf_40">
              <w:r>
                <w:rPr>
                  <w:rStyle w:val="InternetLink"/>
                  <w:rFonts w:ascii="Times New Roman;serif" w:hAnsi="Times New Roman;serif"/>
                  <w:b w:val="false"/>
                  <w:i w:val="false"/>
                  <w:caps w:val="false"/>
                  <w:smallCaps w:val="false"/>
                  <w:color w:val="0000FF"/>
                  <w:sz w:val="20"/>
                  <w:u w:val="single"/>
                </w:rPr>
                <w:t xml:space="preserve">Market for Registrant’s Common Equity, Related Stockholder Matters, and Issuer Purchases of Equity </w:t>
              </w:r>
            </w:hyperlink>
          </w:p>
          <w:p>
            <w:pPr>
              <w:pStyle w:val="TableContents"/>
              <w:bidi w:val="0"/>
              <w:spacing w:lineRule="atLeast" w:line="200" w:before="0" w:after="0"/>
              <w:jc w:val="left"/>
              <w:rPr/>
            </w:pPr>
            <w:hyperlink w:anchor="i27d5f920da3f4d0c86f822f7ff119dbf_40">
              <w:r>
                <w:rPr>
                  <w:rStyle w:val="InternetLink"/>
                  <w:rFonts w:ascii="Times New Roman;serif" w:hAnsi="Times New Roman;serif"/>
                  <w:b w:val="false"/>
                  <w:i w:val="false"/>
                  <w:caps w:val="false"/>
                  <w:smallCaps w:val="false"/>
                  <w:color w:val="0000FF"/>
                  <w:sz w:val="20"/>
                  <w:u w:val="single"/>
                </w:rPr>
                <w:t>Securities</w:t>
              </w:r>
            </w:hyperlink>
          </w:p>
        </w:tc>
        <w:tc>
          <w:tcPr>
            <w:tcW w:w="511" w:type="dxa"/>
            <w:tcBorders/>
            <w:vAlign w:val="center"/>
          </w:tcPr>
          <w:p>
            <w:pPr>
              <w:pStyle w:val="TableContents"/>
              <w:bidi w:val="0"/>
              <w:spacing w:lineRule="atLeast" w:line="200" w:before="0" w:after="0"/>
              <w:jc w:val="left"/>
              <w:rPr/>
            </w:pPr>
            <w:hyperlink w:anchor="i27d5f920da3f4d0c86f822f7ff119dbf_40">
              <w:r>
                <w:rPr>
                  <w:rStyle w:val="InternetLink"/>
                  <w:rFonts w:ascii="Times New Roman;serif" w:hAnsi="Times New Roman;serif"/>
                  <w:b w:val="false"/>
                  <w:i w:val="false"/>
                  <w:caps w:val="false"/>
                  <w:smallCaps w:val="false"/>
                  <w:strike w:val="false"/>
                  <w:dstrike w:val="false"/>
                  <w:color w:val="000000"/>
                  <w:sz w:val="20"/>
                  <w:u w:val="single"/>
                  <w:effect w:val="none"/>
                </w:rPr>
                <w:t>34</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6.</w:t>
            </w:r>
          </w:p>
        </w:tc>
        <w:tc>
          <w:tcPr>
            <w:tcW w:w="8386" w:type="dxa"/>
            <w:tcBorders/>
            <w:vAlign w:val="center"/>
          </w:tcPr>
          <w:p>
            <w:pPr>
              <w:pStyle w:val="TableContents"/>
              <w:bidi w:val="0"/>
              <w:spacing w:lineRule="atLeast" w:line="200" w:before="0" w:after="0"/>
              <w:jc w:val="left"/>
              <w:rPr/>
            </w:pPr>
            <w:hyperlink w:anchor="i27d5f920da3f4d0c86f822f7ff119dbf_43">
              <w:r>
                <w:rPr>
                  <w:rStyle w:val="InternetLink"/>
                  <w:rFonts w:ascii="Times New Roman;serif" w:hAnsi="Times New Roman;serif"/>
                  <w:b w:val="false"/>
                  <w:i w:val="false"/>
                  <w:caps w:val="false"/>
                  <w:smallCaps w:val="false"/>
                  <w:color w:val="0000FF"/>
                  <w:sz w:val="20"/>
                  <w:u w:val="single"/>
                </w:rPr>
                <w:t>Selected Financial Data</w:t>
              </w:r>
            </w:hyperlink>
          </w:p>
        </w:tc>
        <w:tc>
          <w:tcPr>
            <w:tcW w:w="511" w:type="dxa"/>
            <w:tcBorders/>
            <w:vAlign w:val="center"/>
          </w:tcPr>
          <w:p>
            <w:pPr>
              <w:pStyle w:val="TableContents"/>
              <w:bidi w:val="0"/>
              <w:spacing w:lineRule="atLeast" w:line="200" w:before="0" w:after="0"/>
              <w:jc w:val="left"/>
              <w:rPr/>
            </w:pPr>
            <w:hyperlink w:anchor="i27d5f920da3f4d0c86f822f7ff119dbf_43">
              <w:r>
                <w:rPr>
                  <w:rStyle w:val="InternetLink"/>
                  <w:rFonts w:ascii="Times New Roman;serif" w:hAnsi="Times New Roman;serif"/>
                  <w:b w:val="false"/>
                  <w:i w:val="false"/>
                  <w:caps w:val="false"/>
                  <w:smallCaps w:val="false"/>
                  <w:strike w:val="false"/>
                  <w:dstrike w:val="false"/>
                  <w:color w:val="000000"/>
                  <w:sz w:val="20"/>
                  <w:u w:val="single"/>
                  <w:effect w:val="none"/>
                </w:rPr>
                <w:t>35</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7.</w:t>
            </w:r>
          </w:p>
        </w:tc>
        <w:tc>
          <w:tcPr>
            <w:tcW w:w="8386" w:type="dxa"/>
            <w:tcBorders/>
            <w:vAlign w:val="center"/>
          </w:tcPr>
          <w:p>
            <w:pPr>
              <w:pStyle w:val="TableContents"/>
              <w:bidi w:val="0"/>
              <w:spacing w:lineRule="atLeast" w:line="200" w:before="0" w:after="0"/>
              <w:jc w:val="left"/>
              <w:rPr/>
            </w:pPr>
            <w:hyperlink w:anchor="i27d5f920da3f4d0c86f822f7ff119dbf_46">
              <w:r>
                <w:rPr>
                  <w:rStyle w:val="InternetLink"/>
                  <w:rFonts w:ascii="Times New Roman;serif" w:hAnsi="Times New Roman;serif"/>
                  <w:b w:val="false"/>
                  <w:i w:val="false"/>
                  <w:caps w:val="false"/>
                  <w:smallCaps w:val="false"/>
                  <w:color w:val="0000FF"/>
                  <w:sz w:val="20"/>
                  <w:u w:val="single"/>
                </w:rPr>
                <w:t>Management’s Discussion and Analysis of Financial Condition and Results of Operations</w:t>
              </w:r>
            </w:hyperlink>
          </w:p>
        </w:tc>
        <w:tc>
          <w:tcPr>
            <w:tcW w:w="511" w:type="dxa"/>
            <w:tcBorders/>
            <w:vAlign w:val="center"/>
          </w:tcPr>
          <w:p>
            <w:pPr>
              <w:pStyle w:val="TableContents"/>
              <w:bidi w:val="0"/>
              <w:spacing w:lineRule="atLeast" w:line="200" w:before="0" w:after="0"/>
              <w:jc w:val="left"/>
              <w:rPr/>
            </w:pPr>
            <w:hyperlink w:anchor="i27d5f920da3f4d0c86f822f7ff119dbf_46">
              <w:r>
                <w:rPr>
                  <w:rStyle w:val="InternetLink"/>
                  <w:rFonts w:ascii="Times New Roman;serif" w:hAnsi="Times New Roman;serif"/>
                  <w:b w:val="false"/>
                  <w:i w:val="false"/>
                  <w:caps w:val="false"/>
                  <w:smallCaps w:val="false"/>
                  <w:strike w:val="false"/>
                  <w:dstrike w:val="false"/>
                  <w:color w:val="000000"/>
                  <w:sz w:val="20"/>
                  <w:u w:val="single"/>
                  <w:effect w:val="none"/>
                </w:rPr>
                <w:t>36</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7A.</w:t>
            </w:r>
          </w:p>
        </w:tc>
        <w:tc>
          <w:tcPr>
            <w:tcW w:w="8386" w:type="dxa"/>
            <w:tcBorders/>
            <w:vAlign w:val="center"/>
          </w:tcPr>
          <w:p>
            <w:pPr>
              <w:pStyle w:val="TableContents"/>
              <w:bidi w:val="0"/>
              <w:spacing w:lineRule="atLeast" w:line="200" w:before="0" w:after="0"/>
              <w:jc w:val="left"/>
              <w:rPr/>
            </w:pPr>
            <w:hyperlink w:anchor="i27d5f920da3f4d0c86f822f7ff119dbf_61">
              <w:r>
                <w:rPr>
                  <w:rStyle w:val="InternetLink"/>
                  <w:rFonts w:ascii="Times New Roman;serif" w:hAnsi="Times New Roman;serif"/>
                  <w:b w:val="false"/>
                  <w:i w:val="false"/>
                  <w:caps w:val="false"/>
                  <w:smallCaps w:val="false"/>
                  <w:color w:val="0000FF"/>
                  <w:sz w:val="20"/>
                  <w:u w:val="single"/>
                </w:rPr>
                <w:t>Quantitative and Qualitative Disclosures about Market Risk</w:t>
              </w:r>
            </w:hyperlink>
          </w:p>
        </w:tc>
        <w:tc>
          <w:tcPr>
            <w:tcW w:w="511" w:type="dxa"/>
            <w:tcBorders/>
            <w:vAlign w:val="center"/>
          </w:tcPr>
          <w:p>
            <w:pPr>
              <w:pStyle w:val="TableContents"/>
              <w:bidi w:val="0"/>
              <w:spacing w:lineRule="atLeast" w:line="200" w:before="0" w:after="0"/>
              <w:jc w:val="left"/>
              <w:rPr/>
            </w:pPr>
            <w:hyperlink w:anchor="i27d5f920da3f4d0c86f822f7ff119dbf_61">
              <w:r>
                <w:rPr>
                  <w:rStyle w:val="InternetLink"/>
                  <w:rFonts w:ascii="Times New Roman;serif" w:hAnsi="Times New Roman;serif"/>
                  <w:b w:val="false"/>
                  <w:i w:val="false"/>
                  <w:caps w:val="false"/>
                  <w:smallCaps w:val="false"/>
                  <w:strike w:val="false"/>
                  <w:dstrike w:val="false"/>
                  <w:color w:val="000000"/>
                  <w:sz w:val="20"/>
                  <w:u w:val="single"/>
                  <w:effect w:val="none"/>
                </w:rPr>
                <w:t>58</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8.</w:t>
            </w:r>
          </w:p>
        </w:tc>
        <w:tc>
          <w:tcPr>
            <w:tcW w:w="8386" w:type="dxa"/>
            <w:tcBorders/>
            <w:vAlign w:val="center"/>
          </w:tcPr>
          <w:p>
            <w:pPr>
              <w:pStyle w:val="TableContents"/>
              <w:bidi w:val="0"/>
              <w:spacing w:lineRule="atLeast" w:line="200" w:before="0" w:after="0"/>
              <w:jc w:val="left"/>
              <w:rPr/>
            </w:pPr>
            <w:hyperlink w:anchor="i27d5f920da3f4d0c86f822f7ff119dbf_64">
              <w:r>
                <w:rPr>
                  <w:rStyle w:val="InternetLink"/>
                  <w:rFonts w:ascii="Times New Roman;serif" w:hAnsi="Times New Roman;serif"/>
                  <w:b w:val="false"/>
                  <w:i w:val="false"/>
                  <w:caps w:val="false"/>
                  <w:smallCaps w:val="false"/>
                  <w:color w:val="0000FF"/>
                  <w:sz w:val="20"/>
                  <w:u w:val="single"/>
                </w:rPr>
                <w:t>Financial Statements and Supplementary Data</w:t>
              </w:r>
            </w:hyperlink>
          </w:p>
        </w:tc>
        <w:tc>
          <w:tcPr>
            <w:tcW w:w="511" w:type="dxa"/>
            <w:tcBorders/>
            <w:vAlign w:val="center"/>
          </w:tcPr>
          <w:p>
            <w:pPr>
              <w:pStyle w:val="TableContents"/>
              <w:bidi w:val="0"/>
              <w:spacing w:lineRule="atLeast" w:line="200" w:before="0" w:after="0"/>
              <w:jc w:val="left"/>
              <w:rPr/>
            </w:pPr>
            <w:hyperlink w:anchor="i27d5f920da3f4d0c86f822f7ff119dbf_64">
              <w:r>
                <w:rPr>
                  <w:rStyle w:val="InternetLink"/>
                  <w:rFonts w:ascii="Times New Roman;serif" w:hAnsi="Times New Roman;serif"/>
                  <w:b w:val="false"/>
                  <w:i w:val="false"/>
                  <w:caps w:val="false"/>
                  <w:smallCaps w:val="false"/>
                  <w:strike w:val="false"/>
                  <w:dstrike w:val="false"/>
                  <w:color w:val="000000"/>
                  <w:sz w:val="20"/>
                  <w:u w:val="single"/>
                  <w:effect w:val="none"/>
                </w:rPr>
                <w:t>60</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9.</w:t>
            </w:r>
          </w:p>
        </w:tc>
        <w:tc>
          <w:tcPr>
            <w:tcW w:w="8386" w:type="dxa"/>
            <w:tcBorders/>
            <w:vAlign w:val="center"/>
          </w:tcPr>
          <w:p>
            <w:pPr>
              <w:pStyle w:val="TableContents"/>
              <w:bidi w:val="0"/>
              <w:spacing w:lineRule="atLeast" w:line="200" w:before="0" w:after="0"/>
              <w:jc w:val="left"/>
              <w:rPr/>
            </w:pPr>
            <w:hyperlink w:anchor="i27d5f920da3f4d0c86f822f7ff119dbf_154">
              <w:r>
                <w:rPr>
                  <w:rStyle w:val="InternetLink"/>
                  <w:rFonts w:ascii="Times New Roman;serif" w:hAnsi="Times New Roman;serif"/>
                  <w:b w:val="false"/>
                  <w:i w:val="false"/>
                  <w:caps w:val="false"/>
                  <w:smallCaps w:val="false"/>
                  <w:color w:val="0000FF"/>
                  <w:sz w:val="20"/>
                  <w:u w:val="single"/>
                </w:rPr>
                <w:t>Changes in and Disagreements with Accountants on Accounting and Financial Disclosure</w:t>
              </w:r>
            </w:hyperlink>
          </w:p>
        </w:tc>
        <w:tc>
          <w:tcPr>
            <w:tcW w:w="511" w:type="dxa"/>
            <w:tcBorders/>
            <w:vAlign w:val="center"/>
          </w:tcPr>
          <w:p>
            <w:pPr>
              <w:pStyle w:val="TableContents"/>
              <w:bidi w:val="0"/>
              <w:spacing w:lineRule="atLeast" w:line="200" w:before="0" w:after="0"/>
              <w:jc w:val="left"/>
              <w:rPr/>
            </w:pPr>
            <w:hyperlink w:anchor="i27d5f920da3f4d0c86f822f7ff119dbf_154">
              <w:r>
                <w:rPr>
                  <w:rStyle w:val="InternetLink"/>
                  <w:rFonts w:ascii="Times New Roman;serif" w:hAnsi="Times New Roman;serif"/>
                  <w:b w:val="false"/>
                  <w:i w:val="false"/>
                  <w:caps w:val="false"/>
                  <w:smallCaps w:val="false"/>
                  <w:strike w:val="false"/>
                  <w:dstrike w:val="false"/>
                  <w:color w:val="000000"/>
                  <w:sz w:val="20"/>
                  <w:u w:val="single"/>
                  <w:effect w:val="none"/>
                </w:rPr>
                <w:t>109</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9A.</w:t>
            </w:r>
          </w:p>
        </w:tc>
        <w:tc>
          <w:tcPr>
            <w:tcW w:w="8386" w:type="dxa"/>
            <w:tcBorders/>
            <w:vAlign w:val="center"/>
          </w:tcPr>
          <w:p>
            <w:pPr>
              <w:pStyle w:val="TableContents"/>
              <w:bidi w:val="0"/>
              <w:spacing w:lineRule="atLeast" w:line="200" w:before="0" w:after="0"/>
              <w:jc w:val="left"/>
              <w:rPr/>
            </w:pPr>
            <w:hyperlink w:anchor="i27d5f920da3f4d0c86f822f7ff119dbf_157">
              <w:r>
                <w:rPr>
                  <w:rStyle w:val="InternetLink"/>
                  <w:rFonts w:ascii="Times New Roman;serif" w:hAnsi="Times New Roman;serif"/>
                  <w:b w:val="false"/>
                  <w:i w:val="false"/>
                  <w:caps w:val="false"/>
                  <w:smallCaps w:val="false"/>
                  <w:color w:val="0000FF"/>
                  <w:sz w:val="20"/>
                  <w:u w:val="single"/>
                </w:rPr>
                <w:t>Controls and Procedures</w:t>
              </w:r>
            </w:hyperlink>
          </w:p>
        </w:tc>
        <w:tc>
          <w:tcPr>
            <w:tcW w:w="511" w:type="dxa"/>
            <w:tcBorders/>
            <w:vAlign w:val="center"/>
          </w:tcPr>
          <w:p>
            <w:pPr>
              <w:pStyle w:val="TableContents"/>
              <w:bidi w:val="0"/>
              <w:spacing w:lineRule="atLeast" w:line="200" w:before="0" w:after="0"/>
              <w:jc w:val="left"/>
              <w:rPr/>
            </w:pPr>
            <w:hyperlink w:anchor="i27d5f920da3f4d0c86f822f7ff119dbf_157">
              <w:r>
                <w:rPr>
                  <w:rStyle w:val="InternetLink"/>
                  <w:rFonts w:ascii="Times New Roman;serif" w:hAnsi="Times New Roman;serif"/>
                  <w:b w:val="false"/>
                  <w:i w:val="false"/>
                  <w:caps w:val="false"/>
                  <w:smallCaps w:val="false"/>
                  <w:strike w:val="false"/>
                  <w:dstrike w:val="false"/>
                  <w:color w:val="000000"/>
                  <w:sz w:val="20"/>
                  <w:u w:val="single"/>
                  <w:effect w:val="none"/>
                </w:rPr>
                <w:t>109</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9B.</w:t>
            </w:r>
          </w:p>
        </w:tc>
        <w:tc>
          <w:tcPr>
            <w:tcW w:w="8386" w:type="dxa"/>
            <w:tcBorders/>
            <w:vAlign w:val="center"/>
          </w:tcPr>
          <w:p>
            <w:pPr>
              <w:pStyle w:val="TableContents"/>
              <w:bidi w:val="0"/>
              <w:spacing w:lineRule="atLeast" w:line="200" w:before="0" w:after="0"/>
              <w:jc w:val="left"/>
              <w:rPr/>
            </w:pPr>
            <w:hyperlink w:anchor="i27d5f920da3f4d0c86f822f7ff119dbf_160">
              <w:r>
                <w:rPr>
                  <w:rStyle w:val="InternetLink"/>
                  <w:rFonts w:ascii="Times New Roman;serif" w:hAnsi="Times New Roman;serif"/>
                  <w:b w:val="false"/>
                  <w:i w:val="false"/>
                  <w:caps w:val="false"/>
                  <w:smallCaps w:val="false"/>
                  <w:color w:val="0000FF"/>
                  <w:sz w:val="20"/>
                  <w:u w:val="single"/>
                </w:rPr>
                <w:t>Other Information</w:t>
              </w:r>
            </w:hyperlink>
          </w:p>
        </w:tc>
        <w:tc>
          <w:tcPr>
            <w:tcW w:w="511" w:type="dxa"/>
            <w:tcBorders/>
            <w:vAlign w:val="center"/>
          </w:tcPr>
          <w:p>
            <w:pPr>
              <w:pStyle w:val="TableContents"/>
              <w:bidi w:val="0"/>
              <w:spacing w:lineRule="atLeast" w:line="200" w:before="0" w:after="0"/>
              <w:jc w:val="left"/>
              <w:rPr/>
            </w:pPr>
            <w:hyperlink w:anchor="i27d5f920da3f4d0c86f822f7ff119dbf_160">
              <w:r>
                <w:rPr>
                  <w:rStyle w:val="InternetLink"/>
                  <w:rFonts w:ascii="Times New Roman;serif" w:hAnsi="Times New Roman;serif"/>
                  <w:b w:val="false"/>
                  <w:i w:val="false"/>
                  <w:caps w:val="false"/>
                  <w:smallCaps w:val="false"/>
                  <w:strike w:val="false"/>
                  <w:dstrike w:val="false"/>
                  <w:color w:val="000000"/>
                  <w:sz w:val="20"/>
                  <w:u w:val="single"/>
                  <w:effect w:val="none"/>
                </w:rPr>
                <w:t>112</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9C.</w:t>
            </w:r>
          </w:p>
        </w:tc>
        <w:tc>
          <w:tcPr>
            <w:tcW w:w="8386" w:type="dxa"/>
            <w:tcBorders/>
            <w:vAlign w:val="center"/>
          </w:tcPr>
          <w:p>
            <w:pPr>
              <w:pStyle w:val="TableContents"/>
              <w:bidi w:val="0"/>
              <w:spacing w:lineRule="atLeast" w:line="200" w:before="0" w:after="0"/>
              <w:jc w:val="left"/>
              <w:rPr/>
            </w:pPr>
            <w:hyperlink w:anchor="i27d5f920da3f4d0c86f822f7ff119dbf_163">
              <w:r>
                <w:rPr>
                  <w:rStyle w:val="InternetLink"/>
                  <w:rFonts w:ascii="Times New Roman;serif" w:hAnsi="Times New Roman;serif"/>
                  <w:b w:val="false"/>
                  <w:i w:val="false"/>
                  <w:caps w:val="false"/>
                  <w:smallCaps w:val="false"/>
                  <w:color w:val="0000FF"/>
                  <w:sz w:val="20"/>
                  <w:u w:val="single"/>
                </w:rPr>
                <w:t>Disclosure Regarding Foreign Jurisdictions that Prevent Inspections</w:t>
              </w:r>
            </w:hyperlink>
          </w:p>
        </w:tc>
        <w:tc>
          <w:tcPr>
            <w:tcW w:w="511" w:type="dxa"/>
            <w:tcBorders/>
            <w:vAlign w:val="center"/>
          </w:tcPr>
          <w:p>
            <w:pPr>
              <w:pStyle w:val="TableContents"/>
              <w:bidi w:val="0"/>
              <w:spacing w:lineRule="atLeast" w:line="200" w:before="0" w:after="0"/>
              <w:jc w:val="left"/>
              <w:rPr/>
            </w:pPr>
            <w:hyperlink w:anchor="i27d5f920da3f4d0c86f822f7ff119dbf_163">
              <w:r>
                <w:rPr>
                  <w:rStyle w:val="InternetLink"/>
                  <w:rFonts w:ascii="Times New Roman;serif" w:hAnsi="Times New Roman;serif"/>
                  <w:b w:val="false"/>
                  <w:i w:val="false"/>
                  <w:caps w:val="false"/>
                  <w:smallCaps w:val="false"/>
                  <w:strike w:val="false"/>
                  <w:dstrike w:val="false"/>
                  <w:color w:val="000000"/>
                  <w:sz w:val="20"/>
                  <w:u w:val="single"/>
                  <w:effect w:val="none"/>
                </w:rPr>
                <w:t>112</w:t>
              </w:r>
            </w:hyperlink>
          </w:p>
        </w:tc>
      </w:tr>
      <w:tr>
        <w:trPr/>
        <w:tc>
          <w:tcPr>
            <w:tcW w:w="9197" w:type="dxa"/>
            <w:gridSpan w:val="2"/>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197" w:type="dxa"/>
            <w:gridSpan w:val="2"/>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PART III</w:t>
            </w:r>
          </w:p>
        </w:tc>
        <w:tc>
          <w:tcPr>
            <w:tcW w:w="51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10.</w:t>
            </w:r>
          </w:p>
        </w:tc>
        <w:tc>
          <w:tcPr>
            <w:tcW w:w="8386" w:type="dxa"/>
            <w:tcBorders/>
            <w:vAlign w:val="center"/>
          </w:tcPr>
          <w:p>
            <w:pPr>
              <w:pStyle w:val="TableContents"/>
              <w:bidi w:val="0"/>
              <w:spacing w:lineRule="atLeast" w:line="200" w:before="0" w:after="0"/>
              <w:jc w:val="left"/>
              <w:rPr/>
            </w:pPr>
            <w:hyperlink w:anchor="i27d5f920da3f4d0c86f822f7ff119dbf_169">
              <w:r>
                <w:rPr>
                  <w:rStyle w:val="InternetLink"/>
                  <w:rFonts w:ascii="Times New Roman;serif" w:hAnsi="Times New Roman;serif"/>
                  <w:b w:val="false"/>
                  <w:i w:val="false"/>
                  <w:caps w:val="false"/>
                  <w:smallCaps w:val="false"/>
                  <w:color w:val="0000FF"/>
                  <w:sz w:val="20"/>
                  <w:u w:val="single"/>
                </w:rPr>
                <w:t>Directors, Executive Officers and Corporate Governance</w:t>
              </w:r>
            </w:hyperlink>
          </w:p>
        </w:tc>
        <w:tc>
          <w:tcPr>
            <w:tcW w:w="511" w:type="dxa"/>
            <w:tcBorders/>
            <w:vAlign w:val="center"/>
          </w:tcPr>
          <w:p>
            <w:pPr>
              <w:pStyle w:val="TableContents"/>
              <w:bidi w:val="0"/>
              <w:spacing w:lineRule="atLeast" w:line="200" w:before="0" w:after="0"/>
              <w:jc w:val="left"/>
              <w:rPr/>
            </w:pPr>
            <w:hyperlink w:anchor="i27d5f920da3f4d0c86f822f7ff119dbf_169">
              <w:r>
                <w:rPr>
                  <w:rStyle w:val="InternetLink"/>
                  <w:rFonts w:ascii="Times New Roman;serif" w:hAnsi="Times New Roman;serif"/>
                  <w:b w:val="false"/>
                  <w:i w:val="false"/>
                  <w:caps w:val="false"/>
                  <w:smallCaps w:val="false"/>
                  <w:strike w:val="false"/>
                  <w:dstrike w:val="false"/>
                  <w:color w:val="000000"/>
                  <w:sz w:val="20"/>
                  <w:u w:val="single"/>
                  <w:effect w:val="none"/>
                </w:rPr>
                <w:t>113</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11.</w:t>
            </w:r>
          </w:p>
        </w:tc>
        <w:tc>
          <w:tcPr>
            <w:tcW w:w="8386" w:type="dxa"/>
            <w:tcBorders/>
            <w:vAlign w:val="center"/>
          </w:tcPr>
          <w:p>
            <w:pPr>
              <w:pStyle w:val="TableContents"/>
              <w:bidi w:val="0"/>
              <w:spacing w:lineRule="atLeast" w:line="200" w:before="0" w:after="0"/>
              <w:jc w:val="left"/>
              <w:rPr/>
            </w:pPr>
            <w:hyperlink w:anchor="i27d5f920da3f4d0c86f822f7ff119dbf_172">
              <w:r>
                <w:rPr>
                  <w:rStyle w:val="InternetLink"/>
                  <w:rFonts w:ascii="Times New Roman;serif" w:hAnsi="Times New Roman;serif"/>
                  <w:b w:val="false"/>
                  <w:i w:val="false"/>
                  <w:caps w:val="false"/>
                  <w:smallCaps w:val="false"/>
                  <w:color w:val="0000FF"/>
                  <w:sz w:val="20"/>
                  <w:u w:val="single"/>
                </w:rPr>
                <w:t>Executive Compensation</w:t>
              </w:r>
            </w:hyperlink>
          </w:p>
        </w:tc>
        <w:tc>
          <w:tcPr>
            <w:tcW w:w="511" w:type="dxa"/>
            <w:tcBorders/>
            <w:vAlign w:val="center"/>
          </w:tcPr>
          <w:p>
            <w:pPr>
              <w:pStyle w:val="TableContents"/>
              <w:bidi w:val="0"/>
              <w:spacing w:lineRule="atLeast" w:line="200" w:before="0" w:after="0"/>
              <w:jc w:val="left"/>
              <w:rPr/>
            </w:pPr>
            <w:hyperlink w:anchor="i27d5f920da3f4d0c86f822f7ff119dbf_172">
              <w:r>
                <w:rPr>
                  <w:rStyle w:val="InternetLink"/>
                  <w:rFonts w:ascii="Times New Roman;serif" w:hAnsi="Times New Roman;serif"/>
                  <w:b w:val="false"/>
                  <w:i w:val="false"/>
                  <w:caps w:val="false"/>
                  <w:smallCaps w:val="false"/>
                  <w:strike w:val="false"/>
                  <w:dstrike w:val="false"/>
                  <w:color w:val="000000"/>
                  <w:sz w:val="20"/>
                  <w:u w:val="single"/>
                  <w:effect w:val="none"/>
                </w:rPr>
                <w:t>113</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12.</w:t>
            </w:r>
          </w:p>
        </w:tc>
        <w:tc>
          <w:tcPr>
            <w:tcW w:w="8386" w:type="dxa"/>
            <w:tcBorders/>
            <w:vAlign w:val="center"/>
          </w:tcPr>
          <w:p>
            <w:pPr>
              <w:pStyle w:val="TableContents"/>
              <w:bidi w:val="0"/>
              <w:spacing w:lineRule="atLeast" w:line="200" w:before="0" w:after="0"/>
              <w:jc w:val="left"/>
              <w:rPr/>
            </w:pPr>
            <w:hyperlink w:anchor="i27d5f920da3f4d0c86f822f7ff119dbf_175">
              <w:r>
                <w:rPr>
                  <w:rStyle w:val="InternetLink"/>
                  <w:rFonts w:ascii="Times New Roman;serif" w:hAnsi="Times New Roman;serif"/>
                  <w:b w:val="false"/>
                  <w:i w:val="false"/>
                  <w:caps w:val="false"/>
                  <w:smallCaps w:val="false"/>
                  <w:color w:val="0000FF"/>
                  <w:sz w:val="20"/>
                  <w:u w:val="single"/>
                </w:rPr>
                <w:t>Security Ownership of Certain Beneficial Owners and Management and Related Stockholder Matters</w:t>
              </w:r>
            </w:hyperlink>
          </w:p>
        </w:tc>
        <w:tc>
          <w:tcPr>
            <w:tcW w:w="511" w:type="dxa"/>
            <w:tcBorders/>
            <w:vAlign w:val="center"/>
          </w:tcPr>
          <w:p>
            <w:pPr>
              <w:pStyle w:val="TableContents"/>
              <w:bidi w:val="0"/>
              <w:spacing w:lineRule="atLeast" w:line="200" w:before="0" w:after="0"/>
              <w:jc w:val="left"/>
              <w:rPr/>
            </w:pPr>
            <w:hyperlink w:anchor="i27d5f920da3f4d0c86f822f7ff119dbf_175">
              <w:r>
                <w:rPr>
                  <w:rStyle w:val="InternetLink"/>
                  <w:rFonts w:ascii="Times New Roman;serif" w:hAnsi="Times New Roman;serif"/>
                  <w:b w:val="false"/>
                  <w:i w:val="false"/>
                  <w:caps w:val="false"/>
                  <w:smallCaps w:val="false"/>
                  <w:strike w:val="false"/>
                  <w:dstrike w:val="false"/>
                  <w:color w:val="000000"/>
                  <w:sz w:val="20"/>
                  <w:u w:val="single"/>
                  <w:effect w:val="none"/>
                </w:rPr>
                <w:t>113</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13.</w:t>
            </w:r>
          </w:p>
        </w:tc>
        <w:tc>
          <w:tcPr>
            <w:tcW w:w="8386" w:type="dxa"/>
            <w:tcBorders/>
            <w:vAlign w:val="center"/>
          </w:tcPr>
          <w:p>
            <w:pPr>
              <w:pStyle w:val="TableContents"/>
              <w:bidi w:val="0"/>
              <w:spacing w:lineRule="atLeast" w:line="200" w:before="0" w:after="0"/>
              <w:jc w:val="left"/>
              <w:rPr/>
            </w:pPr>
            <w:hyperlink w:anchor="i27d5f920da3f4d0c86f822f7ff119dbf_178">
              <w:r>
                <w:rPr>
                  <w:rStyle w:val="InternetLink"/>
                  <w:rFonts w:ascii="Times New Roman;serif" w:hAnsi="Times New Roman;serif"/>
                  <w:b w:val="false"/>
                  <w:i w:val="false"/>
                  <w:caps w:val="false"/>
                  <w:smallCaps w:val="false"/>
                  <w:color w:val="0000FF"/>
                  <w:sz w:val="20"/>
                  <w:u w:val="single"/>
                </w:rPr>
                <w:t>Certain Relationships and Related Transactions, and Director Independence</w:t>
              </w:r>
            </w:hyperlink>
          </w:p>
        </w:tc>
        <w:tc>
          <w:tcPr>
            <w:tcW w:w="511" w:type="dxa"/>
            <w:tcBorders/>
            <w:vAlign w:val="center"/>
          </w:tcPr>
          <w:p>
            <w:pPr>
              <w:pStyle w:val="TableContents"/>
              <w:bidi w:val="0"/>
              <w:spacing w:lineRule="atLeast" w:line="200" w:before="0" w:after="0"/>
              <w:jc w:val="left"/>
              <w:rPr/>
            </w:pPr>
            <w:hyperlink w:anchor="i27d5f920da3f4d0c86f822f7ff119dbf_178">
              <w:r>
                <w:rPr>
                  <w:rStyle w:val="InternetLink"/>
                  <w:rFonts w:ascii="Times New Roman;serif" w:hAnsi="Times New Roman;serif"/>
                  <w:b w:val="false"/>
                  <w:i w:val="false"/>
                  <w:caps w:val="false"/>
                  <w:smallCaps w:val="false"/>
                  <w:strike w:val="false"/>
                  <w:dstrike w:val="false"/>
                  <w:color w:val="000000"/>
                  <w:sz w:val="20"/>
                  <w:u w:val="single"/>
                  <w:effect w:val="none"/>
                </w:rPr>
                <w:t>113</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14.</w:t>
            </w:r>
          </w:p>
        </w:tc>
        <w:tc>
          <w:tcPr>
            <w:tcW w:w="8386" w:type="dxa"/>
            <w:tcBorders/>
            <w:vAlign w:val="center"/>
          </w:tcPr>
          <w:p>
            <w:pPr>
              <w:pStyle w:val="TableContents"/>
              <w:bidi w:val="0"/>
              <w:spacing w:lineRule="atLeast" w:line="200" w:before="0" w:after="0"/>
              <w:jc w:val="left"/>
              <w:rPr/>
            </w:pPr>
            <w:hyperlink w:anchor="i27d5f920da3f4d0c86f822f7ff119dbf_181">
              <w:r>
                <w:rPr>
                  <w:rStyle w:val="InternetLink"/>
                  <w:rFonts w:ascii="Times New Roman;serif" w:hAnsi="Times New Roman;serif"/>
                  <w:b w:val="false"/>
                  <w:i w:val="false"/>
                  <w:caps w:val="false"/>
                  <w:smallCaps w:val="false"/>
                  <w:color w:val="0000FF"/>
                  <w:sz w:val="20"/>
                  <w:u w:val="single"/>
                </w:rPr>
                <w:t>Principal Accountant Fees and Services</w:t>
              </w:r>
            </w:hyperlink>
          </w:p>
        </w:tc>
        <w:tc>
          <w:tcPr>
            <w:tcW w:w="511" w:type="dxa"/>
            <w:tcBorders/>
            <w:vAlign w:val="center"/>
          </w:tcPr>
          <w:p>
            <w:pPr>
              <w:pStyle w:val="TableContents"/>
              <w:bidi w:val="0"/>
              <w:spacing w:lineRule="atLeast" w:line="200" w:before="0" w:after="0"/>
              <w:jc w:val="left"/>
              <w:rPr/>
            </w:pPr>
            <w:hyperlink w:anchor="i27d5f920da3f4d0c86f822f7ff119dbf_181">
              <w:r>
                <w:rPr>
                  <w:rStyle w:val="InternetLink"/>
                  <w:rFonts w:ascii="Times New Roman;serif" w:hAnsi="Times New Roman;serif"/>
                  <w:b w:val="false"/>
                  <w:i w:val="false"/>
                  <w:caps w:val="false"/>
                  <w:smallCaps w:val="false"/>
                  <w:strike w:val="false"/>
                  <w:dstrike w:val="false"/>
                  <w:color w:val="000000"/>
                  <w:sz w:val="20"/>
                  <w:u w:val="single"/>
                  <w:effect w:val="none"/>
                </w:rPr>
                <w:t>113</w:t>
              </w:r>
            </w:hyperlink>
          </w:p>
        </w:tc>
      </w:tr>
      <w:tr>
        <w:trPr/>
        <w:tc>
          <w:tcPr>
            <w:tcW w:w="9197" w:type="dxa"/>
            <w:gridSpan w:val="2"/>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197" w:type="dxa"/>
            <w:gridSpan w:val="2"/>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PART IV</w:t>
            </w:r>
          </w:p>
        </w:tc>
        <w:tc>
          <w:tcPr>
            <w:tcW w:w="51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15.</w:t>
            </w:r>
          </w:p>
        </w:tc>
        <w:tc>
          <w:tcPr>
            <w:tcW w:w="8386" w:type="dxa"/>
            <w:tcBorders/>
            <w:vAlign w:val="center"/>
          </w:tcPr>
          <w:p>
            <w:pPr>
              <w:pStyle w:val="TableContents"/>
              <w:bidi w:val="0"/>
              <w:spacing w:lineRule="atLeast" w:line="200" w:before="0" w:after="0"/>
              <w:jc w:val="left"/>
              <w:rPr/>
            </w:pPr>
            <w:hyperlink w:anchor="i27d5f920da3f4d0c86f822f7ff119dbf_187">
              <w:r>
                <w:rPr>
                  <w:rStyle w:val="InternetLink"/>
                  <w:rFonts w:ascii="Times New Roman;serif" w:hAnsi="Times New Roman;serif"/>
                  <w:b w:val="false"/>
                  <w:i w:val="false"/>
                  <w:caps w:val="false"/>
                  <w:smallCaps w:val="false"/>
                  <w:color w:val="0000FF"/>
                  <w:sz w:val="20"/>
                  <w:u w:val="single"/>
                </w:rPr>
                <w:t>Exhibits and Financial Statement Schedules</w:t>
              </w:r>
            </w:hyperlink>
          </w:p>
        </w:tc>
        <w:tc>
          <w:tcPr>
            <w:tcW w:w="511" w:type="dxa"/>
            <w:tcBorders/>
            <w:vAlign w:val="center"/>
          </w:tcPr>
          <w:p>
            <w:pPr>
              <w:pStyle w:val="TableContents"/>
              <w:bidi w:val="0"/>
              <w:spacing w:lineRule="atLeast" w:line="200" w:before="0" w:after="0"/>
              <w:jc w:val="left"/>
              <w:rPr/>
            </w:pPr>
            <w:hyperlink w:anchor="i27d5f920da3f4d0c86f822f7ff119dbf_187">
              <w:r>
                <w:rPr>
                  <w:rStyle w:val="InternetLink"/>
                  <w:rFonts w:ascii="Times New Roman;serif" w:hAnsi="Times New Roman;serif"/>
                  <w:b w:val="false"/>
                  <w:i w:val="false"/>
                  <w:caps w:val="false"/>
                  <w:smallCaps w:val="false"/>
                  <w:strike w:val="false"/>
                  <w:dstrike w:val="false"/>
                  <w:color w:val="000000"/>
                  <w:sz w:val="20"/>
                  <w:u w:val="single"/>
                  <w:effect w:val="none"/>
                </w:rPr>
                <w:t>114</w:t>
              </w:r>
            </w:hyperlink>
          </w:p>
        </w:tc>
      </w:tr>
      <w:tr>
        <w:trPr/>
        <w:tc>
          <w:tcPr>
            <w:tcW w:w="8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Item 16.</w:t>
            </w:r>
          </w:p>
        </w:tc>
        <w:tc>
          <w:tcPr>
            <w:tcW w:w="8386" w:type="dxa"/>
            <w:tcBorders/>
            <w:vAlign w:val="center"/>
          </w:tcPr>
          <w:p>
            <w:pPr>
              <w:pStyle w:val="TableContents"/>
              <w:bidi w:val="0"/>
              <w:spacing w:lineRule="atLeast" w:line="200" w:before="0" w:after="0"/>
              <w:jc w:val="left"/>
              <w:rPr/>
            </w:pPr>
            <w:hyperlink w:anchor="i27d5f920da3f4d0c86f822f7ff119dbf_190">
              <w:r>
                <w:rPr>
                  <w:rStyle w:val="InternetLink"/>
                  <w:rFonts w:ascii="Times New Roman;serif" w:hAnsi="Times New Roman;serif"/>
                  <w:b w:val="false"/>
                  <w:i w:val="false"/>
                  <w:caps w:val="false"/>
                  <w:smallCaps w:val="false"/>
                  <w:color w:val="0000FF"/>
                  <w:sz w:val="20"/>
                  <w:u w:val="single"/>
                </w:rPr>
                <w:t>Form 10-K Summary</w:t>
              </w:r>
            </w:hyperlink>
          </w:p>
        </w:tc>
        <w:tc>
          <w:tcPr>
            <w:tcW w:w="511" w:type="dxa"/>
            <w:tcBorders/>
            <w:vAlign w:val="center"/>
          </w:tcPr>
          <w:p>
            <w:pPr>
              <w:pStyle w:val="TableContents"/>
              <w:bidi w:val="0"/>
              <w:spacing w:lineRule="atLeast" w:line="200" w:before="0" w:after="0"/>
              <w:jc w:val="left"/>
              <w:rPr/>
            </w:pPr>
            <w:hyperlink w:anchor="i27d5f920da3f4d0c86f822f7ff119dbf_190">
              <w:r>
                <w:rPr>
                  <w:rStyle w:val="InternetLink"/>
                  <w:rFonts w:ascii="Times New Roman;serif" w:hAnsi="Times New Roman;serif"/>
                  <w:b w:val="false"/>
                  <w:i w:val="false"/>
                  <w:caps w:val="false"/>
                  <w:smallCaps w:val="false"/>
                  <w:strike w:val="false"/>
                  <w:dstrike w:val="false"/>
                  <w:color w:val="000000"/>
                  <w:sz w:val="20"/>
                  <w:u w:val="single"/>
                  <w:effect w:val="none"/>
                </w:rPr>
                <w:t>119</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lineRule="atLeast" w:line="200" w:before="0" w:after="0"/>
              <w:jc w:val="left"/>
              <w:rPr/>
            </w:pPr>
            <w:hyperlink w:anchor="i27d5f920da3f4d0c86f822f7ff119dbf_193">
              <w:r>
                <w:rPr>
                  <w:rStyle w:val="InternetLink"/>
                  <w:rFonts w:ascii="Times New Roman;serif" w:hAnsi="Times New Roman;serif"/>
                  <w:b w:val="false"/>
                  <w:i w:val="false"/>
                  <w:caps w:val="false"/>
                  <w:smallCaps w:val="false"/>
                  <w:color w:val="0000FF"/>
                  <w:sz w:val="20"/>
                  <w:u w:val="single"/>
                </w:rPr>
                <w:t>Signatures</w:t>
              </w:r>
            </w:hyperlink>
          </w:p>
        </w:tc>
        <w:tc>
          <w:tcPr>
            <w:tcW w:w="511" w:type="dxa"/>
            <w:tcBorders/>
            <w:vAlign w:val="center"/>
          </w:tcPr>
          <w:p>
            <w:pPr>
              <w:pStyle w:val="TableContents"/>
              <w:bidi w:val="0"/>
              <w:spacing w:lineRule="atLeast" w:line="200" w:before="0" w:after="0"/>
              <w:jc w:val="left"/>
              <w:rPr/>
            </w:pPr>
            <w:hyperlink w:anchor="i27d5f920da3f4d0c86f822f7ff119dbf_193">
              <w:r>
                <w:rPr>
                  <w:rStyle w:val="InternetLink"/>
                  <w:rFonts w:ascii="Times New Roman;serif" w:hAnsi="Times New Roman;serif"/>
                  <w:b w:val="false"/>
                  <w:i w:val="false"/>
                  <w:caps w:val="false"/>
                  <w:smallCaps w:val="false"/>
                  <w:strike w:val="false"/>
                  <w:dstrike w:val="false"/>
                  <w:color w:val="000000"/>
                  <w:sz w:val="20"/>
                  <w:u w:val="single"/>
                  <w:effect w:val="none"/>
                </w:rPr>
                <w:t>120</w:t>
              </w:r>
            </w:hyperlink>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About Forward-Looking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This Annual Report on Form 10-K contains forward-looking statements within the meaning of the federal securities laws.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that are not historical facts, including statements about Corpay’s beliefs, assumptions, expectations and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 are forward-looking statements. Forward-looking statements can be identified by the use of words such as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anticipate,” “intend,” “believe,” “estimate,” “plan,” “seek,” “project,” “expect,” “may,” “will,” “would,” “could” or “should,”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negative of these terms or other comparable terminology and similar expressions.</w:t>
      </w:r>
    </w:p>
    <w:p>
      <w:pPr>
        <w:pStyle w:val="TextBody"/>
        <w:bidi w:val="0"/>
        <w:spacing w:lineRule="atLeast" w:line="200" w:before="0" w:after="0"/>
        <w:jc w:val="left"/>
        <w:rPr>
          <w:caps w:val="false"/>
          <w:smallCaps w:val="false"/>
        </w:rPr>
      </w:pPr>
      <w:r>
        <w:rPr>
          <w:caps w:val="false"/>
          <w:smallCaps w:val="false"/>
        </w:rPr>
        <w: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forward-looking statements are not a guarantee of performance, and you should not place undue reliance on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We have based these forward-looking statements on preliminary information, internal estimates and management's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assumptions, expectations and plans about future conditions, events and results. Forward-looking statements are subject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many uncertainties and other variable circumstances, including those discussed in this report in Item 1A, “Risk Factors,”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Item 7, “Management’s Discussion and Analysis of Financial Condition and Results of Operations,” many of which are outside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our control, that could cause our actual results and experience to differ materially from any forward-looking statement.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forward-looking statements may not be realized due to a variety of factors, including, without limitation: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risks related to our ability to successfully execute our strategic plan, manage our growth and achieve our performance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targets;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impact of macroeconomic conditions, including any recession or economic downturn that has occurred or may occur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future, and whether expected trends, including fluctuations in retail fuel prices and fuel price spreads, fuel transaction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patterns, electric vehicle adoption, retail lodging prices, foreign exchange rates and interest rates develop as anticipated,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whether we are able to develop and implement successful strategies in light of these trends;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our ability to attract new and retain existing partners, fuel merchants, and lodging providers, their promotion and support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products, and their financial performance;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our ability to successfully manage the derivative financial instruments that we use in our cross-border solutions to manage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exposure to various market risks, including changes in foreign exchange rates;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failure of management assumptions and estimates, as well as differences in, and changes to, economic, market, interest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rate, interchange fees, foreign exchange rates, and credit conditions, including changes in borrowers’ credit risks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 behaviors;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risk of higher borrowing costs and adverse financial market conditions impacting our funding and liquidity, and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reduction in our credit ratings;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our ability to successfully manage our credit risks and the sufficiency of our allowance for expected credit losses;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our ability to securitize our trade receivables;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occurrence of fraudulent activity, data breaches or failures of information security controls, or other technology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cybersecurity-related incidents that may compromise our systems or customers’ information;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any disruptions in the operations of our computer systems and data centers;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the operational and political risks and compliance and regulatory risks and costs associated with international operations;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impact of international conflicts, including between Russia and Ukraine, as well as within the Middle East, 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global economy or our business and operations;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impact of changes in global tariff and trade policies and potential retaliatory actions by affected countries;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our ability to develop and implement new technology, products and services;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any alleged infringement of intellectual property rights of others and our ability to protect our intellectual property;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regulation, supervision and examination of our business by foreign and domestic governmental authorities, as well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litigation and regulatory actions, including the lawsuit filed by the Federal Trade Commission (FTC);</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impact of regulations and related requirements relating to privacy, information security and data protection; derivative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hedging activities; use of third-party vendors and other third-party business relationships; and failure to comply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anti-money laundering (AML) and anti-terrorism financing laws;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changes in our senior management team and our ability to attract, motivate and retain qualified personnel consistent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strategic plan;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tax legislation initiatives or challenges to our tax positions and/or interpretations, and state sales tax rules and regulations;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risks of mergers, acquisitions and divestitures, such as our recent acquisition of a partnership interest in AvidXchange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the acquisition of Alpha, including, without limitation, the related time and costs of implementing such transactions,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integrating operations as part of these transactions and possible failures to achieve expected gains, revenue growth and/or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 savings from such transactions;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our ability to remediate material weaknesses and the ongoing effectiveness of internal control over financial reporting;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other factors and information in this Annual Report on Form 10-K and other filings that we make with the SEC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Exchange Act and Securities Act. See “Risk Factors” in this Annual Report on Form 10-K.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Given these risks and uncertainties, you are cautioned not to place undue reliance on these forward-looking statements.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forward-looking statements included in this report are made only as of the date hereof. We do not undertake, and specifically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disclaim, any obligation to update any such statements or to publicly announce the results of any revisions to any of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statements to reflect future events or developments.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 BUSINESS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Introduction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 Inc. (the "Company") is a global corporate payments company that helps businesses and consumers better manage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 their expenses in a simple, controlled manner. Corpay provides a broad suite of payment and spend management solutions,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accounts payable (AP) automation and cross-border payment solutions (including foreign exchange spot, forward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option transactions), commercial card programs (e.g., purchasing cards, business cards and virtual cards), vehicle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solutions (e.g., fuel cards, toll payments and related services) and lodging payment solutions (e.g., hotel and extended stay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bookings). Since its incorporation in 2000, Corpay has delivered payment and spend solutions with customized controls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robust capabilities that offer our customers a better way to pay. This results in our customers saving time and ultimately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spending less. Corpay has been a member of the S&amp;P 500 since 2018 and trades on the New York Stock Exchange ("NYSE")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the ticker CPAY.</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We estimat</w:t>
      </w:r>
      <w:r>
        <w:rPr>
          <w:rFonts w:ascii="Times New Roman;serif" w:hAnsi="Times New Roman;serif"/>
          <w:b w:val="false"/>
          <w:i w:val="false"/>
          <w:caps w:val="false"/>
          <w:smallCaps w:val="false"/>
          <w:strike w:val="false"/>
          <w:dstrike w:val="false"/>
          <w:sz w:val="20"/>
          <w:u w:val="none"/>
          <w:effect w:val="none"/>
          <w:shd w:fill="FFFFFF" w:val="clear"/>
        </w:rPr>
        <w:t>e that businesses spend approximately $145 trillion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annually</w:t>
      </w:r>
      <w:r>
        <w:rPr>
          <w:caps w:val="false"/>
          <w:smallCaps w:val="false"/>
          <w:sz w:val="24"/>
        </w:rPr>
        <w:t xml:space="preserve"> </w:t>
      </w:r>
      <w:r>
        <w:rPr>
          <w:rFonts w:ascii="Times New Roman;serif" w:hAnsi="Times New Roman;serif"/>
          <w:b w:val="false"/>
          <w:i w:val="false"/>
          <w:caps w:val="false"/>
          <w:smallCaps w:val="false"/>
          <w:sz w:val="20"/>
        </w:rPr>
        <w:t xml:space="preserve">in transactions with other businesses. In many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instances, businesses lack the proper tools to monitor what is being purchased and employ manual, paper-based, disparate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processes and methods to both approve and make payments for their business-to-business purchases. This often results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wasted time and money due to unnecessary or unauthorized spending, fraud, receipt collection, data input and consolidation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errors, inaccurate reimbursement processing, account reconciliation errors, employee misuse and more.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Digital payments are faster and more secure than paper-based methods such as checks, provide timely and detailed data that can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utilized to effectively reduce unauthorized purchases and fraud, automate data entry and reporting and eliminate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 mistakes. Combining this payment data with analytical tools delivers powerful insights, which managers can use </w:t>
      </w:r>
    </w:p>
    <w:p>
      <w:pPr>
        <w:pStyle w:val="TextBody"/>
        <w:bidi w:val="0"/>
        <w:spacing w:lineRule="atLeast" w:line="240" w:before="0" w:after="0"/>
        <w:jc w:val="left"/>
        <w:rPr/>
      </w:pPr>
      <w:r>
        <w:rPr>
          <w:rFonts w:ascii="Times New Roman;serif" w:hAnsi="Times New Roman;serif"/>
          <w:b w:val="false"/>
          <w:i w:val="false"/>
          <w:caps w:val="false"/>
          <w:smallCaps w:val="false"/>
          <w:sz w:val="20"/>
        </w:rPr>
        <w:t>to better run their businesses.</w:t>
      </w: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Corpay’s vision is that every payment is digital, every purchase is controlled and every related decision is informed. Our wide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range of modern, digitized solutions provide control, reporting and automation benefits superior to many of the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methods businesses often use such as cash, paper checks, general purpose credit cards, as well as employee payment processes.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to delivering meaningful value to our customers, our solutions also share several important and attractive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model characteristics including: </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 xml:space="preserve">the majority of revenue is derived from business customers, which tend to have relatively predictable, consistent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volumes;</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recurring revenue models that are volume-driven, resulting in predictable revenue;</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unique selling systems with common sales approaches, management and reporting;</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 xml:space="preserve">specialized technology platforms and proprietary payment acceptance networks, which we believe create competitive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advantages and barriers to entry; and</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 xml:space="preserve">attractive EBITDA margins and strong cash flow conversion with relatively limited incremental infrastructure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requirements.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actively market and sell to current and prospective customers using a multi-channel, go-to-market strategy, which includes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comprehensive digital channels, direct sales forces and strategic partner relationships. We sell stand-alone products and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are currently deploying platforms where a single customer can use multiple products from one user interface. We compete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financial institutions that provide general purpose commercial card, accounts payable and cross-border payment products,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well as specialized providers offering more targeted solutions; and also with traditional payment methods such as 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checks and manual processes. We supplement our organic growth strategy and sales efforts by pursuing attractive acquisition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opportunities, which serve to strengthen and extend our market positions and create value faster. With a long, proven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history, Corpay facilitates payments to or on behalf of millions of businesses around the world through multiple modalities.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 has the following reportable segments: Corporate Payments, Vehicle Payments, Lodging Payments and Other.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segments reflect how we organize and manage our global employee base, manage operating performance and execute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strategic initiatives. Our Corporate Payments solutions simplify and automate vendor payments and include AP automation,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virtual cards, cross-border payments and purchasing and travel and entertainment ("T&amp;E") card products. Our Vehicle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solutions help control and monitor spending and include fuel card offerings, tolls and other complementary products.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Lodging Payments solutions help businesses manage their lodging costs, while simplifying the management of hotels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housing, both short and longer-term, while also providing traveler and end customer support.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Corporate Payments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Corporate Payments solutions help businesses streamline the management, processing and payment of their domestic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international invoices and make point-of-sale purchases for their employees. Companies can save time, reduce costs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 business-to-business (B2B) payment processing more efficiently with our suite of Corporate Payment solutions,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cross-border payments, spend management solutions, AP automation, virtual cards and purchasing and T&amp;E cards. </w:t>
      </w:r>
    </w:p>
    <w:p>
      <w:pPr>
        <w:pStyle w:val="TextBody"/>
        <w:bidi w:val="0"/>
        <w:spacing w:lineRule="atLeast" w:line="200" w:before="0" w:after="0"/>
        <w:jc w:val="left"/>
        <w:rPr>
          <w:sz w:val="24"/>
        </w:rPr>
      </w:pPr>
      <w:r>
        <w:rPr>
          <w:rFonts w:ascii="Times New Roman;serif" w:hAnsi="Times New Roman;serif"/>
          <w:b/>
          <w:i/>
          <w:sz w:val="20"/>
        </w:rPr>
        <w:t>Cross-Bord</w:t>
      </w:r>
      <w:r>
        <w:rPr>
          <w:rFonts w:ascii="Times New Roman;serif" w:hAnsi="Times New Roman;serif"/>
          <w:b/>
          <w:i/>
          <w:strike w:val="false"/>
          <w:dstrike w:val="false"/>
          <w:sz w:val="20"/>
          <w:u w:val="none"/>
          <w:effect w:val="none"/>
        </w:rPr>
        <w:t>er Payments</w:t>
      </w:r>
      <w:r>
        <w:rPr>
          <w:strike w:val="false"/>
          <w:dstrike w:val="false"/>
          <w:sz w:val="24"/>
          <w:u w:val="none"/>
          <w:effect w:val="none"/>
        </w:rPr>
        <w:t xml:space="preserve">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Our</w:t>
      </w:r>
      <w:r>
        <w:rPr>
          <w:caps w:val="false"/>
          <w:smallCaps w:val="false"/>
          <w:sz w:val="24"/>
        </w:rPr>
        <w:t xml:space="preserve"> </w:t>
      </w:r>
      <w:r>
        <w:rPr>
          <w:rFonts w:ascii="Times New Roman;serif" w:hAnsi="Times New Roman;serif"/>
          <w:b w:val="false"/>
          <w:i w:val="false"/>
          <w:caps w:val="false"/>
          <w:smallCaps w:val="false"/>
          <w:sz w:val="20"/>
        </w:rPr>
        <w:t xml:space="preserve">cross-border solution is used by our customers to pay international vendors, foreign office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personnel expenses and for profit repatriation and dividends via foreign current transactions structured with foreign currency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spot trades, forward contracts and option contracts. We may use our own proprietary network, SWIFT international payments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network, and even stablecoins, to </w:t>
      </w:r>
      <w:r>
        <w:rPr>
          <w:rFonts w:ascii="Times New Roman;serif" w:hAnsi="Times New Roman;serif"/>
          <w:b w:val="false"/>
          <w:i w:val="false"/>
          <w:caps w:val="false"/>
          <w:smallCaps w:val="false"/>
          <w:strike w:val="false"/>
          <w:dstrike w:val="false"/>
          <w:sz w:val="20"/>
          <w:u w:val="none"/>
          <w:effect w:val="none"/>
        </w:rPr>
        <w:t>move</w:t>
      </w:r>
      <w:r>
        <w:rPr>
          <w:caps w:val="false"/>
          <w:smallCaps w:val="false"/>
          <w:sz w:val="24"/>
        </w:rPr>
        <w:t xml:space="preserve"> </w:t>
      </w:r>
      <w:r>
        <w:rPr>
          <w:rFonts w:ascii="Times New Roman;serif" w:hAnsi="Times New Roman;serif"/>
          <w:b w:val="false"/>
          <w:i w:val="false"/>
          <w:caps w:val="false"/>
          <w:smallCaps w:val="false"/>
          <w:sz w:val="20"/>
        </w:rPr>
        <w:t xml:space="preserve">liquidity around the world. We also offer hedging and risk management services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which helps them manage foreign exchange rate exposures in the course of doing business internationally.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solution may be sold in conjunction with our AP automation and virtual card solutions.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Trade settlement and payment delivery is facilitated through a global network of correspondent banks, in-country payment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gateways and technology providers, enabling us to send payments to recipients in close to </w:t>
      </w:r>
      <w:r>
        <w:rPr>
          <w:rFonts w:ascii="Times New Roman;serif" w:hAnsi="Times New Roman;serif"/>
          <w:b w:val="false"/>
          <w:i w:val="false"/>
          <w:caps w:val="false"/>
          <w:smallCaps w:val="false"/>
          <w:strike w:val="false"/>
          <w:dstrike w:val="false"/>
          <w:sz w:val="20"/>
          <w:u w:val="none"/>
          <w:effect w:val="none"/>
        </w:rPr>
        <w:t>200</w:t>
      </w:r>
      <w:r>
        <w:rPr>
          <w:caps w:val="false"/>
          <w:smallCaps w:val="false"/>
          <w:sz w:val="24"/>
        </w:rPr>
        <w:t xml:space="preserve"> </w:t>
      </w:r>
      <w:r>
        <w:rPr>
          <w:rFonts w:ascii="Times New Roman;serif" w:hAnsi="Times New Roman;serif"/>
          <w:b w:val="false"/>
          <w:i w:val="false"/>
          <w:caps w:val="false"/>
          <w:smallCaps w:val="false"/>
          <w:sz w:val="20"/>
        </w:rPr>
        <w:t xml:space="preserve">countries and 145 currencies.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customers rely on us to deliver personalized service and customer solutions. We offer a proprietary trading and payments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platform that we can "white label" for financial institutions looking to expand their cross-border payment capability, as well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suite of API products that enables us to embed our full capability directly within the technology of both customers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partners. By utilizing transaction monitoring and "watch list" screening systems, we ensure payments are safe, secure and meet </w:t>
      </w:r>
    </w:p>
    <w:p>
      <w:pPr>
        <w:pStyle w:val="TextBody"/>
        <w:bidi w:val="0"/>
        <w:spacing w:lineRule="atLeast" w:line="240" w:before="0" w:after="0"/>
        <w:jc w:val="left"/>
        <w:rPr/>
      </w:pPr>
      <w:r>
        <w:rPr>
          <w:rFonts w:ascii="Times New Roman;serif" w:hAnsi="Times New Roman;serif"/>
          <w:b w:val="false"/>
          <w:i w:val="false"/>
          <w:caps w:val="false"/>
          <w:smallCaps w:val="false"/>
          <w:sz w:val="20"/>
        </w:rPr>
        <w:t>all applicable regulatory requirements.</w:t>
      </w: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offer multi-currency bank accounts to our corporate and financial institutions customers and alternative bank account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solutions tailored to the alternative investment industry (private equity, real estate, hedge funds) to handle complex, high-</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volume, and cross-border transactions. These solutions are designed to give customers the ability to hold and manage funds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multiple currencies across different countries, with local accounts in different jurisdictions.</w:t>
      </w:r>
    </w:p>
    <w:p>
      <w:pPr>
        <w:pStyle w:val="TextBody"/>
        <w:bidi w:val="0"/>
        <w:spacing w:lineRule="atLeast" w:line="200" w:before="0" w:after="0"/>
        <w:jc w:val="left"/>
        <w:rPr/>
      </w:pPr>
      <w:r>
        <w:rPr>
          <w:rFonts w:ascii="Times New Roman;serif" w:hAnsi="Times New Roman;serif"/>
          <w:b/>
          <w:i/>
          <w:sz w:val="20"/>
        </w:rPr>
        <w:t xml:space="preserve">Spend Management </w:t>
      </w:r>
      <w:r>
        <w:rPr>
          <w:caps w:val="false"/>
          <w:smallCaps w:val="false"/>
        </w:rPr>
        <w:t xml:space="preserve">– </w:t>
      </w:r>
      <w:r>
        <w:rPr>
          <w:rFonts w:ascii="Times New Roman;serif" w:hAnsi="Times New Roman;serif"/>
          <w:b w:val="false"/>
          <w:i w:val="false"/>
          <w:caps w:val="false"/>
          <w:smallCaps w:val="false"/>
          <w:sz w:val="20"/>
        </w:rPr>
        <w:t xml:space="preserve">Our spend management solution provides customers with a unified platform to control, analyze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optimize employee-driven spend across the organization. By combining real-time transaction data from virtual cards,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purchasing cards and T&amp;E cards into a single system, Corpay delivers comprehensive visibility into corporate spend by vendor,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category, cost center and geography. This transparency enables finance leaders to identify savings opportunities, reduce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maverick spend, and make more informed budgeting and forecasting decisions.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platform includes integrated expense management capabilities that automate expense capture, including mobile and digital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receipt capture, approval workflows and reconciliation. Transactions flow directly from the point of purchase into configurable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workflows, reducing manual processes, improving data accuracy and accelerating financial close cycles. Seamless integration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leading ERP and accounting systems enables automated coding, posting and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Corpay’s spend management solution also incorporates advanced analytics, including artificial intelligence (AI) enabled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capabilities, to enhance spend oversight and decision-making. These capabilities help automatically categorize spend, identify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anomalies and surface actionable insights related to policy compliance, potential fraud and optimization opportunities, enabling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to proactively manage spend and strengthen financial controls.</w:t>
      </w:r>
    </w:p>
    <w:p>
      <w:pPr>
        <w:pStyle w:val="TextBody"/>
        <w:bidi w:val="0"/>
        <w:spacing w:lineRule="atLeast" w:line="200" w:before="0" w:after="0"/>
        <w:jc w:val="left"/>
        <w:rPr/>
      </w:pPr>
      <w:r>
        <w:rPr>
          <w:rFonts w:ascii="Times New Roman;serif" w:hAnsi="Times New Roman;serif"/>
          <w:b/>
          <w:i/>
          <w:sz w:val="20"/>
        </w:rPr>
        <w:t>AP Modernization</w:t>
      </w:r>
      <w:r>
        <w:rPr/>
        <w:t xml:space="preserve"> </w:t>
      </w:r>
      <w:r>
        <w:rPr>
          <w:caps w:val="false"/>
          <w:smallCaps w:val="false"/>
        </w:rPr>
        <w:t xml:space="preserve">– </w:t>
      </w:r>
      <w:r>
        <w:rPr>
          <w:rFonts w:ascii="Times New Roman;serif" w:hAnsi="Times New Roman;serif"/>
          <w:b w:val="false"/>
          <w:i w:val="false"/>
          <w:caps w:val="false"/>
          <w:smallCaps w:val="false"/>
          <w:sz w:val="20"/>
        </w:rPr>
        <w:t xml:space="preserve">We offer invoice and payments automation solutions with options that are purpose-built for the simplest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small business to the most complex large enterprise. We initiate, manage and guarantee payment of all company-approved bills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all domestic and international vendors through whichever payment modalities the vendors allow, such as virtual card,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automated clearing house (ACH), wire or check. Our mid-market/enterprise solution meets the needs of the most complex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global enterprises with multiple organizational hierarchies, approval workflows, locations, bank accounts, robust on-demand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and seamless integration with Enterprise Resource Planning (ERP) systems. We also provide rich data 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remittance to the vendor, regardless of payment modality, which facilitates invoice reconciliations and payment posting.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automating the process of paying vendors, businesses of all sizes can reduce the time, costs and fraud risks associated with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 processes and focus on operating their businesses.  </w:t>
      </w:r>
    </w:p>
    <w:p>
      <w:pPr>
        <w:pStyle w:val="TextBody"/>
        <w:bidi w:val="0"/>
        <w:spacing w:lineRule="atLeast" w:line="200" w:before="0" w:after="0"/>
        <w:jc w:val="left"/>
        <w:rPr/>
      </w:pPr>
      <w:r>
        <w:rPr>
          <w:rFonts w:ascii="Times New Roman;serif" w:hAnsi="Times New Roman;serif"/>
          <w:b/>
          <w:i/>
          <w:sz w:val="20"/>
        </w:rPr>
        <w:t>Virtual Card</w:t>
      </w:r>
      <w:r>
        <w:rPr/>
        <w:t xml:space="preserve"> </w:t>
      </w:r>
      <w:r>
        <w:rPr>
          <w:caps w:val="false"/>
          <w:smallCaps w:val="false"/>
        </w:rPr>
        <w:t xml:space="preserve">– </w:t>
      </w:r>
      <w:r>
        <w:rPr>
          <w:rFonts w:ascii="Times New Roman;serif" w:hAnsi="Times New Roman;serif"/>
          <w:b w:val="false"/>
          <w:i w:val="false"/>
          <w:caps w:val="false"/>
          <w:smallCaps w:val="false"/>
          <w:sz w:val="20"/>
        </w:rPr>
        <w:t xml:space="preserve">Our virtual card solution provides a single-use card number for a specific amount, usable within a defined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timeframe. Virtual cards provide enhanced security relative to checks while reducing total payment costs for our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Full remittance data accompanies each virtual card payment, providing significant reconciliation advantages to ACH and check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We have integrated our virtual card offering into most leading enterprise resource planning (ERP) systems, providing </w:t>
      </w:r>
    </w:p>
    <w:p>
      <w:pPr>
        <w:pStyle w:val="TextBody"/>
        <w:bidi w:val="0"/>
        <w:spacing w:lineRule="atLeast" w:line="240" w:before="0" w:after="0"/>
        <w:jc w:val="left"/>
        <w:rPr/>
      </w:pPr>
      <w:r>
        <w:rPr>
          <w:rFonts w:ascii="Times New Roman;serif" w:hAnsi="Times New Roman;serif"/>
          <w:b w:val="false"/>
          <w:i w:val="false"/>
          <w:caps w:val="false"/>
          <w:smallCaps w:val="false"/>
          <w:sz w:val="20"/>
        </w:rPr>
        <w:t>a seamless experience for our customer's accounts payable personnel.</w:t>
      </w: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built a proprietary merchant acceptance network that accepts our virtual card payments. Our merchant acceptance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network is unique due to the nature of commercial virtual card acceptance. Unlike standard point-of-sale purchases, each issuer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negotiates directly with the merchant for acceptance, so other issuers’ virtual cards are not interchangeable. This network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managed with proprietary technology that allows us to continuously expand virtual card acceptance and optimize the amount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spend we can capture. The scale of this network, coupled with an in-house vendor enrollment service, is a competitive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advantage. Our ERP integrations, API capabilities, strategic vendor enrollment and transaction management tools enable us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optimize our customers’ electronic payables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virtual card solution operates on the Mastercard network. Our customers’ ERP systems are directly integrated with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issuing system, and merchants must be enrolled in our proprietary vendor network to accept our virtual card solution. This two-</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sided transaction, where both payor and receiver are in our network, provides substantial payment security relative to paper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checks or 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rFonts w:ascii="Times New Roman;serif" w:hAnsi="Times New Roman;serif"/>
          <w:b/>
          <w:i/>
          <w:sz w:val="20"/>
        </w:rPr>
        <w:t xml:space="preserve">Purchasing and T&amp;E Cards </w:t>
      </w:r>
      <w:r>
        <w:rPr>
          <w:caps w:val="false"/>
          <w:smallCaps w:val="false"/>
        </w:rPr>
        <w:t xml:space="preserve">– </w:t>
      </w:r>
      <w:r>
        <w:rPr>
          <w:rFonts w:ascii="Times New Roman;serif" w:hAnsi="Times New Roman;serif"/>
          <w:b w:val="false"/>
          <w:i w:val="false"/>
          <w:caps w:val="false"/>
          <w:smallCaps w:val="false"/>
          <w:sz w:val="20"/>
        </w:rPr>
        <w:t xml:space="preserve">Our purchasing and travel &amp; entertainment (T&amp;E) card solutions enable secure, controlled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 for employee-driven operational and travel-related expenses while also delivering meaningful financial benefits 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These card programs are designed to replace manual reimbursement and purchase order processes with streamlined,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auditable card transactions that improve efficiency, enhance visibility and reduce administrative burden.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benefit from robust, real-time spend controls that extend beyond traditional card limits. Administrators can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configure policies by employee, role, department, location or project, and enforce merchant category restrictions, transaction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daily limits, time-based usage rules and approval thresholds. These controls help prevent out-of-policy spend before 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occurs, reduce fraud risk and ensure compliance with internal policies.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to operational efficiency, Corpay’s purchasing and T&amp;E cards provide access to flexible credit lines and rebate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opportunities that can improve cash flow and reduce net spending costs. Customers can leverage card-based credit to better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align cash outflows with business cycles, while rebate programs allow them to earn returns on eligible spend. When deployed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alongside our AP automation and virtual card solutions, purchasing and T&amp;E cards enable customers to optimize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modality by spend type and supplier, increasing electronic payment adoption and strengthening overall spend governance.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Vehicle Payments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Vehicle Payments solutions are purpose-built to enable our customers to pay for vehicle related expenses. For our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we also provide greater control and visibility of spending when compared with less specialized payment methods,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as cash or general-purpose credit cards. Our digital enabled solutions provide customers with significant control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capabilities such as, customizable user-level controls, programmable alerts and detailed transaction reporting. Furthermore,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customers can use the data, controls and tools to combat employee misuse and fraud, streamline expense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administration and potentially lower their operating costs, accessible through sophisticated web portals and mobile applications.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our consumer customers, our Vehicle Payments solutions provide seamless, mobile first digital experiences when paying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certain vehicle related expenses, removing the friction associated with alternative payment methods and having to use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multiple service providers.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utilize both proprietary and third-party payment acceptance networks to deliver our Vehicle Payments solutions.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proprietary networks, which tend to be geographically distinct and unique to the markets we serve, transactions are processed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applications and operating systems owned and operated by us, and only at select participating merchants with whom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contracted directly for acceptance. These proprietary networks generally provide us with better economics, as we control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more of the transaction, and </w:t>
      </w:r>
      <w:r>
        <w:rPr>
          <w:rFonts w:ascii="Times New Roman;serif" w:hAnsi="Times New Roman;serif"/>
          <w:b w:val="false"/>
          <w:i w:val="false"/>
          <w:caps w:val="false"/>
          <w:smallCaps w:val="false"/>
          <w:strike w:val="false"/>
          <w:dstrike w:val="false"/>
          <w:sz w:val="20"/>
          <w:u w:val="none"/>
          <w:effect w:val="none"/>
        </w:rPr>
        <w:t>pass-</w:t>
      </w:r>
      <w:r>
        <w:rPr>
          <w:rFonts w:ascii="Times New Roman;serif" w:hAnsi="Times New Roman;serif"/>
          <w:b w:val="false"/>
          <w:i w:val="false"/>
          <w:caps w:val="false"/>
          <w:smallCaps w:val="false"/>
          <w:sz w:val="20"/>
        </w:rPr>
        <w:t xml:space="preserve">through richer data because of how the networks and point-of-sale software are configured.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Third-party networks are operated by independent parties, such as MasterCard and VISA, and tend to be more broadly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accepted, which is the primary benefit compared with our proprietary networks, although merchant economics tend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inferior.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Vehicle Payments solutions are subject to seasonal fluctuations during the first and fourth quarter each year due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weather, holidays in the U.S. and lower business levels in Brazil due to summer break and the Carnival celebration.</w:t>
      </w:r>
    </w:p>
    <w:p>
      <w:pPr>
        <w:pStyle w:val="TextBody"/>
        <w:bidi w:val="0"/>
        <w:spacing w:lineRule="atLeast" w:line="200" w:before="0" w:after="0"/>
        <w:jc w:val="left"/>
        <w:rPr/>
      </w:pPr>
      <w:r>
        <w:rPr>
          <w:rFonts w:ascii="Times New Roman;serif" w:hAnsi="Times New Roman;serif"/>
          <w:b/>
          <w:i/>
          <w:sz w:val="20"/>
        </w:rPr>
        <w:t xml:space="preserve">Fuel </w:t>
      </w:r>
      <w:r>
        <w:rPr>
          <w:caps w:val="false"/>
          <w:smallCaps w:val="false"/>
        </w:rPr>
        <w:t xml:space="preserve">– </w:t>
      </w:r>
      <w:r>
        <w:rPr>
          <w:rFonts w:ascii="Times New Roman;serif" w:hAnsi="Times New Roman;serif"/>
          <w:b w:val="false"/>
          <w:i w:val="false"/>
          <w:caps w:val="false"/>
          <w:smallCaps w:val="false"/>
          <w:sz w:val="20"/>
        </w:rPr>
        <w:t xml:space="preserve">Our fuel solutions are used by customers to pay and control spending for fuel for vehicles and fleets. Our fuel solutions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fuel type agnostic (fossil fuel, electricity, etc.). We offer fuel solutions primarily to businesses and public sector entities who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operate vehicle fleets, and, in some cases, to consumers in Brazil, Mexico and Europe. At the most basic level, we provide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measurement of fuel used and facilitate the payment for that fuel to the merchant, whether that fuel be diesel, gasoline,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compressed natural gas or electricity, while also providing online control, reporting and tracking capabilities to fleet operators.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many cases we can also deliver fuel price savings to our business customers when compared to the retail price of fuel.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U.K. and Europe, we also enable fleets to significantly streamline the VAT reclaim process by digitizing and itemizing fuel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receipts in a way that is compliant with tax authority requirements.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measurement, control and payment needs of our customers operating electric vehicles (EV) are similar to those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traditional, internal combustion vehicles, just centered around electricity usage instead of gas or diesel usage. As we help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manage through the transition to EVs, many will operate "mixed" fleets (i.e., fleets with a combination of internal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combustion vehicles and EVs) for a long period of time and will need access to all types of fueling, including networks of fuel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stations, electric charging stations both on the road and at the office and at-home charging options. Considering the increased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complexity of managing a mixed or an all EV fleet, our product sets are positioned to remain valuable and capture transaction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economics, regardless of the vehicle type or propulsion method. We have also enhanced our customer platforms and reporting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capabilities to ensure a fully integrated mixed fleet experience for our customers, so they can capture and review all the relevant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fleet insights in one place, eliminating the need to select alternative providers for different fuel types or manage disparate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systems.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Many of our solutions also have additional capabilities. For example, we can enable the fuel card to allow customers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purchase a limited set of non-fuel items, such as oil, tolls, parking and vehicle maintenance supplies and book and pay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vehicle maintenance. Our proprietary EV networks in the U.K. and western Europe, combined with our Mastercard network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U.S., offer access to hundreds of thousands of charge points and the management of at-home charging, while also delivering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 value-added services through a mobile app, including the ability to locate and route to a charge-point, charge-point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recharging speed, pricing and availability. Our EV home-charging software solution is aimed at fleets that need to accurately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 drivers for charging that takes place at home for business purposes, capturing, measuring and accurately pricing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relevant charging sessions and is directly integrated with energy companies to facilitate direct payment, thus bypassing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home energy account. We are actively expanding our EV footprint to accommodate charging in the U.S., U.K. and Europe.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provide program management services to major oil companies, leasing companies and fuel marketers, which allow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partners to outsource the sales, marketing, credit, service and system operations of their branded fuel card portfolios.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fuel partners include Arco, Speedway, Casey's and fuel marketers of all sizes. On the EV side, we also provide similar modular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solutions to vehicle Original Equipment Manufacturers (OEMs) and vehicle leasing specialists who wish to distribute on-road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 charging solutions to consumers buying an EV. We would typically either white-label our charging app or integrate directly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via application programming interface (API) with vehicle OEMs to deliver access to our products. Our vehicle OEM partners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include Renault, NIO, Polestar and Jaguar-Land Rover and our vehicle leasing partners include Ayvens and Arval.</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 xml:space="preserve">Tolls &amp; Parking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Operated primarily in Brazil, we are a leading electronic toll payments provider to businesses and consumers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form of radio frequency identification (RFID) tags affixed to vehicle windshiel</w:t>
      </w:r>
      <w:r>
        <w:rPr>
          <w:rFonts w:ascii="Times New Roman;serif" w:hAnsi="Times New Roman;serif"/>
          <w:b w:val="false"/>
          <w:i w:val="false"/>
          <w:caps w:val="false"/>
          <w:smallCaps w:val="false"/>
          <w:strike w:val="false"/>
          <w:dstrike w:val="false"/>
          <w:sz w:val="20"/>
          <w:u w:val="none"/>
          <w:effect w:val="none"/>
          <w:shd w:fill="FFFFFF" w:val="clear"/>
        </w:rPr>
        <w:t xml:space="preserve">ds. Our tolls solution primarily operates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our proprietary Sem Parar</w:t>
      </w:r>
      <w:r>
        <w:rPr>
          <w:rFonts w:ascii="Times New Roman;serif" w:hAnsi="Times New Roman;serif"/>
          <w:b w:val="false"/>
          <w:i w:val="false"/>
          <w:caps w:val="false"/>
          <w:smallCaps w:val="false"/>
          <w:strike w:val="false"/>
          <w:dstrike w:val="false"/>
          <w:sz w:val="13"/>
          <w:u w:val="none"/>
          <w:effect w:val="none"/>
          <w:shd w:fill="FFFFFF" w:val="clear"/>
        </w:rPr>
        <w:t>TM</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network, which processes transacti</w:t>
      </w:r>
      <w:r>
        <w:rPr>
          <w:rFonts w:ascii="Times New Roman;serif" w:hAnsi="Times New Roman;serif"/>
          <w:b w:val="false"/>
          <w:i w:val="false"/>
          <w:caps w:val="false"/>
          <w:smallCaps w:val="false"/>
          <w:strike w:val="false"/>
          <w:dstrike w:val="false"/>
          <w:sz w:val="20"/>
          <w:u w:val="none"/>
          <w:effect w:val="none"/>
        </w:rPr>
        <w:t>ons for more than 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tagholders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100% of the toll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roads that accept RFID across Brazil. We provide convenience and faster travel for customers, while also reducing manual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labor and cash handling at merchants’ toll booths. Our tolls solution also provides commercial customers with driver routing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controls and fare auditing, mostly in the form of vehicle type and axle count configuration.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tags may also be used at approximately 8,300 participating merchant locations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shd w:fill="FFFFFF" w:val="clear"/>
        </w:rPr>
        <w:t>to purch</w:t>
      </w:r>
      <w:r>
        <w:rPr>
          <w:rFonts w:ascii="Times New Roman;serif" w:hAnsi="Times New Roman;serif"/>
          <w:b w:val="false"/>
          <w:i w:val="false"/>
          <w:caps w:val="false"/>
          <w:smallCaps w:val="false"/>
          <w:strike w:val="false"/>
          <w:dstrike w:val="false"/>
          <w:sz w:val="20"/>
          <w:u w:val="none"/>
          <w:effect w:val="none"/>
        </w:rPr>
        <w:t xml:space="preserve">ase goods and services while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vehicle, such as parking, fuel, car washes and meals at drive-through restaurants. At merchant locations, payment via electronic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tags is faster, safer and more secure for customers, which in turn increases loyalty and throughput for merchants and eliminates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handling of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customers may also use the Sem Parar super app with more than 30 different vehicle-related features, including vehicle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registration payments, car pricing comparison, off-site parking and EV charging among other features with over four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quarterly active users. </w:t>
      </w:r>
    </w:p>
    <w:p>
      <w:pPr>
        <w:pStyle w:val="TextBody"/>
        <w:bidi w:val="0"/>
        <w:spacing w:lineRule="atLeast" w:line="200" w:before="0" w:after="0"/>
        <w:jc w:val="left"/>
        <w:rPr/>
      </w:pPr>
      <w:r>
        <w:rPr>
          <w:rFonts w:ascii="Times New Roman;serif" w:hAnsi="Times New Roman;serif"/>
          <w:b/>
          <w:i/>
          <w:sz w:val="20"/>
        </w:rPr>
        <w:t xml:space="preserve">Vehicle Compliance </w:t>
      </w:r>
      <w:r>
        <w:rPr>
          <w:caps w:val="false"/>
          <w:smallCaps w:val="false"/>
        </w:rPr>
        <w:t xml:space="preserve">– </w:t>
      </w:r>
      <w:r>
        <w:rPr>
          <w:rFonts w:ascii="Times New Roman;serif" w:hAnsi="Times New Roman;serif"/>
          <w:b w:val="false"/>
          <w:i w:val="false"/>
          <w:caps w:val="false"/>
          <w:smallCaps w:val="false"/>
          <w:sz w:val="20"/>
        </w:rPr>
        <w:t xml:space="preserve">Our apps for mobile devices in Brazil allow millions of drivers to pay for vehicle taxes, vehicle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registration and parking and fines instantly. These solutions help drivers manage and monitor their vehicle's and license's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compliance by leveraging technology and data in consolidated and efficient platforms. We are connected with 100% of Brazil's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State Department of Motor Vehicles, providing convenience and a fluid experience for drivers. We offer services using the </w:t>
      </w:r>
      <w:r>
        <w:rPr>
          <w:rFonts w:ascii="Times New Roman;serif" w:hAnsi="Times New Roman;serif"/>
          <w:b w:val="false"/>
          <w:i w:val="false"/>
          <w:caps w:val="false"/>
          <w:smallCaps w:val="false"/>
          <w:strike w:val="false"/>
          <w:dstrike w:val="false"/>
          <w:sz w:val="20"/>
          <w:u w:val="none"/>
          <w:effect w:val="none"/>
          <w:shd w:fill="FFFFFF" w:val="clear"/>
        </w:rPr>
        <w:t xml:space="preserve">Sem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Parar</w:t>
      </w:r>
      <w:r>
        <w:rPr>
          <w:rFonts w:ascii="Times New Roman;serif" w:hAnsi="Times New Roman;serif"/>
          <w:b w:val="false"/>
          <w:i w:val="false"/>
          <w:caps w:val="false"/>
          <w:smallCaps w:val="false"/>
          <w:strike w:val="false"/>
          <w:dstrike w:val="false"/>
          <w:sz w:val="13"/>
          <w:u w:val="none"/>
          <w:effect w:val="none"/>
          <w:shd w:fill="FFFFFF" w:val="clear"/>
        </w:rPr>
        <w:t>TM</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z w:val="20"/>
        </w:rPr>
        <w:t xml:space="preserve">super app and through standalone apps, which have over 4 million active users combined. </w:t>
      </w:r>
    </w:p>
    <w:p>
      <w:pPr>
        <w:pStyle w:val="TextBody"/>
        <w:bidi w:val="0"/>
        <w:spacing w:lineRule="atLeast" w:line="200" w:before="0" w:after="0"/>
        <w:jc w:val="left"/>
        <w:rPr/>
      </w:pPr>
      <w:r>
        <w:rPr>
          <w:rFonts w:ascii="Times New Roman;serif" w:hAnsi="Times New Roman;serif"/>
          <w:b/>
          <w:i/>
          <w:sz w:val="20"/>
        </w:rPr>
        <w:t xml:space="preserve">Auto Insurance and Road Assistance </w:t>
      </w:r>
      <w:r>
        <w:rPr>
          <w:caps w:val="false"/>
          <w:smallCaps w:val="false"/>
        </w:rPr>
        <w:t xml:space="preserve">– </w:t>
      </w:r>
      <w:r>
        <w:rPr>
          <w:rFonts w:ascii="Times New Roman;serif" w:hAnsi="Times New Roman;serif"/>
          <w:b w:val="false"/>
          <w:i w:val="false"/>
          <w:caps w:val="false"/>
          <w:smallCaps w:val="false"/>
          <w:sz w:val="20"/>
        </w:rPr>
        <w:t xml:space="preserve">We offer a variety of auto insurance and roadside assistance services to our customer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 through a physical sales channel with more than four million policies issued so far. Services are rendered in partnership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major insurance companies including Metlife, Inc., Suhai Suguradora and others, which hold the underwriting risks 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 xml:space="preserve">Fleet Maintenance </w:t>
      </w:r>
      <w:r>
        <w:rPr>
          <w:caps w:val="false"/>
          <w:smallCaps w:val="false"/>
          <w:sz w:val="24"/>
        </w:rPr>
        <w:t xml:space="preserve">– </w:t>
      </w:r>
      <w:r>
        <w:rPr>
          <w:rFonts w:ascii="Times New Roman;serif" w:hAnsi="Times New Roman;serif"/>
          <w:b w:val="false"/>
          <w:i w:val="false"/>
          <w:caps w:val="false"/>
          <w:smallCaps w:val="false"/>
          <w:sz w:val="20"/>
        </w:rPr>
        <w:t xml:space="preserve">We provide a SaaS-based vehicle management solution that helps major leasing companies, as well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fleet operators of all sizes, to manage their vehicle maintenance, service and repair needs primarily in the U.K., and also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Germany, France, the Nordics, Ireland, Australia and Portugal. This solution is provided through our proprietary maintenance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repair network, which, in the U.K., processes transactions for fleet customers at </w:t>
      </w:r>
      <w:r>
        <w:rPr>
          <w:rFonts w:ascii="Times New Roman;serif" w:hAnsi="Times New Roman;serif"/>
          <w:b w:val="false"/>
          <w:i w:val="false"/>
          <w:caps w:val="false"/>
          <w:smallCaps w:val="false"/>
          <w:strike w:val="false"/>
          <w:dstrike w:val="false"/>
          <w:sz w:val="20"/>
          <w:u w:val="none"/>
          <w:effect w:val="none"/>
        </w:rPr>
        <w:t>approximately 9,000 service centers</w:t>
      </w:r>
      <w:r>
        <w:rPr>
          <w:rFonts w:ascii="Times New Roman;serif" w:hAnsi="Times New Roman;serif"/>
          <w:b w:val="false"/>
          <w:i w:val="false"/>
          <w:caps w:val="false"/>
          <w:smallCaps w:val="false"/>
          <w:sz w:val="20"/>
        </w:rPr>
        <w:t xml:space="preserv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same platform also provides leasing companies with the ability to manage the re-marketing of leased vehicles and any ad-hoc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vehicle rental needs. In addition, we offer compliance services to the U.K.’s heavy goods (truck) operators, workshops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drivers. Also, we are increasingly extending the platform for use in the small fleet and business-to-business-to-consumer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(B2B2C) space, enabling consumers to access our proprietary maintenance network at advantaged economics to them. Finally,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offer tire repair and management services to leasing companies and large fleets, servicing over one million vehicles across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approximately 25,000 tire centers in Germany, Austria, Switzerland, Norway, Sweden, Finland, Czech Republic and Hungary.</w:t>
      </w:r>
    </w:p>
    <w:p>
      <w:pPr>
        <w:pStyle w:val="TextBody"/>
        <w:bidi w:val="0"/>
        <w:spacing w:lineRule="atLeast" w:line="200" w:before="0" w:after="0"/>
        <w:jc w:val="left"/>
        <w:rPr/>
      </w:pPr>
      <w:r>
        <w:rPr>
          <w:rFonts w:ascii="Times New Roman;serif" w:hAnsi="Times New Roman;serif"/>
          <w:b/>
          <w:i/>
          <w:sz w:val="20"/>
        </w:rPr>
        <w:t xml:space="preserve">Benefits </w:t>
      </w:r>
      <w:r>
        <w:rPr>
          <w:caps w:val="false"/>
          <w:smallCaps w:val="false"/>
        </w:rPr>
        <w:t xml:space="preserve">– </w:t>
      </w:r>
      <w:r>
        <w:rPr>
          <w:rFonts w:ascii="Times New Roman;serif" w:hAnsi="Times New Roman;serif"/>
          <w:b w:val="false"/>
          <w:i w:val="false"/>
          <w:caps w:val="false"/>
          <w:smallCaps w:val="false"/>
          <w:sz w:val="20"/>
        </w:rPr>
        <w:t xml:space="preserve">In Mexico and Brazil, we offer prepaid food vouchers or cards to employees via their employer that may be used 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payment at restaurants and grocery stores. Additionally, in Brazil, we offer prepaid transportation cards and vouchers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that may be used by commuting employees as a form of payment on public transportation.</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Lodging Payments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Lodging Payments solutions help businesses manage and control their lodging costs, simplify the management of offerings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hotels and long-term housing arrangements and provide traveler and end customer support. We serve lodging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three primary verticals: workforce, airlines and insurance. We offer lodging solutions to businesses primarily in North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America and the U.K. that have employees who travel overnight for work purposes, to airlines and cruise lines globally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accommodate both their traveling crews and stranded passengers and to North American residential property insurance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policyholders displaced from their homes due to damage or catastrophe on behalf of property insurance carriers.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size, scale and nature of our lodging customer base enables us to negotiate lodging nightly rates lower than the rates most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companies could negotiate directly and below the rates available to the general public. We utilize both proprietary and third-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party networks where we provide access to deeply discounted hotel rooms with streamlined travel management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thereby providing enhanced controls and reporting, audit and tax management services. We also secure hotel rooms outside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proprietary networks in each of our solutions, including private homes in our insurance vertical. We use proprietary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and payment processing systems to manage customer billings and reports, which, combined with our discounted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hotel network, provide customers with potential savings and increased visibility into their lodging costs.  </w:t>
      </w:r>
    </w:p>
    <w:p>
      <w:pPr>
        <w:pStyle w:val="TextBody"/>
        <w:bidi w:val="0"/>
        <w:spacing w:lineRule="atLeast" w:line="200" w:before="0" w:after="0"/>
        <w:jc w:val="left"/>
        <w:rPr/>
      </w:pPr>
      <w:r>
        <w:rPr>
          <w:rFonts w:ascii="Times New Roman;serif" w:hAnsi="Times New Roman;serif"/>
          <w:b/>
          <w:i/>
          <w:sz w:val="20"/>
        </w:rPr>
        <w:t xml:space="preserve">Workforce </w:t>
      </w:r>
      <w:r>
        <w:rPr>
          <w:caps w:val="false"/>
          <w:smallCaps w:val="false"/>
        </w:rPr>
        <w:t xml:space="preserve">– </w:t>
      </w:r>
      <w:r>
        <w:rPr>
          <w:rFonts w:ascii="Times New Roman;serif" w:hAnsi="Times New Roman;serif"/>
          <w:b w:val="false"/>
          <w:i w:val="false"/>
          <w:caps w:val="false"/>
          <w:smallCaps w:val="false"/>
          <w:sz w:val="20"/>
        </w:rPr>
        <w:t xml:space="preserve">Our workforce lodging solutions provide a comprehensive solution for business travel programs of any size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profile, with the ability to scale to the needs of the customer. Our solution allows customers to find and book lodging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online, via mobile app, directly with the hotel or by calling our travel support center. We provide full-service lodging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for short duration stays, project-based travelers and long duration stay programs. Our solution provides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options, controls and insights they need to streamline their corporate lodging program and optimize their investment in travel. </w:t>
      </w:r>
    </w:p>
    <w:p>
      <w:pPr>
        <w:pStyle w:val="TextBody"/>
        <w:bidi w:val="0"/>
        <w:spacing w:lineRule="atLeast" w:line="200" w:before="0" w:after="0"/>
        <w:jc w:val="left"/>
        <w:rPr/>
      </w:pPr>
      <w:r>
        <w:rPr>
          <w:rFonts w:ascii="Times New Roman;serif" w:hAnsi="Times New Roman;serif"/>
          <w:b/>
          <w:i/>
          <w:sz w:val="20"/>
        </w:rPr>
        <w:t xml:space="preserve">Airlines </w:t>
      </w:r>
      <w:r>
        <w:rPr>
          <w:caps w:val="false"/>
          <w:smallCaps w:val="false"/>
        </w:rPr>
        <w:t>–</w:t>
      </w:r>
      <w:r>
        <w:rPr>
          <w:rFonts w:ascii="Times New Roman;serif" w:hAnsi="Times New Roman;serif"/>
          <w:b w:val="false"/>
          <w:i w:val="false"/>
          <w:caps w:val="false"/>
          <w:smallCaps w:val="false"/>
          <w:sz w:val="20"/>
        </w:rPr>
        <w:t xml:space="preserve">The integration of our processing systems with airline logistics and crew management systems enables us to deliver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incremental enhanced services to the airline travel industry. We offer end-to-end automation of the crew layover process,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providing cost-saving hotel and transport bookings. We also have a proactive disruption system managing flight rebookings,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hotels, meals, compensation and transportation for distressed passengers, which delivers a notification directly to the affected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passenger to self-service based on their individual requirements. With an all-in-one platform, airlines can access automated </w:t>
      </w:r>
    </w:p>
    <w:p>
      <w:pPr>
        <w:pStyle w:val="TextBody"/>
        <w:bidi w:val="0"/>
        <w:spacing w:lineRule="atLeast" w:line="240" w:before="0" w:after="0"/>
        <w:jc w:val="left"/>
        <w:rPr/>
      </w:pPr>
      <w:r>
        <w:rPr>
          <w:rFonts w:ascii="Times New Roman;serif" w:hAnsi="Times New Roman;serif"/>
          <w:b w:val="false"/>
          <w:i w:val="false"/>
          <w:caps w:val="false"/>
          <w:smallCaps w:val="false"/>
          <w:sz w:val="20"/>
        </w:rPr>
        <w:t xml:space="preserve">web-based billing and continual transaction auditing that's tied to their operational data to increase billing accuracy. </w:t>
      </w:r>
      <w:r>
        <w:rPr>
          <w:caps w:val="false"/>
          <w:smallCaps w:val="false"/>
        </w:rPr>
        <w:t xml:space="preserve">  </w:t>
      </w:r>
    </w:p>
    <w:p>
      <w:pPr>
        <w:pStyle w:val="TextBody"/>
        <w:bidi w:val="0"/>
        <w:spacing w:lineRule="atLeast" w:line="200" w:before="0" w:after="0"/>
        <w:jc w:val="left"/>
        <w:rPr/>
      </w:pPr>
      <w:r>
        <w:rPr>
          <w:rFonts w:ascii="Times New Roman;serif" w:hAnsi="Times New Roman;serif"/>
          <w:b/>
          <w:i/>
          <w:sz w:val="20"/>
        </w:rPr>
        <w:t xml:space="preserve">Insurance </w:t>
      </w:r>
      <w:r>
        <w:rPr>
          <w:caps w:val="false"/>
          <w:smallCaps w:val="false"/>
        </w:rPr>
        <w:t xml:space="preserve">– </w:t>
      </w:r>
      <w:r>
        <w:rPr>
          <w:rFonts w:ascii="Times New Roman;serif" w:hAnsi="Times New Roman;serif"/>
          <w:b w:val="false"/>
          <w:i w:val="false"/>
          <w:caps w:val="false"/>
          <w:smallCaps w:val="false"/>
          <w:sz w:val="20"/>
        </w:rPr>
        <w:t xml:space="preserve">We provide temporary housing solutions for displaced residential policyholders of insurance carriers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catastrophe teams, serving at the request and approval of the insurance adjuster while delivering a seamless housing experience.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partner with claims adjusters to determine the best housing solution for policyholders, including extended stay hotels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long-term housing, providing policyholders a mobile app to manage their temporary housing and receipts.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Corpay provides other payments solutions that are not considered within defined segments.</w:t>
      </w:r>
    </w:p>
    <w:p>
      <w:pPr>
        <w:pStyle w:val="TextBody"/>
        <w:bidi w:val="0"/>
        <w:spacing w:lineRule="atLeast" w:line="200" w:before="0" w:after="0"/>
        <w:jc w:val="left"/>
        <w:rPr>
          <w:sz w:val="24"/>
        </w:rPr>
      </w:pPr>
      <w:r>
        <w:rPr>
          <w:rFonts w:ascii="Times New Roman;serif" w:hAnsi="Times New Roman;serif"/>
          <w:b/>
          <w:i/>
          <w:sz w:val="20"/>
        </w:rPr>
        <w:t xml:space="preserve">Gift </w:t>
      </w:r>
      <w:r>
        <w:rPr>
          <w:caps w:val="false"/>
          <w:smallCaps w:val="false"/>
          <w:sz w:val="24"/>
        </w:rPr>
        <w:t xml:space="preserve">– </w:t>
      </w:r>
      <w:r>
        <w:rPr>
          <w:rFonts w:ascii="Times New Roman;serif" w:hAnsi="Times New Roman;serif"/>
          <w:b w:val="false"/>
          <w:i w:val="false"/>
          <w:caps w:val="false"/>
          <w:smallCaps w:val="false"/>
          <w:sz w:val="20"/>
        </w:rPr>
        <w:t xml:space="preserve">We provide fully integrated gift card program management and processing services to retailers in </w:t>
      </w:r>
      <w:r>
        <w:rPr>
          <w:rFonts w:ascii="Times New Roman;serif" w:hAnsi="Times New Roman;serif"/>
          <w:b w:val="false"/>
          <w:i w:val="false"/>
          <w:caps w:val="false"/>
          <w:smallCaps w:val="false"/>
          <w:strike w:val="false"/>
          <w:dstrike w:val="false"/>
          <w:sz w:val="20"/>
          <w:u w:val="none"/>
          <w:effect w:val="none"/>
        </w:rPr>
        <w:t>66 countries</w:t>
      </w:r>
      <w:r>
        <w:rPr>
          <w:rFonts w:ascii="Times New Roman;serif" w:hAnsi="Times New Roman;serif"/>
          <w:b w:val="false"/>
          <w:i w:val="false"/>
          <w:caps w:val="false"/>
          <w:smallCaps w:val="false"/>
          <w:sz w:val="20"/>
        </w:rPr>
        <w:t xml:space="preserve">, in both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plastic and digital form. The gift cards are issued specifically for each customer under their specific brands and are generally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accepted exclusively within their retail network, digitally or in-person.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gift solutions include card design, production and packaging, delivery and fulfillment, card and account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processing, promotion development and management, website design and hosting, program analytics and card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distribution channel management. Our turnkey solution benefits our customers in the form of brand promotion, cardholder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loyalty, increased sales, interest on prepaid balances and breakage on abandoned card balances.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gift solutions are subject to seasonal fluctuations as a result of consumer spending patterns. Historically, gift revenues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been strongest in the third and fourth quarters and weakest in the first and second quarters, as the retail industry has its highest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of activity during and leading up to the Christmas holiday season.</w:t>
      </w:r>
    </w:p>
    <w:p>
      <w:pPr>
        <w:pStyle w:val="TextBody"/>
        <w:bidi w:val="0"/>
        <w:spacing w:lineRule="atLeast" w:line="200" w:before="0" w:after="0"/>
        <w:jc w:val="left"/>
        <w:rPr/>
      </w:pPr>
      <w:r>
        <w:rPr>
          <w:rFonts w:ascii="Times New Roman;serif" w:hAnsi="Times New Roman;serif"/>
          <w:b/>
          <w:i/>
          <w:sz w:val="20"/>
        </w:rPr>
        <w:t>Payroll Card</w:t>
      </w:r>
      <w:r>
        <w:rPr>
          <w:caps w:val="false"/>
          <w:smallCaps w:val="false"/>
        </w:rPr>
        <w:t xml:space="preserve"> – </w:t>
      </w:r>
      <w:r>
        <w:rPr>
          <w:rFonts w:ascii="Times New Roman;serif" w:hAnsi="Times New Roman;serif"/>
          <w:b w:val="false"/>
          <w:i w:val="false"/>
          <w:caps w:val="false"/>
          <w:smallCaps w:val="false"/>
          <w:sz w:val="20"/>
        </w:rPr>
        <w:t xml:space="preserve">We offer a payroll card solution in North America in the form of a reloadable stored value card, that can be used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instead of a paper payroll check. Our solution operates on the Mastercard payment network and the Allpoint ATM network.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payroll cards are issued to our customers’ employees and funded by the employees’ wages. As cardholders, the employees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present the payroll card as a form of payment for personal purchases, transfer funds to their bank account or withdraw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funds from participating ATMs. </w:t>
      </w:r>
    </w:p>
    <w:p>
      <w:pPr>
        <w:pStyle w:val="TextBody"/>
        <w:bidi w:val="0"/>
        <w:spacing w:lineRule="atLeast" w:line="200" w:before="0" w:after="0"/>
        <w:jc w:val="left"/>
        <w:rPr/>
      </w:pPr>
      <w:r>
        <w:rPr>
          <w:rFonts w:ascii="Times New Roman;serif" w:hAnsi="Times New Roman;serif"/>
          <w:b/>
          <w:i w:val="false"/>
          <w:caps w:val="false"/>
          <w:smallCaps w:val="false"/>
          <w:sz w:val="20"/>
        </w:rPr>
        <w:t>Sales and Distribution</w:t>
      </w: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actively market and sell our solutions to current and prospective customers using a multi-channel approach. This go-to-</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 strategy includes comprehensive digital channels, direct sales forces and strategic partner relationships. We continue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expand online, end-to-end capability where the customers can buy, onboard and manage their accounts on their own.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 we leverage an omni-channel approach that enables our sales people to be more efficient by improving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prospecting efforts through digitally sourced leads. In our direct sales force channel, we acquire and manage the customer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relationship, which has historically been either in-person or via telesales. Our capabilities are also offered through indirect sales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channels (e.g., major oil companies and fuel marketers for fuel, retail establishments for tolls and vehicle OEMs for consumer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 solutions) and on a branded or “white label” basis, indirectly through a broad range of resellers and partners across most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solutions. In doing so, we leverage their sales networks to expand our reach into new customer segments, new industry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verticals and new geographies faster and at a significantly lower cost.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respect to our tolls solution, we also place proprietary manned kiosks and unmanned vending machines in areas with high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consumer foot traffic, such as shopping malls, to reach consumers. With respect to our gift solutions, third-party distribution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generally provided by other companies, who are reliant on access to our systems to meet their distribution obligations.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 to our parking solutions, we sign deals with municipalities, local authorities and other parking operators to offer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digital parking app to drivers who need to pay for parking in their locations. Typically, signage is prominently displayed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parking location to direct drivers to download our parking app to facilitate booking and payment. This same app is then used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tool to sell other products &amp; services to these users.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capitalize on our products’ specialization by deploying product-dedicated sales forces to target specific customer segments.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our solution set has expanded, we are also facilitating cross-selling and bundled product offerings to fully leverage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distribution capabilities, capture more spend and revenue from our existing customer base and deliver more value to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which should improve customer loyalty and retention.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Credit Underwriting and Collections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perform a detailed application review of all new applications for credit, evaluating the applications for fraud as well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 risk. With both the fraud and credit review, we leverage third-party data sources, including device data, fraud scores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 bureau data to name a few. The credit review includes a combination of machine learning models, as well as judgmental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underwriting based on customer financials. We employ a variety of tools to manage risk in our portfolio, including billing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frequency, payment terms, spending limits, payment methods, delinquency suspension and security. Further, we use fraud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detection programs, including proprietary and third-party solutions, to monitor transactions and prevent misuse. We monitor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 quality of our portfolio periodically utilizing external credit scores and internal behavior data to identify high risk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deteriorating credit quality accounts and control our risk through various strategies. We conduct targeted strategies to minimize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exposure to high-risk accounts, including reducing spending limits and payment terms or requiring additional security deposits.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Competition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primary competition is from financial institutions providing a full suite of financial products, including general purpose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cards, AP payments (i.e. check and ACH) and cross-border solutions. We also compete with specialized competitive offerings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other companies that vary by product solution.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Corporate Payments: Our corporate payments solutions compete with similar offerings from banks, but also with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companies like American Express and Coupa.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Vehicle Payments: Our fuel solutions compete with similar offerings such as, WEX, U.S. Bank Voyager Fleet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Systems, Edenred, Sodexo, Alelo, Radius Payment Solutions and DKV. Our toll solutions compete with similar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offerings such as, ConectCar, Veloe (Alelo) and Repom (Edenred). Our parking solutions compete with similar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offerings such as ParkMobile, ParkHub, Parking BOXX and FLASH.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Lodging Payments: Our lodging payments solutions compete with similar offerings from traditional travel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companies such as, American Express Global Business Travel, as well as in-house travel solutions 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large corporations and airlines.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Other: Our gift and payroll card solutions compete with similar offerings from Fiserv, other special-purpose card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issuers and payroll companies.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Competitive Advantage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executing our strategy, we are advantaged by our competitive strengths:</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Global Scale</w:t>
      </w:r>
      <w:r>
        <w:rPr>
          <w:caps w:val="false"/>
          <w:smallCaps w:val="false"/>
        </w:rPr>
        <w:t xml:space="preserve"> – </w:t>
      </w:r>
      <w:r>
        <w:rPr>
          <w:rFonts w:ascii="Times New Roman;serif" w:hAnsi="Times New Roman;serif"/>
          <w:b w:val="false"/>
          <w:i w:val="false"/>
          <w:caps w:val="false"/>
          <w:smallCaps w:val="false"/>
          <w:sz w:val="20"/>
        </w:rPr>
        <w:t xml:space="preserve">We have strong market positions across four continents. This enables us to provide new offerings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better cost economics, sell complementary products, acquire attractive assets that can leverage existing infrastructure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cost synergies and introduce successful products and practices from other markets.</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Compounding Growth Model</w:t>
      </w:r>
      <w:r>
        <w:rPr>
          <w:caps w:val="false"/>
          <w:smallCaps w:val="false"/>
        </w:rPr>
        <w:t xml:space="preserve"> – </w:t>
      </w:r>
      <w:r>
        <w:rPr>
          <w:rFonts w:ascii="Times New Roman;serif" w:hAnsi="Times New Roman;serif"/>
          <w:b w:val="false"/>
          <w:i w:val="false"/>
          <w:caps w:val="false"/>
          <w:smallCaps w:val="false"/>
          <w:sz w:val="20"/>
        </w:rPr>
        <w:t xml:space="preserve">Our growth model historically benefits from strong revenue retention, organic growth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new customer acquisitions and selling more value-added products to current customers, via developed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acquired payment solutions.  </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Proprietary Networks</w:t>
      </w:r>
      <w:r>
        <w:rPr>
          <w:caps w:val="false"/>
          <w:smallCaps w:val="false"/>
        </w:rPr>
        <w:t xml:space="preserve"> – </w:t>
      </w:r>
      <w:r>
        <w:rPr>
          <w:rFonts w:ascii="Times New Roman;serif" w:hAnsi="Times New Roman;serif"/>
          <w:b w:val="false"/>
          <w:i w:val="false"/>
          <w:caps w:val="false"/>
          <w:smallCaps w:val="false"/>
          <w:sz w:val="20"/>
        </w:rPr>
        <w:t xml:space="preserve">Our specialized proprietary networks allow for unique data capture at the point-of-sale,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providing an incremental value proposition to our customers. These proprietary networks also provide us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advantageous economics by providing attractive, captive spend to the merchant base.</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Scalable Technology</w:t>
      </w:r>
      <w:r>
        <w:rPr>
          <w:caps w:val="false"/>
          <w:smallCaps w:val="false"/>
        </w:rPr>
        <w:t xml:space="preserve"> – </w:t>
      </w:r>
      <w:r>
        <w:rPr>
          <w:rFonts w:ascii="Times New Roman;serif" w:hAnsi="Times New Roman;serif"/>
          <w:b w:val="false"/>
          <w:i w:val="false"/>
          <w:caps w:val="false"/>
          <w:smallCaps w:val="false"/>
          <w:sz w:val="20"/>
        </w:rPr>
        <w:t>Our easy-to-use platforms provide control and functionality for our customers, and we can 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board incremental customer volume with very limited need for additional infrastructure. We own and control all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critical components to our offering, creating improved speed to market and proprietary feature functionality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marketplace.</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Diversification</w:t>
      </w:r>
      <w:r>
        <w:rPr>
          <w:caps w:val="false"/>
          <w:smallCaps w:val="false"/>
        </w:rPr>
        <w:t xml:space="preserve"> – </w:t>
      </w:r>
      <w:r>
        <w:rPr>
          <w:rFonts w:ascii="Times New Roman;serif" w:hAnsi="Times New Roman;serif"/>
          <w:b w:val="false"/>
          <w:i w:val="false"/>
          <w:caps w:val="false"/>
          <w:smallCaps w:val="false"/>
          <w:sz w:val="20"/>
        </w:rPr>
        <w:t xml:space="preserve">Our solutions and geographic diversification are designed to provide stability through the “portfolio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 when one geography or business is underperforming relative to the others. This allows Corpay to deliver more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consistent financial performance relative to competitors, continue to invest throughout business cycles and reallocate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resources to higher performing businesses.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Technology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technology provides continuous authorization of transactions, processing of critical account and customer information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settlement between merchants, issuing companies and individual commercial entities. We recognize the importance of state-of-</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rFonts w:ascii="Times New Roman;serif" w:hAnsi="Times New Roman;serif"/>
          <w:b w:val="false"/>
          <w:i w:val="false"/>
          <w:caps w:val="false"/>
          <w:smallCaps w:val="false"/>
          <w:sz w:val="20"/>
        </w:rPr>
        <w:t>the-art, s</w:t>
      </w:r>
      <w:r>
        <w:rPr>
          <w:rFonts w:ascii="Times New Roman;serif" w:hAnsi="Times New Roman;serif"/>
          <w:b w:val="false"/>
          <w:i w:val="false"/>
          <w:caps w:val="false"/>
          <w:smallCaps w:val="false"/>
          <w:strike w:val="false"/>
          <w:dstrike w:val="false"/>
          <w:sz w:val="20"/>
          <w:u w:val="none"/>
          <w:effect w:val="none"/>
          <w:shd w:fill="FFFFFF" w:val="clear"/>
        </w:rPr>
        <w:t xml:space="preserve">ecure, efficient and reliable technology in our business and have made significant investments in our applications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infrastructure. In 2025, we sp</w:t>
      </w:r>
      <w:r>
        <w:rPr>
          <w:rFonts w:ascii="Times New Roman;serif" w:hAnsi="Times New Roman;serif"/>
          <w:b w:val="false"/>
          <w:i w:val="false"/>
          <w:caps w:val="false"/>
          <w:smallCaps w:val="false"/>
          <w:strike w:val="false"/>
          <w:dstrike w:val="false"/>
          <w:sz w:val="20"/>
          <w:u w:val="none"/>
          <w:effect w:val="none"/>
        </w:rPr>
        <w:t>ent approximately $408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r>
        <w:rPr>
          <w:rFonts w:ascii="Times New Roman;serif" w:hAnsi="Times New Roman;serif"/>
          <w:b w:val="false"/>
          <w:i w:val="false"/>
          <w:caps w:val="false"/>
          <w:smallCaps w:val="false"/>
          <w:strike w:val="false"/>
          <w:dstrike w:val="false"/>
          <w:sz w:val="20"/>
          <w:u w:val="none"/>
          <w:effect w:val="none"/>
          <w:shd w:fill="FFFFFF" w:val="clear"/>
        </w:rPr>
        <w:t xml:space="preserve">capital and operating expenses to operate, protect and enhance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our technology.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We operate several proprietary processing systems that provide features and functionality to run our card programs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solutions, including our card issuing, processing and information services. Our processing systems also integrate with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proprietary networks, which provide brand awareness and connectivity to our acceptance locations that enables the “end-to-</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end” card acceptance, da</w:t>
      </w:r>
      <w:r>
        <w:rPr>
          <w:rFonts w:ascii="Times New Roman;serif" w:hAnsi="Times New Roman;serif"/>
          <w:b w:val="false"/>
          <w:i w:val="false"/>
          <w:caps w:val="false"/>
          <w:smallCaps w:val="false"/>
          <w:sz w:val="20"/>
        </w:rPr>
        <w:t xml:space="preserve">ta capture and transaction authorization capabilities of our card programs. Our proprietary processing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systems and aggregation software are tailored to meet the unique needs of the individual markets they serve and enable us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create and deliver solutions that serve each of our industry verticals and geographies. Our technology platforms are comprised </w:t>
      </w:r>
    </w:p>
    <w:p>
      <w:pPr>
        <w:pStyle w:val="TextBody"/>
        <w:bidi w:val="0"/>
        <w:spacing w:lineRule="atLeast" w:line="200" w:before="0" w:after="0"/>
        <w:jc w:val="left"/>
        <w:rPr/>
      </w:pPr>
      <w:r>
        <w:rPr>
          <w:rFonts w:ascii="Times New Roman;serif" w:hAnsi="Times New Roman;serif"/>
          <w:b w:val="false"/>
          <w:i w:val="false"/>
          <w:caps w:val="false"/>
          <w:smallCaps w:val="false"/>
          <w:sz w:val="20"/>
        </w:rPr>
        <w:t>of four key components, which were primarily developed and are maintain</w:t>
      </w:r>
      <w:r>
        <w:rPr>
          <w:rFonts w:ascii="Times New Roman;serif" w:hAnsi="Times New Roman;serif"/>
          <w:b w:val="false"/>
          <w:i w:val="false"/>
          <w:caps w:val="false"/>
          <w:smallCaps w:val="false"/>
          <w:strike w:val="false"/>
          <w:dstrike w:val="false"/>
          <w:sz w:val="20"/>
          <w:u w:val="none"/>
          <w:effect w:val="none"/>
          <w:shd w:fill="FFFFFF" w:val="clear"/>
        </w:rPr>
        <w:t xml:space="preserve">ed in-house: (1) a core processing platform; (2)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specialized software; (3) integrated network capab</w:t>
      </w:r>
      <w:r>
        <w:rPr>
          <w:rFonts w:ascii="Times New Roman;serif" w:hAnsi="Times New Roman;serif"/>
          <w:b w:val="false"/>
          <w:i w:val="false"/>
          <w:caps w:val="false"/>
          <w:smallCaps w:val="false"/>
          <w:sz w:val="20"/>
        </w:rPr>
        <w:t>ilities; and (4) a cloud-based architecture with proprietary APIs.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technology function is based in the U.S., Europe and Brazil and has expertise in the management of applications,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networks and infrastructure. We operate application development centers in the U.S., U.K., Netherlands, Czech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Republic, Brazil and New Zealand. Our distributed application architecture allows us to maintain, administer and innovate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solutions in a cost-effective and flexible manner. Our solutions contain significant intellectual property that differentiates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our competition.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continually seek to modernize and evolve our technology solutions through our core information technology (IT)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transformation initiatives. Our IT transformation initiatives are focused on three main pillars: (1) digital strategy; (2) core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systems modernization; and (3) data. Our digital strategy is focused on streamlining a digital customer experience across all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solutions, providing a seamless experience. Additionally, we are investing in modernizing our core transactional systems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make them more resilient, secure and scalable. Our technology infrastructure is supported by highly-secure data centers,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redundant locations. We operate our primary data centers, located in Atlanta, Georgia; Studley, United Kingdom; Prague,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Czech Republic; Las Vegas, Nevada; Lexington and Louisville, Kentucky; São Paulo, Brazil; and Toronto, Canada.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Additionally, as we develop new solutions and modernize legacy assets, we increasingly use cloud services. Through the use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cloud technology and microservices, we are able to modernize our platforms with no disruption to our customers. Finally,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 becoming an ever-increasing part of how we and our customers do business. We are focused on investing in our data assets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deliver value for our customers through improved insights to help them to better control expenses and mitigate fraud. The use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cloud services provides us with increased flexibility and agility. We use only proven technology and expect no foreseeable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capacity limitations.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maintain disaster recovery and business continuity plans. Our telecommunications and internet systems have multiple levels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of redundancy to ensure the reliability of network</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service. In 2025, we achieve</w:t>
      </w:r>
      <w:r>
        <w:rPr>
          <w:rFonts w:ascii="Times New Roman;serif" w:hAnsi="Times New Roman;serif"/>
          <w:b w:val="false"/>
          <w:i w:val="false"/>
          <w:caps w:val="false"/>
          <w:smallCaps w:val="false"/>
          <w:sz w:val="20"/>
        </w:rPr>
        <w:t>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over 99.9%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up-</w:t>
      </w:r>
      <w:r>
        <w:rPr>
          <w:rFonts w:ascii="Times New Roman;serif" w:hAnsi="Times New Roman;serif"/>
          <w:b w:val="false"/>
          <w:i w:val="false"/>
          <w:caps w:val="false"/>
          <w:smallCaps w:val="false"/>
          <w:strike w:val="false"/>
          <w:dstrike w:val="false"/>
          <w:sz w:val="20"/>
          <w:u w:val="none"/>
          <w:effect w:val="none"/>
          <w:shd w:fill="FFFFFF" w:val="clear"/>
        </w:rPr>
        <w:t>time for authorizations globally.</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Safeguarding Our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provide our services, we may collect, use and store sensitive business information and personal information. Some of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is also processed and stored by financial institutions, merchants and other entities, as well as third-party service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providers to whom we outsource certain functions and other agents, which we refer to collectively as, our associated third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parties. We may have responsibility to the card networks, financial institutions and in some instances, our customers, and/or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individuals, for our failure or the failure of our associated third parties (as applicable) to protect this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systems align with industry standards for security, with multiple industry certifications. Our network is configured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multiple layers of security to isolate our core systems from unauthorized access. We use secure communication among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applications, and our employees access critical components strictly on a "need-to-know" basis. We may not be able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adequately protect our systems or the data we collect from continually evolving cybersecurity risks or other technological risks,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could subject us to liability and damage our reputation. See also, "Risks related to information technology and security"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Item 1A for further discussion of the risks we face in connection with our technology systems and potential data breach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cybersecurity risks. Also, see Item 1C Cybersecurity for further discussion of our risk management strategy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governance.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Regulation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substantial number of laws and regulations, both in the U.S. and in other jurisdictions, apply to businesses offering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to customers, processing payments and servicing related accounts, or operating payment networks. These laws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are often evolving and sometimes ambiguous or inconsistent, and the extent to which they apply to us is at times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unclear. Failure to comply with regulations may result in the suspension or revocation of licenses or registrations, the limitation,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suspension, or termination of services or relationships with our bank partners and sponsors and business and sales partners and/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the imposition of civil and criminal penalties, including fines. Certain of our solutions are also subject to rules set by various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 networks, such as Mastercard, as more fully described below.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while not exhaustive, is a description of several federal and state laws and regulations in the U.S., as well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foreign laws and regulations, that are applicable to our business, and therefore can materially affect our capital expenditures,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earnings and competitive position. In addition, the legal and regulatory framework governing our business is subject to ongoing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revision, and changes in that framework could have a significant effect on us.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Money Transmission and Payment Instrument Licensing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subject to various U.S. laws and regulations governing money transmission and the issuance and sale of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instruments. In the U.S., most states license money transmitters and issuers of payment instruments. Through our subsidiaries,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licensed in all states where required for business. Many states exercise authority over the operations related to money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transmission and payment instruments and, as part of this authority, subject us to periodic examinations, which may include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review of our compliance practices, policies and procedures, financial position and related records, privacy and data security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policies and procedures and other matters related to our business. As a result of these periodic examinations, state agencies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sometimes issue to us findings and recommendations, prompting us to make changes to our operations and procedures.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licensee, we are subject to certain restrictions and requirements, including net worth and surety bond requirements, record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keeping and reporting requirements, requirements for regulatory approval of controlling stockholders or direct and indirect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changes of control of the licensee and certain other corporate events and requirements to maintain certain levels of permissible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investments in an amount equal to our outstanding payment obligations. Many states as well as the Financial Crimes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Enforcement Network of the U.S. Department of the Treasury (FinCEN) also require money transmitters and issuers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 instruments to comply with federal and state anti-money laundering laws (AML) and regulations. See “Anti-Money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Laundering, Counter Terrorist and Sanctions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Recently, a number of state legislatures have adopted all or parts of a new money transmission and sales of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instruments model law, the Money Transmission Modernization Act. State laws regarding money transmission and sales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 instruments requirements may continue to change in the future. Additionally, government agencies may impose new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additional requirements on money transmission and sales of payment instruments. We expect that compliance costs will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the future for our regulated subsidiaries.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Privacy and Information Security Laws and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provide services that are subject to various state, federal and foreign privacy and information security laws and regulations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among others, the Gramm-Leach-Bliley Act, the EU’s General Data Protection Regulation (GDPR) and its Network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Information Security (NIS) Directive, the U.K.'s GDPR and NIS Regulations, Canada’s Personal Information Protection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Electronic Documents Act and Brazil’s General Data Protection Law. In the U.S., we are now subject to several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comprehensive data privacy laws at the state level, including the California Consumer Privacy Act, as amended by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California Privacy Rights Act, the Virginia Consumer Data Protection Act, the Colorado Privacy Act (effective July 1, 2023),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Connecticut Data Privacy Act (effective July 1, 2023) and the Utah Consumer Privacy Act (effective December 31, 2023).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also subject to the separate security breach notification laws of each of the 50 states and the District of Columbia. Some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non-U.S. data protection laws, including in the U.K. and EU, impose restrictions on the international transfer of personal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absent lawfully recognized transfer mechanisms or, in some cases, prohibit such transfer completely. Going forward, we will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likely be subject to new and evolving data privacy laws in the U.S. and abroad, which could result in additional costs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compliance, enforcement actions, regulatory investigations and fines, individual or class action litigation, or reputational harm.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and similar laws and their related regulations collectively restrict certain collection, processing, storage, use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disclosure of personal information, require notice to individuals of privacy practices and provide individuals with certain rights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prevent use and disclosure of protected information. Some also impose requirements for the safeguarding and proper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destruction of personal information through the issuance of data security standards or guidelines. In many cases they impose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obligations to notify affected individuals, state officers or other governmental authorities, the media and consumer reporting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agencies, as well as businesses and governmental agencies, of security breaches affecting personal information. In addition,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some restrict the ability to collect and utilize certain types of information such as Social Security and driver’s license numbers.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laws and regulations are complex and evolving and can provide for significant penalties for non-compliance. We incur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expect to continue to incur significant and ongoing operating costs as part of our efforts to comply with applicable laws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regarding personal information. These efforts also may divert management and employee attention from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initiatives.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of our products that access payment networks require compliance with Payment Card Industry (PCI) data security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standards. See “Payment Card Industry Rules.”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Email and Text Marketing Laws and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use email marketing and text-messaging to reach out to current or potential customers and therefore are subject to various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statutes, regulations and rulings, including the Telephone Consumer Protection Act (TCPA), the Controlling the Assault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Non-Solicited Pornography and Marketing Act (CAN-SPAM Act) and related Federal Communication Commission (FCC)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orders. Several states have enacted additional, more restrictive and punitive laws regulating telemarketing and commercial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email. Foreign legislation exists as well, including Canada’s Anti-Spam Legislation and the European laws that have been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enacted pursuant to European Union Directive 2002/58/EC and its amendments. Although we believe that our telemarketing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email practices comply with the relevant regulatory requirements, violations could result in enforcement actions, statutory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fines and penalties, class action litigation and reputational harm.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Unfair or Deceptive Business Practices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 persons engaged in commerce, including, but not limited to, us and our bank sponsors and customers, are subject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enforcement by the FTC, under Section 5 of the Federal Trade Commission Act, and state attorneys general,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various consumer-protection statutes, prohibiting unfair or deceptive acts or practices, and certain products also are subject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jurisdiction of the Consumer Financial Protection Bureau (CFPB) regarding the prohibition of unfair, deceptive, or abusive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acts and practices. As a service provider to certain of our bank sponsors, we may further be subject to direct supervision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examination by federal banking regulators in connection with certain of our products and services, which may increase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compliance costs. If we are accused of violating any of these laws, rules and regulations, we may be subject to enforcement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actions and as a result, may incur losses and liabilities that may impact our business.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Lending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subject to several laws and related regulations governing the provision and administration of credit. The Truth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Lending Act (TILA) was enacted as a consumer protection measure to increase consumer awareness of the cost of credit and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protect consumers from unauthorized charges or billing errors and is implemented by the CFPB’s Regulation Z. Most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provisions of TILA and Regulation Z apply only to the extension of consumer credit, but a limited number of provisions apply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commercial cards as well. One example where TILA and Regulation Z are generally applicable is a limitation on liability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unauthorized use, although a business that acquires 10 or more credit cards for its personnel can agree to more expansive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liability. Our cardholder agreements generally provide that these business customers waive, to the fullest extent possible, 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limitations on liability for unauthorized card use. The Equal Credit Opportunity Act (ECOA) together with Regulation B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prohibit creditors from discriminating on certain prohibited bases, such as an applicant’s sex, race, nationality, age and marital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status and further requires that creditors disclose the reasons for taking any adverse action against an applicant or a customer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seeking credit. The Fair Credit Reporting Act (FCRA) regulates consumer reporting agencies and the disclosure and use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consumer reports. We obtain consumer reports with respect to an individual who guarantees or otherwise is obligated on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card. The Fair and Accurate Credit Transactions Act of 2003 amended FCRA and requires creditors to adopt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identity theft prevention programs to detect, prevent and mitigate identity theft in connection with covered accounts, which can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include business accounts for which there is a reasonably foreseeable risk of identity theft.</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Anti-Money Laundering, Counter Terrorist and Sanctions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Currency and Foreign Transactions Reporting Act, which is also known as the Bank Secrecy Act (BSA) and which has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been amended by the USA PATRIOT Act of 2001, contains a variety of provisions aimed at fighting terrorism and money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laundering. Among other things, the BSA and related regulations issued by FinCEN require financial-services providers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establish AML programs, to prohibit the financing of terrorism, to report suspicious activity and to maintain a number of related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records. We are also subject to certain economic and trade sanctions programs that are administered by the U.S. Department of </w:t>
      </w:r>
    </w:p>
    <w:p>
      <w:pPr>
        <w:pStyle w:val="TextBody"/>
        <w:bidi w:val="0"/>
        <w:spacing w:lineRule="atLeast" w:line="200" w:before="0" w:after="0"/>
        <w:jc w:val="left"/>
        <w:rPr/>
      </w:pPr>
      <w:r>
        <w:rPr>
          <w:rFonts w:ascii="Times New Roman;serif" w:hAnsi="Times New Roman;serif"/>
          <w:b w:val="false"/>
          <w:i w:val="false"/>
          <w:caps w:val="false"/>
          <w:smallCaps w:val="false"/>
          <w:sz w:val="20"/>
        </w:rPr>
        <w:t>Treasury’s Office of Foreign Assets Control (OFAC)</w:t>
      </w:r>
      <w:r>
        <w:rPr>
          <w:caps w:val="false"/>
          <w:smallCaps w:val="false"/>
        </w:rPr>
        <w:t xml:space="preserve"> </w:t>
      </w:r>
      <w:r>
        <w:rPr>
          <w:rFonts w:ascii="Times New Roman;serif" w:hAnsi="Times New Roman;serif"/>
          <w:b w:val="false"/>
          <w:i w:val="false"/>
          <w:caps w:val="false"/>
          <w:smallCaps w:val="false"/>
          <w:sz w:val="20"/>
        </w:rPr>
        <w:t xml:space="preserve">that prohibit or restrict transactions to or from or dealings with specified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countries, their governments and, in certain circumstances, their nationals, narcotics traffickers and terrorists or terrorist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organizations. In addition to economic sanctions programs, we are also subject to a number of international laws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regulations focused on fighting terrorism and money laundering, including primarily:</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in Canada, Proceeds of Crime (Money Laundering) and Terrorist Financing Act (PCMLTFA);</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in Australia, as a registered remittance dealer with AUSTRAC, the Anti-Money Laundering and Counter-Terrorism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 2006 (AML/CTF Act);</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in the U.K., as a registered Electronic Money Institution with the Financial Conduct Authority, the Proceeds of Crime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 2002 and the Terrorism Act 2000;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in Ireland, the Criminal Justice (Money Laundering and Terrorist Financing) Act 2010, as amended by Part 2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Criminal Justice Act 2013 and by the Criminal Justice (Money Laundering and Terrorist Financing) (Amendment) Act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2018; and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in the EU, AML requirements promulgated under the 4th, 5th and 6th EU Anti-Money Laundering Directives.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Numerous other countries have also enacted or proposed new or enhanced AML legislation and regulations applicable to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Non-banks that provide certain financial services are required to register with FinCEN as “money services businesses” (MSB).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are registered as MSBs.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provisions of the BSA known as the Prepaid Access Rule issued by FinCEN impose certain obligations, such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registration and collection of consumer information, on “providers” of certain prepaid access programs, including the stored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 products issued by our sponsor banks for which we serve as program manager. FinCEN has taken the position that, where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issuing bank has principal oversight and control of such prepaid access programs, no other participant in the distribution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chain would be required to register as a provider under the Prepaid Access Rule. Despite this position, we have opted to register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provider of prepaid access through our subsidiary, Comdata Inc.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Interchange Fees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Dodd-Frank Wall Street Reform and Consumer Protection Act of 2010 (Dodd-Frank Act) effected comprehensive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revisions to a wide array of federal laws governing financial institutions, financial services and financial markets. The Durbin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Amendment to the Dodd-Frank Act provided that interchange fees that a card issuer or payment network receives or charges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debit transactions must be “reasonable and proportional” to the cost incurred by the card issuer in authorizing, clearing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settling the transaction. Payment network fees may not be used directly or indirectly to compensate card issuers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circumvention of the interchange transaction fee restrictions. The Federal Reserve has capped debit interchange fees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reduce the cap in the future, however the cap has not had a material direct impact on our results of operations because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operate under an exemption to the cap for the majority of our debit transactions.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Anti-Bribery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Foreign Corrupt Practices Act (FCPA) prohibits the payment of bribes to foreign government officials and political figures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includes anti-bribery provisions enforced by the Department of Justice and accounting provisions enforced by the Securities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Exchange Commission (SEC). The statute has a broad reach, covering all U.S. companies and citizens doing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abroad, among others, and defining a foreign official to include not only those holding public office but also local citizens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affiliated with foreign government-run or -owned organizations. The statute also requires maintenance of appropriate books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records and maintenance of adequate internal controls to prevent and detect possible FCPA violations. We are subject to similar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statutes in certain foreign jurisdictions in which we operate, such as the U.K. Bribery Act.</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Payment Card Industry Rules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connection with certain services we provide for payment cards bearing the Mastercard brand and to those acting as merchants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accepting those cards, we must comply with the bylaws, regulations and requirements that are promulgated by Mastercard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applicable payment-card organizations, including the Payment Card Industry Data Security Standard (PCI DSS),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Mastercard Site Data Protection Program (SDP) and other applicable data-security program requirements. A breach of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 card network rules could subject us to a variety of fines or penalties that may be levied by the payment networks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acts or omissions. The payment networks routinely update and modify their requirements. Our failure to comply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networks’ requirements or to pay the fines they impose could cause the termination of our registration and require us to stop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processing transactions on their networks. Our subsidiary, Comdata Inc., is PCI DSS 3.2 compliant.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also subject to network operating rules promulgated by the National ACH Association relating to payment transactions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processed by us using the ACH network.</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Escheat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be subject to unclaimed or abandoned property (escheat) laws in the U.S. that require us to turn over to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 authorities the property of others that we hold that has been unclaimed for a specified period of time, such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 instruments that have not been presented for payment and account balances that are due to a customer following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discontinuation of our relationship. We may be subject to audit by individual U.S. states with regard to our escheatment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practices.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Prepaid Card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Prepaid card programs that we manage may be subject to various federal and state laws and regulations, such as the Credit Card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Accountability, Responsibility and Disclosure Act of 2009 (CARD Act) and the CFPB’s Regulation E, which impose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requirements on general-use prepaid cards, store gift cards and electronic gift certificates.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State Usury Laws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Extensions of credit under many of our card products may be treated as commercial loans and may require state licensing.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some states, usury laws limit the interest rates that can be charged not only on consumer loans but on commercial loans as well.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the extent that these usury laws apply, we are limited in the amount of interest that we can charge and collect from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Because we have substantial operations in multiple jurisdictions, we utilize choice of law provisions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cardholder agreements as to the laws of which jurisdiction to apply. With respect to card products where we work with a partner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issuing bank, the partner bank may utilize the law of the jurisdiction applicable to the bank and “export” the usury limit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that state in connection with cards issued to residents of other states or we may use our choice of law provisions.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Derivatives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Rules adopted under the Dodd-Frank Act by the Commodity Futures Trading Commission (CFTC), provisions of the European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 Infrastructure Regulation and its technical standards, as well as derivative reporting in Canada and the U.S.,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subjected certain of the foreign exchange derivative contracts we offer to our customers as part of our cross-border payments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to reporting, recordkeeping and other requirements. Additionally, certain foreign exchange derivatives transactions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enter into in the future may be subject to centralized clearing requirements, or may be subject to margin requirements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U.S., U.K. and European Union. Other jurisdictions outside the U.S., U.K. and the European Union are considering,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implemented, or are implementing regulations similar to those described above.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Other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must contractually comply with certain regulations to which our sponsor banks are subject, as applicable. We may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examined by our sponsor banks’ regulators and be subject to audits by certain sponsor banks relative to such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Housing Assistance Tax Act of 2008 requires information returns to be made for each calendar year by merchants,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acquiring entities and third-party settlement organizations with respect to payments made in settlement of electronic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transactions and third-party payment network transactions occurring in that calendar year. Reportable transactions are also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 to backup withholding requirements. We are required to comply with these requirements for the merchants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Comdata network. We could be liable for penalties if our information return is not in compliance with these regulations.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 xml:space="preserve">Human Capital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As of December 31, 2025, Corpay emplo</w:t>
      </w:r>
      <w:r>
        <w:rPr>
          <w:rFonts w:ascii="Times New Roman;serif" w:hAnsi="Times New Roman;serif"/>
          <w:b w:val="false"/>
          <w:i w:val="false"/>
          <w:caps w:val="false"/>
          <w:smallCaps w:val="false"/>
          <w:sz w:val="20"/>
        </w:rPr>
        <w:t xml:space="preserve">yed approximately 11,800 associates located in 34 countries around the world, with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approximately 4,300 of those associates based in the U.S. At </w:t>
      </w:r>
      <w:r>
        <w:rPr>
          <w:rFonts w:ascii="Times New Roman;serif" w:hAnsi="Times New Roman;serif"/>
          <w:b w:val="false"/>
          <w:i w:val="false"/>
          <w:caps w:val="false"/>
          <w:smallCaps w:val="false"/>
          <w:strike w:val="false"/>
          <w:dstrike w:val="false"/>
          <w:sz w:val="20"/>
          <w:u w:val="none"/>
          <w:effect w:val="none"/>
          <w:shd w:fill="FFFFFF" w:val="clear"/>
        </w:rPr>
        <w:t>Corpay</w:t>
      </w:r>
      <w:r>
        <w:rPr>
          <w:rFonts w:ascii="Times New Roman;serif" w:hAnsi="Times New Roman;serif"/>
          <w:b w:val="false"/>
          <w:i w:val="false"/>
          <w:caps w:val="false"/>
          <w:smallCaps w:val="false"/>
          <w:sz w:val="20"/>
        </w:rPr>
        <w:t xml:space="preserve">, we strongly believe that talent is a determinant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 and success. Our values-driven people programs, practices and policies have been developed to ensure we are 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attract, retain and develop the quality of talent necessary to advance our key initiatives and achieve our strategic objectives.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firmly committed to delivering a strong employee value proposition and unique employment experience 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associates which, in turn, should lead to better customer experiences and business outcomes.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Culture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culture has evolved through time, as we have grown considerably both organically and through acquisitions. Despite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Corpay’s expansive size and geographic scope, we seek to retain a strong entrepreneurial spirit and share a common vision,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mission and set of values, which together serve as cornerstones to our “One Corpay” culture. Our values, listed below,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infused in all aspects of Corpay and guide our employee selection, behavior and interactions with both internal and external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stakeholders:</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Innovation – figure out a better way</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Execution – get it done; outputs matter</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Integrity – do the right thing</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People – we make the difference</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Collaboration – accomplish more together</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of December 31, 2025, females represente</w:t>
      </w:r>
      <w:r>
        <w:rPr>
          <w:rFonts w:ascii="Times New Roman;serif" w:hAnsi="Times New Roman;serif"/>
          <w:b w:val="false"/>
          <w:i w:val="false"/>
          <w:caps w:val="false"/>
          <w:smallCaps w:val="false"/>
          <w:sz w:val="20"/>
        </w:rPr>
        <w:t xml:space="preserve">d approximately 50% of our global workforce and approximately 17%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senior leadership team, while minorities comprised approximately 32% of our domestic workforce and approximately 17%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senior leadership team.</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Employee Wellness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Corpay’s benefits programs are designed to meet the evolving needs of our workforce across the globe. Because we want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employees and their families to thrive, in additional to our regular benefit offerings, we also focus on physical and mental well-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being. As part of our benefit programs we offer free online fitness classes, discounted gym memberships, weight-loss classes,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access to employee assistance programs in all regions and Mental Health Awareness programs globally.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Talent Development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 offers a variety of high-quality learning opportunities, designed to support employee development and organizational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effectiveness. Learning opportunities are available in all geographies at all levels and incorporate personal, business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leadership skills development with the goal of empowering our organization, creating avenues for closing skill gaps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enhancing the capabilities of our workforce. Leadership, teamwork, communication and many other soft skills are vital 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success. We offer a wide variety of career opportunities and paths to advancement through on-the-job coaching, training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education. We are proud to be a company where an associate can start as an intern and turn it into a successful career.</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The Voice of the Employee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continue to develop and refine our people programs based on feedback we receive directly from our workforce, which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gather through a survey of all employees globally. The participation rate for our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survey was approximately 51%.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employee engagement score 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remained consistent with previous years. We believe our employee proposition remains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strong and we continue to attract and retain top talent. We continue to share the detailed engagement scores across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organization and analyze the results to understand differences by geography, demographics, job level and leader, and to identify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opportunities for further improvement. We also conduct pulse surveys and focus groups to assess the ongoing engagement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workforce.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January 2025, Corpay published its latest Corporate Responsibility &amp; Sustainability Report (CRS Report), in which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provided detailed information about the Company’s views and approaches regarding environmental, social and governance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issues. Our CRS Report also includes details related to our global talent strategy, inclusion efforts, employee wellness and talent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Our CRS Reports may be accessed electronically at https://investor.corpay.com, in the governance section.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Additional Information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maintain a website at www.corpay.com. The information on our website is not incorporated by reference into this Annual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 on Form 10-K. We make available on or through our website certain reports and amendments to those reports that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file with or furnish the SEC in accordance with the Securities and Exchange Act of 1934, as amended ( the "Exchange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 These include our Annual Reports on Form 10-K, our Quarterly Reports on Form 10-Q and our Current Reports on Form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8-K. We make this information available on our website free of charge as soon as reasonably practicable after we electronically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file the information with, or furnish it to, the SEC.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the SEC maintains a website that contains reports, proxy and information statements and other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regarding issuers that file electronically at https://www.sec.gov.</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X. EXECUTIVE OFFICERS OF THE REGISTRANT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sets forth certain information regarding our executive officers, with their respective ages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Our officers serve at the discretion of our board of directors. There are no family relationships between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our directors or executive officers.</w:t>
      </w:r>
    </w:p>
    <w:tbl>
      <w:tblPr>
        <w:tblW w:w="8231" w:type="dxa"/>
        <w:jc w:val="left"/>
        <w:tblInd w:w="0" w:type="dxa"/>
        <w:tblLayout w:type="fixed"/>
        <w:tblCellMar>
          <w:top w:w="28" w:type="dxa"/>
          <w:left w:w="28" w:type="dxa"/>
          <w:bottom w:w="28" w:type="dxa"/>
          <w:right w:w="28" w:type="dxa"/>
        </w:tblCellMar>
      </w:tblPr>
      <w:tblGrid>
        <w:gridCol w:w="1576"/>
        <w:gridCol w:w="109"/>
        <w:gridCol w:w="391"/>
        <w:gridCol w:w="109"/>
        <w:gridCol w:w="6046"/>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Name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Age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Position(s)</w:t>
            </w:r>
          </w:p>
        </w:tc>
      </w:tr>
      <w:tr>
        <w:trPr/>
        <w:tc>
          <w:tcPr>
            <w:tcW w:w="15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Ronald F. Clarke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Chief Executive Officer and Chairman of the Board of Directors</w:t>
            </w:r>
          </w:p>
        </w:tc>
      </w:tr>
      <w:tr>
        <w:trPr/>
        <w:tc>
          <w:tcPr>
            <w:tcW w:w="15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Peter Walker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Financial Officer</w:t>
            </w:r>
          </w:p>
        </w:tc>
      </w:tr>
      <w:tr>
        <w:trPr/>
        <w:tc>
          <w:tcPr>
            <w:tcW w:w="15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Alan King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Group President—International Vehicle Payments</w:t>
            </w:r>
          </w:p>
        </w:tc>
      </w:tr>
      <w:tr>
        <w:trPr/>
        <w:tc>
          <w:tcPr>
            <w:tcW w:w="15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Armando L. Netto</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Group President—Brazil Vehicle Payments and Strategic Transformation</w:t>
            </w:r>
          </w:p>
        </w:tc>
      </w:tr>
    </w:tbl>
    <w:p>
      <w:pPr>
        <w:pStyle w:val="TextBody"/>
        <w:bidi w:val="0"/>
        <w:spacing w:lineRule="atLeast" w:line="200" w:before="0" w:after="0"/>
        <w:jc w:val="left"/>
        <w:rPr/>
      </w:pPr>
      <w:r>
        <w:rPr>
          <w:rFonts w:ascii="Times New Roman;serif" w:hAnsi="Times New Roman;serif"/>
          <w:b w:val="false"/>
          <w:i/>
          <w:sz w:val="20"/>
        </w:rPr>
        <w:t>Ronald F. Clarke</w:t>
      </w:r>
      <w:r>
        <w:rPr>
          <w:caps w:val="false"/>
          <w:smallCaps w:val="false"/>
        </w:rPr>
        <w:t xml:space="preserve"> </w:t>
      </w:r>
      <w:r>
        <w:rPr>
          <w:rFonts w:ascii="Times New Roman;serif" w:hAnsi="Times New Roman;serif"/>
          <w:b w:val="false"/>
          <w:i w:val="false"/>
          <w:caps w:val="false"/>
          <w:smallCaps w:val="false"/>
          <w:sz w:val="20"/>
        </w:rPr>
        <w:t xml:space="preserve">has been our Chief Executive Officer since August 2000 and was appointed Chairman of our Board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Directors in March 2003. From 1999 to 2000, Mr. Clarke served as President and Chief Operating Officer of AHL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 a staffing firm. From 1990 to 1998, Mr. Clarke served as Chief Marketing Officer and later as a Division President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Automatic Data Processing, Inc., a human resources software and services company. From 1987 to 1990, Mr. Clarke was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Principal with Booz Allen Hamilton, a global management consulting firm. Earlier in his career, Mr. Clarke was a marketing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manager for General Electric Company, a diversified technology, media and financial services corporation.</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Peter Walker</w:t>
      </w:r>
      <w:r>
        <w:rPr>
          <w:caps w:val="false"/>
          <w:smallCaps w:val="false"/>
          <w:sz w:val="24"/>
        </w:rPr>
        <w:t xml:space="preserve"> </w:t>
      </w:r>
      <w:r>
        <w:rPr>
          <w:rFonts w:ascii="Times New Roman;serif" w:hAnsi="Times New Roman;serif"/>
          <w:b w:val="false"/>
          <w:i w:val="false"/>
          <w:caps w:val="false"/>
          <w:smallCaps w:val="false"/>
          <w:sz w:val="20"/>
        </w:rPr>
        <w:t xml:space="preserve">has been our Chief Financial Officer ("CFO") since July 2025. Prior to joining Corpay, Mr. Walker served as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CFO at Instructure Holdings, Inc. ("Instructure"), an education technology company, from November 2023 to July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his tenure with Instructure, Mr. Walker led the privatization of Instructure with its sale to Kohlberg Kravis Roberts &amp;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 Prior to Instructure, Mr. Walker was CFO of Sterling Check Corp., a company providing pre-employment background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checks, from July 2019 to November 2023, and CFO of Jackson Hewitt Tax Service Inc. ("Jackson Hewitt"), a tax preparation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 from July 2017 to May 2018. Prior to Jackson Hewitt, Mr. Walker spent over 17 years at Assurant, Inc. in finance,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accounting and strategy roles, finishing his career there as Global Chief Strategy Officer. </w:t>
      </w:r>
    </w:p>
    <w:p>
      <w:pPr>
        <w:pStyle w:val="TextBody"/>
        <w:bidi w:val="0"/>
        <w:spacing w:lineRule="atLeast" w:line="200" w:before="0" w:after="0"/>
        <w:jc w:val="left"/>
        <w:rPr/>
      </w:pPr>
      <w:r>
        <w:rPr>
          <w:rFonts w:ascii="Times New Roman;serif" w:hAnsi="Times New Roman;serif"/>
          <w:b w:val="false"/>
          <w:i/>
          <w:strike w:val="false"/>
          <w:dstrike w:val="false"/>
          <w:sz w:val="20"/>
          <w:u w:val="none"/>
          <w:effect w:val="none"/>
          <w:shd w:fill="FFFFFF" w:val="clear"/>
        </w:rPr>
        <w:t xml:space="preserve">Alan King </w:t>
      </w:r>
      <w:r>
        <w:rPr>
          <w:rFonts w:ascii="Times New Roman;serif" w:hAnsi="Times New Roman;serif"/>
          <w:b w:val="false"/>
          <w:i w:val="false"/>
          <w:caps w:val="false"/>
          <w:smallCaps w:val="false"/>
          <w:strike w:val="false"/>
          <w:dstrike w:val="false"/>
          <w:sz w:val="20"/>
          <w:u w:val="none"/>
          <w:effect w:val="none"/>
          <w:shd w:fill="FFFFFF" w:val="clear"/>
        </w:rPr>
        <w:t xml:space="preserve">has served as our Group President — International Vehicle Payments since December 2023 and prior to that was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Group President of Global Fleet since May 2022. Mr. King joined Corpay in August 2016 and served as our President - U.K.,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Australia and New Zealand, based in London, until June 2019. From July 2019 to April 2022, Mr. King was Group President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Europe, Australia and New Zealand Fuel. Prior to joining us, Mr. King worked at Mastercard Inc. ("Mastercard") where he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most recently Managing Director, MasterCard Prepaid Management Services. During his 11 year career at Mastercard, Mr.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King held the roles of Group Head, Global Prepaid Solutions, Group General Manager for Market and Business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 the U.K. &amp; Ireland and General Manager, Global Accounts. Prior to Mastercard, Mr. King held leadership positions at VISA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Inc. in the CEMEA region from 2003 to 2005 and at Citigroup Inc. from 1998 to 2003, largely across commercial payments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international markets. Mr. King spent the early part of his career in the telecom and automotive industries, in various sales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marketing roles covering Europe.</w:t>
      </w:r>
    </w:p>
    <w:p>
      <w:pPr>
        <w:pStyle w:val="TextBody"/>
        <w:bidi w:val="0"/>
        <w:spacing w:lineRule="atLeast" w:line="200" w:before="0" w:after="0"/>
        <w:jc w:val="left"/>
        <w:rPr/>
      </w:pPr>
      <w:r>
        <w:rPr>
          <w:rFonts w:ascii="Times New Roman;serif" w:hAnsi="Times New Roman;serif"/>
          <w:b w:val="false"/>
          <w:i/>
          <w:sz w:val="20"/>
        </w:rPr>
        <w:t xml:space="preserve">Armando L. Netto </w:t>
      </w:r>
      <w:r>
        <w:rPr>
          <w:rFonts w:ascii="Times New Roman;serif" w:hAnsi="Times New Roman;serif"/>
          <w:b w:val="false"/>
          <w:i w:val="false"/>
          <w:caps w:val="false"/>
          <w:smallCaps w:val="false"/>
          <w:sz w:val="20"/>
        </w:rPr>
        <w:t xml:space="preserve">is our Group President — Brazil Vehicle Payments and Strategic Transformation as of January 2026.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December 2023 to December 2025, Mr. Netto served as our Group President — Brazil and U.S. Vehicle Payments and prior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was our Group President – Brazil since June 2014. Prior to joining us, Mr. Netto led IT Services for TIVIT, an IT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process outsourcing (BPO) services company, from 2006 to 2014, where he led the integration of functional areas into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business unit, focused on onboarding new clients and ensuring service quality. Prior to TIVIT, Mr. Netto held various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leadership roles with Unisys Corporation and McKinsey &amp; Company, where he gained international experience in Europe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supporting clients in the U.K., France, Austria, Portugal and the Netherlands.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ITEM 1A. RISK </w:t>
      </w:r>
      <w:r>
        <w:rPr>
          <w:rFonts w:ascii="Times New Roman;serif" w:hAnsi="Times New Roman;serif"/>
          <w:b/>
          <w:i w:val="false"/>
          <w:caps w:val="false"/>
          <w:smallCaps w:val="false"/>
          <w:strike w:val="false"/>
          <w:dstrike w:val="false"/>
          <w:sz w:val="20"/>
          <w:u w:val="none"/>
          <w:effect w:val="none"/>
        </w:rPr>
        <w:t>FACTORS</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You should carefully consider the following risks applicable to us. If any of the following risks actually occur, our business,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operating results, financial condition and the trading price of our common stock could be materially adversely affected. The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risks discussed below also include forward-looking statements, and our actual results may differ substantially from those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discussed in these forward-looking statements. See “Note Regarding Forward-Looking Statements” in this report.</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information technology and security</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are dependent on the efficient and uninterrupted operation of interconnected computer systems, telecommunications,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data centers and call centers, including technology and network systems managed by multiple third parties, which could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result in our inability to prevent disruptions in our services.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ability to provide reliable service to customers, cardholders and other network participants depends upon uninterrupted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 of our data centers and call centers as well as third-party labor and services providers. Incidents affecting these third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parties, including disruptions, system outages, technology failures or vulnerabilities, capacity constraints, insolvency, or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cybersecurity incidents could disrupt our services and extend recovery times beyond our control. Our business involves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processing large numbers of transactions, the movement of large sums of money and the management of large amounts of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rely on the ability of our employees, contractors, suppliers, systems and processes to complete these transactions 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secure, uninterrupted and error-free manner.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subsidiaries operate in various countries and country-specific factors, such as power availability, telecommunications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carrier redundancy, embargoes and regulations can adversely impact our information processing by, or for, our local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subsidiaries.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engage backup facilities for each of our processing centers for key systems and data. However, there could be material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delays in fully activating backup facilities depending on the nature of the breakdown, security breach, cyberattack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catastrophic event (such as fire, explosion, flood, pandemic, natural disaster, power loss, telecommunications failure or physical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break-in). Although, we have controls and documented measures to mitigate these risks, these mitigating controls might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reduce the duration, scope or severity of an outage in time to avoid adverse effects. Disruptions could result in transaction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delays or failure, financial losses, contractual penalties, regulatory scrutiny and damage to our reputation. In addition, evolving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frameworks focused on operational resilience and incident reporting may increase our obligations and potential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exposure arising from such events.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may experience cybersecurity incidents, software defects, system errors, outages and development delays, which could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damage customer relationships, decrease our profitability and expose us to liability.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depends heavily on the reliability, availability and security of proprietary and third-party processing systems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cloud infrastructure. A system outage could adversely affect our business, financial condition or results of operations,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damaging our reputation or exposing us to third-party liability. To successfully operate our business, we must be able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protect our processing and other systems from interruption, including from events that may be beyond our control. Events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cause system interruptions include, but are not limited to, fire, natural disaster, unauthorized entry, power loss,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telecommunications failure, computer viruses, ransomware or other cybersecurity incidents, technology failures, software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vulnerabilities, terrorist acts and war. Although we have taken steps to protect against data loss and system failures, there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 still risk that we may lose critical data or experience system failures, and that our controls may not be effective in 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circumstances.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solutions are based on sophisticated software and computing systems that are constantly evolving. We often encounter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delays and cost overruns in developing changes implemented to our systems. In addition, the underlying software may contain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undetected errors, viruses or defects. Defects in our software products and errors or delays in our processing of electronic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transactions could result in additional development costs, diversion of technical and other resources from our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efforts, loss of credibility with current or potential customers, harm to our reputation or exposure to liability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claims. In addition, we rely on technologies supplied to us by third parties that may also contain undetected errors,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vulnerabilities or defects that could adversely affect our business, financial condition or results of operations. Although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attempt to limit our potential liability for warranty claims through disclaimers in our software documentation and limitation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liability provisions in our licenses and other agreements with our customers, we cannot assure that these measures will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successful in limiting our liability or covering all losses.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operate in an evolving regulatory environment for cybersecurity and data privacy. New or expanded disclosure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notification obligations could increase our compliance costs and exposure to enforcement or litigation following an incident.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may not be able to adequately protect our systems or the data we collect from continually evolving cybersecurity and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data-protection risks, which could subject us to liability and damage our reputation.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electronically receive, process, store and transmit data and sensitive information about our customers and merchants,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bank account information, social security numbers, expense data and credit card, debit card and checking account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numbers. We endeavor to keep this information confidential; however, our websites, networks, information systems,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technologies may be targeted for sabotage, disruption or misappropriation. The uninterrupted operation of our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systems and our ability to maintain the confidentiality of the customer and consumer information that resides on our systems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critical to the successful operation of our business. Unauthorized access to our networks and computer systems could result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theft or publication of confidential information or the deletion or modification of records or could otherwise cause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interruptions in our service and operations.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are not aware of any recent m</w:t>
      </w:r>
      <w:r>
        <w:rPr>
          <w:rFonts w:ascii="Times New Roman;serif" w:hAnsi="Times New Roman;serif"/>
          <w:b w:val="false"/>
          <w:i w:val="false"/>
          <w:caps w:val="false"/>
          <w:smallCaps w:val="false"/>
          <w:sz w:val="20"/>
        </w:rPr>
        <w:t xml:space="preserve">aterial breach of our or our associated third parties’ computer systems, although we and others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our industry are regularly the subject of attempts by bad actors to gain unauthorized access to these computer systems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data or to obtain, change or destroy confidential data (including personal consumer information of individuals) through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variety of means.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Because techniques used to sabotage or obtain unauthorized access to our systems and the data we collect change frequently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may not be recognized until launched against a target, especially considering heightened threats and risks associated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artificial intelligence and other technologies, we may be unable to anticipate these techniques or to implement adequate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preventative measures. An incident may not be detected until well after it occurs and the severity and potential impact may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fully known for a substantial period of time after it has been discovered. Our ability to address incidents may also depend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timing and nature of assistance that may be provided from relevant governmental or law enforcement agencies. Threats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systems and our associated third parties’ systems can derive from human error, fraud or malice on the part of employees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 parties, or may result from accidental technological failure. Computer viruses can be distributed and could infiltrate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systems or those of our associated third parties. In addition, denial of service or other attacks could be launched against us for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variety of purposes, including to interfere with our services or create a diversion for other malicious activities. Although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believe we have sufficient controls in place to prevent disruption and misappropriation and to respond to such attacks,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inability to prevent security breaches could have a negative impact on our reputation, expose us to liability, decrease market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acceptance of electronic transactions and cause our present and potential clients to choose another service provider.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the risk of cyber-attacks has increased in connection with the military and geopolitical conflicts around the world,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between Russia and Ukraine and within the Middle East. In light of those and other geopolitical events, nation-state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actors or their supporters may launch retaliatory cyber-attacks and may attempt to cause supply chain and other third-party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 provider disruptions, or take other geopolitically motivated retaliatory actions that may disrupt our business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 in data compromise, or both. Nation-state actors have in the past carried out, and may in the future carry out, cyber-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attacks to achieve their aims and goals, which may include espionage, information operations, monetary gain, ransomware,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disruption and destruction.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could also be subject to liability for claims relating to misuse of personal information, such as unauthorized marketing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purposes and violation of data privacy laws. For example, we are subject to a variety of U.S. and international statutes,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and rulings relevant to the direct email marketing and text-messaging industries. If we were ever found to be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violation, our business, financial condition, operating results and cash flows could be materially adversely affected. We cannot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assurance that the contractual requirements related to security and privacy that we impose on our service providers who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access to customer and consumer data will be followed or will be adequate to prevent the unauthorized use or disclosure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data. In addition, we have agreed in certain agreements to take certain protective measures to ensure the confidentiality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 data. The costs of systems and procedures associated with such protective measures, as well as the cost of deploying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 personnel, training our employees and hiring outside experts, may increase and could adversely affect our ability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compete effectively. Any failure to adequately enforce or provide these protective measures could result in liability, protracted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costly litigation, governmental and card network intervention and fines, remediation costs and with respect to misuse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personal information of our customers, lost revenue and reputational harm. While we maintain insurance covering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security and privacy damages and claim expenses above a certain financial retention level, we may not carry insurance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maintain coverage sufficient to compensate for all liability and such insurance may not be available for renewal on acceptable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terms or at all, and in any event, insurance coverage would not address the reputational damage that could result from a security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incident.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under payment network rules, regulatory requirements and related obligations, we may be responsible for the acts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failures to act of certain third parties, such as third-party service providers, vendors, partners and others, which we refer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collectively as associated participants. The failure of our associated participants to safeguard cardholder data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in accordance with such rules, requirements and obligations could result in significant fines and sanctions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harm our reputation and deter existing and prospective customers from using our services. We cannot assure you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are written agreements in place with every associated participant or that such written agreements will ensure the adequate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safeguarding of such data or information or allow us to seek reimbursement from associated participants. Any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unauthorized use or disclosure of data or information also could result in litigation that could result in a material adverse effect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our business, financial condition and 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our business and operations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If we fail to develop and implement new technology, products and services, adapt our products and services to changes in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technology, or if our ongoing efforts to upgrade our technology, products and services are not successful, we could lose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customers and partners.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markets for our solutions are highly competitive and characterized by rapid technological change, frequent introduction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new products and services, evolving industry standards and evolving customer needs. We must respond to the technological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advances offered by our competitors, including the use of artificial intelligence and the requirements of regulators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and partners, in order to maintain and improve upon our competitive position and fulfill contractual obligations.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unsuccessful in expanding our technological capabilities and developing, marketing, selling or encouraging adoption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new or enhanced products and services that meet these changing demands, which could jeopardize our competitive position.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Similarly, if new technologies are developed that displace our offerings for use by businesses, we may be unsuccessful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adequately responding to customer practices and our transaction volume may decline. In addition, we regularly engage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efforts to upgrade our products, services and underlying technology, which may or may not be successful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achieving market acceptance or their intended purposes, and may require more time or investment than planned.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Artificial intelligence technologies, including machine learning and generative AI, are being rapidly adopted across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payments and enterprise software industries to improve automation, analytics, fraud detection, customer support and decision-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making. Our competitors, customers and partners may increasingly expect AI-enabled functionality and efficiencies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solutions they purchase and use. If we do not identify, develop, license, acquire and integrate AI technologies into our products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operations on a timely basis, or if we are unable to obtain the data, computing resources or specialized personnel needed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 so cost-effectively, our products and services may become less competitive, we may experience slower growth, reduced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volumes, loss of customers or partners, and pressure on margins. In addition, AI-enabled products offered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competitors or third parties could disintermediate aspects of our offerings or reduce demand for certain of our solutions.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solutions we deliver are designed to process complex transactions and provide reports and other information on those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transactions, all at high volumes and processing speeds. New or enhanced offerings can present performance, scalability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interoperability challenges, and any failure to deliver effective and secure products or services, or any performance issue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arises with a new product or service, could result in significant processing or reporting errors, customer dissatisfaction or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losses. We may rely on third parties to develop or co-develop solutions or to incorporate our solutions into broader platforms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commercial payments and adjacent use cases. We may not be able to enter into such relationships on attractive terms, or 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 and these relationships may not be successful. In addition, partners, some of whom may be our competitors or potential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competitors, may choose to develop competing solutions on their own or with third parties.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order to remain competitive, we are continually involved in a number of projects, including the development of new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platforms, mobile payment applications, e-commerce services and other new offerings emerging in the payments technology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industry, including with respect to domestic and international corporate payments, and EVs. These projects carry the risks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associated with any development effort, including cost overruns, delays in delivery and performance problems. Additionally,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be unable to attract, develop and retain personnel with the skills necessary to execute our strategy in key locations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the pace required. Any delay in the delivery of new services or the failure to differentiate our services could render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services less desirable to customers, or possibly even obsolete.</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operate in a competitive business environment, and if we are unable to compete effectively, our business, operating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results, and financial condition would be adversely affected.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market for our solutions is highly competitive, and competition could intensify in the future. Our competitors vary in size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in the scope and breadth of the products and services they offer. Our primary competitors in the Vehicle Payments solutions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small regional and large independent fleet card providers (some providing vouchers for food, fuel, tolls and transportation),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major oil companies and petroleum marketers that issue their own fleet cards, banks and major financial services companies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provide card services to major oil companies and petroleum marketers. Corporate Payments solutions face a variety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competitors, some of which have greater financial resources, name recognition and scope and breadth of products and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Moreover, certain Corporate Payments competitors are able to operationalize and scale certain decentralized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technologies quicker like cryptocurrencies. Competitors in the Lodging Payments solutions include travel agencies, online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lodging discounters, internal corporate procurement and travel resources and independent lodging and services providers.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most significant competitive factors in our business are the breadth of product and service features, network acceptance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size, customer service, payment terms, account management, and price. We may experience competitive disadvantages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 to any of these factors from time to time as potential customers prioritize or value these competitive factors differently.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a specific offering of our features, networks and pricing may serve as a competitive advantage with respect to one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 and a disadvantage for another based on the customers’ preferences.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Some of our existing and potential competitors have longer operating histories, greater brand name recognition, larger customer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bases, more extensive customer relationships or greater financial and technical resources than we do. In addition, our larger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competitors may have greater resources than we do to devote to the promotion and sale of their products and services and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pursue acquisitions. Many of our competitors provide additional and unrelated products and services to customers, such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treasury management, commercial lending and credit card processing, which allow them to bundle their products and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together and present them to existing customers with whom they have established relationships, sometimes at a discount. If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price competition continues to intensify, we may have to increase the incentives that we offer to our customers, decrease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prices of our solutions or lose customers, each of which could adversely affect our operating results. In Vehicle Payments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solutions, major oil companies, petroleum marketers and large financial institutions may choose to integrate fuel card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complement to their existing or complementary card products and services to adapt more quickly to new or emerging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technologies, such as EVs, and changing opportunities, standards or customer requirements. To the extent that our competitors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regarded as leaders in specific categories, they may have an advantage over us as we attempt to further penetrate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categories.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Overall, increased competition and services in our markets could result in intensified pricing pressure, reduced profit margins,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increased sales and marketing expenses and a failure to increase, or a loss of, market share. We may not be able to maintain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improve our competitive position against our current or future competitors, which could adversely affect our business,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results and financial condition.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Adverse effects on demand for our business-related products and services, from unfavorable macroeconomic conditions,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weather conditions, natural catastrophes or public health crises or from changes to business purchasing practices, could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adversely affect our financial condition and operating results.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Adverse macroeconomic conditions within the U.S. or internationally, including but not limited to recessions or economic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downturns, inflation, rising or volatile interest rates, deteriorating credit conditions, labor shortages and disputes, high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unemployment, currency fluctuations, actual or anticipated large-scale defaults or failures, terrorist attacks, prolonged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recurring government shutdowns, regional or domestic hostilities, and economic sanctions and export controls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tariffs), as well as the prospect or occurrence of more widespread conflicts, rising energy prices, a slowdown of global trade,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reduced consumer, small business, government and corporate spending, have a direct impact on the demand for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business-related products, including fuel, lodging and payment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Similarly, prolonged adverse weather events, travel bans as a result of medical quarantine, geopolitical conflicts or in response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natural catastrophes, especially those that impact regions in which we process a large number and amount of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transactions, could adversely affect our transaction volumes. While our lodging solutions generally benefit from weather-related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events, disasters or catastrophic events in the future, including the impact of such events on certain industries or the overall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economy, could have a negative effect on our business, results of operations and infrastructure, including our technology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systems. Climate change may exacerbate certain of these threats, including the frequency and severity of weather-related events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subsequent physical disruptions to supply chains.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Likewise, recent political, investor and industry focus on greenhouse gas emissions and climate change issues, as well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energy-transition dynamics and policies affecting fossil fuel demand, may adversely affect the volume of transactions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operations of the oil companies, merchants and truck stop owners with whom we maintain strategic relationships,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which could adversely impact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our transaction volume mix could be adversely affected if businesses do not continue to use our offerings or they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 and/or fail to increase their use of our offerings as a payment mechanism for their transactions.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If we fail to adequately assess and monitor credit risks or fraud of or by, our customers or third parties, we could experience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an increase in credit loss.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subject to the credit risk of our customers which range in size from small sole proprietorships to large publicly traded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companies. We use various methods to screen potential customers and establish appropriate credit limits, but these methods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cannot eliminate all potential credit risks and may not always prevent us from approving customer applications that are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credit-worthy or are fraudulently completed. Changes in our industry, customer demand and, in relation to our fuel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movement in fuel prices may result in periodic increases to customer credit limits and spending and, as a result, could lead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increased credit losses. We may also fail to detect changes to the credit risk of customers over time. Further, during a declining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economic environment, we may experience increased customer defaults and preference claims by bankrupt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Additionally, the counterparties to the derivative financial instruments that we use in our cross-border solution to reduce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exposure to various market risks, including changes in foreign exchange rates, may fail to honor their obligations, which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expose us to risks we had sought to mitigate. This risk includes the exposure generated when we write derivative contracts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customers as part of our cross-border solution, and we typically hedge the net exposure through offsetting contracts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established financial institution counterparties. If a customer or financial institution counterparty becomes insolvent, files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bankruptcy, commits fraud or otherwise fails to pay us, we may be exposed to the value of one or more relevant offsetting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positions or may bear financial risk for those receivables where we have offered trade credit. If we fail to adequately manage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credit risks or monitor for fraud, our bad debt expense could be significantly higher than historic levels and adversely affect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operating results and financial condition.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of being subject to the Federal Reserve Board's and Federal Deposit Insurance Corporation's (FDIC's) rules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qualified financial contracts (QFCs) and similar rules in other jurisdictions, we may not be able to exercise remedies against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counterparties and, as this regime has not yet been tested, we may suffer risks or losses that we would not have expected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suffer if we could immediately close out transactions upon a termination event. The International Swaps and Derivatives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Association (ISDA) Protocols and these rules and regulations extend to repurchase agreements and other instruments that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derivative contracts.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If one or more of our counterparty financial institutions default on their financial or performance obligations to us or fail,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may incur significant losses.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significant amounts of cash, cash equivalents, receivables outstanding and other investments on deposit or in accounts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banks or other financial institutions in the U.S. and international jurisdictions. Among other services, certain banks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financial institutions are lenders under our credit facilities, hold customer deposits for customers funds payable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demand and hold cash collateral received from customers for derivative transactions as part of our cross-border solution.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regularly monitor our concentration of, and exposure to, counterparty risk and actively manage this exposure to mitigate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associated risk. Despite these efforts, we may be exposed to the risk of default on obligations by, or deteriorating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results or financial condition or failure of, these counterparty financial institutions. If one of our counterparty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institutions were to become insolvent, placed into receivership, or file for bankruptcy, our ability to recover losses incurred 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 of default or to access or recover our assets that are deposited, held in accounts with, or otherwise due from,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counterparty may be limited due to the insufficiency of the failed institutions’ estate to satisfy all claims in full or the applicable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laws or regulations governing the insolvency, bankruptcy, or resolution proceedings. We could also face liquidity constraints if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unable to timely transfer or access funds, securities or collateral. In the event of default on obligations by, or the failure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one or more of these counterparties, we could incur significant losses, which could negatively impact our results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operations and financial condition.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Our business may be adversely affected by geopolitical risks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foreign operations in, or provide services for customers in more than 200 countries throughout North America, South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America, Europe, Africa and Asia. We also expect to seek to expand our operations into various additional countries in Asia,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Europe and Latin America as part of our growth strategy.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Some of the countries where we operate, and other countries where we will seek to operate, have undergone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political, economic and social change and events (such as the military conflicts in Ukraine and the Middle East) in recent years,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the U.S. In addition, changes in laws or regulations, including with respect to payment service providers, taxation,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tariffs, information technology, data transmission and revenues from non-U.S. operations, or in the interpretation of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existing laws or regulations, whether caused by a change in government or otherwise, could materially adversely affect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business, operating results and financial condition.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actively monitoring the changes and events and assessing the impact on our business. The extent, severity, duration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outcome of market disruptions could be significant and could potentially have substantial impact on the global economy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our business for an unknown period of time.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Responses by countries</w:t>
      </w:r>
      <w:r>
        <w:rPr>
          <w:rFonts w:ascii="Times New Roman;serif" w:hAnsi="Times New Roman;serif"/>
          <w:b w:val="false"/>
          <w:i w:val="false"/>
          <w:caps w:val="false"/>
          <w:smallCaps w:val="false"/>
          <w:sz w:val="20"/>
        </w:rPr>
        <w:t xml:space="preserve">, such as sanctions, export controls and tariffs, will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adversely affect the global economy and financial markets and could adversely affect our business, financial condition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results of operations or otherwise aggravate the other risk factors that we identify herein. We cannot predict the scope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macroeconomic factors because these measures are complex and evolving, and may require rapid changes to our products,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or customer onboarding and screening processes. Our efforts to comply with changes may be costly and time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consuming and will divert the attention of management. Any alleged or actual failure to comply with these measures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 us to government scrutiny, civil or criminal proceedings, sanctions and other liabilities, which may have a material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adverse effect on our business, financial condition and results of operations. We continue to refine our business continuity plan,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includes crisis response materials designed to mitigate the impact of significant disruptions to our business, but there can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 no assurance that our plan will successfully mitigate all disruptions.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conducting and expanding our international operations subjects us to other political, economic, technological,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operational and regulatory risks and difficulties that we do not generally face in the U.S. including exchange controls,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repatriation restrictions, shifting import and export regimes, evolving local payments regulations and heightened enforcement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uncertainty. We cannot be certain that the investment and additional resources required to establish, acquire or integrate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operations in other countries will produce desired levels of revenue or profitability.</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We may incur substantial losses due to fraudulent use of our payment solutions.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certain circumstances, when we fund customer transactions, we may bear the risk of substantial losses due to fraudulent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use of our payment solutions. We do not maintain insurance to protect us against all of such losses. We bear similar risk relating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fraudulent acts of employees or contractors, for which we maintain insurance. However, the conditions or limits of coverage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may be insufficient to protect us against such losses.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Criminals are using increasingly sophisticated methods to engage in illegal activities involving financial products, such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skimming and counterfeiting payment cards, account takeovers and identity theft. A single significant incident of fraud,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increases in the overall level of fraud, involving our cards and other products and services, could result in reputational damage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us, which could reduce the use and acceptance of our cards and other payment solutions and services or lead to greater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 that would increase our compliance costs. Fraudulent activity could also result in the imposition of 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sanctions, including significant monetary fines, which could have a material adverse effect on our business, financial condition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Any decrease in our receipt of fees and charges, or limitations on our fees and charges, could adversely affect our business,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results of operations and financial condition.</w:t>
      </w:r>
    </w:p>
    <w:p>
      <w:pPr>
        <w:pStyle w:val="TextBody"/>
        <w:bidi w:val="0"/>
        <w:spacing w:lineRule="atLeast" w:line="200" w:before="0" w:after="0"/>
        <w:jc w:val="left"/>
        <w:rPr/>
      </w:pPr>
      <w:r>
        <w:rPr>
          <w:rFonts w:ascii="Times New Roman;serif" w:hAnsi="Times New Roman;serif"/>
          <w:b w:val="false"/>
          <w:i w:val="false"/>
          <w:caps w:val="false"/>
          <w:smallCaps w:val="false"/>
          <w:sz w:val="20"/>
        </w:rPr>
        <w:t>Our card solutions include a variety of fees and charges associ</w:t>
      </w:r>
      <w:r>
        <w:rPr>
          <w:rFonts w:ascii="Times New Roman;serif" w:hAnsi="Times New Roman;serif"/>
          <w:b w:val="false"/>
          <w:i w:val="false"/>
          <w:caps w:val="false"/>
          <w:smallCaps w:val="false"/>
          <w:strike w:val="false"/>
          <w:dstrike w:val="false"/>
          <w:sz w:val="20"/>
          <w:u w:val="none"/>
          <w:effect w:val="none"/>
          <w:shd w:fill="FFFFFF" w:val="clear"/>
        </w:rPr>
        <w:t>ated with transactions, cards, repo</w:t>
      </w:r>
      <w:r>
        <w:rPr>
          <w:rFonts w:ascii="Times New Roman;serif" w:hAnsi="Times New Roman;serif"/>
          <w:b w:val="false"/>
          <w:i w:val="false"/>
          <w:caps w:val="false"/>
          <w:smallCaps w:val="false"/>
          <w:sz w:val="20"/>
        </w:rPr>
        <w:t xml:space="preserve">rts, optional services and late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payments. Revenues for late fees and finance charges represented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approximately 3%</w:t>
      </w:r>
      <w:r>
        <w:rPr>
          <w:caps w:val="false"/>
          <w:smallCaps w:val="false"/>
          <w:sz w:val="24"/>
        </w:rPr>
        <w:t xml:space="preserve"> </w:t>
      </w:r>
      <w:r>
        <w:rPr>
          <w:rFonts w:ascii="Times New Roman;serif" w:hAnsi="Times New Roman;serif"/>
          <w:b w:val="false"/>
          <w:i w:val="false"/>
          <w:caps w:val="false"/>
          <w:smallCaps w:val="false"/>
          <w:sz w:val="20"/>
        </w:rPr>
        <w:t xml:space="preserve">of our consolidated revenue for the year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If the users of our cards decrease their transaction activity, or the extent to which they use optional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or pay invoices late, our revenue could be materially adversely affected. In addition, several market factors can affect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amount of our fees and charges, including the market for similar charges for competitive card products and the availability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alternative payment methods. Furthermore, regulators and Congress have passed, and continue to consider, new legislation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regulations that change the electronic payments industry’s pricing, charges and other practices related to its customers.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restrictions on our ability to price our products and services, including caps on late fees and finance charges, network fee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or requirements to modify billing, disclosure or dispute practices, could materially and adversely affect our revenue.</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are subject to risks related to volatility in the macroeconomic environment, which could adversely affect our revenue and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operating results.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of our foreign operations, we are subject to risks related to changes in currency rates for revenue generated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currencies other than the U.S. dollar.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approximately 51%</w:t>
      </w:r>
      <w:r>
        <w:rPr>
          <w:caps w:val="false"/>
          <w:smallCaps w:val="false"/>
          <w:sz w:val="24"/>
        </w:rPr>
        <w:t xml:space="preserve"> </w:t>
      </w:r>
      <w:r>
        <w:rPr>
          <w:rFonts w:ascii="Times New Roman;serif" w:hAnsi="Times New Roman;serif"/>
          <w:b w:val="false"/>
          <w:i w:val="false"/>
          <w:caps w:val="false"/>
          <w:smallCaps w:val="false"/>
          <w:sz w:val="20"/>
        </w:rPr>
        <w:t xml:space="preserve">of our revenue was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denominated in currencies other than the U.S. dollar (primarily, Brazilian real, British pound, euro, Canadian dollar, Australian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 Mexican peso, Czech koruna and New Zealand dollar). Revenue and profit generated by international operations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or decrease compared to prior periods as a result of changes in foreign currency exchange rates. Resulting exchange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gains and losses are included in our net income.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we earn revenue in our cross-border solution from exchanges of currency at spot rates, which enable customers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make cross-currency payments. The cross-border solution also writes foreign currency derivative contracts for our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duration of these derivative contracts at inception is generally less than one year. The credit risk associated with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derivative contracts increases when foreign currency exchange rates move against our customers, possibly impacting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ability to honor their obligations to deliver currency to us or to maintain appropriate collateral with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Additionally, from time to time, we have and expect to continue to enter into cross-currency swap agreements with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institutions to hedge against the effect of variability in the U.S. dollar to foreign exchange rates. The swap agreements require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exchange of the notional amounts between us and the counterparties upon expiration or earlier termination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agreements. If, at the expiration or earlier termination of the swap agreements, the U.S. dollar to applicable foreign exchange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rate has declined from the rate in effect on the execution date, we are required to pay the counterparties an amount equal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excess of the U.S. dollar value over the respective foreign currency principal amount. In the event of a significant decline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applicable exchange rate, our payment obligations to the counterparties could have a material adverse effect on our cash flows.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Furthermore, we are subject to exchange control regulations that restrict or prohibit the conversion of more than a specified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amount of our foreign currencies into U.S. dollars and, as we continue to expand, we may become subject to further exchange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 regulations that limit our ability to freely utilize and transfer currency in and out of particular jurisdictions.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We estimate during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approximately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consolidated revenue was directly influenced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by the absolute price of fuel. Approximately 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consolidated revenue dur</w:t>
      </w:r>
      <w:r>
        <w:rPr>
          <w:rFonts w:ascii="Times New Roman;serif" w:hAnsi="Times New Roman;serif"/>
          <w:b w:val="false"/>
          <w:i w:val="false"/>
          <w:caps w:val="false"/>
          <w:smallCaps w:val="false"/>
          <w:sz w:val="20"/>
        </w:rPr>
        <w:t xml:space="preserve">ing the year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was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derived from transactions where our revenue is tied to fuel price spreads. When our fleet customers purchase fuel,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arrangements in our Vehicle Payments solutions generate revenue as a percentage of the fuel transaction purchase amount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arrangements generate revenue based on fuel price spreads. The fuel price that we charge to any Vehicle Payments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 is dependent on several factors including, among others, the fuel price paid to the fuel merchant, posted retail fuel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prices and competitive fuel prices. The significant volatility in fuel prices can impact these revenues by lowering total fuel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purchase amounts and tightening fuel price spreads. We experience fuel price spread contraction when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merchant’s wholesale cost of fuel increases at a faster rate than the fuel price we charge to our Vehicle Payments customers,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fuel price we charge to our Vehicle Payments customers decreases at a faster rate than the merchant’s wholesale cost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volatility could be due to many factors outside our control, such as geopolitical risk, pandemics, new oil production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slowdowns, shifting of customer preferences (e.g., shift to EV), actions by the Organization of the Petroleum Exporting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Countries (OPEC) and others, speculative trading, changing government regulation, and weather and general economic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conditions. Such volatility could make it more difficult to effectively utilize the cash generated by our operations,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adversely affect our financial condition.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The value of certain of our solutions depend, in part, on relationships with bank partners, oil companies, fuel and lodging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merchants, truck stop operators, airlines, sales channels and other channels and partnerships to grow our business. The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failure to maintain and grow existing relationships, or establish new relationships, could adversely affect our revenues and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operating results.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success of our solutions is in part dependent on our ability to maintain relationships with bank partners, major oil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companies, petroleum marketers, closed-loop fuel and lodging merchants, truck stop operators, airlines, sales channels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channels and partnerships (each of whom we refer to as our “partners”).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relationships vary in length and may be renegotiated at the end of their respective terms. Due to the highly competitive,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at times exclusive, nature of these relationships, we often must participate in a competitive bidding process to establish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continue the relationships. Such bidding processes may focus on a limited number of factors, including pricing, which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affect our ability to effectively compete for these relationships.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loss of, failure to maintain, or failure to establish new relationships, or the weakness or decrease in size of companies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whom we maintain relationships, could adversely affect our ability to serve our customers, as well as adversely affect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solutions and operating results.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the various partners with whom we maintain relationships experience bankruptcy, financial distress, or otherwise are forced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contract their operations, our solutions could be adversely impacted. Similarly, because some of our solutions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independently marketed, certain other adverse events outside our control, like those companies’ failure to maintain their brands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or a decrease in the size of their branded networks may adversely affect our ability to grow our revenue.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Furthermore, we facilitate payment and foreign exchange solutions for enterprises of all sizes using a global network of bank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relationships. Increased regulation and compliance requirements are impacting these businesses and our bank relationships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making it more costly for us to provide our solutions or by making it more cumbersome for businesses to do business with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factors that increase the cost for us, our bank relationships, or customers or that restrict, delay, or make delivering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solutions more difficult or impractical, such as trade policy or higher tariffs, could negatively impact our revenues and harm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We may also have difficulty establishing or maintaining banking relationships needed to conduct our services due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evolving banks’ policies, risk profiles and compliance requirements, which may vary by financial institution.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must comply with various rules and requirements, including the payment of fees, of Mastercard and our sponsor banks </w:t>
      </w:r>
    </w:p>
    <w:p>
      <w:pPr>
        <w:pStyle w:val="TextBody"/>
        <w:bidi w:val="0"/>
        <w:spacing w:lineRule="atLeast" w:line="200" w:before="0" w:after="0"/>
        <w:jc w:val="left"/>
        <w:rPr/>
      </w:pPr>
      <w:r>
        <w:rPr>
          <w:rFonts w:ascii="Times New Roman;serif" w:hAnsi="Times New Roman;serif"/>
          <w:b/>
          <w:i/>
          <w:sz w:val="20"/>
        </w:rPr>
        <w:t>in order to remain registered to participate in the Mastercard networks.</w:t>
      </w: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significant source of our revenue comes from processing transactions through the Mastercard networks. In order to offer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Mastercard programs to our customers, one of our subsidiaries is registered as a member service provider with Mastercard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sponsorship by Mastercard member banks in both the U.S. and Canada. Registration as a service provider is dependent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upon our being sponsored by member banks. If our sponsor banks should stop providing sponsorship for us or determine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sponsorship on materially less favorable terms, we would need to find other financial institutions to provide those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or we would need to become a Mastercard member, either of which could prove to be difficult and expensive. Even if </w:t>
      </w:r>
    </w:p>
    <w:p>
      <w:pPr>
        <w:pStyle w:val="TextBody"/>
        <w:bidi w:val="0"/>
        <w:spacing w:lineRule="atLeast" w:line="200" w:before="0" w:after="0"/>
        <w:jc w:val="left"/>
        <w:rPr/>
      </w:pPr>
      <w:r>
        <w:rPr>
          <w:rFonts w:ascii="Times New Roman;serif" w:hAnsi="Times New Roman;serif"/>
          <w:b w:val="false"/>
          <w:i w:val="false"/>
          <w:caps w:val="false"/>
          <w:smallCaps w:val="false"/>
          <w:sz w:val="20"/>
        </w:rPr>
        <w:t>we pursue sponsorship by alternative member banks, similar requirements and dependencies would likely still exist</w:t>
      </w:r>
      <w:r>
        <w:rPr>
          <w:rFonts w:ascii="Times New Roman;serif" w:hAnsi="Times New Roman;serif"/>
          <w:b w:val="false"/>
          <w:i/>
          <w:sz w:val="20"/>
        </w:rPr>
        <w:t>.</w:t>
      </w:r>
      <w:r>
        <w:rPr>
          <w:caps w:val="false"/>
          <w:smallCaps w:val="false"/>
        </w:rPr>
        <w:t xml:space="preserve"> </w:t>
      </w:r>
      <w:r>
        <w:rPr>
          <w:rFonts w:ascii="Times New Roman;serif" w:hAnsi="Times New Roman;serif"/>
          <w:b w:val="false"/>
          <w:i w:val="false"/>
          <w:caps w:val="false"/>
          <w:smallCaps w:val="false"/>
          <w:sz w:val="20"/>
        </w:rPr>
        <w:t xml:space="preserve">In addition,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Mastercard routinely updates and modifies its membership requirements. Changes in such requirements may make 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significantly more expensive for us to provide these services, or may require product or process changes within compressed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timelines. If we do not comply with Mastercard requirements, it could seek to fine us, suspend us or terminate our registration,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allows us to process transactions on its networks. The termination of our registration, or any changes in the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network rules that would impair our registration, could require us to stop providing Mastercard payment processing services. If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unable to find a replacement financial institution to provide sponsorship or become a member, we may no longer be 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provide such services to the affected customers.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Changes in Mastercard interchange fees could decrease our revenue.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portion of our revenue is generated by network processing fees charged to merchants, known as interchange fees, associated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transactions processed using our Mastercard-branded cards. Interchange fee amounts associated with our Mastercard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network cards are affected by a number of factors, including regulatory limits in the U.S. and Europe and fee changes imposed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Mastercard. In addition, interchange fees are the subject of intense legal, political and regulatory scrutiny and competitive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pressures in the electronic payments industry, which could result in lower interchange fees generally in the future.</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Increasing scrutiny and changing expectations from investors, customers and our employees with respect to our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environmental, social and governance (ESG) practices may impose additional costs on us or expose us to new or additional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risks.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is increasing and, in some jurisdictions, diverging focus by governmental organizations, investors, employees,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partners, on ESG topics, including environmental stewardship, climate, diversity and inclusion, workplace conduct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disclosure. Shifts in expectations, together with evolving climate and sustainability reporting regimes and anti-ESG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trends, may require changes to our governance practices and increased compliance and disclosure costs, and will subject us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heightened scrutiny. Negative public perception, adverse publicity or negative social media commentary could damage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reputation if we do not, or are not perceived to, adequately address these issues or if we are viewed as over-emphasizing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under-emphasizing particular ESG positions. Any harm to our reputation could affect employee engagement and retention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willingness of customers and partners to do business with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organizations that inform investors on corporate governance and sustainability matters, including ratings providers,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proxy advisors and index compilers, continue to update their methodologies. Unfavorable ratings, downgrades, or exclusion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indices, as well as perceived misalignment with stakeholder expectations, may lead to negative investor sentiment,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reduced demand for our securities and the diversion of investment to other companies or industries.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Maintaining and enhancing our brands is critical to our business relationships and operating results.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maintaining and enhancing our brands is critical to our customer relationships and our ability to obtain partners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retain employees. The successful promotion of our brands will depend upon our marketing and public relations efforts,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ability to continue to offer high-quality products and services and our ability to successfully differentiate our solutions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those of our competitors. In addition, future extension of our brands to add new products or services different from our current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offerings may dilute our brands, particularly if we fail to maintain our quality standards in these new areas. The promotion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brands will require us to make substantial expenditures, and we anticipate that the expenditures will increase as our markets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become more competitive and we expand into new markets. Even if these activities increase our revenues, this revenue may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offset the expenses we incur. There can be no assurance that our brand promotion activities will be successful.</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expansion through acquisitions may divert our management’s attention and result in unexpected operating or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integration difficulties or increased costs and dilution to our stockholders, and we may never realize the anticipated benefits.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been an active acquirer in the U.S. and internationally, and, as part of our growth strategy, we expect to seek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acquire businesses, commercial account portfolios, technologies, services and products in the future. We have substantially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expanded our overall portfolio of solutions, customer base, headcount and operations through acquisitions. The acquisition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integration of each business involves a number of risks and may result in unforeseen operating difficulties, delays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expenditures in assimilating or integrating the businesses, technologies, products, personnel or operations of the acquired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all of which may divert resources and management attention otherwise available to grow our existing portfolio.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also have new or heightened regulatory requirements that we are required to comply with as a result of our acquisitions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may lead to increased expense or a further diversion of management attention.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Acquisitions may expose us to geographic or business markets in which we have little or no prior experience, present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difficulties in retaining the customers of the acquired business and present difficulties and expenses associated with new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requirements, competition controls or investigations. International acquisitions often involve additional or increased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risks including difficulty managing geographically separated organizations, systems and facilities, difficulty integrating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personnel with diverse business backgrounds, languages and organizational cultures, difficulty and expense introducing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corporate policies or controls and increased expense to comply with foreign regulatory requirements applicable to acquisitions.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Integration of acquisitions could also result in the distraction of our management, the disruption of our ongoing operations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inconsistencies on our services, standards, controls, procedures and policies, any of which could affect our ability to achieve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anticipated benefits of an acquisition or otherwise adversely affect our operations and financial results.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complete future acquisitions, we may determine that it is necessary to use a substantial amount of our cash or engage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equity or debt financing. If we raise additional funds through further issuances of equity or convertible debt securities,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existing stockholders could suffer significant dilution, and any new equity securities we issue could have rights, preferences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privileges senior to those of holders of our common stock. In addition, we may not be able to obtain additional financing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terms favorable to us, if at all, which could limit our ability to engage in acquisitions. Moreover, we can make no assurances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the anticipated benefits of any acquisition, such as operating improvements or anticipated cost savings, would be realized.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an acquisition may negatively affect our operating results because it may require us to incur charges and substantial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debt or other liabilities, may cause adverse tax consequences, substantial depreciation and amortization or deferred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compensation charges, may require the amortization, write-down or impairment of amounts related to deferred compensation,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goodwill and other intangible assets, and may include existing or future arrangements that obligate us to make substantial 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such as contingent consideration, earn-outs, option exercise payments, guarantees or minimum return, make-whole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commitments, or other payments that reduce our earnings during the quarter in which incurred and may result in insufficient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return to offset acquisition costs.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example, (a) our limited partnership agreement with TPG requires us, under specified circumstances, to deliver minimum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return payments to third-party investors up to 1.6 times invested capital in connection with a subsequent sale or other exit event,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(b) Mastercard has a limited right to sell, or put, its interest back to the Company for a period of six months, after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has a limited six-month reciprocal right to repurchase, or call, Mastercard’s interest. Any payment under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provisions could be material, would reduce cash otherwise available upon a sale, and may require us to use cash or obtain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financing, which may adversely affect our liquidity, leverage, covenant compliance and strategic flexibility.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from time to time, we may divest businesses, for, among other things, alignment with our strategic objectives.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not be able to complete desired or proposed divestitures on terms favorable to us. Gains or losses on the sales of, or lost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income from, those businesses may affect our profitability and margins. Moreover, we may incur asset impairment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losses related to divestitures that reduce our profitability. Our divestiture activities may present financial, managerial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operational risks. Those risks include diversion of management attention from existing businesses, difficulties separating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personnel and financial and other systems, possible need for providing transition services to buyers, adverse effects on existing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relationships with suppliers and customers and indemnities and potential disputes with the buyers. Any of these factors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could adversely affect our business, financial condition and results of operations.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Derivative transactions and delayed settlements may expose us to unexpected risk and potential losses.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connection with our cross-border solution, we are party to a large number of derivative transactions. Many of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derivative instruments are individually negotiated and non-standardized, which can make exiting, transferring or settling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positions difficult. Derivative transactions may also involve the risk that documentation has not been properly executed,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executed agreements may not be enforceable against the counterparty, or that obligations under such agreements may not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able to be "netted" against other obligations with such counterparty. In addition, counterparties may claim that such transactions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were not appropriate or authorized.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Derivative contracts and other transactions entered into with third parties often don’t require performance until a future date,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can be months away and are not always settled on a timely basis. While the transaction remains open there is always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chance of non-performance, especially if market movements make the contract less attractive, subjecting us to heightened credit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operational risk. In addition, as new complex derivative products are created, disputes about the terms of the underlying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contracts could arise, which could impair our ability to effectively manage our risk exposures from these products and subject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to increased costs. The provisions of the Dodd-Frank Act requiring central clearing of over-the-counter (OTC) derivatives,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market shift toward standardized derivatives, could reduce the risk associated with such transactions, but under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circumstances could also limit our ability to develop derivatives that best suit the needs of our clients and to hedge our own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risks and could adversely affect our profitability and increase our credit exposure to such platform. We rely on licensed third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party software to calculate our daily net derivative positions for the purpose of hedging our financial market exposures.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failure of these systems to accurately calculate our net positions due to design weakness, capacity degradation or input errors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could result in unintended financial losses.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payment solutions' results are subject to seasonality, which could result in fluctuations in our quarterly financial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results.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Vehicle Payments solutions are typically subject to seasonal fluctuations in revenues and profit, which are impacted during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first and fourth quarter each year by the weather, holidays in the U.S. and lower business levels in Brazil due to summer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break and the Carnival celebration. Our gift solutions are typically subject to seasonal fluctuations in revenues as a result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consumer spending patterns. Historically, gift revenues have been strongest in the third and fourth quarters and weakest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first and second quarters, as the retail industry has its highest level of activity during and leading up to the Christmas holiday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season.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If stablecoins and other blockchain-based payments achieve broad adoption, our cross-corder solutions could be impacted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and we may be required to make significant investments in new technologies and compliance frameworks, any of which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could materially adversely affect our business, financial condition and 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Stablecoins and blockchain-based payments are continuing to evolve and garnering attention from financial institutions,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 providers and end users. If we are unable to provide blockchain-based payments solutions to satisfy customer demand,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is a risk of decreased demand for our cross-corder solution. Because our cross-corder solution relies on carefully curated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bank relationships, our exposure to these dynamics may be greater than that of certain competitors that are less dependent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traditional banking models.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success of stablecoin and blockchain-based payments could increase price competition and diminish volume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existing solutions. To remain competitive, we are integrating certain stablecoin and blockchain capabilities, but there is 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assurance that our efforts will be sufficient. These efforts could require significant time and expense, specialized talent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technology, and may divert management attention. Our potential pursuit of stablecoin-enabled solutions could also increase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dependence on third parties that may experience outages, security incidents, insolvency, regulatory restrictions or changes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terms that impair our services or increase our costs. We cannot assure you that any such initiatives will be timely, successful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accepted by customers, or that they will offset any deterioration in our current offerings.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the regulatory landscape for stablecoins and blockchain-based payments remains unsettled. Changes in,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inconsistent application of, laws and regulations relating to stablecoins could impose new licensing obligations, operational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controls, reporting and disclosure obligations or other burdens. If we or our partners are unable to obtain or maintain necessary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approvals or licenses, or if regulatory authorities impose restrictions on stablecoin issuance, redemption, use or distribution,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required to modify, suspend or discontinue related services, potentially at short notice. Compliance with multiple,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evolving regimes could increase cost and complexity.</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our intellectual property</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If we are unable to protect our intellectual property rights and confidential information, our competitive position could be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harmed and we could be required to incur significant expenses in order to enforce our rights.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protect our proprietary technology, we rely on copyright, trade secret, patent and other intellectual property laws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confidentiality agreements with employees and third parties, all of which offer only limited protection. Despite our precautions,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 may be possible for third parties to obtain and use without our consent confidential information or infringe on our intellectual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property rights, and our ability to police that misappropriation or infringement is uncertain, particularly in countries outside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U.S. In addition, our confidentiality agreements with employees, vendors, customers and other third parties may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effectively prevent disclosure or use of proprietary technology or confidential information and may not provide an adequate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remedy in the event of such unauthorized use or disclosure.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Protecting against the unauthorized use of our intellectual property and confidential information is expensive, difficult and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always possible. Litigation may be necessary in the future to enforce or defend our intellectual property rights, to protect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confidential information, including trade secrets, or to determine the validity and scope of the proprietary rights of others.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litigation could be costly and divert management resources, either of which could harm our business, operating results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condition. Accordingly, despite our efforts, we may not be able to prevent third parties from infringing upon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misappropriating our intellectual property and proprietary information.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cannot be certain that the steps we have taken will prevent the unauthorized use or the reverse engineering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proprietary technology. Moreover, others may independently develop technologies that are competitive to ours or infringe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intellectual property. The enforcement of our intellectual property rights also depends on our legal actions against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infringers being successful, and we cannot be sure these actions will be successful, even when our rights have been infringed.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Furthermore, effective patent, trademark, service mark, copyright and trade secret protection may not be available in every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country in which we may offer our products and services.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Claims by others that we or our customers infringe their intellectual property rights could harm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 parties have in the past, and could in the future, claim that our technologies and processes underlying our products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infringe their intellectual property. In addition, to the extent that we gain greater visibility, market exposure and add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new products and services, we may face a higher risk of being the target of intellectual property infringement claims asserted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 parties. We may, in the future, receive notices alleging that we have misappropriated or infringed a third party’s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intellectual property rights. There may be third-party intellectual property rights, including patents and pending patent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applications that cover significant aspects of our technologies, processes or business methods. Any claims of infringement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misappropriation by a third party, even those without merit, could cause us to incur substantial defense costs and could distract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management from our business, and there can be no assurance that we will be able to prevail against such claims. Some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competitors may have the capability to dedicate substantially greater resources to enforcing their intellectual property rights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to defending claims that may be brought against them than we do. Furthermore, a party making such a claim, if successful,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secure a judgment that requires us to pay substantial damages, potentially including treble damages if we are found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willfully infringed a patent. A judgment could also include an injunction or other court order that could prevent us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offering our products and services. In addition, we might be required to seek a license for the use of a third party’s intellectual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property, which may not be available on commercially reasonable terms or at all. Alternatively, we might be required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 non-infringing technology, which could require significant time, effort and expense and might ultimately not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successful.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 parties may also assert infringement claims against our customers relating to their use of our technologies or processes.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of these claims might require us to defend protracted and costly litigation or arbitration on their behalf, regardless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merits of these claims, because under certain conditions we may agree to indemnify our customers from third-party claims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intellectual property infringement. If any of these claims succeed, we might be forced to pay damages on behalf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or to modify or cease offerings, which could adversely affect our business, operating results and financial condition.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Finally, we use open source software in connection with our technology and services. Companies that incorporate open source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software into their products, from time to time, face claims challenging the ownership of open source software. As a result,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be subject to suits by parties claiming ownership of what we believe to be open source software. Open source software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also provided without warranty and may therefore include bugs, security vulnerabilities or other defects for which we have 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recourse or recovery. Some open source software licenses require users of such software to publicly disclose all or part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source code to their software and/or make available any derivative works of the open source code on unfavorable terms or at 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cost. While we monitor the use of open source software in our technology and services and try to ensure that none is used 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manner that would require us to disclose the source code to the related technology or service, such use could inadvertently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occur and any requirement to disclose our proprietary source code could be harmful to our business, financial condition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results of operations.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success is dependent, in part, upon our executive officers and other key personnel, and the loss of key personnel could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materially adversely affect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success depends, in part, on our executive officers and other key personnel. Our senior management team has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industry experience and would be difficult to replace. The market for qualified individuals is competitive, especially in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fields, including information technology, and we may not be able to attract and retain qualified personnel or candidates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replace or succeed members of our senior management team or other key personnel. The loss of key personnel could materially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adversely affect our business.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regulatory matters and litigation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Changes in laws, regulations and enforcement activities may adversely affect our products and services and the markets in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which we operate.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electronic payments industry is subject to increasing regulation in the U.S. and internationally. The laws and regulations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applicable to us, including those enacted prior to the advent of digital payments, continue to evolve through legislative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action and judicial interpretation. Domestic and foreign government regulations impose compliance obligations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and restrictions on our operating activities, which can be difficult to administer because of their scope, mandates and varied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requirements. We are subject to government regulations covering a number of different areas, including, among others: interest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rate and fee restrictions; credit access and disclosure requirements; licensing and registration requirements, including money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transmitter licenses; collection and pricing regulations; compliance obligations; security, privacy and data breach requirements;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identity theft protection programs; countering terrorist financing; anti-money laundering laws and regulations; and consumer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protection laws and regulations. While a large portion of these regulations focuses on individual consumer protection,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legislatures and regulators continue to consider whether to include business customers, especially smaller business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within the scope of these regulations. As a result, new or expanded regulation focusing on business customers or changes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interpretation or enforcement of regulations, as well as increased penalties and enforcement actions related to non-compliance,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have an adverse effect on our business and operating results, due to increased compliance costs and new restrictions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affecting the terms under which we offer our products and services.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Changes in this regulatory environment, including changing interpretations and the implementation of new or varying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requirements by the government, may significantly affect or change the manner in which we currently conduct some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aspects of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service provider to certain of our bank sponsors, we may be subject to direct supervision and examination by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 agencies. Rules, examinations and enforcement actions may require us to adjust our activities and may increase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compliance costs. In addition, our bank partners are subject to regulation by federal and state banking authorities and, 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 could pass through some of those compliance obligations to us or alter the extent or the terms of their dealings with us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ways that may have adverse consequences for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Many of these laws and regulations are evolving, unclear and inconsistent across various jurisdictions, and ensuring compliance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them is difficult and costly. With increasing frequency, federal and state regulators are holding businesses like ours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higher standards of training, monitoring and compliance, including monitoring for possible violations of laws by our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people who do business with our customers while using our products. If we fail or are unable to comply with existing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changed government regulations in a timely and appropriate manner, we may be subject to injunctions, other sanctions 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 of fines and penalties, and our reputation may be harmed, which could have a material adverse effect on our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condition and results of operations. Further, as we interact directly with consumers, in conjunction with our existing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and partners or directly on our own behalf, our compliance obligations may expand.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more information about laws, regulations and enforcement activities that may adversely affect our products and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the markets in which we operate, see “Business- Regulatory.”</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Derivatives regulations have added costs to our business and any additional requirements, such as future registration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requirements and increased regulation of derivative contracts, may result in additional costs or impact the way we conduct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hedging activities, as well as impact how we conduct our business within our international payments provider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OTC derivatives are a core product offered by the cross-border solution. Non-centrally cleared OTC derivatives can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advantages over exchange-traded and centrally cleared derivatives. Some derivative types are only available to be traded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non-centrally cleared OTC. In other cases, exchange-traded equivalents are less liquid or less cost-effective in gaining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hedging certain market exposures. Further, OTC derivatives offer investors more flexibility in structure because, unlike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standardized cleared products, they can be tailored or customized to fit specific needs or investment goals. In order to best meet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client’s risk management objectives, our cross-border solution would like to preserve the ability to continue trading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types of OTC derivatives when possible. The most broadly used OTC derivative within the cross-border solution are 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currency forwards, the most common financial tool used in the marketplace to hedge currency risk.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Rules adopted under the Dodd-Frank Act by the CFTC in the U.S., provisions of the European Market Infrastructure Regulation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its technical standards in the U.K. and EU, as well as derivative reporting in Canada and Australia, subject certain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foreign exchange derivative contracts we offer to our customers as part of our cross-border solutions to reporting, record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keeping and other requirements. Additionally, certain foreign exchange derivatives transactions we may enter into in the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subject to centralized clearing requirements or may be subject to margin requirements in the U.S., U.K., and EU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jurisdictions.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compliance with these requirements has resulted, and may continue to result, in additional costs to our business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impact our cross-border solution. Furthermore, our failure to comply with these requirements could result in fines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sanctions, as well as necessitate a temporary or permanent cessation to some or all of our derivative related activities. Any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fines, sanctions or limitations on our business could adversely affect our operations and financial results. Additionally,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regimes for derivatives in the U.S., U.K. and EU, such as under the Dodd-Frank Act and the Markets in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Instruments Directive (MiFID II) continue to evolve and changes to such regimes, our status under such regimes, our associated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costs for entering into derivatives transactions or the implementation of new rules under such regimes, such as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registration requirements and increased regulation of derivative contracts, may result in additional costs to our business.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jurisdictions outside the U.S., U.K. and the EU are considering, have implemented, or are implementing regulations similar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those described above and these may result in greater costs to us as well.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respect to its bank counterparties, the cross-border solution may be subject to additional regulatory requirements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time to time associated with trading non-centrally cleared OTC derivatives pursuant to the Uncleared Margin Rules (UMR).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will need to monitor and manage carefully the initial and variation margin requirements under the UMR, as and when they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apply to portions of the cross-border solution.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cases where the currency market experiences significant disruption, our clients may take longer to remit funds for out-of-the-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money positions and/or post collateral than what is required of our cross-border solution related to its own banking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counterparties, resulting in extended periods of elevated liquidity risk.</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Laws, governmental regulations and contractual obligations designed to protect or limit access to personal information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could adversely affect our ability to effectively provide our services.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Governmental bodies in the U.S. and abroad have adopted, or are considering the adoption of, laws and regulations granting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consumer rights to, restricting the transfer of and requiring safeguarding of, personal information. For example, in the U.S., 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institutions must undertake certain steps to help protect the privacy and security of consumer financial information.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connection with providing services to our clients, we are required by regulations and arrangements with payment networks,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sponsor banks and certain clients to provide assurances regarding the confidentiality and security of non-public consumer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These arrangements require periodic audits by independent companies regarding our compliance with industry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standards such as PCI standards and also allow for similar audits regarding best practices established by regulatory guidelines.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compliance standards relate to our infrastructure, components and operational procedures designed to safeguard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confidentiality and security of non-public consumer personal information received from our customers. Our ability to maintain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compliance with these standards and satisfy these audits will affect our ability to attract and maintain business in the future. If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fail to comply with these regulations, we could be exposed to suits for breach of contract or to governmental proceedings.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 our client relationships and reputation could be harmed, and we could be inhibited in our ability to obtain new clients.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more restrictive privacy laws or rules are adopted by authorities in the future on the federal or state level or internationally,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compliance costs may increase, our opportunities for growth may be curtailed by our compliance capabilities or reputational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harm and our potential liability for security breaches or privacy non-compliance may increase, all of which could have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material adverse effect on our business, financial condition and results of operations.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Legislation and regulation of greenhouse gases (“GHG”) and related divestment and other efforts could adversely affect our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aware of the increasing focus of local, state, regional, national and international regulatory bodies on GHG emissions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climate change issues. Legislation to regulate GHG emissions has periodically been introduced in the U.S. Congress,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has been a wide-ranging policy debate, both in the U.S. and internationally, regarding the impact of these gases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possible means for their regulation. Several states and geographic regions in the U.S. have adopted legislation and regulations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reduce emissions of GHGs. Additional legislation or regulation by these states and regions, the EPA and/or any international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agreements to which the U.S. may become a party, that control or limit GHG emissions or otherwise seek to address climate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 could adversely affect our partners’ and merchants’ operations and therefore ours. Because our business depends 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level of activity in the oil industry, existing or future laws or regulations related to GHGs and climate change,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incentives to conserve energy or use alternative energy sources, could have a negative impact on our business if such laws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reduce demand for fuel. Further, we may not be able to successfully execute our EV strategy, which could further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adversely affect our business.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We contract with government entities and are subject to risks related to our governmental contracts.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course of our business we contract with domestic and foreign government entities, including state and local government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as well as federal government agencies. As a result, we are subject to various laws and regulations that apply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companies doing business with federal, state and local governments. The laws relating to government contracts differ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commercial contracting laws and our government contracts may contain unique pricing, audit, disclosure, data protection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compliance obligations that are not common among commercial contracts. In addition, we may be subject to investigation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concerning our compliance with the laws and regulations relating to our government contracts. Our failure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comply with these laws and regulations may result in suspension of these contracts or administrative or other penalties.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 budgets, policy shifts, prolonged or recurring government shutdowns and funding delays can affect the timing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awards, renewals and payments, and may reduce or pause spending under existing contracts or impede new awards. Any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foregoing could adversely affect our business, operating results and financial condition.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Litigation and regulatory actions could subject us to significant fines, penalties or requirements resulting in significantly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increased expenses, damage to our reputation and/or material adverse effects on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or may from time to time be, subject to claims in the ordinary course of our operations, including individual and class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action lawsuits, arbitration proceedings, government and regulatory investigations, inquiries, actions or requests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proceedings alleging violations of laws, rules and regulations with respect to competition, antitrust, intellectual property,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privacy, data protection, information security, anti-money laundering, counter-terrorist financing, sanctions, anti-bribery, anti-</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corruption, consumer protection (including unfair, deceptive, or abusive acts or practices), fraud, accessibility, securities,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labor and employment, commercial disputes, product liability, use of our services for illegal purposes and other matters.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number and significance of these disputes and inquiries is expected to continue to increase as our products, services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expand in complexity, scale, scope and geographic reach, including through acquisitions of businesses and technology.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Responding to proceedings may be difficult and expensive, and we may not prevail. In some proceedings, the claimant seeks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damages as well as other relief, which, if granted, would require expenditures on our part or changes in how we conduct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There can be no certainty that we will not ultimately incur charges in excess of presently established or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accruals or insurance coverage, or that we will prevail with respect to such proceedings. Regardless of whether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prevail or not, such proceedings could have a material adverse effect on our business, reputation, financial condition and results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operations. Further, these types of matters could divert our management’s attention and other resources away from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In addition, from time to time, we have had, and expect to continue to receive, inquiries from regulatory bodies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administrative agencies relating to the operation of our business. Any potential claims or any such inquiries or potential claims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resulted in, and may continue to result in, various audits, reviews and investigations, which can be time consuming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expensive. These types of inquiries, audits, reviews and investigations could result in the institution of administrative or civil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proceedings, sanctions and the payment of fines and penalties, various forms of injunctive relief and redress, changes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personnel and increased review and scrutiny by customers, regulatory authorities, the media and others, which could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and could have a material adverse effect on our business, reputation, financial condition and 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described in the Legal Proceedings section below, we are required to comply with an Order issued by the U.S. District Court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Northern District of Georgia on June 8, 2023 (the “FTC Order”). The FTC Order requires us, among other things,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comply with certain advertising, contracting, record maintenance and reporting requirements for the U.S. fuel card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Material failures to comply with the obligations under the FTC Order may subject us to enforcement proceedings, which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 in significant fines, penalties or liabilities that may impact our financial performance.</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Failure to comply with the FCPA, AML regulations, economic and trade sanctions regulations and similar laws and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regulations applicable to our international activities, could subject us to penalties and other adverse consequences.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we continue to expand our business internationally, we may continue to expand into certain foreign countries, particularly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those with developing economies, where companies often engage in business practices that are prohibited by U.S., U.K.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foreign regulations, including the FCPA, the U.K. Bribery Act, Canada’s PCMLTFA and Australia’s AML/CTF Act.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laws and regulations generally prohibit our employees, consultants and agents from bribing, being bribed or making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prohibited payments to government officials or other persons to obtain or retain business or gain some other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advantage. We have implemented policies to discourage such practices; however, there can be no assurances that all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employees, consultants and agents, including those that may be based in or from countries where practices that violate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laws may be customary, will not take actions in violation of our policies for which we may be ultimately responsible.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we are subject to AML laws and regulations, including the BSA. Among other things, the BSA requires money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businesses (such as money transmitters and providers of prepaid access) to develop and implement risk-based AML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programs, verify the identity of our customers, report large cash transactions and suspicious activity and maintain transaction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records.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also subject to certain economic and trade sanctions programs that are administered by OFAC, which prohibit or restrict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transactions to or from or dealings with specified countries, their governments, and in certain circumstances, their nationals,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individuals and entities that are specially designated nationals of those countries, narcotics traffickers and terrorists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terrorist organizations. Other group entities may be subject to additional foreign or local sanctions requirements in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relevant jurisdictions.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Similar AML and counter-terrorist financing and proceeds of crime laws apply to movements of currency and payments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electronic transactions and to dealings with persons specified in lists maintained by the country equivalent to OFAC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lists in several other countries and require specific data retention obligations to be observed by intermediaries in the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process. Our businesses in those jurisdictions are subject to those data retention obligations.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Violations of these laws and regulations may result in severe criminal or civil sanctions and, in the U.S., suspension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debarment from U.S. government contracting. Likewise, any investigation of any potential violations of these laws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by U.S. or foreign authorities could also have an adverse impact on our reputation and operating results. In addition,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cannot predict the nature, scope or effect of future regulatory requirements to which our international operations might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subject or the manner in which existing laws and regulations might be administered or interpreted.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our debt</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debt obligations, or our incurrence of additional debt obligations, could limit our flexibility in managing our business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and could materially and adversely affect our financial performance.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At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w:t>
      </w:r>
      <w:r>
        <w:rPr>
          <w:rFonts w:ascii="Times New Roman;serif" w:hAnsi="Times New Roman;serif"/>
          <w:b w:val="false"/>
          <w:i w:val="false"/>
          <w:caps w:val="false"/>
          <w:smallCaps w:val="false"/>
          <w:strike w:val="false"/>
          <w:dstrike w:val="false"/>
          <w:sz w:val="20"/>
          <w:u w:val="none"/>
          <w:effect w:val="none"/>
        </w:rPr>
        <w:t>approximately $10.0 billion</w:t>
      </w:r>
      <w:r>
        <w:rPr>
          <w:caps w:val="false"/>
          <w:smallCaps w:val="false"/>
          <w:sz w:val="24"/>
        </w:rPr>
        <w:t xml:space="preserve"> </w:t>
      </w:r>
      <w:r>
        <w:rPr>
          <w:rFonts w:ascii="Times New Roman;serif" w:hAnsi="Times New Roman;serif"/>
          <w:b w:val="false"/>
          <w:i w:val="false"/>
          <w:caps w:val="false"/>
          <w:smallCaps w:val="false"/>
          <w:sz w:val="20"/>
        </w:rPr>
        <w:t>of d</w:t>
      </w:r>
      <w:r>
        <w:rPr>
          <w:rFonts w:ascii="Times New Roman;serif" w:hAnsi="Times New Roman;serif"/>
          <w:b w:val="false"/>
          <w:i w:val="false"/>
          <w:caps w:val="false"/>
          <w:smallCaps w:val="false"/>
          <w:strike w:val="false"/>
          <w:dstrike w:val="false"/>
          <w:sz w:val="20"/>
          <w:u w:val="none"/>
          <w:effect w:val="none"/>
          <w:shd w:fill="FFFFFF" w:val="clear"/>
        </w:rPr>
        <w:t>ebt outs</w:t>
      </w:r>
      <w:r>
        <w:rPr>
          <w:rFonts w:ascii="Times New Roman;serif" w:hAnsi="Times New Roman;serif"/>
          <w:b w:val="false"/>
          <w:i w:val="false"/>
          <w:caps w:val="false"/>
          <w:smallCaps w:val="false"/>
          <w:sz w:val="20"/>
        </w:rPr>
        <w:t xml:space="preserve">tanding under our Credit Facility and Securitization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Facility (each as defined herein). In addition, we are permitted under our credit agreement to incur additional indebtedness,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 to specified limitations. Our indebtedness currently outstanding, or as may be outstanding if we incur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indebtedness, could have important consequences, including the following: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we may have difficulty satisfying our obligations under our debt facilities and, if we fail to satisfy these obligations,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event of default could result;</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we may be required to dedicate a substantial portion of our cash flow from operations to required payments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indebtedness or posting collateral to our bank counterparties, thereby reducing the availability of cash flow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acquisitions, working capital, capital expenditures and other general corporate activities. See “Management’s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Discussion and Analysis of Financial Condition and Results of Operations-Material Cash Requirements and Uses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covenants relating to our debt may limit our ability to enter into certain contracts, pay dividends or to obtain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financing for acquisitions, working capital, capital expenditures and other general corporate activities, including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react to changes in our business or the industry in which we operate;</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events outside our control, including volatility in the credit markets or a significant rise in fuel prices, may make 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difficult to renew our Securitization Facility on terms acceptable to us and limit our ability to timely fund our working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needs;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amount of receivables that qualify under our Securitization Facility could decrease, which could materially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adversely impact our liquidity;</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we may be more vulnerable than our less leveraged competitors to the impact of economic downturns,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global events and adverse developments in the industry in which we operate;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we are exposed to the risk of increased interest rates because our borrowings are generally subject to floating rates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and our subsidiaries may incur substantial additional indebtedness in the future, including through our Securitization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Facility. Although our credit agreements contain restrictions on the incurrence of additional indebtedness, these restrictions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 to a number of significant qualifications and exceptions, and under certain circumstances, the amount of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indebtedness that could be incurred in compliance with these restrictions could be substantial. If new debt is added 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existing debt levels, the related risks that we will face would increase.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any financial turmoil affecting the banking system or financial markets could cause significant financial service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institution failures, new or incremental tightening in the credit markets, low liquidity and extreme volatility or distress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fixed income, credit, currency and equity markets, which could have a material adverse impact on our business. We require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liquidity and access to capital to fund our global operations, including providing collateral to bank counterparties, funding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working capital and other cash needs, and financing acquisitions. Certain subsidiaries are authorized and supervised as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and/or e</w:t>
        <w:noBreakHyphen/>
        <w:t xml:space="preserve">money institutions and are subject to customer fund safeguarding requirements. These regimes permit safeguarding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segregation of customer funds in designated safeguarding accounts and, in certain cases, through insurance policies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comparable guarantees, and may permit a combination of methods.  We maintain a safeguarding and liquidity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framework intended to minimize the risk of loss or diminution of relevant funds through fraud, misuse, negligence or poor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administration.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balance sheet includes significant amounts of goodwill and intangible assets. We have recently recorded impairment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losses on these assets and any further impairment of a significant portion of these assets would negatively affect our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financial results.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Our balance sheet includes goodwill and intangible assets that represent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approximately 41%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z w:val="20"/>
        </w:rPr>
        <w:t>of</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w:t>
      </w:r>
      <w:r>
        <w:rPr>
          <w:rFonts w:ascii="Times New Roman;serif" w:hAnsi="Times New Roman;serif"/>
          <w:b w:val="false"/>
          <w:i w:val="false"/>
          <w:caps w:val="false"/>
          <w:smallCaps w:val="false"/>
          <w:sz w:val="20"/>
        </w:rPr>
        <w:t xml:space="preserve">ur total assets at </w:t>
      </w:r>
      <w:r>
        <w:rPr>
          <w:rFonts w:ascii="Times New Roman;serif" w:hAnsi="Times New Roman;serif"/>
          <w:b w:val="false"/>
          <w:i w:val="false"/>
          <w:caps w:val="false"/>
          <w:smallCaps w:val="false"/>
          <w:strike w:val="false"/>
          <w:dstrike w:val="false"/>
          <w:sz w:val="20"/>
          <w:u w:val="none"/>
          <w:effect w:val="none"/>
        </w:rPr>
        <w:t xml:space="preserve">December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These assets consist primarily of goodwill and identified intangible assets associated with our acquisitions, which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the future in connection with new acquisitions. Under current accounting standards, we are required to amortize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intangible assets over the useful life of the asset, while goodwill and indefinite-lived intangible assets are not amortized.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at least an annual basis, we assess whether there have been impairments in the carrying value of goodwill and indefinite-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lived intangible assets. If the carrying value of the asset is determined to be impaired, it is written down to fair value by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charge to operating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1B. UNRESOLVED STAFF COMMENTS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no unresolved written comments regarding our periodic or current reports from the staff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1C. CYBERSECURITY</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 Management and Strategy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are subject to cybersecurity incidents and information theft risks in our operations, which we seek to manage through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and information security programs, training and insurance coverage. To strengthen our security and cybersecurity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defenses, we maintain a defensive approach to cybersecurity and information security designed to defend our systems against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misuse, intrusions and cyberattacks and to protect the data we collect. We maintain continuous security monitoring and threat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detection capabilities, including centralized logging and alerting, intended to support the timely identification and triage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events. Our processes to assess, identify and manage material risks from cybersecurity threats are strategically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integrated into our overall risk management framework, as evidenced by annual risk assessments and required trainings across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business lines and applications. Our information security program maintains procedures and controls for the systems,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applications and our data and data of our third-party providers. We also maintain processes intended to identify, assess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prioritize vulnerability remediation, including regular scanning of our environment.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an established cybersecurity training program which is administered through online learning modules and is required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all employees at least annually. Such trainings cover topics such as password protection, phishing, the protection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confidential information and asset security, among others and educate employees on mechanisms in place to report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incidents or suspicions of cybersecurity incidents or threats. Further, we maintain a cybersecurity incident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response plan, which is managed by our Chief Information Security Officer (CISO) and is reviewed and tested annually.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incident response process is overseen by a security operations and cybersecurity incident response team comprised of members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across the organization, including global management and IT operations and leverages an organizational-wide platform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allows us to track, manage and resolve information security risks across the organization. We conduct periodic exercises,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including tabletop simulations, to evaluate readiness and drive continuous improvement.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information security program</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designed to generally align with recommended practices in security standards issued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International Organization for Standardization (ISO), American Institute of Certified Public Accountants (AICPA, SSAE18),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National Institute of Standards and Technology Cybersecurity Framework (NIST CSF), Payment Card Industry Data 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Standard (PCI DSS) and other industry sources. Specifically, we strive to maintain ISO certifications (U.K.), SOC 1 and 2 Type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 reports and PCI DSS reports on compliance to adhere to industry standard practices.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newly acquired businesses operate with independent cybersecurity programs and processes, which may vary in scope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complexity compared to our overarching cybersecurity framework, until they are fully integrated into our unified system,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this integration period we seek to establish baseline security requirements and reporting expectations appropriate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risk profile of the acquired business.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part of our overall risk mitigation strategy, we also maintain cybersecurity insurance coverage; however, such insurance may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 be sufficient in type or amount to cover us against claims related to security breaches, cyberattacks and other cybersecurity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incidents.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not identified any risks from cybersecurity threats, including as a result of previous cybersecurity incidents, that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materially affected or are reasonably likely to materially affect our business strategy, results of our operations, or financial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condition.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However, we have been the target of cyber-attacks and expect them to continue as cybersecurity threats have been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rapidly evolving in sophistication and becoming more prevalent in the industry. We cannot eliminate all risks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threats or provide assurances that we have not experienced an undetected cybersecurity incident in the past or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will not experience such an incident in the future. For more information on the risks from cybersecurity threats and incidents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we face, refer to Part I, “Item 1A. Risk Factors.”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Use of Third Parties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regularly assess whether our cybersecurity strategies and processes remain appropriate to prevent, investigate and address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cybersecurity-related issues, we engage with information security and forensics firms with specialized industry knowledge.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collaboration with these third parties includes the administration of third-party security questionnaires, risk assessments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testing and consultation on security enhancements to attempt to mitigate threats. We also collaborate with third parties,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regulators and law enforcement, when appropriate, to resolve security incidents and assist in efforts to prevent unauthorized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access to our processing systems.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order to oversee and identify risks from cybersecurity threats and incidents associated with our use of third-party service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providers, we maintain a risk management program designed to help protect against the misuse of information technology.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addition to risk assessments and questionnaires obtained upon selection of a new service provider, we also perform annual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third-party risk assessments to ensure these service providers continue to meet contractual obligations for cybersecurity,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regulatory and industry requirements. We generally seek to include appropriate information security requirements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agreements with certain third-party service providers, including, where appropriate based on risk, incident notification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obligations and rights to assess or validate the provider’s security controls.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Governance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Board of Directors Oversight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Information Technology and Security Committee (ITSC) is responsible for providing oversight and leadership for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information technology security and cybersecurity planning processes, policies and objectives.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ITSC is composed of board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members with both industry knowledge as well as expertise in technology and security, finance and risk management.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primary purpose of the committee is to review, assess and make recommendations regarding the long-term strategy for global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information security and the evolution of our technology in a competitive environment. The ITSC receives cybersecurity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updates in connection with its regularly scheduled meetings and more frequent briefings as needed regarding significant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developments, including notable incidents and the status of key risk management initiatives.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accomplish this purpose, the information technology and security committee has four primary responsibilities: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to understand the security controls and assessments conducted on major card platforms and concur that such controls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are comparable to industry best practices and standards as appropriate;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to assess technology modernization plans and processing platform strategies to validate proper investment in multi-</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year initiatives that maintain effective and efficient use of Company resources;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to review progress on significant IT projects against milestones and quality indicators and evaluate actions intended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drive quality and timeliness;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to evaluate the prioritization of strategies for intellectual property protection.</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Management's Role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Board and the information technology and security committee directed the formation of a cross-functional cybersecurity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council and receive regular cybersecurity reports from the Company's Chief Information Officer (CIO) and the CISO, among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These reports include updates on our cybersecurity strategy and execution of its processes, including updates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procedures to prepare for, prevent, detect, respond to and recover from (as applicable) cybersecurity incidents. Such updates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also include updates on our continued compliance with regulatory requirements. Our information security and risk management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 is periodically evaluated by third-party specialists, and the results of those reviews are reported to the Board.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CISO, who reports directly to our CIO, has served in various roles in information technology and information security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 20 years, with experience in technology risk management, cybersecurity, compliance, network engineering, information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systems and business resiliency. He is a Certified Information Systems Security Professional and Certified Information Systems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Auditor.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CISO manages our information security and oversees our data security personnel and our incident response and business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continuity management programs to assess and manage the cybersecurity element of our risk management program,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policies, cybersecurity training, security operations and engineering, cybersecurity threat detection and incident response.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CISO informs and updates the Board about any information security incidents that may pose a significant risk to us.</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2. PROPERTIES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corporate headquarters are located in Atlanta, Georgia where we lease approximately 46,500 square feet of office space.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 to our corporate headquarters, we have major operations located in Brentwood, Tennessee; Covington, Louisiana;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Louisville, Kentucky; Lexington, Kentucky; and Peachtree Corners, Georgia. Our largest offices internationally are located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São Paulo, Brazil; London, United Kingdom; Prague, Czech Republic; Mexico City, Mexico and Toronto, Canada. We lease 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real property used in our business, except for a portion of our headquarters in Mexico City, which we own.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3. LEGAL PROCEEDINGS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ordinary course of business, Corpay, Inc. and its subsidiaries (collectively, the "Company") is involved in various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pending or threatened legal actions, arbitration proceedings, claims, subpoenas and matters relating to compliance with laws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regulations (collectively, "legal proceedings"). Based on our current knowledge, management presently does not believe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the liabilities arising from these legal proceedings will have a material adverse effect on our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condition, results of operations or cash flows. However, it is possible that the ultimate resolution of these legal proceedings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could have a material adverse effect on our results of operations and financial condition for any particular period.</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FTC Matter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October 2017, the Federal Trade Commission (FTC) issued a Notice of Civil Investigative Demand to the Company for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production of documentation and a request for responses to written interrogatories. After discussions with the Company,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FTC proposed in October 2019 to resolve potential claims relating to the Company’s advertising and marketing practices,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principally in its U.S. direct fuel card business within its North American fuel card business. The parties reached impasse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primarily related to what the Company believed were unreasonable demands for redress made by the FTC.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December 20, 2019, the FTC filed a lawsuit in the Northern District of Georgia against the Company and Ron Clarke. See </w:t>
      </w:r>
    </w:p>
    <w:p>
      <w:pPr>
        <w:pStyle w:val="TextBody"/>
        <w:bidi w:val="0"/>
        <w:spacing w:lineRule="atLeast" w:line="200" w:before="0" w:after="0"/>
        <w:jc w:val="left"/>
        <w:rPr/>
      </w:pPr>
      <w:r>
        <w:rPr>
          <w:rFonts w:ascii="Times New Roman;serif" w:hAnsi="Times New Roman;serif"/>
          <w:b w:val="false"/>
          <w:i/>
          <w:sz w:val="20"/>
        </w:rPr>
        <w:t>FTC v. FleetCor Technologies, Inc.</w:t>
      </w:r>
      <w:r>
        <w:rPr>
          <w:rFonts w:ascii="Times New Roman;serif" w:hAnsi="Times New Roman;serif"/>
          <w:b w:val="false"/>
          <w:i w:val="false"/>
          <w:caps w:val="false"/>
          <w:smallCaps w:val="false"/>
          <w:sz w:val="20"/>
        </w:rPr>
        <w:t xml:space="preserve">, No. 19-cv-05727 (N.D. Ga.). The complaint alleged the Company and Ron Clarke violated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FTC Act’s prohibitions on unfair and deceptive acts and practices. The complaint sought among other things injunctive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relief, consumer redress and costs of suit. On April 17, 2021, the FTC filed a motion for summary judgment. On April 22, 2021,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the United States Supreme Court held unanimously in </w:t>
      </w:r>
      <w:r>
        <w:rPr>
          <w:rFonts w:ascii="Times New Roman;serif" w:hAnsi="Times New Roman;serif"/>
          <w:b w:val="false"/>
          <w:i/>
          <w:sz w:val="20"/>
        </w:rPr>
        <w:t>AMG Capital Management v. FTC</w:t>
      </w:r>
      <w:r>
        <w:rPr>
          <w:caps w:val="false"/>
          <w:smallCaps w:val="false"/>
        </w:rPr>
        <w:t xml:space="preserve"> </w:t>
      </w:r>
      <w:r>
        <w:rPr>
          <w:rFonts w:ascii="Times New Roman;serif" w:hAnsi="Times New Roman;serif"/>
          <w:b w:val="false"/>
          <w:i w:val="false"/>
          <w:caps w:val="false"/>
          <w:smallCaps w:val="false"/>
          <w:sz w:val="20"/>
        </w:rPr>
        <w:t xml:space="preserve">that the FTC does not have authority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current law to seek monetary redress by means of Section 13(b) of the FTC Act, which is the means by which the FTC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has sought such redress in this case. The Company cross-moved for summary judgment regarding the FTC’s ability to seek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monetary or injunctive relief on May 17, 2021. On August 13, 2021, the FTC filed a motion to stay or to voluntarily dismiss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without prejudice the case pending in the Northern District of Georgia in favor of a parallel administrative action under Section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5 of the FTC Act that it filed on August 11, 2021 in the FTC’s administrative process. Apart from the jurisdiction and statutory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 the FTC’s administrative complaint made the same factual allegations as the FTC’s original complaint filed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December 2019. The FTC’s administrative action was stayed pending resolution of the case in federal court. On August 9,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2022, the District Court for the Northern District of Georgia granted the FTC's motion for summary judgment as to liability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and Ron Clarke, but granted the Company's motion for summary judgment as to the FTC's claim for monetary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relief as to both the Company and Ron Clarke.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June 8, 2023, the Court issued an Order for Permanent Injunction and Other Relief. The Company filed its notice of appeal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the United States Court of Appeals for the Eleventh Circuit on August 3, 2023. On August 17, 2023, the FTC Commission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ordered that the stay of the parallel Section 5 administration action will remain in place during the pendency of the Eleventh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Circuit appeal. On January 6, 2026, the Eleventh Circuit affirmed the judgment against the Company and affirmed the judgment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against Ron Clarke except for one count, which was vacated and remanded. The Company intends to seek an </w:t>
      </w:r>
      <w:r>
        <w:rPr>
          <w:rFonts w:ascii="Times New Roman;serif" w:hAnsi="Times New Roman;serif"/>
          <w:b w:val="false"/>
          <w:i/>
          <w:sz w:val="20"/>
        </w:rPr>
        <w:t>en banc</w:t>
      </w:r>
      <w:r>
        <w:rPr>
          <w:caps w:val="false"/>
          <w:smallCaps w:val="false"/>
        </w:rPr>
        <w:t xml:space="preserve"> </w:t>
      </w:r>
      <w:r>
        <w:rPr>
          <w:rFonts w:ascii="Times New Roman;serif" w:hAnsi="Times New Roman;serif"/>
          <w:b w:val="false"/>
          <w:i w:val="false"/>
          <w:caps w:val="false"/>
          <w:smallCaps w:val="false"/>
          <w:sz w:val="20"/>
        </w:rPr>
        <w:t xml:space="preserve">review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full Eleventh Circuit.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continues to believe that the FTC’s claims are without merit and these matters are not and will not be material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financial performance. The Company has incurred and continues to incur legal and other fees related to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FTC complaint. Any settlement of this matter, or defense against the lawsuit, could involve costs to the Company,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legal fees, redress, penalties and remediation expenses.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Estimating an amount or range of possible losses resulting from litigation proceedings is inherently difficult and requires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extensive degree of judgment, particularly where, as here, the matters involve indeterminate claims for monetary damages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in the stages of the proceedings where key factual and legal issues have not been resolved. For these reasons, the Company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 currently unable to predict the ultimate timing or outcome of, or reasonably estimate the possible losses or a range of possible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losses resulting from, the matters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4. MINE SAFETY DISCLOSURES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5. MARKET FOR REGISTRANT’S COMMON EQUITY, RELATED STOCKHOLDER</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MATTERS, AND ISSUER PURCHASES OF EQUITY SECURITIES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common stock is traded on the NYSE under the ticker CPAY. As of December 31, 2025</w:t>
      </w:r>
      <w:r>
        <w:rPr>
          <w:rFonts w:ascii="Times New Roman;serif" w:hAnsi="Times New Roman;serif"/>
          <w:b w:val="false"/>
          <w:i w:val="false"/>
          <w:caps w:val="false"/>
          <w:smallCaps w:val="false"/>
          <w:strike w:val="false"/>
          <w:dstrike w:val="false"/>
          <w:sz w:val="20"/>
          <w:u w:val="none"/>
          <w:effect w:val="none"/>
          <w:shd w:fill="FFFFFF" w:val="clear"/>
        </w:rPr>
        <w:t>, th</w:t>
      </w:r>
      <w:r>
        <w:rPr>
          <w:rFonts w:ascii="Times New Roman;serif" w:hAnsi="Times New Roman;serif"/>
          <w:b w:val="false"/>
          <w:i w:val="false"/>
          <w:caps w:val="false"/>
          <w:smallCaps w:val="false"/>
          <w:strike w:val="false"/>
          <w:dstrike w:val="false"/>
          <w:sz w:val="20"/>
          <w:u w:val="none"/>
          <w:effect w:val="none"/>
        </w:rPr>
        <w:t>ere were 195 holders of rec</w:t>
      </w:r>
      <w:r>
        <w:rPr>
          <w:rFonts w:ascii="Times New Roman;serif" w:hAnsi="Times New Roman;serif"/>
          <w:b w:val="false"/>
          <w:i w:val="false"/>
          <w:caps w:val="false"/>
          <w:smallCaps w:val="false"/>
          <w:strike w:val="false"/>
          <w:dstrike w:val="false"/>
          <w:sz w:val="20"/>
          <w:u w:val="none"/>
          <w:effect w:val="none"/>
          <w:shd w:fill="FFFFFF" w:val="clear"/>
        </w:rPr>
        <w:t>ord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of our common stock. </w:t>
      </w:r>
    </w:p>
    <w:p>
      <w:pPr>
        <w:pStyle w:val="TextBody"/>
        <w:bidi w:val="0"/>
        <w:spacing w:lineRule="atLeast" w:line="200" w:before="0" w:after="0"/>
        <w:jc w:val="left"/>
        <w:rPr>
          <w:rFonts w:ascii="Times New Roman;serif" w:hAnsi="Times New Roman;serif"/>
          <w:b w:val="false"/>
          <w:i w:val="false"/>
          <w:caps w:val="false"/>
          <w:smallCaps w:val="false"/>
          <w:sz w:val="20"/>
          <w:u w:val="single"/>
          <w:shd w:fill="FFFFFF" w:val="clear"/>
        </w:rPr>
      </w:pPr>
      <w:r>
        <w:rPr>
          <w:rFonts w:ascii="Times New Roman;serif" w:hAnsi="Times New Roman;serif"/>
          <w:b w:val="false"/>
          <w:i w:val="false"/>
          <w:caps w:val="false"/>
          <w:smallCaps w:val="false"/>
          <w:sz w:val="20"/>
          <w:u w:val="single"/>
          <w:shd w:fill="FFFFFF" w:val="clear"/>
        </w:rPr>
        <w:t>DIVIDENDS AND STOCK REPURCHASES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currently expect to retain all future earnings, if any, for use in the operation, expansion of our business and stock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repurchases. We have never declared or paid any dividends on our common stock and do not anticipate paying cash dividends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holders of our common stock in the foreseeable future. In addition, our credit agreements restrict our ability to pay dividends.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determination to pay dividends in the future will be at the discretion of our board of directors and will depend upon, among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factors, our results of operations, financial condition, capital requirements and covenants in our existing financing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arrangements and any future financing arrangements.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Company's Board has approved a stock repurchase program (as updated from time to time, the "Program"), originally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announced on February 4, 2016, authorizing the Company to repurchase its common stock from time to t</w:t>
      </w:r>
      <w:r>
        <w:rPr>
          <w:rFonts w:ascii="Times New Roman;serif" w:hAnsi="Times New Roman;serif"/>
          <w:b w:val="false"/>
          <w:i w:val="false"/>
          <w:caps w:val="false"/>
          <w:smallCaps w:val="false"/>
          <w:strike w:val="false"/>
          <w:dstrike w:val="false"/>
          <w:sz w:val="20"/>
          <w:u w:val="none"/>
          <w:effect w:val="none"/>
        </w:rPr>
        <w:t xml:space="preserve">ime until December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31, 2026. On December 18, 2025, the Board authorized an increase to the aggregate size of the Program by $1.0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$10.1 billion. Since the beginning of the Program through December 31, 2025, 35,659,347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have been repurchased for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aggregate purchase price of $8.6 billion, leaving the Company up to $1.5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remaining authorization available under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Program for future repurchases in shares of its common stock. There were 2,568,667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common shares totaling $0.8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4,211,818</w:t>
      </w:r>
      <w:r>
        <w:rPr>
          <w:caps w:val="false"/>
          <w:smallCaps w:val="false"/>
          <w:sz w:val="24"/>
        </w:rPr>
        <w:t xml:space="preserve"> </w:t>
      </w:r>
      <w:r>
        <w:rPr>
          <w:rFonts w:ascii="Times New Roman;serif" w:hAnsi="Times New Roman;serif"/>
          <w:b w:val="false"/>
          <w:i w:val="false"/>
          <w:caps w:val="false"/>
          <w:smallCaps w:val="false"/>
          <w:sz w:val="20"/>
        </w:rPr>
        <w:t xml:space="preserve">common shares totaling </w:t>
      </w:r>
      <w:r>
        <w:rPr>
          <w:rFonts w:ascii="Times New Roman;serif" w:hAnsi="Times New Roman;serif"/>
          <w:b w:val="false"/>
          <w:i w:val="false"/>
          <w:caps w:val="false"/>
          <w:smallCaps w:val="false"/>
          <w:strike w:val="false"/>
          <w:dstrike w:val="false"/>
          <w:sz w:val="20"/>
          <w:u w:val="none"/>
          <w:effect w:val="none"/>
        </w:rPr>
        <w:t>$1.3 billion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and </w:t>
      </w:r>
      <w:r>
        <w:rPr>
          <w:rFonts w:ascii="Times New Roman;serif" w:hAnsi="Times New Roman;serif"/>
          <w:b w:val="false"/>
          <w:i w:val="false"/>
          <w:caps w:val="false"/>
          <w:smallCaps w:val="false"/>
          <w:strike w:val="false"/>
          <w:dstrike w:val="false"/>
          <w:sz w:val="20"/>
          <w:u w:val="none"/>
          <w:effect w:val="none"/>
        </w:rPr>
        <w:t>2,597,954</w:t>
      </w:r>
      <w:r>
        <w:rPr>
          <w:caps w:val="false"/>
          <w:smallCaps w:val="false"/>
          <w:sz w:val="24"/>
        </w:rPr>
        <w:t xml:space="preserve"> </w:t>
      </w:r>
      <w:r>
        <w:rPr>
          <w:rFonts w:ascii="Times New Roman;serif" w:hAnsi="Times New Roman;serif"/>
          <w:b w:val="false"/>
          <w:i w:val="false"/>
          <w:caps w:val="false"/>
          <w:smallCaps w:val="false"/>
          <w:sz w:val="20"/>
        </w:rPr>
        <w:t xml:space="preserve">common shares totaling </w:t>
      </w:r>
      <w:r>
        <w:rPr>
          <w:rFonts w:ascii="Times New Roman;serif" w:hAnsi="Times New Roman;serif"/>
          <w:b w:val="false"/>
          <w:i w:val="false"/>
          <w:caps w:val="false"/>
          <w:smallCaps w:val="false"/>
          <w:strike w:val="false"/>
          <w:dstrike w:val="false"/>
          <w:sz w:val="20"/>
          <w:u w:val="none"/>
          <w:effect w:val="none"/>
        </w:rPr>
        <w:t>$0.7 billion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2023</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repurchased under the Program. Repurchased shares are held as treasury stock on the Company's Consolidated Balance Sheets.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Any stock repurchases may be made at times and in such amounts as deemed appropriate. The timing and amount of stock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repurchases, if any, will depend on a variety of factors including the stock price, market conditions, corporate and regulatory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requirements, and any additional constraints related to material inside information the Company may possess. Any repurchases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have been and are expected to be funded by a combination of available cash flow from the business, working capital and debt.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The following table presents information with </w:t>
      </w:r>
      <w:r>
        <w:rPr>
          <w:rFonts w:ascii="Times New Roman;serif" w:hAnsi="Times New Roman;serif"/>
          <w:b w:val="false"/>
          <w:i w:val="false"/>
          <w:caps w:val="false"/>
          <w:smallCaps w:val="false"/>
          <w:sz w:val="20"/>
        </w:rPr>
        <w:t xml:space="preserve">respect to purchase of common stock of the Company made during the three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by the Company as defined in Rule 10b-18(a)(3) under the Exchange Act: </w:t>
      </w:r>
    </w:p>
    <w:tbl>
      <w:tblPr>
        <w:tblW w:w="10205" w:type="dxa"/>
        <w:jc w:val="left"/>
        <w:tblInd w:w="0" w:type="dxa"/>
        <w:tblLayout w:type="fixed"/>
        <w:tblCellMar>
          <w:top w:w="28" w:type="dxa"/>
          <w:left w:w="28" w:type="dxa"/>
          <w:bottom w:w="28" w:type="dxa"/>
          <w:right w:w="28" w:type="dxa"/>
        </w:tblCellMar>
      </w:tblPr>
      <w:tblGrid>
        <w:gridCol w:w="3966"/>
        <w:gridCol w:w="109"/>
        <w:gridCol w:w="1439"/>
        <w:gridCol w:w="109"/>
        <w:gridCol w:w="1199"/>
        <w:gridCol w:w="109"/>
        <w:gridCol w:w="1424"/>
        <w:gridCol w:w="109"/>
        <w:gridCol w:w="1741"/>
      </w:tblGrid>
      <w:tr>
        <w:trPr/>
        <w:tc>
          <w:tcPr>
            <w:tcW w:w="3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39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Total Number of </w:t>
            </w:r>
          </w:p>
          <w:p>
            <w:pPr>
              <w:pStyle w:val="TableContents"/>
              <w:bidi w:val="0"/>
              <w:spacing w:lineRule="atLeast" w:line="160" w:before="0" w:after="0"/>
              <w:jc w:val="left"/>
              <w:rPr/>
            </w:pPr>
            <w:r>
              <w:rPr>
                <w:rFonts w:ascii="Times New Roman;serif" w:hAnsi="Times New Roman;serif"/>
                <w:b/>
                <w:i w:val="false"/>
                <w:caps w:val="false"/>
                <w:smallCaps w:val="false"/>
                <w:sz w:val="16"/>
              </w:rPr>
              <w:t>Shares Purchased</w:t>
            </w:r>
            <w:r>
              <w:rPr>
                <w:rFonts w:ascii="Times New Roman;serif" w:hAnsi="Times New Roman;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Weighted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Average Price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Paid Per Share</w:t>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Total Number of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Shares Purchased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as Part of the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Publicly </w:t>
            </w:r>
          </w:p>
          <w:p>
            <w:pPr>
              <w:pStyle w:val="TableContents"/>
              <w:bidi w:val="0"/>
              <w:spacing w:lineRule="atLeast" w:line="160" w:before="0" w:after="0"/>
              <w:jc w:val="left"/>
              <w:rPr/>
            </w:pPr>
            <w:r>
              <w:rPr>
                <w:rFonts w:ascii="Times New Roman;serif" w:hAnsi="Times New Roman;serif"/>
                <w:b/>
                <w:i w:val="false"/>
                <w:caps w:val="false"/>
                <w:smallCaps w:val="false"/>
                <w:sz w:val="16"/>
              </w:rPr>
              <w:t>Announced Plan</w:t>
            </w:r>
            <w:r>
              <w:rPr>
                <w:rFonts w:ascii="Times New Roman;serif" w:hAnsi="Times New Roman;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7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Maximum Value that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May Yet be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Purchased Under the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Publicly Announced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Plan (in thousands)</w:t>
            </w:r>
          </w:p>
        </w:tc>
      </w:tr>
      <w:tr>
        <w:trPr/>
        <w:tc>
          <w:tcPr>
            <w:tcW w:w="39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October 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through October 31, </w:t>
            </w:r>
            <w:r>
              <w:rPr>
                <w:rFonts w:ascii="Times New Roman;serif" w:hAnsi="Times New Roman;serif"/>
                <w:b w:val="false"/>
                <w:i w:val="false"/>
                <w:caps w:val="false"/>
                <w:smallCaps w:val="false"/>
                <w:strike w:val="false"/>
                <w:dstrike w:val="false"/>
                <w:sz w:val="20"/>
                <w:u w:val="none"/>
                <w:effect w:val="none"/>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3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November 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through November 30, </w:t>
            </w:r>
            <w:r>
              <w:rPr>
                <w:rFonts w:ascii="Times New Roman;serif" w:hAnsi="Times New Roman;serif"/>
                <w:b w:val="false"/>
                <w:i w:val="false"/>
                <w:caps w:val="false"/>
                <w:smallCaps w:val="false"/>
                <w:strike w:val="false"/>
                <w:dstrike w:val="false"/>
                <w:sz w:val="20"/>
                <w:u w:val="none"/>
                <w:effect w:val="none"/>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1,051,745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9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1,051,745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41" w:type="dxa"/>
            <w:tcBorders/>
            <w:shd w:fill="FFFFFF" w:val="clear"/>
            <w:vAlign w:val="center"/>
          </w:tcPr>
          <w:p>
            <w:pPr>
              <w:pStyle w:val="TableContents"/>
              <w:bidi w:val="0"/>
              <w:spacing w:before="0" w:after="283"/>
              <w:jc w:val="left"/>
              <w:rPr>
                <w:sz w:val="4"/>
                <w:szCs w:val="4"/>
              </w:rPr>
            </w:pPr>
            <w:r>
              <w:rPr>
                <w:sz w:val="4"/>
                <w:szCs w:val="4"/>
              </w:rPr>
            </w:r>
          </w:p>
        </w:tc>
      </w:tr>
      <w:tr>
        <w:trPr/>
        <w:tc>
          <w:tcPr>
            <w:tcW w:w="396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December 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through December 31, </w:t>
            </w:r>
            <w:r>
              <w:rPr>
                <w:rFonts w:ascii="Times New Roman;serif" w:hAnsi="Times New Roman;serif"/>
                <w:b w:val="false"/>
                <w:i w:val="false"/>
                <w:caps w:val="false"/>
                <w:smallCaps w:val="false"/>
                <w:strike w:val="false"/>
                <w:dstrike w:val="false"/>
                <w:sz w:val="20"/>
                <w:u w:val="none"/>
                <w:effect w:val="none"/>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3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655,427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$305.16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655,427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$1,492,988</w:t>
            </w:r>
          </w:p>
        </w:tc>
      </w:tr>
    </w:tbl>
    <w:tbl>
      <w:tblPr>
        <w:tblW w:w="9721" w:type="dxa"/>
        <w:jc w:val="left"/>
        <w:tblInd w:w="0" w:type="dxa"/>
        <w:tblLayout w:type="fixed"/>
        <w:tblCellMar>
          <w:top w:w="28" w:type="dxa"/>
          <w:left w:w="28" w:type="dxa"/>
          <w:bottom w:w="28" w:type="dxa"/>
          <w:right w:w="28" w:type="dxa"/>
        </w:tblCellMar>
      </w:tblPr>
      <w:tblGrid>
        <w:gridCol w:w="9721"/>
      </w:tblGrid>
      <w:tr>
        <w:trPr/>
        <w:tc>
          <w:tcPr>
            <w:tcW w:w="9721" w:type="dxa"/>
            <w:tcBorders/>
            <w:vAlign w:val="center"/>
          </w:tcPr>
          <w:p>
            <w:pPr>
              <w:pStyle w:val="TableContents"/>
              <w:bidi w:val="0"/>
              <w:spacing w:before="0" w:after="283"/>
              <w:jc w:val="left"/>
              <w:rPr>
                <w:sz w:val="4"/>
                <w:szCs w:val="4"/>
              </w:rPr>
            </w:pPr>
            <w:r>
              <w:rPr>
                <w:sz w:val="4"/>
                <w:szCs w:val="4"/>
              </w:rPr>
            </w:r>
          </w:p>
        </w:tc>
      </w:tr>
      <w:tr>
        <w:trPr/>
        <w:tc>
          <w:tcPr>
            <w:tcW w:w="972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20"/>
              </w:rPr>
              <w:t xml:space="preserve">During the quarter ended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pursuant to our Stock Incentive Plan, we withheld 776 shares, at a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weighted average price per share of $286.66, in order to satisfy employees' tax withholding obligations in connection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the vesting of awards of restricted stock.</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TextBody"/>
        <w:bidi w:val="0"/>
        <w:spacing w:lineRule="atLeast" w:line="200" w:before="0" w:after="0"/>
        <w:jc w:val="left"/>
        <w:rPr/>
      </w:pPr>
      <w:hyperlink w:anchor="i27d5f920da3f4d0c86f822f7ff119dbf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PERFORMANCE GRAPH</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graph assumes $100 invested on December 31, 2020, at the closing price ($272.83) of our common stock on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day and compares (a) the percentage change of our cumulative total stockholder return on the common stock (as measured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dividing (i) the difference between our share price at the end and the beginning of the period presented by (ii) the share price at </w:t>
      </w:r>
    </w:p>
    <w:p>
      <w:pPr>
        <w:pStyle w:val="TextBody"/>
        <w:bidi w:val="0"/>
        <w:spacing w:lineRule="atLeast" w:line="200" w:before="0" w:after="0"/>
        <w:jc w:val="left"/>
        <w:rPr/>
      </w:pPr>
      <w:r>
        <w:rPr>
          <w:rFonts w:ascii="Times New Roman;serif" w:hAnsi="Times New Roman;serif"/>
          <w:b w:val="false"/>
          <w:i w:val="false"/>
          <w:caps w:val="false"/>
          <w:smallCaps w:val="false"/>
          <w:sz w:val="20"/>
        </w:rPr>
        <w:t>the beginning of the periods presented) with (b) (i) the Russell 2000 Index, (ii) the S&amp;P 500</w:t>
      </w:r>
      <w:r>
        <w:rPr>
          <w:rFonts w:ascii="Times New Roman;serif" w:hAnsi="Times New Roman;serif"/>
          <w:b w:val="false"/>
          <w:i w:val="false"/>
          <w:caps w:val="false"/>
          <w:smallCaps w:val="false"/>
          <w:sz w:val="18"/>
        </w:rPr>
        <w:t>®</w:t>
      </w:r>
      <w:r>
        <w:rPr>
          <w:caps w:val="false"/>
          <w:smallCaps w:val="false"/>
        </w:rPr>
        <w:t xml:space="preserve"> </w:t>
      </w:r>
      <w:r>
        <w:rPr>
          <w:rFonts w:ascii="Times New Roman;serif" w:hAnsi="Times New Roman;serif"/>
          <w:b w:val="false"/>
          <w:i w:val="false"/>
          <w:caps w:val="false"/>
          <w:smallCaps w:val="false"/>
          <w:sz w:val="20"/>
        </w:rPr>
        <w:t xml:space="preserve">Data Processing &amp; Outsourced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and (iii) S&amp;P 500. </w:t>
      </w:r>
    </w:p>
    <w:p>
      <w:pPr>
        <w:pStyle w:val="TextBody"/>
        <w:bidi w:val="0"/>
        <w:spacing w:before="0" w:after="0"/>
        <w:jc w:val="left"/>
        <w:rPr/>
      </w:pPr>
      <w:r>
        <w:rPr/>
        <w:drawing>
          <wp:inline distT="0" distB="0" distL="0" distR="0">
            <wp:extent cx="6501130" cy="4727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01130" cy="4727575"/>
                    </a:xfrm>
                    <a:prstGeom prst="rect">
                      <a:avLst/>
                    </a:prstGeom>
                  </pic:spPr>
                </pic:pic>
              </a:graphicData>
            </a:graphic>
          </wp:inline>
        </w:drawing>
      </w:r>
      <w:bookmarkStart w:id="2" w:name="i-1"/>
      <w:bookmarkEnd w:id="2"/>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RECENT SALES OF UNREGISTERED SECURITIES AND USE OF PROCEEDS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6. (RESERVED)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7. MANAGEMENT’S DISCUSSION AND ANALYSIS OF FINANCIAL CONDITION AND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discussion and analysis of our financial condition and results of operations should be read in conjunction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consolidated financial statements and related notes appearing elsewhere in this report. In addition to historical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this discussion contains forward-looking statements that involve risks, uncertainties and assumptions that could cause actual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results to differ materially from management’s expectations. Factors that could cause such differences include, but are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limited to, those identified below and those described in Item 1A “Risk Factors” appearing elsewhere in this report. All 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currency amounts that have been converted into U.S. dollars in this discussion are based on the exchange rate as reported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Oanda for the applicable periods.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following discussion and analysis of our financial condition and results of operations generally discusses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items, with year-over-year comparisons between these two years. A detailed discussion of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items and year-over-year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comparisons between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2023</w:t>
      </w:r>
      <w:r>
        <w:rPr>
          <w:caps w:val="false"/>
          <w:smallCaps w:val="false"/>
          <w:sz w:val="24"/>
        </w:rPr>
        <w:t xml:space="preserve"> </w:t>
      </w:r>
      <w:r>
        <w:rPr>
          <w:rFonts w:ascii="Times New Roman;serif" w:hAnsi="Times New Roman;serif"/>
          <w:b w:val="false"/>
          <w:i w:val="false"/>
          <w:caps w:val="false"/>
          <w:smallCaps w:val="false"/>
          <w:sz w:val="20"/>
        </w:rPr>
        <w:t xml:space="preserve">that are not included in this Annual Report on Form 10-K can be found in “Management’s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Discussion and Analysis of Financial Condition and Results of Operations” in Part II, Item 7 of our Annual Report on Form 10-</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K for the year ended December 31,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Executive Overview</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Corpay is a global corporate payments company that helps businesses and consumers better manage and pay their expenses in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simple, controlled manner. Corpay provides a broad suite of payment and spend management solutions, including accounts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payable automation and cross-border payment solutions (including foreign exchange spot, forward and option transactions),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commercial card programs (e.g., purchasing cards, business cards and virtual cards), vehicle payment solutions (e.g., fuel cards,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toll payments and related services) and lodging payment solutions (e.g., hotel and extended stay bookings). This results in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saving time and ultimately spending less. Corpay has been a member of the S&amp;P 500 since 2018 and trades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New York Stock Exchange under the ticker CPAY.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We estimate that businesses spend approximately </w:t>
      </w:r>
      <w:r>
        <w:rPr>
          <w:rFonts w:ascii="Times New Roman;serif" w:hAnsi="Times New Roman;serif"/>
          <w:b w:val="false"/>
          <w:i w:val="false"/>
          <w:caps w:val="false"/>
          <w:smallCaps w:val="false"/>
          <w:strike w:val="false"/>
          <w:dstrike w:val="false"/>
          <w:sz w:val="20"/>
          <w:u w:val="none"/>
          <w:effect w:val="none"/>
          <w:shd w:fill="FFFFFF" w:val="clear"/>
        </w:rPr>
        <w:t>$145 trillion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annually in transactions with other businesses. In many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instances, businesses lack the proper tools to monitor what is being purchased and employ manual, paper-based, disparate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processes and methods to both approve and make payments for their business-to-business purchases. This often results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wasted time and money due to unnecessary or unauthorized spending, fraud, receipt collection, data input and consolidation,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 generation, reimbursement processing, account reconciliations, employee disciplinary actions and more.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Corpay’s vision is that every payment is digital, every purchase is controlled and every related decision is informed. Our wide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range of modern, digitized solutions provide control, reporting and automation benefits superior to many of the payment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methods businesses often use such as cash, paper checks, general purpose credit cards, as well as employee payment processes.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Comdata Merchant Solutions Disposition</w:t>
      </w:r>
    </w:p>
    <w:p>
      <w:pPr>
        <w:pStyle w:val="TextBody"/>
        <w:bidi w:val="0"/>
        <w:spacing w:lineRule="atLeast" w:line="200" w:before="0" w:after="0"/>
        <w:jc w:val="left"/>
        <w:rPr/>
      </w:pPr>
      <w:r>
        <w:rPr>
          <w:rFonts w:ascii="Times New Roman;serif" w:hAnsi="Times New Roman;serif"/>
          <w:b w:val="false"/>
          <w:i w:val="false"/>
          <w:caps w:val="false"/>
          <w:smallCaps w:val="false"/>
          <w:sz w:val="20"/>
        </w:rPr>
        <w:t>In</w:t>
      </w:r>
      <w:r>
        <w:rPr>
          <w:caps w:val="false"/>
          <w:smallCaps w:val="false"/>
        </w:rPr>
        <w:t xml:space="preserve"> </w:t>
      </w:r>
      <w:r>
        <w:rPr>
          <w:rFonts w:ascii="Times New Roman;serif" w:hAnsi="Times New Roman;serif"/>
          <w:b w:val="false"/>
          <w:i w:val="false"/>
          <w:caps w:val="false"/>
          <w:smallCaps w:val="false"/>
          <w:sz w:val="20"/>
        </w:rPr>
        <w:t xml:space="preserve">May 2024, we signed a definitive agreement to sell the merchant solutions business, a business within the U.S. division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Vehicle Payments segment (the "disposal group") to a third party. The transaction was completed during December 2024.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disposal group's assets and liabilities were recorded at their carrying value. Goodwill of approximately </w:t>
      </w:r>
      <w:r>
        <w:rPr>
          <w:rFonts w:ascii="Times New Roman;serif" w:hAnsi="Times New Roman;serif"/>
          <w:b w:val="false"/>
          <w:i w:val="false"/>
          <w:caps w:val="false"/>
          <w:smallCaps w:val="false"/>
          <w:strike w:val="false"/>
          <w:dstrike w:val="false"/>
          <w:sz w:val="20"/>
          <w:u w:val="none"/>
          <w:effect w:val="none"/>
        </w:rPr>
        <w:t>$58.2 million</w:t>
      </w:r>
      <w:r>
        <w:rPr>
          <w:caps w:val="false"/>
          <w:smallCaps w:val="false"/>
          <w:sz w:val="24"/>
        </w:rPr>
        <w:t xml:space="preserve"> </w:t>
      </w:r>
      <w:r>
        <w:rPr>
          <w:rFonts w:ascii="Times New Roman;serif" w:hAnsi="Times New Roman;serif"/>
          <w:b w:val="false"/>
          <w:i w:val="false"/>
          <w:caps w:val="false"/>
          <w:smallCaps w:val="false"/>
          <w:sz w:val="20"/>
        </w:rPr>
        <w:t xml:space="preserve">was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allocated to the carrying value of the disposal group based on a relative fair value analysis.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We received total proceeds of </w:t>
      </w:r>
      <w:r>
        <w:rPr>
          <w:rFonts w:ascii="Times New Roman;serif" w:hAnsi="Times New Roman;serif"/>
          <w:b w:val="false"/>
          <w:i w:val="false"/>
          <w:caps w:val="false"/>
          <w:smallCaps w:val="false"/>
          <w:strike w:val="false"/>
          <w:dstrike w:val="false"/>
          <w:sz w:val="20"/>
          <w:u w:val="none"/>
          <w:effect w:val="none"/>
        </w:rPr>
        <w:t>$185.5 million</w:t>
      </w:r>
      <w:r>
        <w:rPr>
          <w:rFonts w:ascii="Times New Roman;serif" w:hAnsi="Times New Roman;serif"/>
          <w:b w:val="false"/>
          <w:i w:val="false"/>
          <w:caps w:val="false"/>
          <w:smallCaps w:val="false"/>
          <w:sz w:val="20"/>
        </w:rPr>
        <w:t xml:space="preserve">, which have been recorded within investing activities in the accompanying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Consolidated Statements of Cash Flows. In connection with the sale, we recorded a net gain on disposal of </w:t>
      </w:r>
      <w:r>
        <w:rPr>
          <w:rFonts w:ascii="Times New Roman;serif" w:hAnsi="Times New Roman;serif"/>
          <w:b w:val="false"/>
          <w:i w:val="false"/>
          <w:caps w:val="false"/>
          <w:smallCaps w:val="false"/>
          <w:strike w:val="false"/>
          <w:dstrike w:val="false"/>
          <w:sz w:val="20"/>
          <w:u w:val="none"/>
          <w:effect w:val="none"/>
        </w:rPr>
        <w:t>$121.3 million</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during the year ended </w:t>
      </w:r>
      <w:r>
        <w:rPr>
          <w:rFonts w:ascii="Times New Roman;serif" w:hAnsi="Times New Roman;serif"/>
          <w:b w:val="false"/>
          <w:i w:val="false"/>
          <w:caps w:val="false"/>
          <w:smallCaps w:val="false"/>
          <w:strike w:val="false"/>
          <w:dstrike w:val="false"/>
          <w:sz w:val="20"/>
          <w:u w:val="none"/>
          <w:effect w:val="none"/>
        </w:rPr>
        <w:t>December 31, 2024</w:t>
      </w:r>
      <w:r>
        <w:rPr>
          <w:rFonts w:ascii="Times New Roman;serif" w:hAnsi="Times New Roman;serif"/>
          <w:b w:val="false"/>
          <w:i w:val="false"/>
          <w:caps w:val="false"/>
          <w:smallCaps w:val="false"/>
          <w:sz w:val="20"/>
        </w:rPr>
        <w:t xml:space="preserve">, which represents the proceeds received less the derecognition of the related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w:t>
      </w:r>
    </w:p>
    <w:p>
      <w:pPr>
        <w:pStyle w:val="TextBody"/>
        <w:bidi w:val="0"/>
        <w:spacing w:lineRule="atLeast" w:line="200" w:before="0" w:after="0"/>
        <w:jc w:val="left"/>
        <w:rPr/>
      </w:pPr>
      <w:r>
        <w:rPr>
          <w:rFonts w:ascii="Times New Roman;serif" w:hAnsi="Times New Roman;serif"/>
          <w:b/>
          <w:i/>
          <w:sz w:val="20"/>
        </w:rPr>
        <w:t>Revenues, net, Net Income Attributable to Corpay and Net Income Per Diluted Share Attributable to Corpay.</w:t>
      </w:r>
      <w:r>
        <w:rPr>
          <w:caps w:val="false"/>
          <w:smallCaps w:val="false"/>
        </w:rPr>
        <w:t xml:space="preserve"> </w:t>
      </w:r>
      <w:r>
        <w:rPr>
          <w:rFonts w:ascii="Times New Roman;serif" w:hAnsi="Times New Roman;serif"/>
          <w:b w:val="false"/>
          <w:i w:val="false"/>
          <w:caps w:val="false"/>
          <w:smallCaps w:val="false"/>
          <w:sz w:val="20"/>
        </w:rPr>
        <w:t xml:space="preserve">Set forth below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revenues, net, net income attributable to Corpay and net income per diluted share attributable to Corpay for the years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(in millions, except per share amounts).  </w:t>
      </w:r>
    </w:p>
    <w:tbl>
      <w:tblPr>
        <w:tblW w:w="7573" w:type="dxa"/>
        <w:jc w:val="left"/>
        <w:tblInd w:w="0" w:type="dxa"/>
        <w:tblLayout w:type="fixed"/>
        <w:tblCellMar>
          <w:top w:w="28" w:type="dxa"/>
          <w:left w:w="28" w:type="dxa"/>
          <w:bottom w:w="28" w:type="dxa"/>
          <w:right w:w="28" w:type="dxa"/>
        </w:tblCellMar>
      </w:tblPr>
      <w:tblGrid>
        <w:gridCol w:w="5077"/>
        <w:gridCol w:w="126"/>
        <w:gridCol w:w="1023"/>
        <w:gridCol w:w="134"/>
        <w:gridCol w:w="1023"/>
        <w:gridCol w:w="190"/>
      </w:tblGrid>
      <w:tr>
        <w:trPr/>
        <w:tc>
          <w:tcPr>
            <w:tcW w:w="50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077"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6" w:type="dxa"/>
            <w:tcBorders/>
            <w:vAlign w:val="center"/>
          </w:tcPr>
          <w:p>
            <w:pPr>
              <w:pStyle w:val="TableContents"/>
              <w:bidi w:val="0"/>
              <w:spacing w:before="0" w:after="283"/>
              <w:jc w:val="left"/>
              <w:rPr>
                <w:sz w:val="4"/>
                <w:szCs w:val="4"/>
              </w:rPr>
            </w:pPr>
            <w:r>
              <w:rPr>
                <w:sz w:val="4"/>
                <w:szCs w:val="4"/>
              </w:rPr>
            </w:r>
          </w:p>
        </w:tc>
        <w:tc>
          <w:tcPr>
            <w:tcW w:w="2370" w:type="dxa"/>
            <w:gridSpan w:val="4"/>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r>
      <w:tr>
        <w:trPr/>
        <w:tc>
          <w:tcPr>
            <w:tcW w:w="50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 net</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$4,528.4</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$3,974.6</w:t>
            </w:r>
          </w:p>
        </w:tc>
        <w:tc>
          <w:tcPr>
            <w:tcW w:w="190" w:type="dxa"/>
            <w:tcBorders/>
            <w:shd w:fill="CCEEFF" w:val="clear"/>
            <w:vAlign w:val="center"/>
          </w:tcPr>
          <w:p>
            <w:pPr>
              <w:pStyle w:val="TableContents"/>
              <w:bidi w:val="0"/>
              <w:spacing w:before="0" w:after="283"/>
              <w:jc w:val="left"/>
              <w:rPr>
                <w:sz w:val="4"/>
                <w:szCs w:val="4"/>
              </w:rPr>
            </w:pPr>
            <w:r>
              <w:rPr>
                <w:sz w:val="4"/>
                <w:szCs w:val="4"/>
              </w:rPr>
            </w:r>
          </w:p>
        </w:tc>
      </w:tr>
      <w:tr>
        <w:trPr/>
        <w:tc>
          <w:tcPr>
            <w:tcW w:w="50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Corpay</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$1,069.8</w:t>
            </w:r>
          </w:p>
        </w:tc>
        <w:tc>
          <w:tcPr>
            <w:tcW w:w="134"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w:t>
            </w:r>
          </w:p>
        </w:tc>
        <w:tc>
          <w:tcPr>
            <w:tcW w:w="190" w:type="dxa"/>
            <w:tcBorders/>
            <w:shd w:fill="FFFFFF" w:val="clear"/>
            <w:vAlign w:val="center"/>
          </w:tcPr>
          <w:p>
            <w:pPr>
              <w:pStyle w:val="TableContents"/>
              <w:bidi w:val="0"/>
              <w:spacing w:before="0" w:after="283"/>
              <w:jc w:val="left"/>
              <w:rPr>
                <w:sz w:val="4"/>
                <w:szCs w:val="4"/>
              </w:rPr>
            </w:pPr>
            <w:r>
              <w:rPr>
                <w:sz w:val="4"/>
                <w:szCs w:val="4"/>
              </w:rPr>
            </w:r>
          </w:p>
        </w:tc>
      </w:tr>
      <w:tr>
        <w:trPr/>
        <w:tc>
          <w:tcPr>
            <w:tcW w:w="5077"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Net income per diluted share attributable to Corpay</w:t>
            </w:r>
            <w:r>
              <w:rPr>
                <w:rFonts w:ascii="Times New Roman;serif" w:hAnsi="Times New Roman;serif"/>
                <w:b w:val="false"/>
                <w:i w:val="false"/>
                <w:caps w:val="false"/>
                <w:smallCaps w:val="false"/>
                <w:sz w:val="13"/>
              </w:rPr>
              <w:t>1</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$15.03</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$13.97</w:t>
            </w:r>
          </w:p>
        </w:tc>
        <w:tc>
          <w:tcPr>
            <w:tcW w:w="190" w:type="dxa"/>
            <w:tcBorders/>
            <w:shd w:fill="CCEEFF" w:val="clear"/>
            <w:vAlign w:val="center"/>
          </w:tcPr>
          <w:p>
            <w:pPr>
              <w:pStyle w:val="TableContents"/>
              <w:bidi w:val="0"/>
              <w:spacing w:before="0" w:after="283"/>
              <w:jc w:val="left"/>
              <w:rPr>
                <w:sz w:val="4"/>
                <w:szCs w:val="4"/>
              </w:rPr>
            </w:pPr>
            <w:r>
              <w:rPr>
                <w:sz w:val="4"/>
                <w:szCs w:val="4"/>
              </w:rPr>
            </w:r>
          </w:p>
        </w:tc>
      </w:tr>
      <w:tr>
        <w:trPr/>
        <w:tc>
          <w:tcPr>
            <w:tcW w:w="7573" w:type="dxa"/>
            <w:gridSpan w:val="6"/>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1</w:t>
            </w:r>
            <w:r>
              <w:rPr>
                <w:caps w:val="false"/>
                <w:smallCaps w:val="false"/>
              </w:rPr>
              <w:t xml:space="preserve"> </w:t>
            </w:r>
            <w:r>
              <w:rPr>
                <w:rFonts w:ascii="Times New Roman;serif" w:hAnsi="Times New Roman;serif"/>
                <w:b w:val="false"/>
                <w:i w:val="false"/>
                <w:caps w:val="false"/>
                <w:smallCaps w:val="false"/>
                <w:sz w:val="20"/>
              </w:rPr>
              <w:t xml:space="preserve">For 2025, Diluted earnings per share amounts are determined under the two-class method. </w:t>
            </w:r>
          </w:p>
        </w:tc>
      </w:tr>
    </w:tbl>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Adjusted Net Income Attributable to Corpay, Adjusted Net Income Per Diluted Share Attributable to Corpay, EBITDA, </w:t>
      </w:r>
    </w:p>
    <w:p>
      <w:pPr>
        <w:pStyle w:val="TextBody"/>
        <w:bidi w:val="0"/>
        <w:spacing w:lineRule="atLeast" w:line="200" w:before="0" w:after="0"/>
        <w:jc w:val="left"/>
        <w:rPr/>
      </w:pPr>
      <w:r>
        <w:rPr>
          <w:rFonts w:ascii="Times New Roman;serif" w:hAnsi="Times New Roman;serif"/>
          <w:b/>
          <w:i/>
          <w:sz w:val="20"/>
        </w:rPr>
        <w:t>Adjusted EBITDA and Adjusted EBITDA margin.</w:t>
      </w:r>
      <w:r>
        <w:rPr>
          <w:caps w:val="false"/>
          <w:smallCaps w:val="false"/>
        </w:rPr>
        <w:t xml:space="preserve"> </w:t>
      </w:r>
      <w:r>
        <w:rPr>
          <w:rFonts w:ascii="Times New Roman;serif" w:hAnsi="Times New Roman;serif"/>
          <w:b w:val="false"/>
          <w:i w:val="false"/>
          <w:caps w:val="false"/>
          <w:smallCaps w:val="false"/>
          <w:sz w:val="20"/>
        </w:rPr>
        <w:t xml:space="preserve">Set forth below are adjusted net income attributable to Corpay, adjusted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per diluted share attributable to Corpay, EBITDA, adjusted EBITDA and adjusted EBITDA margin for the years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(in millions, except per share amounts and percentages).</w:t>
      </w:r>
    </w:p>
    <w:p>
      <w:pPr>
        <w:pStyle w:val="TextBody"/>
        <w:bidi w:val="0"/>
        <w:spacing w:before="0" w:after="0"/>
        <w:jc w:val="left"/>
        <w:rPr>
          <w:caps w:val="false"/>
          <w:smallCaps w:val="false"/>
        </w:rPr>
      </w:pPr>
      <w:r>
        <w:rPr>
          <w:caps w:val="false"/>
          <w:smallCaps w:val="false"/>
        </w:rPr>
        <w:t> </w:t>
      </w:r>
    </w:p>
    <w:tbl>
      <w:tblPr>
        <w:tblW w:w="7190" w:type="dxa"/>
        <w:jc w:val="left"/>
        <w:tblInd w:w="0" w:type="dxa"/>
        <w:tblLayout w:type="fixed"/>
        <w:tblCellMar>
          <w:top w:w="28" w:type="dxa"/>
          <w:left w:w="28" w:type="dxa"/>
          <w:bottom w:w="28" w:type="dxa"/>
          <w:right w:w="28" w:type="dxa"/>
        </w:tblCellMar>
      </w:tblPr>
      <w:tblGrid>
        <w:gridCol w:w="5041"/>
        <w:gridCol w:w="109"/>
        <w:gridCol w:w="933"/>
        <w:gridCol w:w="123"/>
        <w:gridCol w:w="984"/>
      </w:tblGrid>
      <w:tr>
        <w:trPr/>
        <w:tc>
          <w:tcPr>
            <w:tcW w:w="5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50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r>
      <w:tr>
        <w:trPr/>
        <w:tc>
          <w:tcPr>
            <w:tcW w:w="50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50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net income attributable to Corpay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$1,518.1</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$1,364.1</w:t>
            </w:r>
          </w:p>
        </w:tc>
      </w:tr>
      <w:tr>
        <w:trPr/>
        <w:tc>
          <w:tcPr>
            <w:tcW w:w="50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net income per diluted share attributable to Corpay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$21.38</w:t>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9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$19.01</w:t>
            </w:r>
          </w:p>
        </w:tc>
      </w:tr>
      <w:tr>
        <w:trPr/>
        <w:tc>
          <w:tcPr>
            <w:tcW w:w="50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EBITDA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$2,347.2</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$2,107.7</w:t>
            </w:r>
          </w:p>
        </w:tc>
      </w:tr>
      <w:tr>
        <w:trPr/>
        <w:tc>
          <w:tcPr>
            <w:tcW w:w="50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EBITDA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$2,565.1</w:t>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9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$2,270.8</w:t>
            </w:r>
          </w:p>
        </w:tc>
      </w:tr>
      <w:tr>
        <w:trPr/>
        <w:tc>
          <w:tcPr>
            <w:tcW w:w="50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EBITDA margin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56.6%</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57.1%</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net income attributable to Corpay, adjusted net income per diluted share attributable to Corpay, EBITDA, adjusted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EBITDA and adjusted EBITDA margin are supplemental non-GAAP financial measures of operating performance. See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heading entitled “Management’s Use of Non-GAAP Financial Measures” for more information and a reconciliation of the non-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GAAP financial measure to the most directly comparable financial measure calculated in accordance with U.S. generally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accepted accounting principles, or GAAP. We use adjusted net income attributable to Corpay, adjusted net income per diluted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 attributable to Corpay, EBITDA, adjusted EBITDA and adjusted EBITDA margin to eliminate the effect of items that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 not consider indicative of our core operating performance on a consistent basis. These non-GAAP measures are presented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solely to permit investors to more fully understand how our management assesses underlying performance and are not,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should not be viewed as, a substitute for GAAP measures and should be viewed in conjunction with our GAAP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measures.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Sources of Revenue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 offers a variety of payment solutions that help to simplify, automate, secure, digitize and effectively control the way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businesses and consumers manage and pay their expenses. We provide our payment solutions to our business, merchant,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consumer and payment network customers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more than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200 countries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w:t>
      </w:r>
      <w:r>
        <w:rPr>
          <w:rFonts w:ascii="Times New Roman;serif" w:hAnsi="Times New Roman;serif"/>
          <w:b w:val="false"/>
          <w:i w:val="false"/>
          <w:caps w:val="false"/>
          <w:smallCaps w:val="false"/>
          <w:sz w:val="20"/>
        </w:rPr>
        <w:t xml:space="preserve">round the world today, although we operate primarily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three geographies, with </w:t>
      </w:r>
      <w:r>
        <w:rPr>
          <w:rFonts w:ascii="Times New Roman;serif" w:hAnsi="Times New Roman;serif"/>
          <w:b w:val="false"/>
          <w:i w:val="false"/>
          <w:caps w:val="false"/>
          <w:smallCaps w:val="false"/>
          <w:strike w:val="false"/>
          <w:dstrike w:val="false"/>
          <w:sz w:val="20"/>
          <w:u w:val="none"/>
          <w:effect w:val="none"/>
        </w:rPr>
        <w:t>approximately 79%</w:t>
      </w:r>
      <w:r>
        <w:rPr>
          <w:caps w:val="false"/>
          <w:smallCaps w:val="false"/>
          <w:sz w:val="24"/>
        </w:rPr>
        <w:t xml:space="preserve"> </w:t>
      </w:r>
      <w:r>
        <w:rPr>
          <w:rFonts w:ascii="Times New Roman;serif" w:hAnsi="Times New Roman;serif"/>
          <w:b w:val="false"/>
          <w:i w:val="false"/>
          <w:caps w:val="false"/>
          <w:smallCaps w:val="false"/>
          <w:sz w:val="20"/>
        </w:rPr>
        <w:t xml:space="preserve">of our business in the U.S., Brazil and the U.K. Our customers may include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businesses (obtained through direct and indirect channels) and partners for whom we manage payment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well as consumers.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report information about our operating segments in accordance with the authoritative guidance related to segments.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 and report our operating results through the following three reportable segments: Corporate Payments, Vehicle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and Lodging Payments. The remaining results are included within Other, which includes our Gift and Payroll Card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businesses. These segments align with how the Chief Operating Decision Maker (CODM) allocates resources, assesses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 and reviews financial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revenue is generally reported net of the cost for underlying products and services purchased. In this report, we refer to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revenue as “revenue" or "revenues, net". See “Results of Operations” for additional segment information. </w:t>
      </w:r>
    </w:p>
    <w:p>
      <w:pPr>
        <w:pStyle w:val="TextBody"/>
        <w:bidi w:val="0"/>
        <w:spacing w:lineRule="atLeast" w:line="200" w:before="0" w:after="0"/>
        <w:jc w:val="left"/>
        <w:rPr>
          <w:sz w:val="24"/>
        </w:rPr>
      </w:pPr>
      <w:r>
        <w:rPr>
          <w:rFonts w:ascii="Times New Roman;serif" w:hAnsi="Times New Roman;serif"/>
          <w:b/>
          <w:i/>
          <w:sz w:val="20"/>
        </w:rPr>
        <w:t xml:space="preserve">Revenues, net, by Segment. </w:t>
      </w:r>
      <w:r>
        <w:rPr>
          <w:rFonts w:ascii="Times New Roman;serif" w:hAnsi="Times New Roman;serif"/>
          <w:b w:val="false"/>
          <w:i w:val="false"/>
          <w:caps w:val="false"/>
          <w:smallCaps w:val="false"/>
          <w:sz w:val="20"/>
        </w:rPr>
        <w:t xml:space="preserve">For the years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our segments generated the following revenues,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 millions, except percentages):</w:t>
      </w:r>
    </w:p>
    <w:p>
      <w:pPr>
        <w:pStyle w:val="TextBody"/>
        <w:bidi w:val="0"/>
        <w:spacing w:before="0" w:after="0"/>
        <w:jc w:val="left"/>
        <w:rPr>
          <w:caps w:val="false"/>
          <w:smallCaps w:val="false"/>
        </w:rPr>
      </w:pPr>
      <w:r>
        <w:rPr>
          <w:caps w:val="false"/>
          <w:smallCaps w:val="false"/>
        </w:rPr>
        <w:t> </w:t>
      </w:r>
    </w:p>
    <w:tbl>
      <w:tblPr>
        <w:tblW w:w="6921" w:type="dxa"/>
        <w:jc w:val="left"/>
        <w:tblInd w:w="0" w:type="dxa"/>
        <w:tblLayout w:type="fixed"/>
        <w:tblCellMar>
          <w:top w:w="28" w:type="dxa"/>
          <w:left w:w="28" w:type="dxa"/>
          <w:bottom w:w="28" w:type="dxa"/>
          <w:right w:w="28" w:type="dxa"/>
        </w:tblCellMar>
      </w:tblPr>
      <w:tblGrid>
        <w:gridCol w:w="2326"/>
        <w:gridCol w:w="109"/>
        <w:gridCol w:w="886"/>
        <w:gridCol w:w="109"/>
        <w:gridCol w:w="1171"/>
        <w:gridCol w:w="109"/>
        <w:gridCol w:w="886"/>
        <w:gridCol w:w="109"/>
        <w:gridCol w:w="1216"/>
      </w:tblGrid>
      <w:tr>
        <w:trPr/>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4486" w:type="dxa"/>
            <w:gridSpan w:val="7"/>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Year Ended December 31,</w:t>
            </w:r>
          </w:p>
        </w:tc>
      </w:tr>
      <w:tr>
        <w:trPr/>
        <w:tc>
          <w:tcPr>
            <w:tcW w:w="23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23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 by Segment*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of Total</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 net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of Total</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 net</w:t>
            </w:r>
          </w:p>
        </w:tc>
      </w:tr>
      <w:tr>
        <w:trPr/>
        <w:tc>
          <w:tcPr>
            <w:tcW w:w="23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Corporate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r>
      <w:tr>
        <w:trPr/>
        <w:tc>
          <w:tcPr>
            <w:tcW w:w="23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Vehicle Payments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r>
      <w:tr>
        <w:trPr/>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Lodging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23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*Columns may not calculate due to rounding. Other includes our Gift and Payroll Card operating segments.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our Corporate Payments segment, our payables business primarily earns revenue from the difference between the amount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charged to the customer and the amount paid to the third party for a given transaction, as interchange or spread revenue.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programs may also charge fixed fees for access to the network and ancillary services provided. Revenues from risk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products and foreign exchange payment services are primarily comprised of the difference between the exchange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rate we set for the customer and the rate available in the wholesale foreign exchange market. In our cross-border business,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is from exchanges of currency at spot rates, which enables customers to make cross-currency payments. Our cross-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border business also derives revenue from our risk management business, which aggregates foreign currency exposures arising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customer contracts and economically hedges the resulting net currency risks by entering into offsetting contracts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established financial institution counterparties. We also generate float revenue earned on invested customer funds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jurisdictions where permitted.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generate revenue in our Vehicle Payments segment through a variety of program fees, including transaction fees, card fees,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network fees and charges, as well as from interchange. These fees may be charged as fixed amounts, costs plus a mark-up,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on a percentage of the transaction purchase amounts, or a combination thereof. Our programs also include other fees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charges associated with late payments and based on customer credit risk. We also generate float revenue earned on invested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 funds in jurisdictions where permitted.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our Lodging Payments segment, we primarily earn revenue from the difference between the amount charged to the customer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the amount paid to the hotel for a given transaction or based on commissions paid by hotels. We may also charge fees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access to the network and ancillary services provided.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remaining revenues represent other solutions in our Gift and Payroll Card businesses, referred to as Other. In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businesses, we primarily earn revenue from the processing of transactions. We may also charge fees for ancillary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provided.</w:t>
      </w:r>
    </w:p>
    <w:p>
      <w:pPr>
        <w:pStyle w:val="TextBody"/>
        <w:bidi w:val="0"/>
        <w:spacing w:lineRule="atLeast" w:line="200" w:before="0" w:after="0"/>
        <w:jc w:val="left"/>
        <w:rPr>
          <w:sz w:val="24"/>
        </w:rPr>
      </w:pPr>
      <w:r>
        <w:rPr>
          <w:rFonts w:ascii="Times New Roman;serif" w:hAnsi="Times New Roman;serif"/>
          <w:b/>
          <w:i/>
          <w:sz w:val="20"/>
        </w:rPr>
        <w:t xml:space="preserve">Revenues, net, by Geography </w:t>
      </w:r>
      <w:r>
        <w:rPr>
          <w:rFonts w:ascii="Times New Roman;serif" w:hAnsi="Times New Roman;serif"/>
          <w:b w:val="false"/>
          <w:i w:val="false"/>
          <w:caps w:val="false"/>
          <w:smallCaps w:val="false"/>
          <w:sz w:val="20"/>
        </w:rPr>
        <w:t xml:space="preserve">Revenues, net by geography for the years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were as follows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millions, except percentages):</w:t>
      </w:r>
    </w:p>
    <w:tbl>
      <w:tblPr>
        <w:tblW w:w="6801" w:type="dxa"/>
        <w:jc w:val="left"/>
        <w:tblInd w:w="0" w:type="dxa"/>
        <w:tblLayout w:type="fixed"/>
        <w:tblCellMar>
          <w:top w:w="28" w:type="dxa"/>
          <w:left w:w="28" w:type="dxa"/>
          <w:bottom w:w="28" w:type="dxa"/>
          <w:right w:w="28" w:type="dxa"/>
        </w:tblCellMar>
      </w:tblPr>
      <w:tblGrid>
        <w:gridCol w:w="2326"/>
        <w:gridCol w:w="109"/>
        <w:gridCol w:w="886"/>
        <w:gridCol w:w="109"/>
        <w:gridCol w:w="1111"/>
        <w:gridCol w:w="109"/>
        <w:gridCol w:w="886"/>
        <w:gridCol w:w="109"/>
        <w:gridCol w:w="1156"/>
      </w:tblGrid>
      <w:tr>
        <w:trPr/>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4366" w:type="dxa"/>
            <w:gridSpan w:val="7"/>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Year Ended December 31,</w:t>
            </w:r>
          </w:p>
        </w:tc>
      </w:tr>
      <w:tr>
        <w:trPr/>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23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 by Geography*</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of total</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 net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of total</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revenues, net</w:t>
            </w:r>
          </w:p>
        </w:tc>
      </w:tr>
      <w:tr>
        <w:trPr/>
        <w:tc>
          <w:tcPr>
            <w:tcW w:w="23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r>
      <w:tr>
        <w:trPr/>
        <w:tc>
          <w:tcPr>
            <w:tcW w:w="23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Brazil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r>
      <w:tr>
        <w:trPr/>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Kingdom</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23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r>
      <w:tr>
        <w:trPr/>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*Columns may not calculate due to rounding.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 xml:space="preserve">Revenues, net, by Key Performance Metric and Organic Growth. </w:t>
      </w:r>
      <w:r>
        <w:rPr>
          <w:rFonts w:ascii="Times New Roman;serif" w:hAnsi="Times New Roman;serif"/>
          <w:b w:val="false"/>
          <w:i w:val="false"/>
          <w:caps w:val="false"/>
          <w:smallCaps w:val="false"/>
          <w:sz w:val="20"/>
        </w:rPr>
        <w:t xml:space="preserve">Revenues, net by key performance metric and organic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growth by segment for the years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were as follows (in millions except revenues, net per key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performance indicator, and percentages)*:</w:t>
      </w:r>
    </w:p>
    <w:tbl>
      <w:tblPr>
        <w:tblW w:w="9791" w:type="dxa"/>
        <w:jc w:val="left"/>
        <w:tblInd w:w="0" w:type="dxa"/>
        <w:tblLayout w:type="fixed"/>
        <w:tblCellMar>
          <w:top w:w="28" w:type="dxa"/>
          <w:left w:w="28" w:type="dxa"/>
          <w:bottom w:w="28" w:type="dxa"/>
          <w:right w:w="28" w:type="dxa"/>
        </w:tblCellMar>
      </w:tblPr>
      <w:tblGrid>
        <w:gridCol w:w="2476"/>
        <w:gridCol w:w="109"/>
        <w:gridCol w:w="781"/>
        <w:gridCol w:w="109"/>
        <w:gridCol w:w="781"/>
        <w:gridCol w:w="109"/>
        <w:gridCol w:w="706"/>
        <w:gridCol w:w="109"/>
        <w:gridCol w:w="931"/>
        <w:gridCol w:w="109"/>
        <w:gridCol w:w="781"/>
        <w:gridCol w:w="109"/>
        <w:gridCol w:w="781"/>
        <w:gridCol w:w="109"/>
        <w:gridCol w:w="706"/>
        <w:gridCol w:w="109"/>
        <w:gridCol w:w="976"/>
      </w:tblGrid>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6" w:type="dxa"/>
            <w:gridSpan w:val="7"/>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 Reported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7"/>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Pro Forma and Macro Adjusted</w:t>
            </w:r>
            <w:r>
              <w:rPr>
                <w:rFonts w:ascii="Times New Roman;serif" w:hAnsi="Times New Roman;serif"/>
                <w:b/>
                <w:i w:val="false"/>
                <w:caps w:val="false"/>
                <w:smallCaps w:val="false"/>
                <w:sz w:val="12"/>
              </w:rPr>
              <w:t>1</w:t>
            </w:r>
          </w:p>
        </w:tc>
      </w:tr>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6"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Year Ended December 31,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Year Ended December 31,</w:t>
            </w:r>
          </w:p>
        </w:tc>
      </w:tr>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Change</w:t>
            </w:r>
          </w:p>
        </w:tc>
      </w:tr>
      <w:tr>
        <w:trPr/>
        <w:tc>
          <w:tcPr>
            <w:tcW w:w="247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u w:val="single"/>
              </w:rPr>
              <w:t>CORPORATE PAYMENTS</w:t>
            </w:r>
            <w:r>
              <w:rPr>
                <w:rFonts w:ascii="Times New Roman;serif" w:hAnsi="Times New Roman;serif"/>
                <w:b/>
                <w:i w:val="false"/>
                <w:caps w:val="false"/>
                <w:smallCaps w:val="false"/>
                <w:sz w:val="12"/>
                <w:u w:val="single"/>
              </w:rPr>
              <w:t>2</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$1,627.3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$1,390.5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w:t>
            </w:r>
          </w:p>
        </w:tc>
      </w:tr>
      <w:tr>
        <w:trPr/>
        <w:tc>
          <w:tcPr>
            <w:tcW w:w="247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Spend volume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$258,452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$172,054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$86,398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$258,452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$197,447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$61,005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w:t>
            </w:r>
          </w:p>
        </w:tc>
      </w:tr>
      <w:tr>
        <w:trPr/>
        <w:tc>
          <w:tcPr>
            <w:tcW w:w="247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Revenues, net per spend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r>
      <w:tr>
        <w:trPr/>
        <w:tc>
          <w:tcPr>
            <w:tcW w:w="2476" w:type="dxa"/>
            <w:tcBorders/>
            <w:shd w:fill="FFFFFF" w:val="clear"/>
            <w:vAlign w:val="center"/>
          </w:tcPr>
          <w:p>
            <w:pPr>
              <w:pStyle w:val="TableContents"/>
              <w:bidi w:val="0"/>
              <w:spacing w:lineRule="atLeast" w:line="180" w:before="0" w:after="0"/>
              <w:jc w:val="left"/>
              <w:rPr>
                <w:rFonts w:ascii="Times New Roman;serif" w:hAnsi="Times New Roman;serif"/>
                <w:b/>
                <w:i w:val="false"/>
                <w:caps w:val="false"/>
                <w:smallCaps w:val="false"/>
                <w:sz w:val="18"/>
                <w:u w:val="single"/>
              </w:rPr>
            </w:pPr>
            <w:r>
              <w:rPr>
                <w:rFonts w:ascii="Times New Roman;serif" w:hAnsi="Times New Roman;serif"/>
                <w:b/>
                <w:i w:val="false"/>
                <w:caps w:val="false"/>
                <w:smallCaps w:val="false"/>
                <w:sz w:val="18"/>
                <w:u w:val="single"/>
              </w:rPr>
              <w:t>VEHICLE PAYMENTS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47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$2,008.8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r>
      <w:tr>
        <w:trPr/>
        <w:tc>
          <w:tcPr>
            <w:tcW w:w="247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Transactions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880.9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820.7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880.1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822.6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r>
      <w:tr>
        <w:trPr/>
        <w:tc>
          <w:tcPr>
            <w:tcW w:w="247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Revenues, net per transaction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r>
      <w:tr>
        <w:trPr/>
        <w:tc>
          <w:tcPr>
            <w:tcW w:w="247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Tag transactions</w:t>
            </w:r>
            <w:r>
              <w:rPr>
                <w:rFonts w:ascii="Times New Roman;serif" w:hAnsi="Times New Roman;serif"/>
                <w:b w:val="false"/>
                <w:i w:val="false"/>
                <w:caps w:val="false"/>
                <w:smallCaps w:val="false"/>
                <w:sz w:val="12"/>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r>
      <w:tr>
        <w:trPr/>
        <w:tc>
          <w:tcPr>
            <w:tcW w:w="247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Parking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NM</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r>
      <w:tr>
        <w:trPr/>
        <w:tc>
          <w:tcPr>
            <w:tcW w:w="247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Fleet transactions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r>
      <w:tr>
        <w:trPr/>
        <w:tc>
          <w:tcPr>
            <w:tcW w:w="247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Other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r>
      <w:tr>
        <w:trPr/>
        <w:tc>
          <w:tcPr>
            <w:tcW w:w="2476" w:type="dxa"/>
            <w:tcBorders/>
            <w:shd w:fill="FFFFFF" w:val="clear"/>
            <w:vAlign w:val="center"/>
          </w:tcPr>
          <w:p>
            <w:pPr>
              <w:pStyle w:val="TableContents"/>
              <w:bidi w:val="0"/>
              <w:spacing w:lineRule="atLeast" w:line="180" w:before="0" w:after="0"/>
              <w:jc w:val="left"/>
              <w:rPr>
                <w:rFonts w:ascii="Times New Roman;serif" w:hAnsi="Times New Roman;serif"/>
                <w:b/>
                <w:i w:val="false"/>
                <w:caps w:val="false"/>
                <w:smallCaps w:val="false"/>
                <w:sz w:val="18"/>
                <w:u w:val="single"/>
              </w:rPr>
            </w:pPr>
            <w:r>
              <w:rPr>
                <w:rFonts w:ascii="Times New Roman;serif" w:hAnsi="Times New Roman;serif"/>
                <w:b/>
                <w:i w:val="false"/>
                <w:caps w:val="false"/>
                <w:smallCaps w:val="false"/>
                <w:sz w:val="18"/>
                <w:u w:val="single"/>
              </w:rPr>
              <w:t>LODGING PAYMENTS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47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r>
      <w:tr>
        <w:trPr/>
        <w:tc>
          <w:tcPr>
            <w:tcW w:w="247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Room nights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r>
      <w:tr>
        <w:trPr/>
        <w:tc>
          <w:tcPr>
            <w:tcW w:w="247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Revenues, net per room night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r>
      <w:tr>
        <w:trPr/>
        <w:tc>
          <w:tcPr>
            <w:tcW w:w="2476" w:type="dxa"/>
            <w:tcBorders/>
            <w:shd w:fill="FFFFFF" w:val="cle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u w:val="single"/>
              </w:rPr>
              <w:t>OTHER</w:t>
            </w:r>
            <w:r>
              <w:rPr>
                <w:rFonts w:ascii="Times New Roman;serif" w:hAnsi="Times New Roman;serif"/>
                <w:b/>
                <w:i w:val="false"/>
                <w:caps w:val="false"/>
                <w:smallCaps w:val="false"/>
                <w:sz w:val="12"/>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476" w:type="dxa"/>
            <w:tcBorders/>
            <w:shd w:fill="CCEE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r>
      <w:tr>
        <w:trPr/>
        <w:tc>
          <w:tcPr>
            <w:tcW w:w="2476" w:type="dxa"/>
            <w:tcBorders/>
            <w:shd w:fill="FFFFFF" w:val="cle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Transactions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1,717.7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1,717.7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1,574.1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r>
      <w:tr>
        <w:trPr/>
        <w:tc>
          <w:tcPr>
            <w:tcW w:w="247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Revenues, net per transaction</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$0.17</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$0.16</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$0.17</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$0.16</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r>
      <w:tr>
        <w:trPr/>
        <w:tc>
          <w:tcPr>
            <w:tcW w:w="2476" w:type="dxa"/>
            <w:tcBorders>
              <w:top w:val="single" w:sz="8" w:space="0" w:color="000000"/>
              <w:left w:val="single" w:sz="8" w:space="0" w:color="000000"/>
            </w:tcBorders>
            <w:shd w:fill="FFFFFF" w:val="clear"/>
            <w:tcMar>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u w:val="single"/>
              </w:rPr>
            </w:pPr>
            <w:r>
              <w:rPr>
                <w:rFonts w:ascii="Times New Roman;serif" w:hAnsi="Times New Roman;serif"/>
                <w:b/>
                <w:i w:val="false"/>
                <w:caps w:val="false"/>
                <w:smallCaps w:val="false"/>
                <w:sz w:val="18"/>
                <w:u w:val="single"/>
              </w:rPr>
              <w:t xml:space="preserve">CORPAY CONSOLIDATED </w:t>
            </w:r>
          </w:p>
          <w:p>
            <w:pPr>
              <w:pStyle w:val="TableContents"/>
              <w:bidi w:val="0"/>
              <w:spacing w:lineRule="atLeast" w:line="180" w:before="0" w:after="0"/>
              <w:jc w:val="left"/>
              <w:rPr>
                <w:rFonts w:ascii="Times New Roman;serif" w:hAnsi="Times New Roman;serif"/>
                <w:b/>
                <w:i w:val="false"/>
                <w:caps w:val="false"/>
                <w:smallCaps w:val="false"/>
                <w:sz w:val="18"/>
                <w:u w:val="single"/>
              </w:rPr>
            </w:pPr>
            <w:r>
              <w:rPr>
                <w:rFonts w:ascii="Times New Roman;serif" w:hAnsi="Times New Roman;serif"/>
                <w:b/>
                <w:i w:val="false"/>
                <w:caps w:val="false"/>
                <w:smallCaps w:val="false"/>
                <w:sz w:val="18"/>
                <w:u w:val="single"/>
              </w:rPr>
              <w:t>REVENUES, NET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476" w:type="dxa"/>
            <w:tcBorders>
              <w:left w:val="single" w:sz="8" w:space="0" w:color="000000"/>
              <w:bottom w:val="single" w:sz="8" w:space="0" w:color="000000"/>
            </w:tcBorders>
            <w:shd w:fill="CCEEFF" w:val="clear"/>
            <w:tcMar>
              <w:top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FFFFFF"/>
                <w:sz w:val="18"/>
                <w:u w:val="none"/>
                <w:effect w:val="none"/>
              </w:rPr>
              <w:t>'</w:t>
            </w:r>
            <w:r>
              <w:rPr>
                <w:rFonts w:ascii="Times New Roman;serif" w:hAnsi="Times New Roman;serif"/>
                <w:b w:val="false"/>
                <w:i w:val="false"/>
                <w:caps w:val="false"/>
                <w:smallCaps w:val="false"/>
                <w:sz w:val="18"/>
              </w:rPr>
              <w:t>- Revenues, net</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$4,528.4</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$3,974.6</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$553.8</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$4,559.2</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$4,133.0</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$426.2</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1</w:t>
            </w:r>
            <w:r>
              <w:rPr>
                <w:caps w:val="false"/>
                <w:smallCaps w:val="false"/>
              </w:rPr>
              <w:t xml:space="preserve"> </w:t>
            </w:r>
            <w:r>
              <w:rPr>
                <w:rFonts w:ascii="Times New Roman;serif" w:hAnsi="Times New Roman;serif"/>
                <w:b w:val="false"/>
                <w:i w:val="false"/>
                <w:caps w:val="false"/>
                <w:smallCaps w:val="false"/>
                <w:sz w:val="20"/>
              </w:rPr>
              <w:t xml:space="preserve">See heading entitled "Management's Use of Non-GAAP Financial Measures" for a reconciliation of pro forma and macro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revenue by product and metric non-GAAP measures to the comparable financial measure calculated in accordance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GAAP. The calculated change represents organic growth rate. </w:t>
            </w:r>
          </w:p>
        </w:tc>
      </w:tr>
      <w:tr>
        <w:trPr/>
        <w:tc>
          <w:tcPr>
            <w:tcW w:w="10205"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2 </w:t>
            </w:r>
            <w:r>
              <w:rPr>
                <w:rFonts w:ascii="Times New Roman;serif" w:hAnsi="Times New Roman;serif"/>
                <w:b w:val="false"/>
                <w:i w:val="false"/>
                <w:caps w:val="false"/>
                <w:smallCaps w:val="false"/>
                <w:sz w:val="20"/>
              </w:rPr>
              <w:t>Corporate Payments revenue per spend dollar decreased over the prior year due to new payables and cross-border enterprise</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clients.</w:t>
            </w:r>
          </w:p>
        </w:tc>
      </w:tr>
      <w:tr>
        <w:trPr/>
        <w:tc>
          <w:tcPr>
            <w:tcW w:w="10205"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3 </w:t>
            </w:r>
            <w:r>
              <w:rPr>
                <w:rFonts w:ascii="Times New Roman;serif" w:hAnsi="Times New Roman;serif"/>
                <w:b w:val="false"/>
                <w:i w:val="false"/>
                <w:caps w:val="false"/>
                <w:smallCaps w:val="false"/>
                <w:sz w:val="20"/>
              </w:rPr>
              <w:t>Represents total tag subscription transactions in the period. Average monthly tag subscriptions for 2025 was 7.7 million.</w:t>
            </w:r>
          </w:p>
        </w:tc>
      </w:tr>
      <w:tr>
        <w:trPr/>
        <w:tc>
          <w:tcPr>
            <w:tcW w:w="10205"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4  </w:t>
            </w:r>
            <w:r>
              <w:rPr>
                <w:rFonts w:ascii="Times New Roman;serif" w:hAnsi="Times New Roman;serif"/>
                <w:b w:val="false"/>
                <w:i w:val="false"/>
                <w:caps w:val="false"/>
                <w:smallCaps w:val="false"/>
                <w:sz w:val="20"/>
              </w:rPr>
              <w:t>Other includes Gift and Payroll Card operating segments</w:t>
            </w:r>
          </w:p>
        </w:tc>
      </w:tr>
      <w:tr>
        <w:trPr/>
        <w:tc>
          <w:tcPr>
            <w:tcW w:w="102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Columns may not calculate due to rounding.</w:t>
            </w:r>
          </w:p>
        </w:tc>
      </w:tr>
      <w:tr>
        <w:trPr/>
        <w:tc>
          <w:tcPr>
            <w:tcW w:w="1020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NM = Not Meaningful</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 per relevant key performance indicator (KPI), which may include transactions, spend volume, room nights, or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metrics, is derived from the various revenue types as discussed above and can vary based on geography, the relevant merchant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relationship, the payment product utilized and the types of products or services purchased, the mix of which would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influenced by our acquisitions, organic growth in our business and the overall macroeconomic environment,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fluctuations in foreign currency exchange rates, fuel prices and fuel price spreads. Relevant KPI is derived by broad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type and may differ from how we describe the business. Revenue per KPI per customer may change as the level of services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to a customer increases or decreases, as mix of customer size shifts, as macroeconomic factors change and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adjustments are made to merchant and customer rates. See “Results of Operations” for further discussion of transaction volumes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revenue per transaction.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Organic revenue growth is a supplemental non-GAAP financial measure of operating performance. Organic revenue growth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calculated as revenue growth in the current period adjusted for the impact of changes in the macroeconomic environment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 fuel price, fuel price spreads and changes in foreign exchange rates) over revenue in the comparable prior period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to include or remove the impact of acquisitions and/or divestitures, inclusive of changes in operational and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structure, and non-recurring items that have occurred subsequent to that period. See the heading entitled “Management’s Use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Non-GAAP Financial Measures” for more information and a reconciliation of the non-GAAP financial measure to the most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directly comparable financial measure calculated in accordance with GAAP. We believe that organic revenue growth on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macro-neutral, one-time and consistent acquisition/divestiture/non-recurring item basis is useful to investors for understanding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performance of Corpay.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Sources of Expenses</w:t>
      </w:r>
    </w:p>
    <w:p>
      <w:pPr>
        <w:pStyle w:val="TextBody"/>
        <w:bidi w:val="0"/>
        <w:spacing w:lineRule="atLeast" w:line="200" w:before="0" w:after="0"/>
        <w:jc w:val="left"/>
        <w:rPr/>
      </w:pPr>
      <w:r>
        <w:rPr>
          <w:rFonts w:ascii="Times New Roman;serif" w:hAnsi="Times New Roman;serif"/>
          <w:b w:val="false"/>
          <w:i w:val="false"/>
          <w:caps w:val="false"/>
          <w:smallCaps w:val="false"/>
          <w:sz w:val="20"/>
        </w:rPr>
        <w:t>We routinely incur expenses in the following categories:</w:t>
      </w:r>
      <w:r>
        <w:rPr>
          <w:caps w:val="false"/>
          <w:smallCaps w:val="false"/>
        </w:rPr>
        <w:t> </w:t>
      </w:r>
    </w:p>
    <w:p>
      <w:pPr>
        <w:pStyle w:val="TextBody"/>
        <w:bidi w:val="0"/>
        <w:spacing w:lineRule="atLeast" w:line="200" w:before="0" w:after="0"/>
        <w:jc w:val="left"/>
        <w:rPr/>
      </w:pPr>
      <w:r>
        <w:rPr/>
        <w:t>•</w:t>
      </w:r>
      <w:r>
        <w:rPr>
          <w:rFonts w:ascii="Times New Roman;serif" w:hAnsi="Times New Roman;serif"/>
          <w:b w:val="false"/>
          <w:i/>
          <w:sz w:val="20"/>
        </w:rPr>
        <w:t>Processing</w:t>
      </w:r>
      <w:r>
        <w:rPr>
          <w:caps w:val="false"/>
          <w:smallCaps w:val="false"/>
        </w:rPr>
        <w:t>—</w:t>
      </w:r>
      <w:r>
        <w:rPr>
          <w:rFonts w:ascii="Times New Roman;serif" w:hAnsi="Times New Roman;serif"/>
          <w:b w:val="false"/>
          <w:i w:val="false"/>
          <w:caps w:val="false"/>
          <w:smallCaps w:val="false"/>
          <w:sz w:val="20"/>
        </w:rPr>
        <w:t xml:space="preserve">Our processing expenses consist of expenses related to processing transactions, servicing our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merchants, credit losses and cost of goods sold related to our hardware and card sales in certain businesses.</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Selling</w:t>
      </w:r>
      <w:r>
        <w:rPr>
          <w:caps w:val="false"/>
          <w:smallCaps w:val="false"/>
        </w:rPr>
        <w:t>—</w:t>
      </w:r>
      <w:r>
        <w:rPr>
          <w:rFonts w:ascii="Times New Roman;serif" w:hAnsi="Times New Roman;serif"/>
          <w:b w:val="false"/>
          <w:i w:val="false"/>
          <w:caps w:val="false"/>
          <w:smallCaps w:val="false"/>
          <w:sz w:val="20"/>
        </w:rPr>
        <w:t xml:space="preserve">Our selling expenses consist primarily of wages, benefits, sales commissions (other than merchant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commissions) and related expenses for our sales, marketing and account management personnel and activities.</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General and administrative</w:t>
      </w:r>
      <w:r>
        <w:rPr>
          <w:caps w:val="false"/>
          <w:smallCaps w:val="false"/>
        </w:rPr>
        <w:t>—</w:t>
      </w:r>
      <w:r>
        <w:rPr>
          <w:rFonts w:ascii="Times New Roman;serif" w:hAnsi="Times New Roman;serif"/>
          <w:b w:val="false"/>
          <w:i w:val="false"/>
          <w:caps w:val="false"/>
          <w:smallCaps w:val="false"/>
          <w:sz w:val="20"/>
        </w:rPr>
        <w:t xml:space="preserve">Our general and administrative expenses include compensation and related expenses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stock-based compensation and bonuses) for our employees, finance and accounting,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technology, human resources, legal and other administrative personnel. Also included are facilities expenses, third-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party professional services fees, travel and entertainment expenses and other corporate-level expenses.</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Depreciation and amortization</w:t>
      </w:r>
      <w:r>
        <w:rPr>
          <w:caps w:val="false"/>
          <w:smallCaps w:val="false"/>
        </w:rPr>
        <w:t>—</w:t>
      </w:r>
      <w:r>
        <w:rPr>
          <w:rFonts w:ascii="Times New Roman;serif" w:hAnsi="Times New Roman;serif"/>
          <w:b w:val="false"/>
          <w:i w:val="false"/>
          <w:caps w:val="false"/>
          <w:smallCaps w:val="false"/>
          <w:sz w:val="20"/>
        </w:rPr>
        <w:t xml:space="preserve">Our depreciation expenses include depreciation of property and equipment,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consisting of computer hardware and software (including proprietary software development amortization expense),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card-reading equipment, furniture, fixtures, vehicles and buildings and leasehold improvements related to office space.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amortization expenses include amortization of intangible assets related to customer and vendor relationships, trade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names and trademarks, software and non-compete agreements. We are amortizing intangible assets related to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acquisitions and certain private label contracts associated with the purchase of accounts receivable.</w:t>
      </w:r>
    </w:p>
    <w:p>
      <w:pPr>
        <w:pStyle w:val="TextBody"/>
        <w:bidi w:val="0"/>
        <w:spacing w:lineRule="atLeast" w:line="200" w:before="0" w:after="0"/>
        <w:jc w:val="left"/>
        <w:rPr/>
      </w:pPr>
      <w:r>
        <w:rPr/>
        <w:t>•</w:t>
      </w:r>
      <w:r>
        <w:rPr>
          <w:rFonts w:ascii="Times New Roman;serif" w:hAnsi="Times New Roman;serif"/>
          <w:b w:val="false"/>
          <w:i/>
          <w:sz w:val="20"/>
        </w:rPr>
        <w:t>Other operating, net</w:t>
      </w:r>
      <w:r>
        <w:rPr>
          <w:caps w:val="false"/>
          <w:smallCaps w:val="false"/>
        </w:rPr>
        <w:t>—</w:t>
      </w:r>
      <w:r>
        <w:rPr>
          <w:rFonts w:ascii="Times New Roman;serif" w:hAnsi="Times New Roman;serif"/>
          <w:b w:val="false"/>
          <w:i w:val="false"/>
          <w:caps w:val="false"/>
          <w:smallCaps w:val="false"/>
          <w:sz w:val="20"/>
        </w:rPr>
        <w:t xml:space="preserve">Our other operating, net includes other operating expenses and income items that do not relate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our core operations or that occur infrequently. </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Other expense (income), net</w:t>
      </w:r>
      <w:r>
        <w:rPr>
          <w:caps w:val="false"/>
          <w:smallCaps w:val="false"/>
        </w:rPr>
        <w:t>—</w:t>
      </w:r>
      <w:r>
        <w:rPr>
          <w:rFonts w:ascii="Times New Roman;serif" w:hAnsi="Times New Roman;serif"/>
          <w:b w:val="false"/>
          <w:i w:val="false"/>
          <w:caps w:val="false"/>
          <w:smallCaps w:val="false"/>
          <w:sz w:val="20"/>
        </w:rPr>
        <w:t xml:space="preserve">Our other expense (income), net includes gains or losses from the following: 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currency transactions, extinguishment of debt and investments. This category also includes other miscellaneous non-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costs and revenue. Certain of these items may be presented separately on the Consolidated Statements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Interest expense, net</w:t>
      </w:r>
      <w:r>
        <w:rPr>
          <w:caps w:val="false"/>
          <w:smallCaps w:val="false"/>
        </w:rPr>
        <w:t>—</w:t>
      </w:r>
      <w:r>
        <w:rPr>
          <w:rFonts w:ascii="Times New Roman;serif" w:hAnsi="Times New Roman;serif"/>
          <w:b w:val="false"/>
          <w:i w:val="false"/>
          <w:caps w:val="false"/>
          <w:smallCaps w:val="false"/>
          <w:sz w:val="20"/>
        </w:rPr>
        <w:t xml:space="preserve">Our interest expense, net includes interest expense on our outstanding debt, interest income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balances and interest on our interest rate and cross-currency swaps.</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Provision for income taxes</w:t>
      </w:r>
      <w:r>
        <w:rPr>
          <w:caps w:val="false"/>
          <w:smallCaps w:val="false"/>
        </w:rPr>
        <w:t>—</w:t>
      </w:r>
      <w:r>
        <w:rPr>
          <w:rFonts w:ascii="Times New Roman;serif" w:hAnsi="Times New Roman;serif"/>
          <w:b w:val="false"/>
          <w:i w:val="false"/>
          <w:caps w:val="false"/>
          <w:smallCaps w:val="false"/>
          <w:sz w:val="20"/>
        </w:rPr>
        <w:t xml:space="preserve">Our provision for income taxes consists of corporate income taxes related primarily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profits resulting from the sale of our products and services on a global basis.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Factors and Trends Impacting our Business</w:t>
      </w:r>
    </w:p>
    <w:p>
      <w:pPr>
        <w:pStyle w:val="TextBody"/>
        <w:bidi w:val="0"/>
        <w:spacing w:lineRule="atLeast" w:line="200" w:before="0" w:after="0"/>
        <w:jc w:val="left"/>
        <w:rPr/>
      </w:pPr>
      <w:r>
        <w:rPr>
          <w:rFonts w:ascii="Times New Roman;serif" w:hAnsi="Times New Roman;serif"/>
          <w:b w:val="false"/>
          <w:i w:val="false"/>
          <w:caps w:val="false"/>
          <w:smallCaps w:val="false"/>
          <w:sz w:val="20"/>
        </w:rPr>
        <w:t>We believe that the following factors and trends are important in understanding our financial performance:</w:t>
      </w:r>
      <w:r>
        <w:rPr>
          <w:caps w:val="false"/>
          <w:smallCaps w:val="false"/>
        </w:rPr>
        <w:t> </w:t>
      </w:r>
    </w:p>
    <w:p>
      <w:pPr>
        <w:pStyle w:val="TextBody"/>
        <w:bidi w:val="0"/>
        <w:spacing w:lineRule="atLeast" w:line="200" w:before="0" w:after="0"/>
        <w:jc w:val="left"/>
        <w:rPr/>
      </w:pPr>
      <w:r>
        <w:rPr/>
        <w:t>•</w:t>
      </w:r>
      <w:r>
        <w:rPr>
          <w:rFonts w:ascii="Times New Roman;serif" w:hAnsi="Times New Roman;serif"/>
          <w:b w:val="false"/>
          <w:i/>
          <w:sz w:val="20"/>
        </w:rPr>
        <w:t>Global economic conditions</w:t>
      </w:r>
      <w:r>
        <w:rPr>
          <w:caps w:val="false"/>
          <w:smallCaps w:val="false"/>
        </w:rPr>
        <w:t>—</w:t>
      </w:r>
      <w:r>
        <w:rPr>
          <w:rFonts w:ascii="Times New Roman;serif" w:hAnsi="Times New Roman;serif"/>
          <w:b w:val="false"/>
          <w:i w:val="false"/>
          <w:caps w:val="false"/>
          <w:smallCaps w:val="false"/>
          <w:sz w:val="20"/>
        </w:rPr>
        <w:t xml:space="preserve">Our results of operations are materially affected by conditions in the economy generally,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North America, Brazil, the U.K. and in other locations internationally. Factors affected by the economy include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volumes, the credit risk of our customers and changes in tax laws across the globe. These factors affected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businesses in each of our segments.</w:t>
      </w:r>
    </w:p>
    <w:p>
      <w:pPr>
        <w:pStyle w:val="TextBody"/>
        <w:bidi w:val="0"/>
        <w:spacing w:lineRule="atLeast" w:line="200" w:before="0" w:after="0"/>
        <w:jc w:val="left"/>
        <w:rPr/>
      </w:pPr>
      <w:r>
        <w:rPr/>
        <w:t>•</w:t>
      </w:r>
      <w:r>
        <w:rPr>
          <w:rFonts w:ascii="Times New Roman;serif" w:hAnsi="Times New Roman;serif"/>
          <w:b w:val="false"/>
          <w:i/>
          <w:sz w:val="20"/>
        </w:rPr>
        <w:t>Foreign currency changes</w:t>
      </w:r>
      <w:r>
        <w:rPr>
          <w:caps w:val="false"/>
          <w:smallCaps w:val="false"/>
        </w:rPr>
        <w:t>—</w:t>
      </w:r>
      <w:r>
        <w:rPr>
          <w:rFonts w:ascii="Times New Roman;serif" w:hAnsi="Times New Roman;serif"/>
          <w:b w:val="false"/>
          <w:i w:val="false"/>
          <w:caps w:val="false"/>
          <w:smallCaps w:val="false"/>
          <w:sz w:val="20"/>
        </w:rPr>
        <w:t xml:space="preserve">Our results of operations are significantly impacted by changes in foreign currency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exchange rates; namely, by movements of the Australian dollar, Brazilian real, British pound, Canadian dollar, Czech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koruna, euro, Mexican peso and New Zealand dollar, relative to the U.S. dollar. </w:t>
      </w:r>
      <w:r>
        <w:rPr>
          <w:rFonts w:ascii="Times New Roman;serif" w:hAnsi="Times New Roman;serif"/>
          <w:b w:val="false"/>
          <w:i w:val="false"/>
          <w:caps w:val="false"/>
          <w:smallCaps w:val="false"/>
          <w:strike w:val="false"/>
          <w:dstrike w:val="false"/>
          <w:sz w:val="20"/>
          <w:u w:val="none"/>
          <w:effect w:val="none"/>
        </w:rPr>
        <w:t>Approximately 49%</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52%</w:t>
      </w:r>
      <w:r>
        <w:rPr>
          <w:caps w:val="false"/>
          <w:smallCaps w:val="false"/>
          <w:sz w:val="24"/>
        </w:rPr>
        <w:t xml:space="preserve"> </w:t>
      </w:r>
      <w:r>
        <w:rPr>
          <w:rFonts w:ascii="Times New Roman;serif" w:hAnsi="Times New Roman;serif"/>
          <w:b w:val="false"/>
          <w:i w:val="false"/>
          <w:caps w:val="false"/>
          <w:smallCaps w:val="false"/>
          <w:sz w:val="20"/>
        </w:rPr>
        <w:t xml:space="preserve">of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revenues 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respectively, were derived in U.S. dollars and were not affected by foreign currency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exchange rates. See “Results of Operations” for information related to foreign currency impact on our total revenues,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cross-border foreign risk management business aggregates foreign currency exposures arising from customer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contracts and economically hedges the resulting net currency risks by entering into offsetting contracts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established financial institution counterparties. These contracts are subject to counterparty credit risk and liquidity risk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collateral calls.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further manage the impact of economic changes in the value of certain foreign-denominated net assets by utilizing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cross-currency interest rate swaps. See "Liquidity and capital resources" below for information regarding our cross-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currency interest rate swaps.</w:t>
      </w:r>
    </w:p>
    <w:p>
      <w:pPr>
        <w:pStyle w:val="TextBody"/>
        <w:bidi w:val="0"/>
        <w:spacing w:lineRule="atLeast" w:line="200" w:before="0" w:after="0"/>
        <w:jc w:val="left"/>
        <w:rPr/>
      </w:pPr>
      <w:r>
        <w:rPr/>
        <w:t>•</w:t>
      </w:r>
      <w:r>
        <w:rPr>
          <w:rFonts w:ascii="Times New Roman;serif" w:hAnsi="Times New Roman;serif"/>
          <w:b w:val="false"/>
          <w:i/>
          <w:sz w:val="20"/>
        </w:rPr>
        <w:t>Fuel price volatility</w:t>
      </w:r>
      <w:r>
        <w:rPr>
          <w:caps w:val="false"/>
          <w:smallCaps w:val="false"/>
        </w:rPr>
        <w:t>—</w:t>
      </w:r>
      <w:r>
        <w:rPr>
          <w:rFonts w:ascii="Times New Roman;serif" w:hAnsi="Times New Roman;serif"/>
          <w:b w:val="false"/>
          <w:i w:val="false"/>
          <w:caps w:val="false"/>
          <w:smallCaps w:val="false"/>
          <w:sz w:val="20"/>
        </w:rPr>
        <w:t xml:space="preserve">Our Vehicle Payments customers use our products and services primarily in connection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purchase of fuel. Accordingly, our revenue is affected by fuel prices, which are subject to significant volatility.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 in retail fuel prices could cause a decrease or increase in our revenue from several sources, including fees paid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us based on a percentage of each customer’s total purchase. Changes in the absolute price of fuel may also impact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unpaid account balances and the late fees and charges based on these amounts. We estimate </w:t>
      </w:r>
      <w:r>
        <w:rPr>
          <w:rFonts w:ascii="Times New Roman;serif" w:hAnsi="Times New Roman;serif"/>
          <w:b w:val="false"/>
          <w:i w:val="false"/>
          <w:caps w:val="false"/>
          <w:smallCaps w:val="false"/>
          <w:strike w:val="false"/>
          <w:dstrike w:val="false"/>
          <w:sz w:val="20"/>
          <w:u w:val="none"/>
          <w:effect w:val="none"/>
        </w:rPr>
        <w:t>approximately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z w:val="20"/>
        </w:rPr>
        <w:t xml:space="preserve">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revenues, net were directly impacted by changes in fuel price in both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See "Results of Operations"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related to the fuel price impact on our total revenues, net. </w:t>
      </w:r>
    </w:p>
    <w:p>
      <w:pPr>
        <w:pStyle w:val="TextBody"/>
        <w:bidi w:val="0"/>
        <w:spacing w:lineRule="atLeast" w:line="200" w:before="0" w:after="0"/>
        <w:jc w:val="left"/>
        <w:rPr/>
      </w:pPr>
      <w:r>
        <w:rPr/>
        <w:t>•</w:t>
      </w:r>
      <w:r>
        <w:rPr>
          <w:rFonts w:ascii="Times New Roman;serif" w:hAnsi="Times New Roman;serif"/>
          <w:b w:val="false"/>
          <w:i/>
          <w:sz w:val="20"/>
        </w:rPr>
        <w:t>Fuel price spread volatility</w:t>
      </w:r>
      <w:r>
        <w:rPr>
          <w:caps w:val="false"/>
          <w:smallCaps w:val="false"/>
        </w:rPr>
        <w:t>—</w:t>
      </w:r>
      <w:r>
        <w:rPr>
          <w:rFonts w:ascii="Times New Roman;serif" w:hAnsi="Times New Roman;serif"/>
          <w:b w:val="false"/>
          <w:i w:val="false"/>
          <w:caps w:val="false"/>
          <w:smallCaps w:val="false"/>
          <w:sz w:val="20"/>
        </w:rPr>
        <w:t xml:space="preserve">A portion of our revenue involves transactions where we derive revenue from fuel price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spreads, which is the difference between the price charged to a fleet customer for a transaction and the price paid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merchant for the same transaction. In these transactions, the price paid to the merchant is based on the wholesale cost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fuel. The merchant’s wholesale cost of fuel is dependent on several factors including, among others, the factors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described above affecting fuel prices. The fuel price that we charge to our customer is dependent on several factors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among others, the fuel price paid to the merchant, posted retail fuel prices and competitive fuel prices.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experience fuel price spread contraction when the merchant’s wholesale cost of fuel increases at a faster rate than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fuel price we charge to our customers, or the fuel price we charge to our customers decreases at a faster rate than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merchant’s wholesale cost of fuel. The inverse of these situations produces fuel price spread expansion. We estimate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approximately </w:t>
      </w:r>
      <w:r>
        <w:rPr>
          <w:rFonts w:ascii="Times New Roman;serif" w:hAnsi="Times New Roman;serif"/>
          <w:b w:val="false"/>
          <w:i w:val="false"/>
          <w:caps w:val="false"/>
          <w:smallCaps w:val="false"/>
          <w:strike w:val="false"/>
          <w:dstrike w:val="false"/>
          <w:sz w:val="20"/>
          <w:u w:val="none"/>
          <w:effect w:val="none"/>
        </w:rPr>
        <w:t>4%</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5%</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of</w:t>
      </w:r>
      <w:r>
        <w:rPr>
          <w:caps w:val="false"/>
          <w:smallCaps w:val="false"/>
          <w:sz w:val="24"/>
        </w:rPr>
        <w:t xml:space="preserve"> </w:t>
      </w:r>
      <w:r>
        <w:rPr>
          <w:rFonts w:ascii="Times New Roman;serif" w:hAnsi="Times New Roman;serif"/>
          <w:b w:val="false"/>
          <w:i w:val="false"/>
          <w:caps w:val="false"/>
          <w:smallCaps w:val="false"/>
          <w:sz w:val="20"/>
        </w:rPr>
        <w:t xml:space="preserve">revenues, net were directly impacted by fuel price spreads 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respectively. See "Results of Operations" for information related to the fuel price impact on our total revenues, net.  </w:t>
      </w:r>
    </w:p>
    <w:p>
      <w:pPr>
        <w:pStyle w:val="TextBody"/>
        <w:bidi w:val="0"/>
        <w:spacing w:lineRule="atLeast" w:line="200" w:before="0" w:after="0"/>
        <w:jc w:val="left"/>
        <w:rPr/>
      </w:pPr>
      <w:r>
        <w:rPr>
          <w:caps w:val="false"/>
          <w:smallCaps w:val="false"/>
        </w:rPr>
        <w:t>•</w:t>
      </w:r>
      <w:r>
        <w:rPr>
          <w:rFonts w:ascii="Times New Roman;serif" w:hAnsi="Times New Roman;serif"/>
          <w:b w:val="false"/>
          <w:i/>
          <w:sz w:val="20"/>
        </w:rPr>
        <w:t>Acquisitions</w:t>
      </w:r>
      <w:r>
        <w:rPr>
          <w:caps w:val="false"/>
          <w:smallCaps w:val="false"/>
        </w:rPr>
        <w:t>—</w:t>
      </w:r>
      <w:r>
        <w:rPr>
          <w:rFonts w:ascii="Times New Roman;serif" w:hAnsi="Times New Roman;serif"/>
          <w:b w:val="false"/>
          <w:i w:val="false"/>
          <w:caps w:val="false"/>
          <w:smallCaps w:val="false"/>
          <w:sz w:val="20"/>
        </w:rPr>
        <w:t xml:space="preserve">Since 2002, we have completed over 100 acquisitions of companies and commercial account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portfolios. Acquisitions have been an important part of our growth strategy, and it is our intention to continue to seek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opportunities to increase our customer base and diversify our service offering through further strategic acquisitions.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impact of acquisitions has, and may continue to have, a significant impact on our results of operations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make it difficult to compare our results between periods.</w:t>
      </w:r>
    </w:p>
    <w:p>
      <w:pPr>
        <w:pStyle w:val="TextBody"/>
        <w:bidi w:val="0"/>
        <w:spacing w:lineRule="atLeast" w:line="200" w:before="0" w:after="0"/>
        <w:jc w:val="left"/>
        <w:rPr/>
      </w:pPr>
      <w:r>
        <w:rPr>
          <w:caps w:val="false"/>
          <w:smallCaps w:val="false"/>
          <w:strike w:val="false"/>
          <w:dstrike w:val="false"/>
          <w:u w:val="none"/>
          <w:effect w:val="none"/>
          <w:shd w:fill="FFFFFF" w:val="clear"/>
        </w:rPr>
        <w:t>•</w:t>
      </w:r>
      <w:r>
        <w:rPr>
          <w:rFonts w:ascii="Times New Roman;serif" w:hAnsi="Times New Roman;serif"/>
          <w:b w:val="false"/>
          <w:i/>
          <w:sz w:val="20"/>
        </w:rPr>
        <w:t>Interest rates</w:t>
      </w:r>
      <w:r>
        <w:rPr>
          <w:caps w:val="false"/>
          <w:smallCaps w:val="false"/>
        </w:rPr>
        <w:t>—</w:t>
      </w:r>
      <w:r>
        <w:rPr>
          <w:rFonts w:ascii="Times New Roman;serif" w:hAnsi="Times New Roman;serif"/>
          <w:b w:val="false"/>
          <w:i w:val="false"/>
          <w:caps w:val="false"/>
          <w:smallCaps w:val="false"/>
          <w:sz w:val="20"/>
        </w:rPr>
        <w:t xml:space="preserve">We are exposed to market risk changes in interest rates on our debt, particularly in rising interest 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environments, which is partially offset by incremental interest income earned on cash and restricted cash.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have a number of receive-variable SOFR, pay-fixed interest rate swap derivative contracts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with a </w:t>
      </w:r>
      <w:r>
        <w:rPr>
          <w:rFonts w:ascii="Times New Roman;serif" w:hAnsi="Times New Roman;serif"/>
          <w:b w:val="false"/>
          <w:i w:val="false"/>
          <w:caps w:val="false"/>
          <w:smallCaps w:val="false"/>
          <w:strike w:val="false"/>
          <w:dstrike w:val="false"/>
          <w:sz w:val="20"/>
          <w:u w:val="none"/>
          <w:effect w:val="none"/>
        </w:rPr>
        <w:t>cumulative notional U.S. dollar value of $4.5 billion</w:t>
      </w:r>
      <w:r>
        <w:rPr>
          <w:rFonts w:ascii="Times New Roman;serif" w:hAnsi="Times New Roman;serif"/>
          <w:b w:val="false"/>
          <w:i w:val="false"/>
          <w:caps w:val="false"/>
          <w:smallCaps w:val="false"/>
          <w:sz w:val="20"/>
        </w:rPr>
        <w:t xml:space="preserve">. The objective of these contracts is to reduce the variability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cash flows in the previously unhedged interest payments associated with variable rate debt, the sole source of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 due to changes in SOFR benchmark interest 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 the "Liquidity and capital resources" section below for additional information regarding our derivatives.  </w:t>
      </w:r>
    </w:p>
    <w:p>
      <w:pPr>
        <w:pStyle w:val="TextBody"/>
        <w:bidi w:val="0"/>
        <w:spacing w:lineRule="atLeast" w:line="200" w:before="0" w:after="0"/>
        <w:jc w:val="left"/>
        <w:rPr/>
      </w:pPr>
      <w:r>
        <w:rPr>
          <w:caps w:val="false"/>
          <w:smallCaps w:val="false"/>
          <w:strike w:val="false"/>
          <w:dstrike w:val="false"/>
          <w:u w:val="none"/>
          <w:effect w:val="none"/>
          <w:shd w:fill="FFFFFF" w:val="clear"/>
        </w:rPr>
        <w:t>•</w:t>
      </w:r>
      <w:r>
        <w:rPr>
          <w:rFonts w:ascii="Times New Roman;serif" w:hAnsi="Times New Roman;serif"/>
          <w:b w:val="false"/>
          <w:i/>
          <w:sz w:val="20"/>
        </w:rPr>
        <w:t>Expenses</w:t>
      </w:r>
      <w:r>
        <w:rPr>
          <w:caps w:val="false"/>
          <w:smallCaps w:val="false"/>
        </w:rPr>
        <w:t>—</w:t>
      </w:r>
      <w:r>
        <w:rPr>
          <w:rFonts w:ascii="Times New Roman;serif" w:hAnsi="Times New Roman;serif"/>
          <w:b w:val="false"/>
          <w:i w:val="false"/>
          <w:caps w:val="false"/>
          <w:smallCaps w:val="false"/>
          <w:sz w:val="20"/>
        </w:rPr>
        <w:t xml:space="preserve">Over the long term, we expect that our expenses will decrease as a percentage of revenues as our revenues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except for expenses related to transaction volume processed. To support our expected revenue growth,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plan to continue to incur additional sales and marketing expense by investing in our direct marketing, third-party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agents, internet marketing, telemarketing and field sales force.</w:t>
      </w:r>
    </w:p>
    <w:p>
      <w:pPr>
        <w:pStyle w:val="TextBody"/>
        <w:bidi w:val="0"/>
        <w:spacing w:lineRule="atLeast" w:line="200" w:before="0" w:after="0"/>
        <w:jc w:val="left"/>
        <w:rPr/>
      </w:pPr>
      <w:r>
        <w:rPr>
          <w:caps w:val="false"/>
          <w:smallCaps w:val="false"/>
        </w:rPr>
        <w:t>•</w:t>
      </w:r>
      <w:r>
        <w:rPr>
          <w:rFonts w:ascii="Times New Roman;serif" w:hAnsi="Times New Roman;serif"/>
          <w:b w:val="false"/>
          <w:i/>
          <w:strike w:val="false"/>
          <w:dstrike w:val="false"/>
          <w:sz w:val="20"/>
          <w:u w:val="none"/>
          <w:effect w:val="none"/>
        </w:rPr>
        <w:t>Income Taxes</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pay taxes in various taxing jurisdictions, including the U.S., most U.S. states and many non-U.S.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jurisdictions. The tax rates in non-U.S. taxing jurisdictions are different than the U.S. tax rate. Consequently, as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earnings fluctuate between taxing jurisdictions, our effective tax rate fluctuates. Our effective tax rate is also subject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fluctuations driven by the impact of discrete tax items.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Organization for Economic Co-operation and Development (OECD), continues to put forth various initiatives,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Pillar Two rules which introduce a global minimum tax at a rate of 15%. European Union member states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agreed to implement the OECD’s Pillar Two rules with effective dates of January 1, 2024 and January 1, 2025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different aspects of the directive, and most have already enacted legislation. A number of other countries are also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implementing similar legislation. As countries continue to enact and refine the Pillar 2 rules, we will evaluate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impact on our financial position.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4, 2025, the "One Big Beautiful Bill Act" (the "Act") was enacted in the U.S. The Act makes certain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provisions from the 2017 Tax Cuts and Jobs Act permanent, introduces new tax provisions with varying effective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dates, and rolls back certain incentives from the 2022 Inflation Reduction Act, among other provisions. We are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process of evaluating the impact the Act could have on our financial position, results of operations and cash flows.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impacts from the Act will be reflected in future reporting periods.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Acquisitions, Investments and </w:t>
      </w:r>
      <w:r>
        <w:rPr>
          <w:rFonts w:ascii="Times New Roman;serif" w:hAnsi="Times New Roman;serif"/>
          <w:b/>
          <w:i w:val="false"/>
          <w:caps w:val="false"/>
          <w:smallCaps w:val="false"/>
          <w:strike w:val="false"/>
          <w:dstrike w:val="false"/>
          <w:sz w:val="20"/>
          <w:u w:val="none"/>
          <w:effect w:val="none"/>
        </w:rPr>
        <w:t>Disposition</w:t>
      </w:r>
      <w:r>
        <w:rPr>
          <w:rFonts w:ascii="Times New Roman;serif" w:hAnsi="Times New Roman;serif"/>
          <w:b/>
          <w:i w:val="false"/>
          <w:caps w:val="false"/>
          <w:smallCaps w:val="false"/>
          <w:sz w:val="20"/>
        </w:rPr>
        <w:t>s</w:t>
      </w:r>
      <w:r>
        <w:rPr>
          <w:caps w:val="false"/>
          <w:smallCaps w:val="false"/>
          <w:sz w:val="24"/>
        </w:rPr>
        <w:t xml:space="preserve"> </w:t>
      </w:r>
    </w:p>
    <w:p>
      <w:pPr>
        <w:pStyle w:val="TextBody"/>
        <w:bidi w:val="0"/>
        <w:spacing w:lineRule="atLeast" w:line="200" w:before="0" w:after="0"/>
        <w:jc w:val="left"/>
        <w:rPr/>
      </w:pPr>
      <w:r>
        <w:rPr>
          <w:rFonts w:ascii="Times New Roman;serif" w:hAnsi="Times New Roman;serif"/>
          <w:b w:val="false"/>
          <w:i/>
          <w:sz w:val="20"/>
        </w:rPr>
        <w:t>20</w:t>
      </w:r>
      <w:r>
        <w:rPr>
          <w:rFonts w:ascii="Times New Roman;serif" w:hAnsi="Times New Roman;serif"/>
          <w:b w:val="false"/>
          <w:i/>
          <w:strike w:val="false"/>
          <w:dstrike w:val="false"/>
          <w:sz w:val="20"/>
          <w:u w:val="none"/>
          <w:effect w:val="none"/>
          <w:shd w:fill="FFFFFF" w:val="clear"/>
        </w:rPr>
        <w:t>25</w:t>
      </w:r>
    </w:p>
    <w:p>
      <w:pPr>
        <w:pStyle w:val="TextBody"/>
        <w:bidi w:val="0"/>
        <w:spacing w:lineRule="atLeast" w:line="200" w:before="0" w:after="0"/>
        <w:jc w:val="left"/>
        <w:rPr/>
      </w:pPr>
      <w:r>
        <w:rPr>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I</w:t>
      </w:r>
      <w:r>
        <w:rPr>
          <w:rFonts w:ascii="Times New Roman;serif" w:hAnsi="Times New Roman;serif"/>
          <w:b w:val="false"/>
          <w:i w:val="false"/>
          <w:caps w:val="false"/>
          <w:smallCaps w:val="false"/>
          <w:sz w:val="20"/>
        </w:rPr>
        <w:t xml:space="preserve">n February 2025, we acquired </w:t>
      </w:r>
      <w:r>
        <w:rPr>
          <w:rFonts w:ascii="Times New Roman;serif" w:hAnsi="Times New Roman;serif"/>
          <w:b w:val="false"/>
          <w:i w:val="false"/>
          <w:caps w:val="false"/>
          <w:smallCaps w:val="false"/>
          <w:strike w:val="false"/>
          <w:dstrike w:val="false"/>
          <w:sz w:val="20"/>
          <w:u w:val="none"/>
          <w:effect w:val="none"/>
        </w:rPr>
        <w:t>100%</w:t>
      </w:r>
      <w:r>
        <w:rPr>
          <w:caps w:val="false"/>
          <w:smallCaps w:val="false"/>
          <w:sz w:val="24"/>
        </w:rPr>
        <w:t xml:space="preserve"> </w:t>
      </w:r>
      <w:r>
        <w:rPr>
          <w:rFonts w:ascii="Times New Roman;serif" w:hAnsi="Times New Roman;serif"/>
          <w:b w:val="false"/>
          <w:i w:val="false"/>
          <w:caps w:val="false"/>
          <w:smallCaps w:val="false"/>
          <w:sz w:val="20"/>
        </w:rPr>
        <w:t xml:space="preserve">of Gringo, a leading Brazil-based vehicle registration and compliance payment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company, for approximately </w:t>
      </w:r>
      <w:r>
        <w:rPr>
          <w:rFonts w:ascii="Times New Roman;serif" w:hAnsi="Times New Roman;serif"/>
          <w:b w:val="false"/>
          <w:i w:val="false"/>
          <w:caps w:val="false"/>
          <w:smallCaps w:val="false"/>
          <w:strike w:val="false"/>
          <w:dstrike w:val="false"/>
          <w:sz w:val="20"/>
          <w:u w:val="none"/>
          <w:effect w:val="none"/>
        </w:rPr>
        <w:t>$153.7 million</w:t>
      </w:r>
      <w:r>
        <w:rPr>
          <w:rFonts w:ascii="Times New Roman;serif" w:hAnsi="Times New Roman;serif"/>
          <w:b w:val="false"/>
          <w:i w:val="false"/>
          <w:caps w:val="false"/>
          <w:smallCaps w:val="false"/>
          <w:sz w:val="20"/>
        </w:rPr>
        <w:t xml:space="preserve">, net of cash of approximately </w:t>
      </w:r>
      <w:r>
        <w:rPr>
          <w:rFonts w:ascii="Times New Roman;serif" w:hAnsi="Times New Roman;serif"/>
          <w:b w:val="false"/>
          <w:i w:val="false"/>
          <w:caps w:val="false"/>
          <w:smallCaps w:val="false"/>
          <w:strike w:val="false"/>
          <w:dstrike w:val="false"/>
          <w:sz w:val="20"/>
          <w:u w:val="none"/>
          <w:effect w:val="none"/>
        </w:rPr>
        <w:t>$10.2 million</w:t>
      </w:r>
      <w:r>
        <w:rPr>
          <w:rFonts w:ascii="Times New Roman;serif" w:hAnsi="Times New Roman;serif"/>
          <w:b w:val="false"/>
          <w:i w:val="false"/>
          <w:caps w:val="false"/>
          <w:smallCaps w:val="false"/>
          <w:sz w:val="20"/>
        </w:rPr>
        <w:t xml:space="preserve">. Immediately prior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acquisition, we infused capital equal to the purchase price into Zapay, one of our less than wholly owned subsidiaries,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order for Zapay to complete the acquisition of Gringo. As a result of the capital infusion, our controlling interest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Zapay increased to approximately 86%. This transaction, which was accounted for separately from the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acquisition, was recorded as an equity transaction. Gringo's digital app and national network help drivers in Brazil pay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vehicle taxes, registration and fines. Results from Gringo are reported in our Vehicle Payments segment from the date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acquisition. </w:t>
      </w:r>
    </w:p>
    <w:p>
      <w:pPr>
        <w:pStyle w:val="TextBody"/>
        <w:bidi w:val="0"/>
        <w:spacing w:lineRule="atLeast" w:line="200" w:before="0" w:after="0"/>
        <w:jc w:val="left"/>
        <w:rPr/>
      </w:pPr>
      <w:r>
        <w:rPr>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rPr>
        <w:t xml:space="preserve">In April 2025, we expanded our long-standing strategic partnership agreement with Mastercard to deliver an enhanced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suite of corporate cross-border payment solutions. The transaction also includes an investment in our cross-border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business with Mastercard acquiring a 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interest for $300 million. The investment into our cross-border business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closed on December 1, 2025.</w:t>
      </w:r>
      <w:r>
        <w:rPr>
          <w:caps w:val="false"/>
          <w:smallCaps w:val="false"/>
          <w:sz w:val="24"/>
        </w:rPr>
        <w:t xml:space="preserve"> </w:t>
      </w:r>
      <w:r>
        <w:rPr>
          <w:rFonts w:ascii="Times New Roman;serif" w:hAnsi="Times New Roman;serif"/>
          <w:b w:val="false"/>
          <w:i w:val="false"/>
          <w:caps w:val="false"/>
          <w:smallCaps w:val="false"/>
          <w:sz w:val="20"/>
        </w:rPr>
        <w:t xml:space="preserve">Mastercard has the right to sell, or put, its interest back to us for six months starting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August 1, 2027. If Mastercard does not exercise that right, we will have a reciprocal repurchase, or call, right for six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months starting on May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1, 2028</w:t>
      </w:r>
      <w:r>
        <w:rPr>
          <w:rFonts w:ascii="Times New Roman;serif" w:hAnsi="Times New Roman;serif"/>
          <w:b w:val="false"/>
          <w:i w:val="false"/>
          <w:caps w:val="false"/>
          <w:smallCaps w:val="false"/>
          <w:sz w:val="20"/>
        </w:rPr>
        <w:t xml:space="preserve">. In each case, the purchase price is the </w:t>
      </w:r>
      <w:r>
        <w:rPr>
          <w:rFonts w:ascii="Times New Roman;serif" w:hAnsi="Times New Roman;serif"/>
          <w:b w:val="false"/>
          <w:i w:val="false"/>
          <w:caps w:val="false"/>
          <w:smallCaps w:val="false"/>
          <w:strike w:val="false"/>
          <w:dstrike w:val="false"/>
          <w:sz w:val="20"/>
          <w:u w:val="none"/>
          <w:effect w:val="none"/>
        </w:rPr>
        <w:t>$300 million</w:t>
      </w:r>
      <w:r>
        <w:rPr>
          <w:caps w:val="false"/>
          <w:smallCaps w:val="false"/>
          <w:sz w:val="24"/>
        </w:rPr>
        <w:t xml:space="preserve"> </w:t>
      </w:r>
      <w:r>
        <w:rPr>
          <w:rFonts w:ascii="Times New Roman;serif" w:hAnsi="Times New Roman;serif"/>
          <w:b w:val="false"/>
          <w:i w:val="false"/>
          <w:caps w:val="false"/>
          <w:smallCaps w:val="false"/>
          <w:sz w:val="20"/>
        </w:rPr>
        <w:t xml:space="preserve">of invested capital, plus 8% per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annum, compounded annually.</w:t>
      </w:r>
    </w:p>
    <w:p>
      <w:pPr>
        <w:pStyle w:val="TextBody"/>
        <w:bidi w:val="0"/>
        <w:spacing w:lineRule="atLeast" w:line="200" w:before="0" w:after="0"/>
        <w:jc w:val="left"/>
        <w:rPr/>
      </w:pPr>
      <w:r>
        <w:rPr>
          <w:strike w:val="false"/>
          <w:dstrike w:val="false"/>
          <w:u w:val="none"/>
          <w:effect w:val="none"/>
          <w:shd w:fill="FFFFFF" w:val="clear"/>
        </w:rPr>
        <w:t>•</w:t>
      </w:r>
      <w:r>
        <w:rPr>
          <w:rFonts w:ascii="Times New Roman;serif" w:hAnsi="Times New Roman;serif"/>
          <w:b w:val="false"/>
          <w:i w:val="false"/>
          <w:caps w:val="false"/>
          <w:smallCaps w:val="false"/>
          <w:sz w:val="20"/>
        </w:rPr>
        <w:t>In May 2025, we formed a limited partnership with TPG that, through its wholly owned subsidiaries, entered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into a definitive agreement to acquire AvidXchange Holdings, Inc (NASDAQ: AVDX) (“AvidXchange”).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AvidXchange is a provider of AP automation solutions to lower middle market companies with 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focus on several verticals including real estate, homeowners associations, financial institutions and media. The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was completed in October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October 2025, we invested approximately </w:t>
      </w:r>
      <w:r>
        <w:rPr>
          <w:rFonts w:ascii="Times New Roman;serif" w:hAnsi="Times New Roman;serif"/>
          <w:b w:val="false"/>
          <w:i w:val="false"/>
          <w:caps w:val="false"/>
          <w:smallCaps w:val="false"/>
          <w:strike w:val="false"/>
          <w:dstrike w:val="false"/>
          <w:sz w:val="20"/>
          <w:u w:val="none"/>
          <w:effect w:val="none"/>
        </w:rPr>
        <w:t>$578 million</w:t>
      </w:r>
      <w:r>
        <w:rPr>
          <w:caps w:val="false"/>
          <w:smallCaps w:val="false"/>
          <w:sz w:val="24"/>
        </w:rPr>
        <w:t xml:space="preserve"> </w:t>
      </w:r>
      <w:r>
        <w:rPr>
          <w:rFonts w:ascii="Times New Roman;serif" w:hAnsi="Times New Roman;serif"/>
          <w:b w:val="false"/>
          <w:i w:val="false"/>
          <w:caps w:val="false"/>
          <w:smallCaps w:val="false"/>
          <w:sz w:val="20"/>
        </w:rPr>
        <w:t xml:space="preserve">for approximately </w:t>
      </w:r>
      <w:r>
        <w:rPr>
          <w:rFonts w:ascii="Times New Roman;serif" w:hAnsi="Times New Roman;serif"/>
          <w:b w:val="false"/>
          <w:i w:val="false"/>
          <w:caps w:val="false"/>
          <w:smallCaps w:val="false"/>
          <w:strike w:val="false"/>
          <w:dstrike w:val="false"/>
          <w:sz w:val="20"/>
          <w:u w:val="none"/>
          <w:effect w:val="none"/>
        </w:rPr>
        <w:t>35%</w:t>
      </w:r>
      <w:r>
        <w:rPr>
          <w:caps w:val="false"/>
          <w:smallCaps w:val="false"/>
          <w:sz w:val="24"/>
        </w:rPr>
        <w:t xml:space="preserve"> </w:t>
      </w:r>
      <w:r>
        <w:rPr>
          <w:rFonts w:ascii="Times New Roman;serif" w:hAnsi="Times New Roman;serif"/>
          <w:b w:val="false"/>
          <w:i w:val="false"/>
          <w:caps w:val="false"/>
          <w:smallCaps w:val="false"/>
          <w:sz w:val="20"/>
        </w:rPr>
        <w:t xml:space="preserve">of the equity in the limited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partnership with TPG for an enterprise valuation of approximately </w:t>
      </w:r>
      <w:r>
        <w:rPr>
          <w:rFonts w:ascii="Times New Roman;serif" w:hAnsi="Times New Roman;serif"/>
          <w:b w:val="false"/>
          <w:i w:val="false"/>
          <w:caps w:val="false"/>
          <w:smallCaps w:val="false"/>
          <w:strike w:val="false"/>
          <w:dstrike w:val="false"/>
          <w:sz w:val="20"/>
          <w:u w:val="none"/>
          <w:effect w:val="none"/>
        </w:rPr>
        <w:t>$1.9 billion</w:t>
      </w:r>
      <w:r>
        <w:rPr>
          <w:rFonts w:ascii="Times New Roman;serif" w:hAnsi="Times New Roman;serif"/>
          <w:b w:val="false"/>
          <w:i w:val="false"/>
          <w:caps w:val="false"/>
          <w:smallCaps w:val="false"/>
          <w:sz w:val="20"/>
        </w:rPr>
        <w:t xml:space="preserve">. The limited partnership utilized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approximately </w:t>
      </w:r>
      <w:r>
        <w:rPr>
          <w:rFonts w:ascii="Times New Roman;serif" w:hAnsi="Times New Roman;serif"/>
          <w:b w:val="false"/>
          <w:i w:val="false"/>
          <w:caps w:val="false"/>
          <w:smallCaps w:val="false"/>
          <w:strike w:val="false"/>
          <w:dstrike w:val="false"/>
          <w:sz w:val="20"/>
          <w:u w:val="none"/>
          <w:effect w:val="none"/>
        </w:rPr>
        <w:t>$450 million</w:t>
      </w:r>
      <w:r>
        <w:rPr>
          <w:caps w:val="false"/>
          <w:smallCaps w:val="false"/>
          <w:sz w:val="24"/>
        </w:rPr>
        <w:t xml:space="preserve"> </w:t>
      </w:r>
      <w:r>
        <w:rPr>
          <w:rFonts w:ascii="Times New Roman;serif" w:hAnsi="Times New Roman;serif"/>
          <w:b w:val="false"/>
          <w:i w:val="false"/>
          <w:caps w:val="false"/>
          <w:smallCaps w:val="false"/>
          <w:sz w:val="20"/>
        </w:rPr>
        <w:t xml:space="preserve">of debt financing to consummate the transaction. TPG holds approximately </w:t>
      </w:r>
      <w:r>
        <w:rPr>
          <w:rFonts w:ascii="Times New Roman;serif" w:hAnsi="Times New Roman;serif"/>
          <w:b w:val="false"/>
          <w:i w:val="false"/>
          <w:caps w:val="false"/>
          <w:smallCaps w:val="false"/>
          <w:strike w:val="false"/>
          <w:dstrike w:val="false"/>
          <w:sz w:val="20"/>
          <w:u w:val="none"/>
          <w:effect w:val="none"/>
        </w:rPr>
        <w:t>56%</w:t>
      </w:r>
      <w:r>
        <w:rPr>
          <w:caps w:val="false"/>
          <w:smallCaps w:val="false"/>
          <w:sz w:val="24"/>
        </w:rPr>
        <w:t xml:space="preserve"> </w:t>
      </w:r>
      <w:r>
        <w:rPr>
          <w:rFonts w:ascii="Times New Roman;serif" w:hAnsi="Times New Roman;serif"/>
          <w:b w:val="false"/>
          <w:i w:val="false"/>
          <w:caps w:val="false"/>
          <w:smallCaps w:val="false"/>
          <w:sz w:val="20"/>
        </w:rPr>
        <w:t xml:space="preserve">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equity in the limited partnership, and the management team of AvidXchange holds the remainder. In addition to 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terms, the limited partnership agreement provides that, </w:t>
      </w:r>
      <w:r>
        <w:rPr>
          <w:rFonts w:ascii="Times New Roman;serif" w:hAnsi="Times New Roman;serif"/>
          <w:b w:val="false"/>
          <w:i w:val="false"/>
          <w:caps w:val="false"/>
          <w:smallCaps w:val="false"/>
          <w:strike w:val="false"/>
          <w:dstrike w:val="false"/>
          <w:sz w:val="20"/>
          <w:u w:val="none"/>
          <w:effect w:val="none"/>
        </w:rPr>
        <w:t>33 months</w:t>
      </w:r>
      <w:r>
        <w:rPr>
          <w:caps w:val="false"/>
          <w:smallCaps w:val="false"/>
          <w:sz w:val="24"/>
        </w:rPr>
        <w:t xml:space="preserve"> </w:t>
      </w:r>
      <w:r>
        <w:rPr>
          <w:rFonts w:ascii="Times New Roman;serif" w:hAnsi="Times New Roman;serif"/>
          <w:b w:val="false"/>
          <w:i w:val="false"/>
          <w:caps w:val="false"/>
          <w:smallCaps w:val="false"/>
          <w:sz w:val="20"/>
        </w:rPr>
        <w:t xml:space="preserve">after the closing we will have the right to acquire all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remaining outstanding equity in the limited partnership for approximately </w:t>
      </w:r>
      <w:r>
        <w:rPr>
          <w:rFonts w:ascii="Times New Roman;serif" w:hAnsi="Times New Roman;serif"/>
          <w:b w:val="false"/>
          <w:i w:val="false"/>
          <w:caps w:val="false"/>
          <w:smallCaps w:val="false"/>
          <w:strike w:val="false"/>
          <w:dstrike w:val="false"/>
          <w:sz w:val="20"/>
          <w:u w:val="none"/>
          <w:effect w:val="none"/>
        </w:rPr>
        <w:t>2.5</w:t>
      </w:r>
      <w:r>
        <w:rPr>
          <w:caps w:val="false"/>
          <w:smallCaps w:val="false"/>
          <w:sz w:val="24"/>
        </w:rPr>
        <w:t xml:space="preserve"> </w:t>
      </w:r>
      <w:r>
        <w:rPr>
          <w:rFonts w:ascii="Times New Roman;serif" w:hAnsi="Times New Roman;serif"/>
          <w:b w:val="false"/>
          <w:i w:val="false"/>
          <w:caps w:val="false"/>
          <w:smallCaps w:val="false"/>
          <w:sz w:val="20"/>
        </w:rPr>
        <w:t xml:space="preserve">times invested capital. If we do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exercise such right to acquire all of the remaining outstanding equity of the limited partnership and TPG decides to sell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limited partnership to a third party within a period of </w:t>
      </w:r>
      <w:r>
        <w:rPr>
          <w:rFonts w:ascii="Times New Roman;serif" w:hAnsi="Times New Roman;serif"/>
          <w:b w:val="false"/>
          <w:i w:val="false"/>
          <w:caps w:val="false"/>
          <w:smallCaps w:val="false"/>
          <w:strike w:val="false"/>
          <w:dstrike w:val="false"/>
          <w:sz w:val="20"/>
          <w:u w:val="none"/>
          <w:effect w:val="none"/>
        </w:rPr>
        <w:t>15 months</w:t>
      </w:r>
      <w:r>
        <w:rPr>
          <w:caps w:val="false"/>
          <w:smallCaps w:val="false"/>
          <w:sz w:val="24"/>
        </w:rPr>
        <w:t xml:space="preserve"> </w:t>
      </w:r>
      <w:r>
        <w:rPr>
          <w:rFonts w:ascii="Times New Roman;serif" w:hAnsi="Times New Roman;serif"/>
          <w:b w:val="false"/>
          <w:i w:val="false"/>
          <w:caps w:val="false"/>
          <w:smallCaps w:val="false"/>
          <w:sz w:val="20"/>
        </w:rPr>
        <w:t xml:space="preserve">thereafter, we are required to guarantee a return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partners, subject to certain limitations, of approximately </w:t>
      </w:r>
      <w:r>
        <w:rPr>
          <w:rFonts w:ascii="Times New Roman;serif" w:hAnsi="Times New Roman;serif"/>
          <w:b w:val="false"/>
          <w:i w:val="false"/>
          <w:caps w:val="false"/>
          <w:smallCaps w:val="false"/>
          <w:strike w:val="false"/>
          <w:dstrike w:val="false"/>
          <w:sz w:val="20"/>
          <w:u w:val="none"/>
          <w:effect w:val="none"/>
        </w:rPr>
        <w:t>1.6</w:t>
      </w:r>
      <w:r>
        <w:rPr>
          <w:caps w:val="false"/>
          <w:smallCaps w:val="false"/>
          <w:sz w:val="24"/>
        </w:rPr>
        <w:t xml:space="preserve"> </w:t>
      </w:r>
      <w:r>
        <w:rPr>
          <w:rFonts w:ascii="Times New Roman;serif" w:hAnsi="Times New Roman;serif"/>
          <w:b w:val="false"/>
          <w:i w:val="false"/>
          <w:caps w:val="false"/>
          <w:smallCaps w:val="false"/>
          <w:sz w:val="20"/>
        </w:rPr>
        <w:t xml:space="preserve">times invested capital (the minimum return). </w:t>
      </w:r>
      <w:r>
        <w:rPr>
          <w:rFonts w:ascii="Times New Roman;serif" w:hAnsi="Times New Roman;serif"/>
          <w:b w:val="false"/>
          <w:i w:val="false"/>
          <w:caps w:val="false"/>
          <w:smallCaps w:val="false"/>
          <w:strike w:val="false"/>
          <w:dstrike w:val="false"/>
          <w:sz w:val="20"/>
          <w:u w:val="none"/>
          <w:effect w:val="none"/>
        </w:rPr>
        <w:t xml:space="preserve">If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partnership sells AvidXchange in 2029 for an approximately similar valuation as at acquisition</w:t>
      </w:r>
      <w:r>
        <w:rPr>
          <w:rFonts w:ascii="Times New Roman;serif" w:hAnsi="Times New Roman;serif"/>
          <w:b w:val="false"/>
          <w:i w:val="false"/>
          <w:caps w:val="false"/>
          <w:smallCaps w:val="false"/>
          <w:sz w:val="20"/>
        </w:rPr>
        <w:t xml:space="preserve">, there will be 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requirement to pay any minimum return. </w:t>
      </w:r>
    </w:p>
    <w:p>
      <w:pPr>
        <w:pStyle w:val="TextBody"/>
        <w:bidi w:val="0"/>
        <w:spacing w:lineRule="atLeast" w:line="200" w:before="0" w:after="0"/>
        <w:jc w:val="left"/>
        <w:rPr/>
      </w:pPr>
      <w:r>
        <w:rPr>
          <w:strike w:val="false"/>
          <w:dstrike w:val="false"/>
          <w:u w:val="none"/>
          <w:effect w:val="none"/>
          <w:shd w:fill="FFFFFF" w:val="clear"/>
        </w:rPr>
        <w:t>•</w:t>
      </w:r>
      <w:r>
        <w:rPr>
          <w:rFonts w:ascii="Times New Roman;serif" w:hAnsi="Times New Roman;serif"/>
          <w:b w:val="false"/>
          <w:i w:val="false"/>
          <w:caps w:val="false"/>
          <w:smallCaps w:val="false"/>
          <w:sz w:val="20"/>
        </w:rPr>
        <w:t xml:space="preserve">In July 2025, we announced, pursuant to Rule 2.7 of the United Kingdom City Code on Takeovers and Mergers, a firm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intention to make a cash offer to acquire 100% of Alpha Group International plc (LSE: ALPHA) ("Alpha")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effected by means of a court-sanctioned scheme (the "Scheme") of arrangement under Part 26 of the U.K. Companies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 2006. Alpha is a leading provider of B2B cross-border foreign exchange solutions to corporations and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funds in the U.K. and Europe. Alpha pioneered alternative bank accounts as a simpler, faster way for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managers to fund their investments and pay expenses anywhere in Europe. On October 31, 2025, we completed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acquisition of all of the ordinary shares of Alpha for </w:t>
      </w:r>
      <w:r>
        <w:rPr>
          <w:rFonts w:ascii="Times New Roman;serif" w:hAnsi="Times New Roman;serif"/>
          <w:b w:val="false"/>
          <w:i w:val="false"/>
          <w:caps w:val="false"/>
          <w:smallCaps w:val="false"/>
          <w:strike w:val="false"/>
          <w:dstrike w:val="false"/>
          <w:sz w:val="20"/>
          <w:u w:val="none"/>
          <w:effect w:val="none"/>
        </w:rPr>
        <w:t>£42.50</w:t>
      </w:r>
      <w:r>
        <w:rPr>
          <w:caps w:val="false"/>
          <w:smallCaps w:val="false"/>
          <w:sz w:val="24"/>
        </w:rPr>
        <w:t xml:space="preserve"> </w:t>
      </w:r>
      <w:r>
        <w:rPr>
          <w:rFonts w:ascii="Times New Roman;serif" w:hAnsi="Times New Roman;serif"/>
          <w:b w:val="false"/>
          <w:i w:val="false"/>
          <w:caps w:val="false"/>
          <w:smallCaps w:val="false"/>
          <w:sz w:val="20"/>
        </w:rPr>
        <w:t xml:space="preserve">in cash for each Alpha share upon the terms as described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the Rule 2.7 Announcement, resulting in an aggregate purchase price of approximately </w:t>
      </w:r>
      <w:r>
        <w:rPr>
          <w:rFonts w:ascii="Times New Roman;serif" w:hAnsi="Times New Roman;serif"/>
          <w:b w:val="false"/>
          <w:i w:val="false"/>
          <w:caps w:val="false"/>
          <w:smallCaps w:val="false"/>
          <w:strike w:val="false"/>
          <w:dstrike w:val="false"/>
          <w:sz w:val="20"/>
          <w:u w:val="none"/>
          <w:effect w:val="none"/>
        </w:rPr>
        <w:t>£1.8 billion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$2.4 billion</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aggregate cash consideration paid in the transaction was funded with borrowings under the Company's Credit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Facility (as defined below). Results from the Alpha acquisition have been included in our Corporate Payments segment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the date of acquisition, October 31, 2025.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In July 2025, we announced the divestiture of our BP private label fuel card portfolio for approximately $60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Revenues generated from the portfolio are included in our Vehicle Payments segment. The transaction closed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October 2025.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trike w:val="false"/>
          <w:dstrike w:val="false"/>
          <w:sz w:val="20"/>
          <w:u w:val="none"/>
          <w:effect w:val="none"/>
        </w:rPr>
        <w:t xml:space="preserve">Subsequently, in February 2026, we signed a definitive agreement to sell PayByPhone, a mobile parking payments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business within our Vehicle Payments segment to a third party for $450 million. The transaction is expected to close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first half of 2026, subject to certain customary closing conditions.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TextBody"/>
        <w:bidi w:val="0"/>
        <w:spacing w:lineRule="atLeast" w:line="200" w:before="0" w:after="0"/>
        <w:jc w:val="left"/>
        <w:rPr/>
      </w:pPr>
      <w:r>
        <w:rPr>
          <w:rFonts w:ascii="Times New Roman;serif" w:hAnsi="Times New Roman;serif"/>
          <w:b w:val="false"/>
          <w:i/>
          <w:sz w:val="20"/>
        </w:rPr>
        <w:t>20</w:t>
      </w:r>
      <w:r>
        <w:rPr>
          <w:rFonts w:ascii="Times New Roman;serif" w:hAnsi="Times New Roman;serif"/>
          <w:b w:val="false"/>
          <w:i/>
          <w:strike w:val="false"/>
          <w:dstrike w:val="false"/>
          <w:sz w:val="20"/>
          <w:u w:val="none"/>
          <w:effect w:val="none"/>
          <w:shd w:fill="FFFFFF" w:val="clear"/>
        </w:rPr>
        <w:t>24</w:t>
      </w:r>
    </w:p>
    <w:p>
      <w:pPr>
        <w:pStyle w:val="TextBody"/>
        <w:bidi w:val="0"/>
        <w:spacing w:lineRule="atLeast" w:line="200" w:before="0" w:after="0"/>
        <w:jc w:val="left"/>
        <w:rPr/>
      </w:pPr>
      <w:r>
        <w:rPr/>
        <w:t>•</w:t>
      </w:r>
      <w:r>
        <w:rPr>
          <w:rFonts w:ascii="Times New Roman;serif" w:hAnsi="Times New Roman;serif"/>
          <w:b w:val="false"/>
          <w:i w:val="false"/>
          <w:caps w:val="false"/>
          <w:smallCaps w:val="false"/>
          <w:strike w:val="false"/>
          <w:dstrike w:val="false"/>
          <w:sz w:val="20"/>
          <w:u w:val="none"/>
          <w:effect w:val="none"/>
          <w:shd w:fill="FFFFFF" w:val="clear"/>
        </w:rPr>
        <w:t xml:space="preserve">In March 2024, we acquired 70% of Zapay, a Brazil-based digital mobility solution for paying vehicle-related taxes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and compliance fees, for approximately </w:t>
      </w:r>
      <w:r>
        <w:rPr>
          <w:rFonts w:ascii="Times New Roman;serif" w:hAnsi="Times New Roman;serif"/>
          <w:b w:val="false"/>
          <w:i w:val="false"/>
          <w:caps w:val="false"/>
          <w:smallCaps w:val="false"/>
          <w:strike w:val="false"/>
          <w:dstrike w:val="false"/>
          <w:sz w:val="20"/>
          <w:u w:val="none"/>
          <w:effect w:val="none"/>
        </w:rPr>
        <w:t>$59.5 million</w:t>
      </w:r>
      <w:r>
        <w:rPr>
          <w:rFonts w:ascii="Times New Roman;serif" w:hAnsi="Times New Roman;serif"/>
          <w:b w:val="false"/>
          <w:i w:val="false"/>
          <w:caps w:val="false"/>
          <w:smallCaps w:val="false"/>
          <w:strike w:val="false"/>
          <w:dstrike w:val="false"/>
          <w:sz w:val="20"/>
          <w:u w:val="none"/>
          <w:effect w:val="none"/>
          <w:shd w:fill="FFFFFF" w:val="clear"/>
        </w:rPr>
        <w:t xml:space="preserve">, net of cash. As part of the agreement, we have the right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acquire the remainder of Zapay in four years. The majority investment in Zapay further scales our Vehicle Payments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business in Brazil.</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In July 2024, we acquired 100% of Paymerang, a U.S. based leader in AP automation solutions, for approximately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$179.2 million</w:t>
      </w:r>
      <w:r>
        <w:rPr>
          <w:rFonts w:ascii="Times New Roman;serif" w:hAnsi="Times New Roman;serif"/>
          <w:b w:val="false"/>
          <w:i w:val="false"/>
          <w:caps w:val="false"/>
          <w:smallCaps w:val="false"/>
          <w:sz w:val="20"/>
        </w:rPr>
        <w:t xml:space="preserve">, net of cash and cash equivalents and restricted cash acquired of </w:t>
      </w:r>
      <w:r>
        <w:rPr>
          <w:rFonts w:ascii="Times New Roman;serif" w:hAnsi="Times New Roman;serif"/>
          <w:b w:val="false"/>
          <w:i w:val="false"/>
          <w:caps w:val="false"/>
          <w:smallCaps w:val="false"/>
          <w:strike w:val="false"/>
          <w:dstrike w:val="false"/>
          <w:sz w:val="20"/>
          <w:u w:val="none"/>
          <w:effect w:val="none"/>
        </w:rPr>
        <w:t>$309 million</w:t>
      </w:r>
      <w:r>
        <w:rPr>
          <w:rFonts w:ascii="Times New Roman;serif" w:hAnsi="Times New Roman;serif"/>
          <w:b w:val="false"/>
          <w:i w:val="false"/>
          <w:caps w:val="false"/>
          <w:smallCaps w:val="false"/>
          <w:sz w:val="20"/>
        </w:rPr>
        <w:t xml:space="preserve">. The acquisition expands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presence in several market verticals, including education, healthcare, hospitality and manufacturing. Results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Paymerang are reported in our Corporate Payments segment.</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In December 2024, we acquired 100% of GPS Capital Markets, LLC ("GPS") for approximately </w:t>
      </w:r>
      <w:r>
        <w:rPr>
          <w:rFonts w:ascii="Times New Roman;serif" w:hAnsi="Times New Roman;serif"/>
          <w:b w:val="false"/>
          <w:i w:val="false"/>
          <w:caps w:val="false"/>
          <w:smallCaps w:val="false"/>
          <w:strike w:val="false"/>
          <w:dstrike w:val="false"/>
          <w:sz w:val="20"/>
          <w:u w:val="none"/>
          <w:effect w:val="none"/>
        </w:rPr>
        <w:t>$577.1 million</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net </w:t>
      </w:r>
      <w:r>
        <w:rPr>
          <w:rFonts w:ascii="Times New Roman;serif" w:hAnsi="Times New Roman;serif"/>
          <w:b w:val="false"/>
          <w:i w:val="false"/>
          <w:caps w:val="false"/>
          <w:smallCaps w:val="false"/>
          <w:sz w:val="20"/>
        </w:rPr>
        <w:t xml:space="preserve">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and cash equivalents acquired of </w:t>
      </w:r>
      <w:r>
        <w:rPr>
          <w:rFonts w:ascii="Times New Roman;serif" w:hAnsi="Times New Roman;serif"/>
          <w:b w:val="false"/>
          <w:i w:val="false"/>
          <w:caps w:val="false"/>
          <w:smallCaps w:val="false"/>
          <w:strike w:val="false"/>
          <w:dstrike w:val="false"/>
          <w:sz w:val="20"/>
          <w:u w:val="none"/>
          <w:effect w:val="none"/>
        </w:rPr>
        <w:t>$190.7 million</w:t>
      </w:r>
      <w:r>
        <w:rPr>
          <w:rFonts w:ascii="Times New Roman;serif" w:hAnsi="Times New Roman;serif"/>
          <w:b w:val="false"/>
          <w:i w:val="false"/>
          <w:caps w:val="false"/>
          <w:smallCaps w:val="false"/>
          <w:sz w:val="20"/>
        </w:rPr>
        <w:t xml:space="preserve">. GPS provides business-to-business cross-border and treasury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solutions to upper middle market companies, primarily in the U.S. Results from GPS are reported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Corporate Payments segment.</w:t>
      </w:r>
    </w:p>
    <w:p>
      <w:pPr>
        <w:pStyle w:val="TextBody"/>
        <w:bidi w:val="0"/>
        <w:spacing w:lineRule="atLeast" w:line="200" w:before="0" w:after="0"/>
        <w:jc w:val="left"/>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In December 2024, we disposed of our merchant solutions business for $185.5 million</w:t>
      </w:r>
      <w:r>
        <w:rPr>
          <w:rFonts w:ascii="Times New Roman;serif" w:hAnsi="Times New Roman;serif"/>
          <w:b w:val="false"/>
          <w:i w:val="false"/>
          <w:caps w:val="false"/>
          <w:smallCaps w:val="false"/>
          <w:sz w:val="20"/>
        </w:rPr>
        <w:t xml:space="preserve">, net of cash disposed. Results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our merchant solutions business were previously included in our Vehicle Payments segment.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During the year ended </w:t>
      </w:r>
      <w:r>
        <w:rPr>
          <w:rFonts w:ascii="Times New Roman;serif" w:hAnsi="Times New Roman;serif"/>
          <w:b w:val="false"/>
          <w:i w:val="false"/>
          <w:caps w:val="false"/>
          <w:smallCaps w:val="false"/>
          <w:strike w:val="false"/>
          <w:dstrike w:val="false"/>
          <w:sz w:val="20"/>
          <w:u w:val="none"/>
          <w:effect w:val="none"/>
        </w:rPr>
        <w:t>December 31, 2024</w:t>
      </w:r>
      <w:r>
        <w:rPr>
          <w:rFonts w:ascii="Times New Roman;serif" w:hAnsi="Times New Roman;serif"/>
          <w:b w:val="false"/>
          <w:i w:val="false"/>
          <w:caps w:val="false"/>
          <w:smallCaps w:val="false"/>
          <w:sz w:val="20"/>
        </w:rPr>
        <w:t xml:space="preserve">, we also completed asset acquisitions for approximately </w:t>
      </w:r>
      <w:r>
        <w:rPr>
          <w:rFonts w:ascii="Times New Roman;serif" w:hAnsi="Times New Roman;serif"/>
          <w:b w:val="false"/>
          <w:i w:val="false"/>
          <w:caps w:val="false"/>
          <w:smallCaps w:val="false"/>
          <w:strike w:val="false"/>
          <w:dstrike w:val="false"/>
          <w:sz w:val="20"/>
          <w:u w:val="none"/>
          <w:effect w:val="none"/>
        </w:rPr>
        <w:t>$6.7 million</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Year ended </w:t>
      </w:r>
      <w:r>
        <w:rPr>
          <w:rFonts w:ascii="Times New Roman;serif" w:hAnsi="Times New Roman;serif"/>
          <w:b/>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i w:val="false"/>
          <w:caps w:val="false"/>
          <w:smallCaps w:val="false"/>
          <w:sz w:val="20"/>
        </w:rPr>
        <w:t xml:space="preserve">compared to the year ended </w:t>
      </w:r>
      <w:r>
        <w:rPr>
          <w:rFonts w:ascii="Times New Roman;serif" w:hAnsi="Times New Roman;serif"/>
          <w:b/>
          <w:i w:val="false"/>
          <w:caps w:val="false"/>
          <w:smallCaps w:val="false"/>
          <w:strike w:val="false"/>
          <w:dstrike w:val="false"/>
          <w:sz w:val="20"/>
          <w:u w:val="none"/>
          <w:effect w:val="none"/>
        </w:rPr>
        <w:t>December 31, 2024</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sets forth selected financial information from the consolidated statements of income for the years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(in millions, except percentages)*.</w:t>
      </w:r>
    </w:p>
    <w:tbl>
      <w:tblPr>
        <w:tblW w:w="9661" w:type="dxa"/>
        <w:jc w:val="left"/>
        <w:tblInd w:w="0" w:type="dxa"/>
        <w:tblLayout w:type="fixed"/>
        <w:tblCellMar>
          <w:top w:w="28" w:type="dxa"/>
          <w:left w:w="28" w:type="dxa"/>
          <w:bottom w:w="28" w:type="dxa"/>
          <w:right w:w="28" w:type="dxa"/>
        </w:tblCellMar>
      </w:tblPr>
      <w:tblGrid>
        <w:gridCol w:w="2896"/>
        <w:gridCol w:w="109"/>
        <w:gridCol w:w="1186"/>
        <w:gridCol w:w="109"/>
        <w:gridCol w:w="931"/>
        <w:gridCol w:w="109"/>
        <w:gridCol w:w="1186"/>
        <w:gridCol w:w="109"/>
        <w:gridCol w:w="931"/>
        <w:gridCol w:w="109"/>
        <w:gridCol w:w="901"/>
        <w:gridCol w:w="109"/>
        <w:gridCol w:w="976"/>
      </w:tblGrid>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Year Ended</w:t>
            </w:r>
          </w:p>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 xml:space="preserve">December 31, </w:t>
            </w:r>
          </w:p>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of Total</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Year Ended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 xml:space="preserve">December 31, </w:t>
            </w:r>
          </w:p>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of Total</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Increase</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(Decrease)</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Change</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21" w:type="dxa"/>
            <w:gridSpan w:val="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Vehicle Payments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Corporate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33.8%</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Lodging Payments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Processing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General and administrative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impairment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NM</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operating,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NM</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disposition,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NM</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236.5%</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Loss on extinguishment of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NM</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Less: Net income attributable to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noncontrolling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NM</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NM</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NM</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Corpay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w:t>
            </w:r>
          </w:p>
        </w:tc>
      </w:tr>
      <w:tr>
        <w:trPr/>
        <w:tc>
          <w:tcPr>
            <w:tcW w:w="28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income (loss)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Vehicle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Corporate Payments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28.4%</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Lodging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NM</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operating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sum of the columns and rows may not calculate due to rounding.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NM - not meaningful</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Consolidated revenues,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Consolidated revenues were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shd w:fill="FFFFFF" w:val="clear"/>
        </w:rPr>
        <w:t>$4,528.4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13.9%</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The </w:t>
      </w: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 xml:space="preserve">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consolidated revenues was due primarily to organic growt</w:t>
      </w:r>
      <w:r>
        <w:rPr>
          <w:rFonts w:ascii="Times New Roman;serif" w:hAnsi="Times New Roman;serif"/>
          <w:b w:val="false"/>
          <w:i w:val="false"/>
          <w:caps w:val="false"/>
          <w:smallCaps w:val="false"/>
          <w:strike w:val="false"/>
          <w:dstrike w:val="false"/>
          <w:sz w:val="20"/>
          <w:u w:val="none"/>
          <w:effect w:val="none"/>
          <w:shd w:fill="FFFFFF" w:val="clear"/>
        </w:rPr>
        <w:t xml:space="preserve">h of 10%, driven by increases in spend and transaction volumes,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implementation and ramping of new sales and business initiatives. Consolidated revenues also </w:t>
      </w:r>
      <w:r>
        <w:rPr>
          <w:rFonts w:ascii="Times New Roman;serif" w:hAnsi="Times New Roman;serif"/>
          <w:b w:val="false"/>
          <w:i w:val="false"/>
          <w:caps w:val="false"/>
          <w:smallCaps w:val="false"/>
          <w:sz w:val="20"/>
        </w:rPr>
        <w:t xml:space="preserve">grew </w:t>
      </w:r>
      <w:r>
        <w:rPr>
          <w:rFonts w:ascii="Times New Roman;serif" w:hAnsi="Times New Roman;serif"/>
          <w:b w:val="false"/>
          <w:i w:val="false"/>
          <w:caps w:val="false"/>
          <w:smallCaps w:val="false"/>
          <w:strike w:val="false"/>
          <w:dstrike w:val="false"/>
          <w:sz w:val="20"/>
          <w:u w:val="none"/>
          <w:effect w:val="none"/>
        </w:rPr>
        <w:t>5%</w:t>
      </w:r>
      <w:r>
        <w:rPr>
          <w:caps w:val="false"/>
          <w:smallCaps w:val="false"/>
          <w:sz w:val="24"/>
        </w:rPr>
        <w:t xml:space="preserve"> </w:t>
      </w:r>
      <w:r>
        <w:rPr>
          <w:rFonts w:ascii="Times New Roman;serif" w:hAnsi="Times New Roman;serif"/>
          <w:b w:val="false"/>
          <w:i w:val="false"/>
          <w:caps w:val="false"/>
          <w:smallCaps w:val="false"/>
          <w:sz w:val="20"/>
        </w:rPr>
        <w:t>from a</w:t>
      </w:r>
      <w:r>
        <w:rPr>
          <w:rFonts w:ascii="Times New Roman;serif" w:hAnsi="Times New Roman;serif"/>
          <w:b w:val="false"/>
          <w:i w:val="false"/>
          <w:caps w:val="false"/>
          <w:smallCaps w:val="false"/>
          <w:strike w:val="false"/>
          <w:dstrike w:val="false"/>
          <w:sz w:val="20"/>
          <w:u w:val="none"/>
          <w:effect w:val="none"/>
          <w:shd w:fill="FFFFFF" w:val="clear"/>
        </w:rPr>
        <w:t xml:space="preserve">cquisitions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completed in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2025. This growth was </w:t>
      </w:r>
      <w:r>
        <w:rPr>
          <w:rFonts w:ascii="Times New Roman;serif" w:hAnsi="Times New Roman;serif"/>
          <w:b w:val="false"/>
          <w:i w:val="false"/>
          <w:caps w:val="false"/>
          <w:smallCaps w:val="false"/>
          <w:sz w:val="20"/>
        </w:rPr>
        <w:t xml:space="preserve">partially offset by approximately </w:t>
      </w:r>
      <w:r>
        <w:rPr>
          <w:rFonts w:ascii="Times New Roman;serif" w:hAnsi="Times New Roman;serif"/>
          <w:b w:val="false"/>
          <w:i w:val="false"/>
          <w:caps w:val="false"/>
          <w:smallCaps w:val="false"/>
          <w:strike w:val="false"/>
          <w:dstrike w:val="false"/>
          <w:sz w:val="20"/>
          <w:u w:val="none"/>
          <w:effect w:val="none"/>
        </w:rPr>
        <w:t>$36 million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1%</w:t>
      </w:r>
      <w:r>
        <w:rPr>
          <w:rFonts w:ascii="Times New Roman;serif" w:hAnsi="Times New Roman;serif"/>
          <w:b w:val="false"/>
          <w:i w:val="false"/>
          <w:caps w:val="false"/>
          <w:smallCaps w:val="false"/>
          <w:sz w:val="20"/>
        </w:rPr>
        <w:t xml:space="preserve">, from the disposition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businesses, and by the negative impact of the macroeconomic environment.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Although we cannot precisely measure the impact of the macroeconomic environment, in total we believe it had a negative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impact of approximately </w:t>
      </w:r>
      <w:r>
        <w:rPr>
          <w:rFonts w:ascii="Times New Roman;serif" w:hAnsi="Times New Roman;serif"/>
          <w:b w:val="false"/>
          <w:i w:val="false"/>
          <w:caps w:val="false"/>
          <w:smallCaps w:val="false"/>
          <w:strike w:val="false"/>
          <w:dstrike w:val="false"/>
          <w:sz w:val="20"/>
          <w:u w:val="none"/>
          <w:effect w:val="none"/>
        </w:rPr>
        <w:t>$32 million</w:t>
      </w:r>
      <w:r>
        <w:rPr>
          <w:caps w:val="false"/>
          <w:smallCaps w:val="false"/>
          <w:sz w:val="24"/>
        </w:rPr>
        <w:t xml:space="preserve"> </w:t>
      </w:r>
      <w:r>
        <w:rPr>
          <w:rFonts w:ascii="Times New Roman;serif" w:hAnsi="Times New Roman;serif"/>
          <w:b w:val="false"/>
          <w:i w:val="false"/>
          <w:caps w:val="false"/>
          <w:smallCaps w:val="false"/>
          <w:sz w:val="20"/>
        </w:rPr>
        <w:t xml:space="preserve">on our consolidated revenues for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over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driven </w:t>
      </w:r>
      <w:r>
        <w:rPr>
          <w:rFonts w:ascii="Times New Roman;serif" w:hAnsi="Times New Roman;serif"/>
          <w:b w:val="false"/>
          <w:i w:val="false"/>
          <w:caps w:val="false"/>
          <w:smallCaps w:val="false"/>
          <w:strike w:val="false"/>
          <w:dstrike w:val="false"/>
          <w:sz w:val="20"/>
          <w:u w:val="none"/>
          <w:effect w:val="none"/>
        </w:rPr>
        <w:t>primarily</w:t>
      </w:r>
      <w:r>
        <w:rPr>
          <w:caps w:val="false"/>
          <w:smallCaps w:val="false"/>
          <w:sz w:val="24"/>
        </w:rPr>
        <w:t xml:space="preserve"> </w:t>
      </w:r>
      <w:r>
        <w:rPr>
          <w:rFonts w:ascii="Times New Roman;serif" w:hAnsi="Times New Roman;serif"/>
          <w:b w:val="false"/>
          <w:i w:val="false"/>
          <w:caps w:val="false"/>
          <w:smallCaps w:val="false"/>
          <w:sz w:val="20"/>
        </w:rPr>
        <w:t xml:space="preserve">by unfavorable fuel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price spreads of approximately </w:t>
      </w:r>
      <w:r>
        <w:rPr>
          <w:rFonts w:ascii="Times New Roman;serif" w:hAnsi="Times New Roman;serif"/>
          <w:b w:val="false"/>
          <w:i w:val="false"/>
          <w:caps w:val="false"/>
          <w:smallCaps w:val="false"/>
          <w:strike w:val="false"/>
          <w:dstrike w:val="false"/>
          <w:sz w:val="20"/>
          <w:u w:val="none"/>
          <w:effect w:val="none"/>
        </w:rPr>
        <w:t>$18 million</w:t>
      </w:r>
      <w:r>
        <w:rPr>
          <w:caps w:val="false"/>
          <w:smallCaps w:val="false"/>
          <w:sz w:val="24"/>
        </w:rPr>
        <w:t xml:space="preserve"> </w:t>
      </w:r>
      <w:r>
        <w:rPr>
          <w:rFonts w:ascii="Times New Roman;serif" w:hAnsi="Times New Roman;serif"/>
          <w:b w:val="false"/>
          <w:i w:val="false"/>
          <w:caps w:val="false"/>
          <w:smallCaps w:val="false"/>
          <w:sz w:val="20"/>
        </w:rPr>
        <w:t xml:space="preserve">the unfavorable impact of fuel prices of approximately </w:t>
      </w:r>
      <w:r>
        <w:rPr>
          <w:rFonts w:ascii="Times New Roman;serif" w:hAnsi="Times New Roman;serif"/>
          <w:b w:val="false"/>
          <w:i w:val="false"/>
          <w:caps w:val="false"/>
          <w:smallCaps w:val="false"/>
          <w:strike w:val="false"/>
          <w:dstrike w:val="false"/>
          <w:sz w:val="20"/>
          <w:u w:val="none"/>
          <w:effect w:val="none"/>
        </w:rPr>
        <w:t>$11 million</w:t>
      </w:r>
      <w:r>
        <w:rPr>
          <w:caps w:val="false"/>
          <w:smallCaps w:val="false"/>
          <w:sz w:val="24"/>
        </w:rPr>
        <w:t xml:space="preserve"> </w:t>
      </w:r>
      <w:r>
        <w:rPr>
          <w:rFonts w:ascii="Times New Roman;serif" w:hAnsi="Times New Roman;serif"/>
          <w:b w:val="false"/>
          <w:i w:val="false"/>
          <w:caps w:val="false"/>
          <w:smallCaps w:val="false"/>
          <w:sz w:val="20"/>
        </w:rPr>
        <w:t xml:space="preserve">and unfavorable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foreign exchange rates of approximately </w:t>
      </w:r>
      <w:r>
        <w:rPr>
          <w:rFonts w:ascii="Times New Roman;serif" w:hAnsi="Times New Roman;serif"/>
          <w:b w:val="false"/>
          <w:i w:val="false"/>
          <w:caps w:val="false"/>
          <w:smallCaps w:val="false"/>
          <w:strike w:val="false"/>
          <w:dstrike w:val="false"/>
          <w:sz w:val="20"/>
          <w:u w:val="none"/>
          <w:effect w:val="none"/>
        </w:rPr>
        <w:t>$2 million</w:t>
      </w:r>
      <w:r>
        <w:rPr>
          <w:rFonts w:ascii="Times New Roman;serif" w:hAnsi="Times New Roman;serif"/>
          <w:b w:val="false"/>
          <w:i w:val="false"/>
          <w:caps w:val="false"/>
          <w:smallCaps w:val="false"/>
          <w:sz w:val="20"/>
        </w:rPr>
        <w:t>, mostly in our Brazil business.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Consolidated operating expenses </w:t>
      </w:r>
    </w:p>
    <w:p>
      <w:pPr>
        <w:pStyle w:val="TextBody"/>
        <w:bidi w:val="0"/>
        <w:spacing w:lineRule="atLeast" w:line="200" w:before="0" w:after="0"/>
        <w:jc w:val="left"/>
        <w:rPr>
          <w:sz w:val="24"/>
        </w:rPr>
      </w:pPr>
      <w:r>
        <w:rPr>
          <w:rFonts w:ascii="Times New Roman;serif" w:hAnsi="Times New Roman;serif"/>
          <w:b/>
          <w:i/>
          <w:sz w:val="20"/>
        </w:rPr>
        <w:t>Processing.</w:t>
      </w:r>
      <w:r>
        <w:rPr>
          <w:caps w:val="false"/>
          <w:smallCaps w:val="false"/>
          <w:sz w:val="24"/>
        </w:rPr>
        <w:t> </w:t>
      </w:r>
      <w:r>
        <w:rPr>
          <w:rFonts w:ascii="Times New Roman;serif" w:hAnsi="Times New Roman;serif"/>
          <w:b w:val="false"/>
          <w:i w:val="false"/>
          <w:caps w:val="false"/>
          <w:smallCaps w:val="false"/>
          <w:sz w:val="20"/>
        </w:rPr>
        <w:t xml:space="preserve">Processing expenses were </w:t>
      </w:r>
      <w:r>
        <w:rPr>
          <w:rFonts w:ascii="Times New Roman;serif" w:hAnsi="Times New Roman;serif"/>
          <w:b w:val="false"/>
          <w:i w:val="false"/>
          <w:caps w:val="false"/>
          <w:smallCaps w:val="false"/>
          <w:strike w:val="false"/>
          <w:dstrike w:val="false"/>
          <w:sz w:val="20"/>
          <w:u w:val="none"/>
          <w:effect w:val="none"/>
        </w:rPr>
        <w:t>$969.2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11.5%</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w:t>
      </w:r>
      <w:r>
        <w:rPr>
          <w:rFonts w:ascii="Times New Roman;serif" w:hAnsi="Times New Roman;serif"/>
          <w:b w:val="false"/>
          <w:i w:val="false"/>
          <w:caps w:val="false"/>
          <w:smallCaps w:val="false"/>
          <w:strike w:val="false"/>
          <w:dstrike w:val="false"/>
          <w:sz w:val="20"/>
          <w:u w:val="none"/>
          <w:effect w:val="none"/>
        </w:rPr>
        <w:t>Increases</w:t>
      </w:r>
      <w:r>
        <w:rPr>
          <w:caps w:val="false"/>
          <w:smallCaps w:val="false"/>
          <w:sz w:val="24"/>
        </w:rPr>
        <w:t xml:space="preserve"> </w:t>
      </w:r>
      <w:r>
        <w:rPr>
          <w:rFonts w:ascii="Times New Roman;serif" w:hAnsi="Times New Roman;serif"/>
          <w:b w:val="false"/>
          <w:i w:val="false"/>
          <w:caps w:val="false"/>
          <w:smallCaps w:val="false"/>
          <w:sz w:val="20"/>
        </w:rPr>
        <w:t xml:space="preserve">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processing expenses were primarily due to approximately </w:t>
      </w:r>
      <w:r>
        <w:rPr>
          <w:rFonts w:ascii="Times New Roman;serif" w:hAnsi="Times New Roman;serif"/>
          <w:b w:val="false"/>
          <w:i w:val="false"/>
          <w:caps w:val="false"/>
          <w:smallCaps w:val="false"/>
          <w:strike w:val="false"/>
          <w:dstrike w:val="false"/>
          <w:sz w:val="20"/>
          <w:u w:val="none"/>
          <w:effect w:val="none"/>
        </w:rPr>
        <w:t>$49 million</w:t>
      </w:r>
      <w:r>
        <w:rPr>
          <w:caps w:val="false"/>
          <w:smallCaps w:val="false"/>
          <w:sz w:val="24"/>
        </w:rPr>
        <w:t xml:space="preserve"> </w:t>
      </w:r>
      <w:r>
        <w:rPr>
          <w:rFonts w:ascii="Times New Roman;serif" w:hAnsi="Times New Roman;serif"/>
          <w:b w:val="false"/>
          <w:i w:val="false"/>
          <w:caps w:val="false"/>
          <w:smallCaps w:val="false"/>
          <w:sz w:val="20"/>
        </w:rPr>
        <w:t xml:space="preserve">of expenses related to acquisitions completed in 2024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2025, higher variable expenses driven by increased transaction volumes and investments to drive future growth, and higher bad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debt of </w:t>
      </w:r>
      <w:r>
        <w:rPr>
          <w:rFonts w:ascii="Times New Roman;serif" w:hAnsi="Times New Roman;serif"/>
          <w:b w:val="false"/>
          <w:i w:val="false"/>
          <w:caps w:val="false"/>
          <w:smallCaps w:val="false"/>
          <w:strike w:val="false"/>
          <w:dstrike w:val="false"/>
          <w:sz w:val="20"/>
          <w:u w:val="none"/>
          <w:effect w:val="none"/>
        </w:rPr>
        <w:t>$18 million</w:t>
      </w:r>
      <w:r>
        <w:rPr>
          <w:caps w:val="false"/>
          <w:smallCaps w:val="false"/>
          <w:sz w:val="24"/>
        </w:rPr>
        <w:t xml:space="preserve"> </w:t>
      </w:r>
      <w:r>
        <w:rPr>
          <w:rFonts w:ascii="Times New Roman;serif" w:hAnsi="Times New Roman;serif"/>
          <w:b w:val="false"/>
          <w:i w:val="false"/>
          <w:caps w:val="false"/>
          <w:smallCaps w:val="false"/>
          <w:sz w:val="20"/>
        </w:rPr>
        <w:t xml:space="preserve">due to increased transaction volumes. The increases were partially offset by the impact of foreign exchange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rates of approximately $4 million and the impact of the disposition of our merchant solutions business of approximately </w:t>
      </w:r>
      <w:r>
        <w:rPr>
          <w:rFonts w:ascii="Times New Roman;serif" w:hAnsi="Times New Roman;serif"/>
          <w:b w:val="false"/>
          <w:i w:val="false"/>
          <w:caps w:val="false"/>
          <w:smallCaps w:val="false"/>
          <w:strike w:val="false"/>
          <w:dstrike w:val="false"/>
          <w:sz w:val="20"/>
          <w:u w:val="none"/>
          <w:effect w:val="none"/>
        </w:rPr>
        <w:t xml:space="preserve">$16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rFonts w:ascii="Times New Roman;serif" w:hAnsi="Times New Roman;serif"/>
          <w:b w:val="false"/>
          <w:i w:val="false"/>
          <w:caps w:val="false"/>
          <w:smallCaps w:val="false"/>
          <w:sz w:val="20"/>
        </w:rPr>
        <w:t>.</w:t>
      </w:r>
    </w:p>
    <w:p>
      <w:pPr>
        <w:pStyle w:val="TextBody"/>
        <w:bidi w:val="0"/>
        <w:spacing w:lineRule="atLeast" w:line="200" w:before="0" w:after="0"/>
        <w:jc w:val="left"/>
        <w:rPr>
          <w:sz w:val="24"/>
        </w:rPr>
      </w:pPr>
      <w:r>
        <w:rPr>
          <w:rFonts w:ascii="Times New Roman;serif" w:hAnsi="Times New Roman;serif"/>
          <w:b/>
          <w:i/>
          <w:sz w:val="20"/>
        </w:rPr>
        <w:t>Selling.</w:t>
      </w:r>
      <w:r>
        <w:rPr>
          <w:caps w:val="false"/>
          <w:smallCaps w:val="false"/>
          <w:sz w:val="24"/>
        </w:rPr>
        <w:t xml:space="preserve"> </w:t>
      </w:r>
      <w:r>
        <w:rPr>
          <w:rFonts w:ascii="Times New Roman;serif" w:hAnsi="Times New Roman;serif"/>
          <w:b w:val="false"/>
          <w:i w:val="false"/>
          <w:caps w:val="false"/>
          <w:smallCaps w:val="false"/>
          <w:sz w:val="20"/>
        </w:rPr>
        <w:t>Selling expenses were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$479.0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25.7%</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w:t>
      </w:r>
      <w:r>
        <w:rPr>
          <w:rFonts w:ascii="Times New Roman;serif" w:hAnsi="Times New Roman;serif"/>
          <w:b w:val="false"/>
          <w:i w:val="false"/>
          <w:caps w:val="false"/>
          <w:smallCaps w:val="false"/>
          <w:strike w:val="false"/>
          <w:dstrike w:val="false"/>
          <w:sz w:val="20"/>
          <w:u w:val="none"/>
          <w:effect w:val="none"/>
        </w:rPr>
        <w:t>Increases</w:t>
      </w:r>
      <w:r>
        <w:rPr>
          <w:caps w:val="false"/>
          <w:smallCaps w:val="false"/>
          <w:sz w:val="24"/>
        </w:rPr>
        <w:t xml:space="preserve"> </w:t>
      </w:r>
      <w:r>
        <w:rPr>
          <w:rFonts w:ascii="Times New Roman;serif" w:hAnsi="Times New Roman;serif"/>
          <w:b w:val="false"/>
          <w:i w:val="false"/>
          <w:caps w:val="false"/>
          <w:smallCaps w:val="false"/>
          <w:sz w:val="20"/>
        </w:rPr>
        <w:t xml:space="preserve">in selling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expenses were primarily due to sales and marketing investments to drive future growth, increased commissions from higher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sales volume, and approximately </w:t>
      </w:r>
      <w:r>
        <w:rPr>
          <w:rFonts w:ascii="Times New Roman;serif" w:hAnsi="Times New Roman;serif"/>
          <w:b w:val="false"/>
          <w:i w:val="false"/>
          <w:caps w:val="false"/>
          <w:smallCaps w:val="false"/>
          <w:strike w:val="false"/>
          <w:dstrike w:val="false"/>
          <w:sz w:val="20"/>
          <w:u w:val="none"/>
          <w:effect w:val="none"/>
        </w:rPr>
        <w:t>$39 million</w:t>
      </w:r>
      <w:r>
        <w:rPr>
          <w:caps w:val="false"/>
          <w:smallCaps w:val="false"/>
          <w:sz w:val="24"/>
        </w:rPr>
        <w:t xml:space="preserve"> </w:t>
      </w:r>
      <w:r>
        <w:rPr>
          <w:rFonts w:ascii="Times New Roman;serif" w:hAnsi="Times New Roman;serif"/>
          <w:b w:val="false"/>
          <w:i w:val="false"/>
          <w:caps w:val="false"/>
          <w:smallCaps w:val="false"/>
          <w:sz w:val="20"/>
        </w:rPr>
        <w:t xml:space="preserve">of expenses related to acquisitions completed in 2024 and 2025. </w:t>
      </w:r>
    </w:p>
    <w:p>
      <w:pPr>
        <w:pStyle w:val="TextBody"/>
        <w:bidi w:val="0"/>
        <w:spacing w:lineRule="atLeast" w:line="200" w:before="0" w:after="0"/>
        <w:jc w:val="left"/>
        <w:rPr>
          <w:sz w:val="24"/>
        </w:rPr>
      </w:pPr>
      <w:r>
        <w:rPr>
          <w:rFonts w:ascii="Times New Roman;serif" w:hAnsi="Times New Roman;serif"/>
          <w:b/>
          <w:i/>
          <w:sz w:val="20"/>
        </w:rPr>
        <w:t>General and administrative.</w:t>
      </w:r>
      <w:r>
        <w:rPr>
          <w:caps w:val="false"/>
          <w:smallCaps w:val="false"/>
          <w:sz w:val="24"/>
        </w:rPr>
        <w:t> </w:t>
      </w:r>
      <w:r>
        <w:rPr>
          <w:rFonts w:ascii="Times New Roman;serif" w:hAnsi="Times New Roman;serif"/>
          <w:b w:val="false"/>
          <w:i w:val="false"/>
          <w:caps w:val="false"/>
          <w:smallCaps w:val="false"/>
          <w:sz w:val="20"/>
        </w:rPr>
        <w:t xml:space="preserve">General and administrative expenses were </w:t>
      </w:r>
      <w:r>
        <w:rPr>
          <w:rFonts w:ascii="Times New Roman;serif" w:hAnsi="Times New Roman;serif"/>
          <w:b w:val="false"/>
          <w:i w:val="false"/>
          <w:caps w:val="false"/>
          <w:smallCaps w:val="false"/>
          <w:strike w:val="false"/>
          <w:dstrike w:val="false"/>
          <w:sz w:val="20"/>
          <w:u w:val="none"/>
          <w:effect w:val="none"/>
        </w:rPr>
        <w:t>$733.0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18.8%</w:t>
      </w:r>
      <w:r>
        <w:rPr>
          <w:caps w:val="false"/>
          <w:smallCaps w:val="false"/>
          <w:sz w:val="24"/>
        </w:rPr>
        <w:t xml:space="preserve"> </w:t>
      </w:r>
      <w:r>
        <w:rPr>
          <w:rFonts w:ascii="Times New Roman;serif" w:hAnsi="Times New Roman;serif"/>
          <w:b w:val="false"/>
          <w:i w:val="false"/>
          <w:caps w:val="false"/>
          <w:smallCaps w:val="false"/>
          <w:sz w:val="20"/>
        </w:rPr>
        <w:t xml:space="preserve">compared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to the prior year. </w:t>
      </w:r>
      <w:r>
        <w:rPr>
          <w:rFonts w:ascii="Times New Roman;serif" w:hAnsi="Times New Roman;serif"/>
          <w:b w:val="false"/>
          <w:i w:val="false"/>
          <w:caps w:val="false"/>
          <w:smallCaps w:val="false"/>
          <w:strike w:val="false"/>
          <w:dstrike w:val="false"/>
          <w:sz w:val="20"/>
          <w:u w:val="none"/>
          <w:effect w:val="none"/>
        </w:rPr>
        <w:t>Increases</w:t>
      </w:r>
      <w:r>
        <w:rPr>
          <w:caps w:val="false"/>
          <w:smallCaps w:val="false"/>
          <w:sz w:val="24"/>
        </w:rPr>
        <w:t xml:space="preserve"> </w:t>
      </w:r>
      <w:r>
        <w:rPr>
          <w:rFonts w:ascii="Times New Roman;serif" w:hAnsi="Times New Roman;serif"/>
          <w:b w:val="false"/>
          <w:i w:val="false"/>
          <w:caps w:val="false"/>
          <w:smallCaps w:val="false"/>
          <w:sz w:val="20"/>
        </w:rPr>
        <w:t xml:space="preserve">in general and administrative expenses were primarily due to acquisition-related deal fees,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information technology investments, approximately </w:t>
      </w:r>
      <w:r>
        <w:rPr>
          <w:rFonts w:ascii="Times New Roman;serif" w:hAnsi="Times New Roman;serif"/>
          <w:b w:val="false"/>
          <w:i w:val="false"/>
          <w:caps w:val="false"/>
          <w:smallCaps w:val="false"/>
          <w:strike w:val="false"/>
          <w:dstrike w:val="false"/>
          <w:sz w:val="20"/>
          <w:u w:val="none"/>
          <w:effect w:val="none"/>
        </w:rPr>
        <w:t>$62 million</w:t>
      </w:r>
      <w:r>
        <w:rPr>
          <w:caps w:val="false"/>
          <w:smallCaps w:val="false"/>
          <w:sz w:val="24"/>
        </w:rPr>
        <w:t xml:space="preserve"> </w:t>
      </w:r>
      <w:r>
        <w:rPr>
          <w:rFonts w:ascii="Times New Roman;serif" w:hAnsi="Times New Roman;serif"/>
          <w:b w:val="false"/>
          <w:i w:val="false"/>
          <w:caps w:val="false"/>
          <w:smallCaps w:val="false"/>
          <w:sz w:val="20"/>
        </w:rPr>
        <w:t xml:space="preserve">of expenses related to acquisitions completed in 2024 and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the impact of foreign exchange rates of approximately $3 million. </w:t>
      </w:r>
    </w:p>
    <w:p>
      <w:pPr>
        <w:pStyle w:val="TextBody"/>
        <w:bidi w:val="0"/>
        <w:spacing w:lineRule="atLeast" w:line="200" w:before="0" w:after="0"/>
        <w:jc w:val="left"/>
        <w:rPr>
          <w:sz w:val="24"/>
        </w:rPr>
      </w:pPr>
      <w:r>
        <w:rPr>
          <w:rFonts w:ascii="Times New Roman;serif" w:hAnsi="Times New Roman;serif"/>
          <w:b/>
          <w:i/>
          <w:sz w:val="20"/>
        </w:rPr>
        <w:t>Depreciation and amortization.</w:t>
      </w:r>
      <w:r>
        <w:rPr>
          <w:caps w:val="false"/>
          <w:smallCaps w:val="false"/>
          <w:sz w:val="24"/>
        </w:rPr>
        <w:t> </w:t>
      </w:r>
      <w:r>
        <w:rPr>
          <w:rFonts w:ascii="Times New Roman;serif" w:hAnsi="Times New Roman;serif"/>
          <w:b w:val="false"/>
          <w:i w:val="false"/>
          <w:caps w:val="false"/>
          <w:smallCaps w:val="false"/>
          <w:sz w:val="20"/>
        </w:rPr>
        <w:t xml:space="preserve">Depreciation and amortization expenses were </w:t>
      </w:r>
      <w:r>
        <w:rPr>
          <w:rFonts w:ascii="Times New Roman;serif" w:hAnsi="Times New Roman;serif"/>
          <w:b w:val="false"/>
          <w:i w:val="false"/>
          <w:caps w:val="false"/>
          <w:smallCaps w:val="false"/>
          <w:strike w:val="false"/>
          <w:dstrike w:val="false"/>
          <w:sz w:val="20"/>
          <w:u w:val="none"/>
          <w:effect w:val="none"/>
        </w:rPr>
        <w:t>$393.3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12.0%</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Increases</w:t>
      </w:r>
      <w:r>
        <w:rPr>
          <w:caps w:val="false"/>
          <w:smallCaps w:val="false"/>
          <w:sz w:val="24"/>
        </w:rPr>
        <w:t xml:space="preserve"> </w:t>
      </w:r>
      <w:r>
        <w:rPr>
          <w:rFonts w:ascii="Times New Roman;serif" w:hAnsi="Times New Roman;serif"/>
          <w:b w:val="false"/>
          <w:i w:val="false"/>
          <w:caps w:val="false"/>
          <w:smallCaps w:val="false"/>
          <w:sz w:val="20"/>
        </w:rPr>
        <w:t xml:space="preserve">in depreciation and amortization expenses were primarily due to incremental investments in capital expenditures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approximately </w:t>
      </w:r>
      <w:r>
        <w:rPr>
          <w:rFonts w:ascii="Times New Roman;serif" w:hAnsi="Times New Roman;serif"/>
          <w:b w:val="false"/>
          <w:i w:val="false"/>
          <w:caps w:val="false"/>
          <w:smallCaps w:val="false"/>
          <w:strike w:val="false"/>
          <w:dstrike w:val="false"/>
          <w:sz w:val="20"/>
          <w:u w:val="none"/>
          <w:effect w:val="none"/>
        </w:rPr>
        <w:t>$41 million</w:t>
      </w:r>
      <w:r>
        <w:rPr>
          <w:caps w:val="false"/>
          <w:smallCaps w:val="false"/>
          <w:sz w:val="24"/>
        </w:rPr>
        <w:t xml:space="preserve"> </w:t>
      </w:r>
      <w:r>
        <w:rPr>
          <w:rFonts w:ascii="Times New Roman;serif" w:hAnsi="Times New Roman;serif"/>
          <w:b w:val="false"/>
          <w:i w:val="false"/>
          <w:caps w:val="false"/>
          <w:smallCaps w:val="false"/>
          <w:sz w:val="20"/>
        </w:rPr>
        <w:t xml:space="preserve">of expenses related to acquisitions completed in 2024 and 2025. </w:t>
      </w:r>
    </w:p>
    <w:p>
      <w:pPr>
        <w:pStyle w:val="TextBody"/>
        <w:bidi w:val="0"/>
        <w:spacing w:lineRule="atLeast" w:line="200" w:before="0" w:after="0"/>
        <w:jc w:val="left"/>
        <w:rPr>
          <w:sz w:val="24"/>
        </w:rPr>
      </w:pPr>
      <w:r>
        <w:rPr>
          <w:rFonts w:ascii="Times New Roman;serif" w:hAnsi="Times New Roman;serif"/>
          <w:b/>
          <w:i/>
          <w:sz w:val="20"/>
        </w:rPr>
        <w:t>Goodwill impairment.</w:t>
      </w:r>
      <w:r>
        <w:rPr>
          <w:caps w:val="false"/>
          <w:smallCaps w:val="false"/>
          <w:sz w:val="24"/>
        </w:rPr>
        <w:t> </w:t>
      </w:r>
      <w:r>
        <w:rPr>
          <w:rFonts w:ascii="Times New Roman;serif" w:hAnsi="Times New Roman;serif"/>
          <w:b w:val="false"/>
          <w:i w:val="false"/>
          <w:caps w:val="false"/>
          <w:smallCaps w:val="false"/>
          <w:sz w:val="20"/>
        </w:rPr>
        <w:t>During 2024, we recorded a non-cash goodwill impairment loss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$90.0 million,</w:t>
      </w:r>
      <w:r>
        <w:rPr>
          <w:caps w:val="false"/>
          <w:smallCaps w:val="false"/>
          <w:sz w:val="24"/>
        </w:rPr>
        <w:t xml:space="preserve"> </w:t>
      </w:r>
      <w:r>
        <w:rPr>
          <w:rFonts w:ascii="Times New Roman;serif" w:hAnsi="Times New Roman;serif"/>
          <w:b w:val="false"/>
          <w:i w:val="false"/>
          <w:caps w:val="false"/>
          <w:smallCaps w:val="false"/>
          <w:sz w:val="20"/>
        </w:rPr>
        <w:t xml:space="preserve">representing a partial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impairment of the goodwill within our Payroll Card reporting unit, which is a component of our "Other" category. </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Gain on disposition, net.</w:t>
      </w:r>
      <w:r>
        <w:rPr>
          <w:caps w:val="false"/>
          <w:smallCaps w:val="false"/>
          <w:strike w:val="false"/>
          <w:dstrike w:val="false"/>
          <w:sz w:val="24"/>
          <w:u w:val="none"/>
          <w:effect w:val="none"/>
        </w:rPr>
        <w:t> </w:t>
      </w:r>
      <w:r>
        <w:rPr>
          <w:rFonts w:ascii="Times New Roman;serif" w:hAnsi="Times New Roman;serif"/>
          <w:b w:val="false"/>
          <w:i w:val="false"/>
          <w:caps w:val="false"/>
          <w:smallCaps w:val="false"/>
          <w:sz w:val="20"/>
        </w:rPr>
        <w:t xml:space="preserve">During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we recognized a net gain of approximately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$53.4 million</w:t>
      </w:r>
      <w:r>
        <w:rPr>
          <w:caps w:val="false"/>
          <w:smallCaps w:val="false"/>
          <w:sz w:val="24"/>
        </w:rPr>
        <w:t xml:space="preserve"> </w:t>
      </w:r>
      <w:r>
        <w:rPr>
          <w:rFonts w:ascii="Times New Roman;serif" w:hAnsi="Times New Roman;serif"/>
          <w:b w:val="false"/>
          <w:i w:val="false"/>
          <w:caps w:val="false"/>
          <w:smallCaps w:val="false"/>
          <w:sz w:val="20"/>
        </w:rPr>
        <w:t xml:space="preserve">related to the October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disposal of our BP private label fuel card portfolio within the U.S. division of our Vehicle Payments segment, which was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partially offset by a loss recognized during the third quarter of 2025 due to a working capital adjustment related to the 2024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disposal of our merchant solutions business. During 2024, we recognized a net gain of $121.3 million related to the December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2024 disposal of our merchant solutions business, a non-core business within the U.S. division of our Vehicle Payments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Consolidated operating income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Operating income was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$1,994.1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11.6%</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The </w:t>
      </w: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 xml:space="preserve">in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was primarily due to the reasons discussed above.</w:t>
      </w:r>
    </w:p>
    <w:p>
      <w:pPr>
        <w:pStyle w:val="TextBody"/>
        <w:bidi w:val="0"/>
        <w:spacing w:lineRule="atLeast" w:line="200" w:before="0" w:after="0"/>
        <w:jc w:val="left"/>
        <w:rPr>
          <w:sz w:val="24"/>
        </w:rPr>
      </w:pPr>
      <w:r>
        <w:rPr>
          <w:rFonts w:ascii="Times New Roman;serif" w:hAnsi="Times New Roman;serif"/>
          <w:b/>
          <w:i/>
          <w:sz w:val="20"/>
        </w:rPr>
        <w:t>Other expense, net.</w:t>
      </w:r>
      <w:r>
        <w:rPr>
          <w:caps w:val="false"/>
          <w:smallCaps w:val="false"/>
          <w:sz w:val="24"/>
        </w:rPr>
        <w:t xml:space="preserve"> </w:t>
      </w:r>
      <w:r>
        <w:rPr>
          <w:rFonts w:ascii="Times New Roman;serif" w:hAnsi="Times New Roman;serif"/>
          <w:b w:val="false"/>
          <w:i w:val="false"/>
          <w:caps w:val="false"/>
          <w:smallCaps w:val="false"/>
          <w:sz w:val="20"/>
        </w:rPr>
        <w:t xml:space="preserve">Other expense, net was </w:t>
      </w:r>
      <w:r>
        <w:rPr>
          <w:rFonts w:ascii="Times New Roman;serif" w:hAnsi="Times New Roman;serif"/>
          <w:b w:val="false"/>
          <w:i w:val="false"/>
          <w:caps w:val="false"/>
          <w:smallCaps w:val="false"/>
          <w:strike w:val="false"/>
          <w:dstrike w:val="false"/>
          <w:sz w:val="20"/>
          <w:u w:val="none"/>
          <w:effect w:val="none"/>
        </w:rPr>
        <w:t>$47.0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which primarily represents net </w:t>
      </w:r>
      <w:r>
        <w:rPr>
          <w:rFonts w:ascii="Times New Roman;serif" w:hAnsi="Times New Roman;serif"/>
          <w:b w:val="false"/>
          <w:i w:val="false"/>
          <w:caps w:val="false"/>
          <w:smallCaps w:val="false"/>
          <w:strike w:val="false"/>
          <w:dstrike w:val="false"/>
          <w:sz w:val="20"/>
          <w:u w:val="none"/>
          <w:effect w:val="none"/>
        </w:rPr>
        <w:t>losses</w:t>
      </w:r>
      <w:r>
        <w:rPr>
          <w:caps w:val="false"/>
          <w:smallCaps w:val="false"/>
          <w:sz w:val="24"/>
        </w:rPr>
        <w:t xml:space="preserve"> </w:t>
      </w:r>
      <w:r>
        <w:rPr>
          <w:rFonts w:ascii="Times New Roman;serif" w:hAnsi="Times New Roman;serif"/>
          <w:b w:val="false"/>
          <w:i w:val="false"/>
          <w:caps w:val="false"/>
          <w:smallCaps w:val="false"/>
          <w:sz w:val="20"/>
        </w:rPr>
        <w:t xml:space="preserve">related to our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method investments of </w:t>
      </w:r>
      <w:r>
        <w:rPr>
          <w:rFonts w:ascii="Times New Roman;serif" w:hAnsi="Times New Roman;serif"/>
          <w:b w:val="false"/>
          <w:i w:val="false"/>
          <w:caps w:val="false"/>
          <w:smallCaps w:val="false"/>
          <w:strike w:val="false"/>
          <w:dstrike w:val="false"/>
          <w:sz w:val="20"/>
          <w:u w:val="none"/>
          <w:effect w:val="none"/>
        </w:rPr>
        <w:t>$25.4 million</w:t>
      </w:r>
      <w:r>
        <w:rPr>
          <w:caps w:val="false"/>
          <w:smallCaps w:val="false"/>
          <w:sz w:val="24"/>
        </w:rPr>
        <w:t xml:space="preserve"> </w:t>
      </w:r>
      <w:r>
        <w:rPr>
          <w:rFonts w:ascii="Times New Roman;serif" w:hAnsi="Times New Roman;serif"/>
          <w:b w:val="false"/>
          <w:i w:val="false"/>
          <w:caps w:val="false"/>
          <w:smallCaps w:val="false"/>
          <w:sz w:val="20"/>
        </w:rPr>
        <w:t xml:space="preserve">and the impact of fluctuations in foreign exchange rates on non-functional currency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balances, </w:t>
      </w:r>
      <w:r>
        <w:rPr>
          <w:rFonts w:ascii="Times New Roman;serif" w:hAnsi="Times New Roman;serif"/>
          <w:b w:val="false"/>
          <w:i w:val="false"/>
          <w:caps w:val="false"/>
          <w:smallCaps w:val="false"/>
          <w:strike w:val="false"/>
          <w:dstrike w:val="false"/>
          <w:sz w:val="20"/>
          <w:u w:val="none"/>
          <w:effect w:val="none"/>
        </w:rPr>
        <w:t>$23.6 million</w:t>
      </w:r>
      <w:r>
        <w:rPr>
          <w:caps w:val="false"/>
          <w:smallCaps w:val="false"/>
          <w:sz w:val="24"/>
        </w:rPr>
        <w:t xml:space="preserve"> </w:t>
      </w:r>
      <w:r>
        <w:rPr>
          <w:rFonts w:ascii="Times New Roman;serif" w:hAnsi="Times New Roman;serif"/>
          <w:b w:val="false"/>
          <w:i w:val="false"/>
          <w:caps w:val="false"/>
          <w:smallCaps w:val="false"/>
          <w:sz w:val="20"/>
        </w:rPr>
        <w:t xml:space="preserve">of which was related to funding of the Alpha acquisition. These losses were partially offset by a gain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upon the disposition of a cost method investment in the second quarter of 2025. Other expense, net was </w:t>
      </w:r>
      <w:r>
        <w:rPr>
          <w:rFonts w:ascii="Times New Roman;serif" w:hAnsi="Times New Roman;serif"/>
          <w:b w:val="false"/>
          <w:i w:val="false"/>
          <w:caps w:val="false"/>
          <w:smallCaps w:val="false"/>
          <w:strike w:val="false"/>
          <w:dstrike w:val="false"/>
          <w:sz w:val="20"/>
          <w:u w:val="none"/>
          <w:effect w:val="none"/>
        </w:rPr>
        <w:t>$14.0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which primarily represents the impact of fluctuations in foreign exchange rates on non-functional currency balances.</w:t>
      </w:r>
    </w:p>
    <w:p>
      <w:pPr>
        <w:pStyle w:val="TextBody"/>
        <w:bidi w:val="0"/>
        <w:spacing w:lineRule="atLeast" w:line="200" w:before="0" w:after="0"/>
        <w:jc w:val="left"/>
        <w:rPr>
          <w:sz w:val="24"/>
        </w:rPr>
      </w:pPr>
      <w:r>
        <w:rPr>
          <w:rFonts w:ascii="Times New Roman;serif" w:hAnsi="Times New Roman;serif"/>
          <w:b/>
          <w:i/>
          <w:sz w:val="20"/>
        </w:rPr>
        <w:t xml:space="preserve">Interest expense, net. </w:t>
      </w:r>
      <w:r>
        <w:rPr>
          <w:rFonts w:ascii="Times New Roman;serif" w:hAnsi="Times New Roman;serif"/>
          <w:b w:val="false"/>
          <w:i w:val="false"/>
          <w:caps w:val="false"/>
          <w:smallCaps w:val="false"/>
          <w:sz w:val="20"/>
        </w:rPr>
        <w:t>Interest expense was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$403.8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5.4%</w:t>
      </w:r>
      <w:r>
        <w:rPr>
          <w:caps w:val="false"/>
          <w:smallCaps w:val="false"/>
          <w:sz w:val="24"/>
        </w:rPr>
        <w:t xml:space="preserve"> </w:t>
      </w:r>
      <w:r>
        <w:rPr>
          <w:rFonts w:ascii="Times New Roman;serif" w:hAnsi="Times New Roman;serif"/>
          <w:b w:val="false"/>
          <w:i w:val="false"/>
          <w:caps w:val="false"/>
          <w:smallCaps w:val="false"/>
          <w:sz w:val="20"/>
        </w:rPr>
        <w:t>co</w:t>
      </w:r>
      <w:r>
        <w:rPr>
          <w:rFonts w:ascii="Times New Roman;serif" w:hAnsi="Times New Roman;serif"/>
          <w:b w:val="false"/>
          <w:i w:val="false"/>
          <w:caps w:val="false"/>
          <w:smallCaps w:val="false"/>
          <w:strike w:val="false"/>
          <w:dstrike w:val="false"/>
          <w:sz w:val="20"/>
          <w:u w:val="none"/>
          <w:effect w:val="none"/>
          <w:shd w:fill="FFFFFF" w:val="clear"/>
        </w:rPr>
        <w:t xml:space="preserve">mpared to the prior year.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 xml:space="preserve">in interest expense was primarily due to increased borrowings used for acquisitions, partially offset by lower interest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rates and higher interest income due to higher cash balances. The following table sets forth the weighted average interest rates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paid on borrowings under our Credit Facility, excluding the related unused facility fees and swaps.</w:t>
      </w:r>
    </w:p>
    <w:p>
      <w:pPr>
        <w:pStyle w:val="TextBody"/>
        <w:bidi w:val="0"/>
        <w:spacing w:before="0" w:after="0"/>
        <w:jc w:val="left"/>
        <w:rPr>
          <w:caps w:val="false"/>
          <w:smallCaps w:val="false"/>
        </w:rPr>
      </w:pPr>
      <w:r>
        <w:rPr>
          <w:caps w:val="false"/>
          <w:smallCaps w:val="false"/>
        </w:rPr>
        <w:t> </w:t>
      </w:r>
    </w:p>
    <w:tbl>
      <w:tblPr>
        <w:tblW w:w="4691" w:type="dxa"/>
        <w:jc w:val="left"/>
        <w:tblInd w:w="0" w:type="dxa"/>
        <w:tblLayout w:type="fixed"/>
        <w:tblCellMar>
          <w:top w:w="28" w:type="dxa"/>
          <w:left w:w="28" w:type="dxa"/>
          <w:bottom w:w="28" w:type="dxa"/>
          <w:right w:w="28" w:type="dxa"/>
        </w:tblCellMar>
      </w:tblPr>
      <w:tblGrid>
        <w:gridCol w:w="3166"/>
        <w:gridCol w:w="109"/>
        <w:gridCol w:w="631"/>
        <w:gridCol w:w="109"/>
        <w:gridCol w:w="676"/>
      </w:tblGrid>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Term loan 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6.64%</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Term loan B-5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6.95%</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Term loan B-6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Revolving line of credit A &amp; B (USD)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6.60%</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Revolving line of credit B (GBP)</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We have a portfolio of interest rate swaps which are designated as cash flow hedges and cross-currency interest rate swaps,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which are designated as net investment hedges. During the years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trike w:val="false"/>
          <w:dstrike w:val="false"/>
          <w:sz w:val="20"/>
          <w:u w:val="none"/>
          <w:effect w:val="none"/>
          <w:shd w:fill="FFFFFF" w:val="clear"/>
        </w:rPr>
        <w:t xml:space="preserve">, as a result of these swap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contracts and net investment hedges, we recorded a benefit to interest expense, net of approximately $37.4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$60.1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million, respectively.</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shd w:fill="FFFFFF" w:val="clear"/>
        </w:rPr>
        <w:t xml:space="preserve">Provision for income taxes. </w:t>
      </w:r>
      <w:r>
        <w:rPr>
          <w:rFonts w:ascii="Times New Roman;serif" w:hAnsi="Times New Roman;serif"/>
          <w:b w:val="false"/>
          <w:i w:val="false"/>
          <w:caps w:val="false"/>
          <w:smallCaps w:val="false"/>
          <w:strike w:val="false"/>
          <w:dstrike w:val="false"/>
          <w:sz w:val="20"/>
          <w:u w:val="none"/>
          <w:effect w:val="none"/>
          <w:shd w:fill="FFFFFF" w:val="clear"/>
        </w:rPr>
        <w:t>T</w:t>
      </w:r>
      <w:r>
        <w:rPr>
          <w:rFonts w:ascii="Times New Roman;serif" w:hAnsi="Times New Roman;serif"/>
          <w:b w:val="false"/>
          <w:i w:val="false"/>
          <w:caps w:val="false"/>
          <w:smallCaps w:val="false"/>
          <w:sz w:val="20"/>
        </w:rPr>
        <w:t xml:space="preserve">he provision for income taxes and effective tax rate were </w:t>
      </w:r>
      <w:r>
        <w:rPr>
          <w:rFonts w:ascii="Times New Roman;serif" w:hAnsi="Times New Roman;serif"/>
          <w:b w:val="false"/>
          <w:i w:val="false"/>
          <w:caps w:val="false"/>
          <w:smallCaps w:val="false"/>
          <w:strike w:val="false"/>
          <w:dstrike w:val="false"/>
          <w:sz w:val="20"/>
          <w:u w:val="none"/>
          <w:effect w:val="none"/>
        </w:rPr>
        <w:t>$469.7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30.5%</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compared to </w:t>
      </w:r>
      <w:r>
        <w:rPr>
          <w:rFonts w:ascii="Times New Roman;serif" w:hAnsi="Times New Roman;serif"/>
          <w:b w:val="false"/>
          <w:i w:val="false"/>
          <w:caps w:val="false"/>
          <w:smallCaps w:val="false"/>
          <w:strike w:val="false"/>
          <w:dstrike w:val="false"/>
          <w:sz w:val="20"/>
          <w:u w:val="none"/>
          <w:effect w:val="none"/>
        </w:rPr>
        <w:t>$381.4</w:t>
      </w:r>
      <w:r>
        <w:rPr>
          <w:caps w:val="false"/>
          <w:smallCaps w:val="false"/>
          <w:sz w:val="24"/>
        </w:rPr>
        <w:t xml:space="preserve"> </w:t>
      </w:r>
      <w:r>
        <w:rPr>
          <w:rFonts w:ascii="Times New Roman;serif" w:hAnsi="Times New Roman;serif"/>
          <w:b w:val="false"/>
          <w:i w:val="false"/>
          <w:caps w:val="false"/>
          <w:smallCaps w:val="false"/>
          <w:sz w:val="20"/>
        </w:rPr>
        <w:t xml:space="preserve">million and </w:t>
      </w:r>
      <w:r>
        <w:rPr>
          <w:rFonts w:ascii="Times New Roman;serif" w:hAnsi="Times New Roman;serif"/>
          <w:b w:val="false"/>
          <w:i w:val="false"/>
          <w:caps w:val="false"/>
          <w:smallCaps w:val="false"/>
          <w:strike w:val="false"/>
          <w:dstrike w:val="false"/>
          <w:sz w:val="20"/>
          <w:u w:val="none"/>
          <w:effect w:val="none"/>
        </w:rPr>
        <w:t>27.5%</w:t>
      </w:r>
      <w:r>
        <w:rPr>
          <w:caps w:val="false"/>
          <w:smallCaps w:val="false"/>
          <w:sz w:val="24"/>
        </w:rPr>
        <w:t xml:space="preserve"> </w:t>
      </w:r>
      <w:r>
        <w:rPr>
          <w:rFonts w:ascii="Times New Roman;serif" w:hAnsi="Times New Roman;serif"/>
          <w:b w:val="false"/>
          <w:i w:val="false"/>
          <w:caps w:val="false"/>
          <w:smallCaps w:val="false"/>
          <w:sz w:val="20"/>
        </w:rPr>
        <w:t xml:space="preserve">in the prior year. The increase in the provision for income taxes was driven primarily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 a decrease in excess tax benefits on stock option exercises, (ii) new state apportionment rules in 2025 resulting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revaluation of deferreds at a higher tax rate in the current period, (iii) discrete taxes resulting from legal entity and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restructuring actions taken by us to facilitate cross-border transactions, (iv) non-deductible cost associated with the Alpha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(v) the adoption of Pillar Two legislation in 2025, which resulted in a global minimum tax at a rate of 15%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impacted two jurisdictions in which we operate, and (vi) mix of earnings.</w:t>
      </w:r>
    </w:p>
    <w:p>
      <w:pPr>
        <w:pStyle w:val="TextBody"/>
        <w:bidi w:val="0"/>
        <w:spacing w:lineRule="atLeast" w:line="200" w:before="0" w:after="0"/>
        <w:jc w:val="left"/>
        <w:rPr>
          <w:sz w:val="24"/>
        </w:rPr>
      </w:pPr>
      <w:r>
        <w:rPr>
          <w:rFonts w:ascii="Times New Roman;serif" w:hAnsi="Times New Roman;serif"/>
          <w:b/>
          <w:i/>
          <w:sz w:val="20"/>
        </w:rPr>
        <w:t xml:space="preserve">Net income attributable to Corpay. </w:t>
      </w:r>
      <w:r>
        <w:rPr>
          <w:rFonts w:ascii="Times New Roman;serif" w:hAnsi="Times New Roman;serif"/>
          <w:b w:val="false"/>
          <w:i w:val="false"/>
          <w:caps w:val="false"/>
          <w:smallCaps w:val="false"/>
          <w:sz w:val="20"/>
        </w:rPr>
        <w:t xml:space="preserve">For the reasons discussed above, our net income attributable to Corpay was </w:t>
      </w:r>
      <w:r>
        <w:rPr>
          <w:rFonts w:ascii="Times New Roman;serif" w:hAnsi="Times New Roman;serif"/>
          <w:b w:val="false"/>
          <w:i w:val="false"/>
          <w:caps w:val="false"/>
          <w:smallCaps w:val="false"/>
          <w:strike w:val="false"/>
          <w:dstrike w:val="false"/>
          <w:sz w:val="20"/>
          <w:u w:val="none"/>
          <w:effect w:val="none"/>
        </w:rPr>
        <w:t xml:space="preserve">$1,069.8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6.6%</w:t>
      </w:r>
      <w:r>
        <w:rPr>
          <w:caps w:val="false"/>
          <w:smallCaps w:val="false"/>
          <w:sz w:val="24"/>
        </w:rPr>
        <w:t xml:space="preserve"> </w:t>
      </w:r>
      <w:r>
        <w:rPr>
          <w:rFonts w:ascii="Times New Roman;serif" w:hAnsi="Times New Roman;serif"/>
          <w:b w:val="false"/>
          <w:i w:val="false"/>
          <w:caps w:val="false"/>
          <w:smallCaps w:val="false"/>
          <w:sz w:val="20"/>
        </w:rPr>
        <w:t>compared to the prior year.</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Segment Results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Vehicle Payments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Vehicle Payments revenues were </w:t>
      </w:r>
      <w:r>
        <w:rPr>
          <w:rFonts w:ascii="Times New Roman;serif" w:hAnsi="Times New Roman;serif"/>
          <w:b w:val="false"/>
          <w:i w:val="false"/>
          <w:caps w:val="false"/>
          <w:smallCaps w:val="false"/>
          <w:strike w:val="false"/>
          <w:dstrike w:val="false"/>
          <w:sz w:val="20"/>
          <w:u w:val="none"/>
          <w:effect w:val="none"/>
        </w:rPr>
        <w:t>$2,138.7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6.5%</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Vehicle Payments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revenues increased primarily due to organic growth of </w:t>
      </w:r>
      <w:r>
        <w:rPr>
          <w:rFonts w:ascii="Times New Roman;serif" w:hAnsi="Times New Roman;serif"/>
          <w:b w:val="false"/>
          <w:i w:val="false"/>
          <w:caps w:val="false"/>
          <w:smallCaps w:val="false"/>
          <w:strike w:val="false"/>
          <w:dstrike w:val="false"/>
          <w:sz w:val="20"/>
          <w:u w:val="none"/>
          <w:effect w:val="none"/>
        </w:rPr>
        <w:t>9%</w:t>
      </w:r>
      <w:r>
        <w:rPr>
          <w:caps w:val="false"/>
          <w:smallCaps w:val="false"/>
          <w:sz w:val="24"/>
        </w:rPr>
        <w:t xml:space="preserve"> </w:t>
      </w:r>
      <w:r>
        <w:rPr>
          <w:rFonts w:ascii="Times New Roman;serif" w:hAnsi="Times New Roman;serif"/>
          <w:b w:val="false"/>
          <w:i w:val="false"/>
          <w:caps w:val="false"/>
          <w:smallCaps w:val="false"/>
          <w:sz w:val="20"/>
        </w:rPr>
        <w:t xml:space="preserve">driven by </w:t>
      </w:r>
      <w:r>
        <w:rPr>
          <w:rFonts w:ascii="Times New Roman;serif" w:hAnsi="Times New Roman;serif"/>
          <w:b w:val="false"/>
          <w:i w:val="false"/>
          <w:caps w:val="false"/>
          <w:smallCaps w:val="false"/>
          <w:strike w:val="false"/>
          <w:dstrike w:val="false"/>
          <w:sz w:val="20"/>
          <w:u w:val="none"/>
          <w:effect w:val="none"/>
        </w:rPr>
        <w:t>7%</w:t>
      </w:r>
      <w:r>
        <w:rPr>
          <w:caps w:val="false"/>
          <w:smallCaps w:val="false"/>
          <w:sz w:val="24"/>
        </w:rPr>
        <w:t xml:space="preserve"> </w:t>
      </w:r>
      <w:r>
        <w:rPr>
          <w:rFonts w:ascii="Times New Roman;serif" w:hAnsi="Times New Roman;serif"/>
          <w:b w:val="false"/>
          <w:i w:val="false"/>
          <w:caps w:val="false"/>
          <w:smallCaps w:val="false"/>
          <w:sz w:val="20"/>
        </w:rPr>
        <w:t xml:space="preserve">growth in transaction volumes, new sales growth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impact of acquisitions, which contributed approximately </w:t>
      </w:r>
      <w:r>
        <w:rPr>
          <w:rFonts w:ascii="Times New Roman;serif" w:hAnsi="Times New Roman;serif"/>
          <w:b w:val="false"/>
          <w:i w:val="false"/>
          <w:caps w:val="false"/>
          <w:smallCaps w:val="false"/>
          <w:strike w:val="false"/>
          <w:dstrike w:val="false"/>
          <w:sz w:val="20"/>
          <w:u w:val="none"/>
          <w:effect w:val="none"/>
        </w:rPr>
        <w:t>$26 million</w:t>
      </w:r>
      <w:r>
        <w:rPr>
          <w:caps w:val="false"/>
          <w:smallCaps w:val="false"/>
          <w:sz w:val="24"/>
        </w:rPr>
        <w:t xml:space="preserve"> </w:t>
      </w:r>
      <w:r>
        <w:rPr>
          <w:rFonts w:ascii="Times New Roman;serif" w:hAnsi="Times New Roman;serif"/>
          <w:b w:val="false"/>
          <w:i w:val="false"/>
          <w:caps w:val="false"/>
          <w:smallCaps w:val="false"/>
          <w:sz w:val="20"/>
        </w:rPr>
        <w:t xml:space="preserve">in revenues. These increases were partially offset by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disposition of our merchant solutions business in December 2024, which lowered revenues by approximately </w:t>
      </w:r>
      <w:r>
        <w:rPr>
          <w:rFonts w:ascii="Times New Roman;serif" w:hAnsi="Times New Roman;serif"/>
          <w:b w:val="false"/>
          <w:i w:val="false"/>
          <w:caps w:val="false"/>
          <w:smallCaps w:val="false"/>
          <w:strike w:val="false"/>
          <w:dstrike w:val="false"/>
          <w:sz w:val="20"/>
          <w:u w:val="none"/>
          <w:effect w:val="none"/>
        </w:rPr>
        <w:t>$34 million</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the negative impact of the macroeconomic environment of approximately </w:t>
      </w:r>
      <w:r>
        <w:rPr>
          <w:rFonts w:ascii="Times New Roman;serif" w:hAnsi="Times New Roman;serif"/>
          <w:b w:val="false"/>
          <w:i w:val="false"/>
          <w:caps w:val="false"/>
          <w:smallCaps w:val="false"/>
          <w:strike w:val="false"/>
          <w:dstrike w:val="false"/>
          <w:sz w:val="20"/>
          <w:u w:val="none"/>
          <w:effect w:val="none"/>
        </w:rPr>
        <w:t>$42 million</w:t>
      </w:r>
      <w:r>
        <w:rPr>
          <w:rFonts w:ascii="Times New Roman;serif" w:hAnsi="Times New Roman;serif"/>
          <w:b w:val="false"/>
          <w:i w:val="false"/>
          <w:caps w:val="false"/>
          <w:smallCaps w:val="false"/>
          <w:sz w:val="20"/>
        </w:rPr>
        <w:t xml:space="preserve">. The negative macroeconomic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environment was driven primarily by unfavorable fuel price spreads of approximately </w:t>
      </w:r>
      <w:r>
        <w:rPr>
          <w:rFonts w:ascii="Times New Roman;serif" w:hAnsi="Times New Roman;serif"/>
          <w:b w:val="false"/>
          <w:i w:val="false"/>
          <w:caps w:val="false"/>
          <w:smallCaps w:val="false"/>
          <w:strike w:val="false"/>
          <w:dstrike w:val="false"/>
          <w:sz w:val="20"/>
          <w:u w:val="none"/>
          <w:effect w:val="none"/>
        </w:rPr>
        <w:t>$18 million</w:t>
      </w:r>
      <w:r>
        <w:rPr>
          <w:rFonts w:ascii="Times New Roman;serif" w:hAnsi="Times New Roman;serif"/>
          <w:b w:val="false"/>
          <w:i w:val="false"/>
          <w:caps w:val="false"/>
          <w:smallCaps w:val="false"/>
          <w:sz w:val="20"/>
        </w:rPr>
        <w:t xml:space="preserve">, unfavorable changes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foreign exchange rates on revenues of </w:t>
      </w:r>
      <w:r>
        <w:rPr>
          <w:rFonts w:ascii="Times New Roman;serif" w:hAnsi="Times New Roman;serif"/>
          <w:b w:val="false"/>
          <w:i w:val="false"/>
          <w:caps w:val="false"/>
          <w:smallCaps w:val="false"/>
          <w:strike w:val="false"/>
          <w:dstrike w:val="false"/>
          <w:sz w:val="20"/>
          <w:u w:val="none"/>
          <w:effect w:val="none"/>
        </w:rPr>
        <w:t>$12 million</w:t>
      </w:r>
      <w:r>
        <w:rPr>
          <w:caps w:val="false"/>
          <w:smallCaps w:val="false"/>
          <w:sz w:val="24"/>
        </w:rPr>
        <w:t xml:space="preserve"> </w:t>
      </w:r>
      <w:r>
        <w:rPr>
          <w:rFonts w:ascii="Times New Roman;serif" w:hAnsi="Times New Roman;serif"/>
          <w:b w:val="false"/>
          <w:i w:val="false"/>
          <w:caps w:val="false"/>
          <w:smallCaps w:val="false"/>
          <w:sz w:val="20"/>
        </w:rPr>
        <w:t xml:space="preserve">and unfavorable fuel prices of </w:t>
      </w:r>
      <w:r>
        <w:rPr>
          <w:rFonts w:ascii="Times New Roman;serif" w:hAnsi="Times New Roman;serif"/>
          <w:b w:val="false"/>
          <w:i w:val="false"/>
          <w:caps w:val="false"/>
          <w:smallCaps w:val="false"/>
          <w:strike w:val="false"/>
          <w:dstrike w:val="false"/>
          <w:sz w:val="20"/>
          <w:u w:val="none"/>
          <w:effect w:val="none"/>
        </w:rPr>
        <w:t>$11 million</w:t>
      </w:r>
      <w:r>
        <w:rPr>
          <w:rFonts w:ascii="Times New Roman;serif" w:hAnsi="Times New Roman;serif"/>
          <w:b w:val="false"/>
          <w:i w:val="false"/>
          <w:caps w:val="false"/>
          <w:smallCaps w:val="false"/>
          <w:sz w:val="20"/>
        </w:rPr>
        <w: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Vehicle Payments operating income was </w:t>
      </w:r>
      <w:r>
        <w:rPr>
          <w:rFonts w:ascii="Times New Roman;serif" w:hAnsi="Times New Roman;serif"/>
          <w:b w:val="false"/>
          <w:i w:val="false"/>
          <w:caps w:val="false"/>
          <w:smallCaps w:val="false"/>
          <w:strike w:val="false"/>
          <w:dstrike w:val="false"/>
          <w:sz w:val="20"/>
          <w:u w:val="none"/>
          <w:effect w:val="none"/>
        </w:rPr>
        <w:t>$1,074.7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relatively flat compared to the prior year primarily due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organic revenue growth and the impact of our acquisitions discussed above, partially offset by the unfavorable macroeconomic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environment and the impact of the disposition of our merchant solutions business.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Corporate Payments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Corporate Payments revenues were </w:t>
      </w:r>
      <w:r>
        <w:rPr>
          <w:rFonts w:ascii="Times New Roman;serif" w:hAnsi="Times New Roman;serif"/>
          <w:b w:val="false"/>
          <w:i w:val="false"/>
          <w:caps w:val="false"/>
          <w:smallCaps w:val="false"/>
          <w:strike w:val="false"/>
          <w:dstrike w:val="false"/>
          <w:sz w:val="20"/>
          <w:u w:val="none"/>
          <w:effect w:val="none"/>
        </w:rPr>
        <w:t>$1,635.1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33.8%</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Corporate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Payments revenues increased primarily due to organic revenue growth of </w:t>
      </w:r>
      <w:r>
        <w:rPr>
          <w:rFonts w:ascii="Times New Roman;serif" w:hAnsi="Times New Roman;serif"/>
          <w:b w:val="false"/>
          <w:i w:val="false"/>
          <w:caps w:val="false"/>
          <w:smallCaps w:val="false"/>
          <w:strike w:val="false"/>
          <w:dstrike w:val="false"/>
          <w:sz w:val="20"/>
          <w:u w:val="none"/>
          <w:effect w:val="none"/>
        </w:rPr>
        <w:t>17%</w:t>
      </w:r>
      <w:r>
        <w:rPr>
          <w:rFonts w:ascii="Times New Roman;serif" w:hAnsi="Times New Roman;serif"/>
          <w:b w:val="false"/>
          <w:i w:val="false"/>
          <w:caps w:val="false"/>
          <w:smallCaps w:val="false"/>
          <w:sz w:val="20"/>
        </w:rPr>
        <w:t xml:space="preserve">, driven by a </w:t>
      </w:r>
      <w:r>
        <w:rPr>
          <w:rFonts w:ascii="Times New Roman;serif" w:hAnsi="Times New Roman;serif"/>
          <w:b w:val="false"/>
          <w:i w:val="false"/>
          <w:caps w:val="false"/>
          <w:smallCaps w:val="false"/>
          <w:strike w:val="false"/>
          <w:dstrike w:val="false"/>
          <w:sz w:val="20"/>
          <w:u w:val="none"/>
          <w:effect w:val="none"/>
        </w:rPr>
        <w:t>31%</w:t>
      </w:r>
      <w:r>
        <w:rPr>
          <w:caps w:val="false"/>
          <w:smallCaps w:val="false"/>
          <w:sz w:val="24"/>
        </w:rPr>
        <w:t xml:space="preserve"> </w:t>
      </w:r>
      <w:r>
        <w:rPr>
          <w:rFonts w:ascii="Times New Roman;serif" w:hAnsi="Times New Roman;serif"/>
          <w:b w:val="false"/>
          <w:i w:val="false"/>
          <w:caps w:val="false"/>
          <w:smallCaps w:val="false"/>
          <w:sz w:val="20"/>
        </w:rPr>
        <w:t xml:space="preserve">growth in spend volume,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strong new sales in our payables and cross-border solutions and the impact of our acquisitions, which contributed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approximately </w:t>
      </w:r>
      <w:r>
        <w:rPr>
          <w:rFonts w:ascii="Times New Roman;serif" w:hAnsi="Times New Roman;serif"/>
          <w:b w:val="false"/>
          <w:i w:val="false"/>
          <w:caps w:val="false"/>
          <w:smallCaps w:val="false"/>
          <w:strike w:val="false"/>
          <w:dstrike w:val="false"/>
          <w:sz w:val="20"/>
          <w:u w:val="none"/>
          <w:effect w:val="none"/>
        </w:rPr>
        <w:t>$169 million</w:t>
      </w:r>
      <w:r>
        <w:rPr>
          <w:caps w:val="false"/>
          <w:smallCaps w:val="false"/>
          <w:sz w:val="24"/>
        </w:rPr>
        <w:t xml:space="preserve"> </w:t>
      </w:r>
      <w:r>
        <w:rPr>
          <w:rFonts w:ascii="Times New Roman;serif" w:hAnsi="Times New Roman;serif"/>
          <w:b w:val="false"/>
          <w:i w:val="false"/>
          <w:caps w:val="false"/>
          <w:smallCaps w:val="false"/>
          <w:sz w:val="20"/>
        </w:rPr>
        <w:t xml:space="preserve">in revenue. Corporate Payments revenue per spend dollar decreased over the prior year due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impact of new cross-border enterprise clients.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Corporate Payments operating income was </w:t>
      </w:r>
      <w:r>
        <w:rPr>
          <w:rFonts w:ascii="Times New Roman;serif" w:hAnsi="Times New Roman;serif"/>
          <w:b w:val="false"/>
          <w:i w:val="false"/>
          <w:caps w:val="false"/>
          <w:smallCaps w:val="false"/>
          <w:strike w:val="false"/>
          <w:dstrike w:val="false"/>
          <w:sz w:val="20"/>
          <w:u w:val="none"/>
          <w:effect w:val="none"/>
        </w:rPr>
        <w:t>$639.8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28.4%</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Corporate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operating income increased primarily due to the reasons discussed above and integration synergies, partially offset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sales investments to grow the business and one-time deal-related and integration expenses.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Lodging Payments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Lodging Payments revenues were </w:t>
      </w:r>
      <w:r>
        <w:rPr>
          <w:rFonts w:ascii="Times New Roman;serif" w:hAnsi="Times New Roman;serif"/>
          <w:b w:val="false"/>
          <w:i w:val="false"/>
          <w:caps w:val="false"/>
          <w:smallCaps w:val="false"/>
          <w:strike w:val="false"/>
          <w:dstrike w:val="false"/>
          <w:sz w:val="20"/>
          <w:u w:val="none"/>
          <w:effect w:val="none"/>
        </w:rPr>
        <w:t>$469.5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 decrease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3.9%</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The decrease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Lodging Payments revenues was primarily due to a decline in workforce room night volume due to lower emergency activity.</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Lodging Payments operating income was </w:t>
      </w:r>
      <w:r>
        <w:rPr>
          <w:rFonts w:ascii="Times New Roman;serif" w:hAnsi="Times New Roman;serif"/>
          <w:b w:val="false"/>
          <w:i w:val="false"/>
          <w:caps w:val="false"/>
          <w:smallCaps w:val="false"/>
          <w:strike w:val="false"/>
          <w:dstrike w:val="false"/>
          <w:sz w:val="20"/>
          <w:u w:val="none"/>
          <w:effect w:val="none"/>
        </w:rPr>
        <w:t>$194.7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 decrease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12.8%</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Lodging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Payments operating income and margin declined from the prior period due to the reasons discussed above.</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Other revenues were </w:t>
      </w:r>
      <w:r>
        <w:rPr>
          <w:rFonts w:ascii="Times New Roman;serif" w:hAnsi="Times New Roman;serif"/>
          <w:b w:val="false"/>
          <w:i w:val="false"/>
          <w:caps w:val="false"/>
          <w:smallCaps w:val="false"/>
          <w:strike w:val="false"/>
          <w:dstrike w:val="false"/>
          <w:sz w:val="20"/>
          <w:u w:val="none"/>
          <w:effect w:val="none"/>
        </w:rPr>
        <w:t>$285.1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11.7%</w:t>
      </w:r>
      <w:r>
        <w:rPr>
          <w:caps w:val="false"/>
          <w:smallCaps w:val="false"/>
          <w:sz w:val="24"/>
        </w:rPr>
        <w:t xml:space="preserve"> </w:t>
      </w:r>
      <w:r>
        <w:rPr>
          <w:rFonts w:ascii="Times New Roman;serif" w:hAnsi="Times New Roman;serif"/>
          <w:b w:val="false"/>
          <w:i w:val="false"/>
          <w:caps w:val="false"/>
          <w:smallCaps w:val="false"/>
          <w:sz w:val="20"/>
        </w:rPr>
        <w:t xml:space="preserve">compared to the prior year, driven by strong transaction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volume and revenue per transaction growth in the gift card business.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Other operating income was </w:t>
      </w:r>
      <w:r>
        <w:rPr>
          <w:rFonts w:ascii="Times New Roman;serif" w:hAnsi="Times New Roman;serif"/>
          <w:b w:val="false"/>
          <w:i w:val="false"/>
          <w:caps w:val="false"/>
          <w:smallCaps w:val="false"/>
          <w:strike w:val="false"/>
          <w:dstrike w:val="false"/>
          <w:sz w:val="20"/>
          <w:u w:val="none"/>
          <w:effect w:val="none"/>
        </w:rPr>
        <w:t>$84.9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as compared to operating loss of </w:t>
      </w:r>
      <w:r>
        <w:rPr>
          <w:rFonts w:ascii="Times New Roman;serif" w:hAnsi="Times New Roman;serif"/>
          <w:b w:val="false"/>
          <w:i w:val="false"/>
          <w:caps w:val="false"/>
          <w:smallCaps w:val="false"/>
          <w:strike w:val="false"/>
          <w:dstrike w:val="false"/>
          <w:sz w:val="20"/>
          <w:u w:val="none"/>
          <w:effect w:val="none"/>
        </w:rPr>
        <w:t>$11.5 million</w:t>
      </w:r>
      <w:r>
        <w:rPr>
          <w:caps w:val="false"/>
          <w:smallCaps w:val="false"/>
          <w:sz w:val="24"/>
        </w:rPr>
        <w:t xml:space="preserve"> </w:t>
      </w:r>
      <w:r>
        <w:rPr>
          <w:rFonts w:ascii="Times New Roman;serif" w:hAnsi="Times New Roman;serif"/>
          <w:b w:val="false"/>
          <w:i w:val="false"/>
          <w:caps w:val="false"/>
          <w:smallCaps w:val="false"/>
          <w:sz w:val="20"/>
        </w:rPr>
        <w:t xml:space="preserve">in the prior year due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reasons discussed above. The Other operating loss in 2024 was driven by a $90 million non-cash goodwill impairment recorded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Liquidity and capital resources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w:t>
      </w:r>
      <w:r>
        <w:rPr>
          <w:caps w:val="false"/>
          <w:smallCaps w:val="false"/>
          <w:sz w:val="24"/>
        </w:rPr>
        <w:t xml:space="preserve"> </w:t>
      </w:r>
      <w:r>
        <w:rPr>
          <w:rFonts w:ascii="Times New Roman;serif" w:hAnsi="Times New Roman;serif"/>
          <w:b w:val="false"/>
          <w:i w:val="false"/>
          <w:caps w:val="false"/>
          <w:smallCaps w:val="false"/>
          <w:sz w:val="20"/>
        </w:rPr>
        <w:t xml:space="preserve">principal liquidity requirements are to service and repay our indebtedness, make acquisitions of businesses and commercial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 portfolios, repurchase shares of our common stock and meet working capital, tax and capital expenditure needs.</w:t>
      </w:r>
    </w:p>
    <w:p>
      <w:pPr>
        <w:pStyle w:val="TextBody"/>
        <w:bidi w:val="0"/>
        <w:spacing w:lineRule="atLeast" w:line="200" w:before="0" w:after="0"/>
        <w:jc w:val="left"/>
        <w:rPr/>
      </w:pPr>
      <w:r>
        <w:rPr>
          <w:rFonts w:ascii="Times New Roman;serif" w:hAnsi="Times New Roman;serif"/>
          <w:b/>
          <w:i/>
          <w:sz w:val="20"/>
        </w:rPr>
        <w:t xml:space="preserve">Sources of liquidity. </w:t>
      </w:r>
      <w:r>
        <w:rPr>
          <w:rFonts w:ascii="Times New Roman;serif" w:hAnsi="Times New Roman;serif"/>
          <w:b w:val="false"/>
          <w:i w:val="false"/>
          <w:caps w:val="false"/>
          <w:smallCaps w:val="false"/>
          <w:sz w:val="20"/>
        </w:rPr>
        <w:t xml:space="preserve">We believe that our current level of cash and borrowing capacity under our Credit Facility, Securitization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Facility (as defined below) and other facilities (each discussed below), together with expected future cash flows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operations, will be sufficient to meet the needs of our existing operations and planned requirements for at least the next 12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months and into the foreseeable future, based on our current assumptions.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 December 31, 2025, we had approximately $4.0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total liquidity, consisting of approximately $1.5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available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under our Credit Facility and unrestricted cash of $2.4 billion, a portion of which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includes customer deposits or is required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working capital and regulatory purposes.</w:t>
      </w:r>
      <w:r>
        <w:rPr>
          <w:caps w:val="false"/>
          <w:smallCaps w:val="false"/>
          <w:sz w:val="24"/>
        </w:rPr>
        <w:t xml:space="preserve"> </w:t>
      </w:r>
      <w:r>
        <w:rPr>
          <w:rFonts w:ascii="Times New Roman;serif" w:hAnsi="Times New Roman;serif"/>
          <w:b w:val="false"/>
          <w:i w:val="false"/>
          <w:caps w:val="false"/>
          <w:smallCaps w:val="false"/>
          <w:sz w:val="20"/>
        </w:rPr>
        <w:t xml:space="preserve">Restricted cash primarily represents customer deposits repayable on demand held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geographies with legal restrictions, customer funds held for the benefit of others, collateral received from customers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cross-currency transactions in our cross-border payments business, which is restricted from use other than to repay customer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deposits and to secure and settle cross-currency transactions, and collateral posted with banks for hedging positions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cross-border payments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utilize the Securitization Facility to finance a portion of our receivables, to lower our cost of borrowing and more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efficiently use capital. Accounts receivable collateralized within our Securitization Facility relate to trade receivables resulting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primarily from charge card activity in Vehicle Payments and Corporate Payments and receivables related to our Lodging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business. We also consider the available and undrawn amounts under our Securitization Facility and Credit Facility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funds available for working capital purposes and acquisitions. At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no additional liquidity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Securitization Facility.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We have determined that outside basis differences </w:t>
      </w:r>
      <w:r>
        <w:rPr>
          <w:rFonts w:ascii="Times New Roman;serif" w:hAnsi="Times New Roman;serif"/>
          <w:b w:val="false"/>
          <w:i w:val="false"/>
          <w:caps w:val="false"/>
          <w:smallCaps w:val="false"/>
          <w:strike w:val="false"/>
          <w:dstrike w:val="false"/>
          <w:sz w:val="20"/>
          <w:u w:val="none"/>
          <w:effect w:val="none"/>
        </w:rPr>
        <w:t>associ</w:t>
      </w:r>
      <w:r>
        <w:rPr>
          <w:rFonts w:ascii="Times New Roman;serif" w:hAnsi="Times New Roman;serif"/>
          <w:b w:val="false"/>
          <w:i w:val="false"/>
          <w:caps w:val="false"/>
          <w:smallCaps w:val="false"/>
          <w:sz w:val="20"/>
        </w:rPr>
        <w:t xml:space="preserve">ated with our investments in foreign subsidiaries would not result 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material deferred tax liability, and, consistent with our assertion that these amounts continue to be indefinitely invested,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recorded incremental income taxes for the additional outside basis differences.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Cash flows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following table summarizes our cash flows for the years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6350" w:type="dxa"/>
        <w:jc w:val="left"/>
        <w:tblInd w:w="0" w:type="dxa"/>
        <w:tblLayout w:type="fixed"/>
        <w:tblCellMar>
          <w:top w:w="28" w:type="dxa"/>
          <w:left w:w="28" w:type="dxa"/>
          <w:bottom w:w="28" w:type="dxa"/>
          <w:right w:w="28" w:type="dxa"/>
        </w:tblCellMar>
      </w:tblPr>
      <w:tblGrid>
        <w:gridCol w:w="4201"/>
        <w:gridCol w:w="109"/>
        <w:gridCol w:w="933"/>
        <w:gridCol w:w="123"/>
        <w:gridCol w:w="984"/>
      </w:tblGrid>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r>
      <w:tr>
        <w:trPr/>
        <w:tc>
          <w:tcPr>
            <w:tcW w:w="420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$1,499.9</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$1,940.6</w:t>
            </w:r>
          </w:p>
        </w:tc>
      </w:tr>
      <w:tr>
        <w:trPr/>
        <w:tc>
          <w:tcPr>
            <w:tcW w:w="4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investing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$1,227.4</w:t>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9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$(807.5)</w:t>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$1,561.8</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$405.0</w:t>
            </w:r>
          </w:p>
        </w:tc>
      </w:tr>
    </w:tbl>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shd w:fill="FFFFFF" w:val="clear"/>
        </w:rPr>
        <w:t>Operating activities.</w:t>
      </w:r>
      <w:r>
        <w:rPr>
          <w:caps w:val="false"/>
          <w:smallCaps w:val="false"/>
          <w:strike w:val="false"/>
          <w:dstrike w:val="false"/>
          <w:sz w:val="24"/>
          <w:u w:val="none"/>
          <w:effect w:val="none"/>
          <w:shd w:fill="FFFFFF" w:val="clear"/>
        </w:rPr>
        <w:t> </w:t>
      </w:r>
      <w:r>
        <w:rPr>
          <w:rFonts w:ascii="Times New Roman;serif" w:hAnsi="Times New Roman;serif"/>
          <w:b w:val="false"/>
          <w:i w:val="false"/>
          <w:caps w:val="false"/>
          <w:smallCaps w:val="false"/>
          <w:strike w:val="false"/>
          <w:dstrike w:val="false"/>
          <w:sz w:val="20"/>
          <w:u w:val="none"/>
          <w:effect w:val="none"/>
          <w:shd w:fill="FFFFFF" w:val="clear"/>
        </w:rPr>
        <w:t>Net cash provided by operating activities was $1,499.9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2025, compared to $1,940.6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2024. The decrease in operating cash flows was primarily driven by changes in working capital.</w:t>
      </w:r>
    </w:p>
    <w:p>
      <w:pPr>
        <w:pStyle w:val="TextBody"/>
        <w:bidi w:val="0"/>
        <w:spacing w:lineRule="atLeast" w:line="200" w:before="0" w:after="0"/>
        <w:jc w:val="left"/>
        <w:rPr>
          <w:sz w:val="24"/>
        </w:rPr>
      </w:pPr>
      <w:r>
        <w:rPr>
          <w:rFonts w:ascii="Times New Roman;serif" w:hAnsi="Times New Roman;serif"/>
          <w:b/>
          <w:i/>
          <w:sz w:val="20"/>
        </w:rPr>
        <w:t>Investing activities.</w:t>
      </w:r>
      <w:r>
        <w:rPr>
          <w:caps w:val="false"/>
          <w:smallCaps w:val="false"/>
          <w:sz w:val="24"/>
        </w:rPr>
        <w:t> </w:t>
      </w:r>
      <w:r>
        <w:rPr>
          <w:rFonts w:ascii="Times New Roman;serif" w:hAnsi="Times New Roman;serif"/>
          <w:b w:val="false"/>
          <w:i w:val="false"/>
          <w:caps w:val="false"/>
          <w:smallCaps w:val="false"/>
          <w:sz w:val="20"/>
        </w:rPr>
        <w:t xml:space="preserve">Net cash provided by investing activities was </w:t>
      </w:r>
      <w:r>
        <w:rPr>
          <w:rFonts w:ascii="Times New Roman;serif" w:hAnsi="Times New Roman;serif"/>
          <w:b w:val="false"/>
          <w:i w:val="false"/>
          <w:caps w:val="false"/>
          <w:smallCaps w:val="false"/>
          <w:strike w:val="false"/>
          <w:dstrike w:val="false"/>
          <w:sz w:val="20"/>
          <w:u w:val="none"/>
          <w:effect w:val="none"/>
        </w:rPr>
        <w:t>$1,227.4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compared to net cash used by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investing activities of </w:t>
      </w:r>
      <w:r>
        <w:rPr>
          <w:rFonts w:ascii="Times New Roman;serif" w:hAnsi="Times New Roman;serif"/>
          <w:b w:val="false"/>
          <w:i w:val="false"/>
          <w:caps w:val="false"/>
          <w:smallCaps w:val="false"/>
          <w:strike w:val="false"/>
          <w:dstrike w:val="false"/>
          <w:sz w:val="20"/>
          <w:u w:val="none"/>
          <w:effect w:val="none"/>
        </w:rPr>
        <w:t>$807.5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With the acquisition of Alpha Group in October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the purchase price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included approximately </w:t>
      </w:r>
      <w:r>
        <w:rPr>
          <w:rFonts w:ascii="Times New Roman;serif" w:hAnsi="Times New Roman;serif"/>
          <w:b w:val="false"/>
          <w:i w:val="false"/>
          <w:caps w:val="false"/>
          <w:smallCaps w:val="false"/>
          <w:strike w:val="false"/>
          <w:dstrike w:val="false"/>
          <w:sz w:val="20"/>
          <w:u w:val="none"/>
          <w:effect w:val="none"/>
        </w:rPr>
        <w:t>$4.5 billion</w:t>
      </w:r>
      <w:r>
        <w:rPr>
          <w:caps w:val="false"/>
          <w:smallCaps w:val="false"/>
          <w:sz w:val="24"/>
        </w:rPr>
        <w:t xml:space="preserve"> </w:t>
      </w:r>
      <w:r>
        <w:rPr>
          <w:rFonts w:ascii="Times New Roman;serif" w:hAnsi="Times New Roman;serif"/>
          <w:b w:val="false"/>
          <w:i w:val="false"/>
          <w:caps w:val="false"/>
          <w:smallCaps w:val="false"/>
          <w:sz w:val="20"/>
        </w:rPr>
        <w:t xml:space="preserve">in cash and cash equivalents and restricted cash, for which there were corresponding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customer deposit liabilities assumed, which resulted in cash flows provided by acquisitions of </w:t>
      </w:r>
      <w:r>
        <w:rPr>
          <w:rFonts w:ascii="Times New Roman;serif" w:hAnsi="Times New Roman;serif"/>
          <w:b w:val="false"/>
          <w:i w:val="false"/>
          <w:caps w:val="false"/>
          <w:smallCaps w:val="false"/>
          <w:strike w:val="false"/>
          <w:dstrike w:val="false"/>
          <w:sz w:val="20"/>
          <w:u w:val="none"/>
          <w:effect w:val="none"/>
        </w:rPr>
        <w:t>$1,933.8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compared to cash flows used for acquisitions of </w:t>
      </w:r>
      <w:r>
        <w:rPr>
          <w:rFonts w:ascii="Times New Roman;serif" w:hAnsi="Times New Roman;serif"/>
          <w:b w:val="false"/>
          <w:i w:val="false"/>
          <w:caps w:val="false"/>
          <w:smallCaps w:val="false"/>
          <w:strike w:val="false"/>
          <w:dstrike w:val="false"/>
          <w:sz w:val="20"/>
          <w:u w:val="none"/>
          <w:effect w:val="none"/>
        </w:rPr>
        <w:t>$821.9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This increase in investing cash flows versus the prior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period was partially offset by (i) our investment of approximately </w:t>
      </w:r>
      <w:r>
        <w:rPr>
          <w:rFonts w:ascii="Times New Roman;serif" w:hAnsi="Times New Roman;serif"/>
          <w:b w:val="false"/>
          <w:i w:val="false"/>
          <w:caps w:val="false"/>
          <w:smallCaps w:val="false"/>
          <w:strike w:val="false"/>
          <w:dstrike w:val="false"/>
          <w:sz w:val="20"/>
          <w:u w:val="none"/>
          <w:effect w:val="none"/>
        </w:rPr>
        <w:t>$578.4 million</w:t>
      </w:r>
      <w:r>
        <w:rPr>
          <w:caps w:val="false"/>
          <w:smallCaps w:val="false"/>
          <w:sz w:val="24"/>
        </w:rPr>
        <w:t xml:space="preserve"> </w:t>
      </w:r>
      <w:r>
        <w:rPr>
          <w:rFonts w:ascii="Times New Roman;serif" w:hAnsi="Times New Roman;serif"/>
          <w:b w:val="false"/>
          <w:i w:val="false"/>
          <w:caps w:val="false"/>
          <w:smallCaps w:val="false"/>
          <w:sz w:val="20"/>
        </w:rPr>
        <w:t xml:space="preserve">in an equity method investment during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(ii) </w:t>
      </w:r>
      <w:r>
        <w:rPr>
          <w:rFonts w:ascii="Times New Roman;serif" w:hAnsi="Times New Roman;serif"/>
          <w:b w:val="false"/>
          <w:i w:val="false"/>
          <w:caps w:val="false"/>
          <w:smallCaps w:val="false"/>
          <w:strike w:val="false"/>
          <w:dstrike w:val="false"/>
          <w:sz w:val="20"/>
          <w:u w:val="none"/>
          <w:effect w:val="none"/>
        </w:rPr>
        <w:t>a decrease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$127.3 million</w:t>
      </w:r>
      <w:r>
        <w:rPr>
          <w:caps w:val="false"/>
          <w:smallCaps w:val="false"/>
          <w:sz w:val="24"/>
        </w:rPr>
        <w:t xml:space="preserve"> </w:t>
      </w:r>
      <w:r>
        <w:rPr>
          <w:rFonts w:ascii="Times New Roman;serif" w:hAnsi="Times New Roman;serif"/>
          <w:b w:val="false"/>
          <w:i w:val="false"/>
          <w:caps w:val="false"/>
          <w:smallCaps w:val="false"/>
          <w:sz w:val="20"/>
        </w:rPr>
        <w:t xml:space="preserve">related to dispositions of businesses and assets 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Additionally, our capital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expenditures were </w:t>
      </w:r>
      <w:r>
        <w:rPr>
          <w:rFonts w:ascii="Times New Roman;serif" w:hAnsi="Times New Roman;serif"/>
          <w:b w:val="false"/>
          <w:i w:val="false"/>
          <w:caps w:val="false"/>
          <w:smallCaps w:val="false"/>
          <w:strike w:val="false"/>
          <w:dstrike w:val="false"/>
          <w:sz w:val="20"/>
          <w:u w:val="none"/>
          <w:effect w:val="none"/>
        </w:rPr>
        <w:t>$200.8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$25.6 million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15%</w:t>
      </w:r>
      <w:r>
        <w:rPr>
          <w:rFonts w:ascii="Times New Roman;serif" w:hAnsi="Times New Roman;serif"/>
          <w:b w:val="false"/>
          <w:i w:val="false"/>
          <w:caps w:val="false"/>
          <w:smallCaps w:val="false"/>
          <w:sz w:val="20"/>
        </w:rPr>
        <w:t xml:space="preserve">, from </w:t>
      </w:r>
      <w:r>
        <w:rPr>
          <w:rFonts w:ascii="Times New Roman;serif" w:hAnsi="Times New Roman;serif"/>
          <w:b w:val="false"/>
          <w:i w:val="false"/>
          <w:caps w:val="false"/>
          <w:smallCaps w:val="false"/>
          <w:strike w:val="false"/>
          <w:dstrike w:val="false"/>
          <w:sz w:val="20"/>
          <w:u w:val="none"/>
          <w:effect w:val="none"/>
        </w:rPr>
        <w:t>$175.2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due to the impact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acquisitions and continued investments in technology.</w:t>
      </w:r>
    </w:p>
    <w:p>
      <w:pPr>
        <w:pStyle w:val="TextBody"/>
        <w:bidi w:val="0"/>
        <w:spacing w:lineRule="atLeast" w:line="200" w:before="0" w:after="0"/>
        <w:jc w:val="left"/>
        <w:rPr>
          <w:sz w:val="24"/>
        </w:rPr>
      </w:pPr>
      <w:r>
        <w:rPr>
          <w:rFonts w:ascii="Times New Roman;serif" w:hAnsi="Times New Roman;serif"/>
          <w:b/>
          <w:i/>
          <w:sz w:val="20"/>
        </w:rPr>
        <w:t>Financing activities.</w:t>
      </w:r>
      <w:r>
        <w:rPr>
          <w:caps w:val="false"/>
          <w:smallCaps w:val="false"/>
          <w:sz w:val="24"/>
        </w:rPr>
        <w:t> </w:t>
      </w:r>
      <w:r>
        <w:rPr>
          <w:rFonts w:ascii="Times New Roman;serif" w:hAnsi="Times New Roman;serif"/>
          <w:b w:val="false"/>
          <w:i w:val="false"/>
          <w:caps w:val="false"/>
          <w:smallCaps w:val="false"/>
          <w:sz w:val="20"/>
        </w:rPr>
        <w:t xml:space="preserve">Net cash provided by financing activities was </w:t>
      </w:r>
      <w:r>
        <w:rPr>
          <w:rFonts w:ascii="Times New Roman;serif" w:hAnsi="Times New Roman;serif"/>
          <w:b w:val="false"/>
          <w:i w:val="false"/>
          <w:caps w:val="false"/>
          <w:smallCaps w:val="false"/>
          <w:strike w:val="false"/>
          <w:dstrike w:val="false"/>
          <w:sz w:val="20"/>
          <w:u w:val="none"/>
          <w:effect w:val="none"/>
        </w:rPr>
        <w:t>$1,561.8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compared to </w:t>
      </w:r>
      <w:r>
        <w:rPr>
          <w:rFonts w:ascii="Times New Roman;serif" w:hAnsi="Times New Roman;serif"/>
          <w:b w:val="false"/>
          <w:i w:val="false"/>
          <w:caps w:val="false"/>
          <w:smallCaps w:val="false"/>
          <w:strike w:val="false"/>
          <w:dstrike w:val="false"/>
          <w:sz w:val="20"/>
          <w:u w:val="none"/>
          <w:effect w:val="none"/>
        </w:rPr>
        <w:t>$405.0 million</w:t>
      </w:r>
      <w:r>
        <w:rPr>
          <w:caps w:val="false"/>
          <w:smallCaps w:val="false"/>
          <w:sz w:val="24"/>
        </w:rPr>
        <w:t xml:space="preserve"> </w:t>
      </w:r>
      <w:r>
        <w:rPr>
          <w:rFonts w:ascii="Times New Roman;serif" w:hAnsi="Times New Roman;serif"/>
          <w:b w:val="false"/>
          <w:i w:val="false"/>
          <w:caps w:val="false"/>
          <w:smallCaps w:val="false"/>
          <w:sz w:val="20"/>
        </w:rPr>
        <w:t xml:space="preserve">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Net cash provided by financing activities increased in 2025 primarily due to (i) net borrowings on our Credit Facility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Securitization Facility of </w:t>
      </w:r>
      <w:r>
        <w:rPr>
          <w:rFonts w:ascii="Times New Roman;serif" w:hAnsi="Times New Roman;serif"/>
          <w:b w:val="false"/>
          <w:i w:val="false"/>
          <w:caps w:val="false"/>
          <w:smallCaps w:val="false"/>
          <w:strike w:val="false"/>
          <w:dstrike w:val="false"/>
          <w:sz w:val="20"/>
          <w:u w:val="none"/>
          <w:effect w:val="none"/>
        </w:rPr>
        <w:t>$2,016.6 million</w:t>
      </w:r>
      <w:r>
        <w:rPr>
          <w:caps w:val="false"/>
          <w:smallCaps w:val="false"/>
          <w:sz w:val="24"/>
        </w:rPr>
        <w:t xml:space="preserve"> </w:t>
      </w:r>
      <w:r>
        <w:rPr>
          <w:rFonts w:ascii="Times New Roman;serif" w:hAnsi="Times New Roman;serif"/>
          <w:b w:val="false"/>
          <w:i w:val="false"/>
          <w:caps w:val="false"/>
          <w:smallCaps w:val="false"/>
          <w:sz w:val="20"/>
        </w:rPr>
        <w:t xml:space="preserve">during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as compared to net borrowings of </w:t>
      </w:r>
      <w:r>
        <w:rPr>
          <w:rFonts w:ascii="Times New Roman;serif" w:hAnsi="Times New Roman;serif"/>
          <w:b w:val="false"/>
          <w:i w:val="false"/>
          <w:caps w:val="false"/>
          <w:smallCaps w:val="false"/>
          <w:strike w:val="false"/>
          <w:dstrike w:val="false"/>
          <w:sz w:val="20"/>
          <w:u w:val="none"/>
          <w:effect w:val="none"/>
        </w:rPr>
        <w:t>$1,271.2 million</w:t>
      </w:r>
      <w:r>
        <w:rPr>
          <w:caps w:val="false"/>
          <w:smallCaps w:val="false"/>
          <w:sz w:val="24"/>
        </w:rPr>
        <w:t xml:space="preserve"> </w:t>
      </w:r>
      <w:r>
        <w:rPr>
          <w:rFonts w:ascii="Times New Roman;serif" w:hAnsi="Times New Roman;serif"/>
          <w:b w:val="false"/>
          <w:i w:val="false"/>
          <w:caps w:val="false"/>
          <w:smallCaps w:val="false"/>
          <w:sz w:val="20"/>
        </w:rPr>
        <w:t xml:space="preserve">during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(ii)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fewer repurchases of common stock 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$505.2 million</w:t>
      </w:r>
      <w:r>
        <w:rPr>
          <w:caps w:val="false"/>
          <w:smallCaps w:val="false"/>
          <w:sz w:val="24"/>
        </w:rPr>
        <w:t xml:space="preserve"> </w:t>
      </w:r>
      <w:r>
        <w:rPr>
          <w:rFonts w:ascii="Times New Roman;serif" w:hAnsi="Times New Roman;serif"/>
          <w:b w:val="false"/>
          <w:i w:val="false"/>
          <w:caps w:val="false"/>
          <w:smallCaps w:val="false"/>
          <w:sz w:val="20"/>
        </w:rPr>
        <w:t xml:space="preserve">versus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and (iii) contributions of </w:t>
      </w:r>
      <w:r>
        <w:rPr>
          <w:rFonts w:ascii="Times New Roman;serif" w:hAnsi="Times New Roman;serif"/>
          <w:b w:val="false"/>
          <w:i w:val="false"/>
          <w:caps w:val="false"/>
          <w:smallCaps w:val="false"/>
          <w:strike w:val="false"/>
          <w:dstrike w:val="false"/>
          <w:sz w:val="20"/>
          <w:u w:val="none"/>
          <w:effect w:val="none"/>
        </w:rPr>
        <w:t>$300.0 million</w:t>
      </w:r>
      <w:r>
        <w:rPr>
          <w:caps w:val="false"/>
          <w:smallCaps w:val="false"/>
          <w:sz w:val="24"/>
        </w:rPr>
        <w:t xml:space="preserve"> </w:t>
      </w:r>
      <w:r>
        <w:rPr>
          <w:rFonts w:ascii="Times New Roman;serif" w:hAnsi="Times New Roman;serif"/>
          <w:b w:val="false"/>
          <w:i w:val="false"/>
          <w:caps w:val="false"/>
          <w:smallCaps w:val="false"/>
          <w:sz w:val="20"/>
        </w:rPr>
        <w:t xml:space="preserve">related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Mastercard's noncontrolling interest in our cross-border business, partially offset by a decrease in proceeds of </w:t>
      </w:r>
      <w:r>
        <w:rPr>
          <w:rFonts w:ascii="Times New Roman;serif" w:hAnsi="Times New Roman;serif"/>
          <w:b w:val="false"/>
          <w:i w:val="false"/>
          <w:caps w:val="false"/>
          <w:smallCaps w:val="false"/>
          <w:strike w:val="false"/>
          <w:dstrike w:val="false"/>
          <w:sz w:val="20"/>
          <w:u w:val="none"/>
          <w:effect w:val="none"/>
        </w:rPr>
        <w:t>$360.5 million</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common stock resulting from stock option exercises.</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shd w:fill="FFFFFF" w:val="clear"/>
        </w:rPr>
        <w:t xml:space="preserve">Credit </w:t>
      </w:r>
      <w:r>
        <w:rPr>
          <w:rFonts w:ascii="Times New Roman;serif" w:hAnsi="Times New Roman;serif"/>
          <w:b/>
          <w:i/>
          <w:strike w:val="false"/>
          <w:dstrike w:val="false"/>
          <w:sz w:val="20"/>
          <w:u w:val="none"/>
          <w:effect w:val="none"/>
        </w:rPr>
        <w:t>Facility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Corpay Technologies Operating Company, LLC, and certain of our domestic and foreign owned subsidiaries, as designated co-</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borrowers (the “Borrowers”), are parties to a </w:t>
      </w:r>
      <w:r>
        <w:rPr>
          <w:rFonts w:ascii="Times New Roman;serif" w:hAnsi="Times New Roman;serif"/>
          <w:b w:val="false"/>
          <w:i w:val="false"/>
          <w:caps w:val="false"/>
          <w:smallCaps w:val="false"/>
          <w:strike w:val="false"/>
          <w:dstrike w:val="false"/>
          <w:sz w:val="20"/>
          <w:u w:val="none"/>
          <w:effect w:val="none"/>
        </w:rPr>
        <w:t>$10.15 billion</w:t>
      </w:r>
      <w:r>
        <w:rPr>
          <w:caps w:val="false"/>
          <w:smallCaps w:val="false"/>
          <w:sz w:val="24"/>
        </w:rPr>
        <w:t xml:space="preserve"> </w:t>
      </w:r>
      <w:r>
        <w:rPr>
          <w:rFonts w:ascii="Times New Roman;serif" w:hAnsi="Times New Roman;serif"/>
          <w:b w:val="false"/>
          <w:i w:val="false"/>
          <w:caps w:val="false"/>
          <w:smallCaps w:val="false"/>
          <w:sz w:val="20"/>
        </w:rPr>
        <w:t xml:space="preserve">Credit Agreement (the “Credit Agreement”), with Bank of America,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 as administrative agent, swing line lender and letter of credit issuer and a syndicate of financial institutions (the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Lenders”), which has been amended multiple times. </w:t>
      </w:r>
      <w:r>
        <w:rPr>
          <w:rFonts w:ascii="Times New Roman;serif" w:hAnsi="Times New Roman;serif"/>
          <w:b w:val="false"/>
          <w:i w:val="false"/>
          <w:caps w:val="false"/>
          <w:smallCaps w:val="false"/>
          <w:strike w:val="false"/>
          <w:dstrike w:val="false"/>
          <w:sz w:val="20"/>
          <w:u w:val="none"/>
          <w:effect w:val="none"/>
          <w:shd w:fill="FFFFFF" w:val="clear"/>
        </w:rPr>
        <w:t>The Credit Agreement provides for senior secured credit f</w:t>
      </w:r>
      <w:r>
        <w:rPr>
          <w:rFonts w:ascii="Times New Roman;serif" w:hAnsi="Times New Roman;serif"/>
          <w:b w:val="false"/>
          <w:i w:val="false"/>
          <w:caps w:val="false"/>
          <w:smallCaps w:val="false"/>
          <w:strike w:val="false"/>
          <w:dstrike w:val="false"/>
          <w:sz w:val="20"/>
          <w:u w:val="none"/>
          <w:effect w:val="none"/>
        </w:rPr>
        <w:t xml:space="preserve">acilities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(collectively, the "Credit Facility") consisting of a revolving credit facility in the amount of $2.8 billion, a Term Loan A facility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amount of $3.3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("Term Loan A") and a Term Loan B facility in the amount of $4.1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("Term Loan B"),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consisting of a $3.15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Term Loan B-5 and a $0.9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Term Loan B-6, as of December 31, 2025</w:t>
      </w:r>
      <w:r>
        <w:rPr>
          <w:rFonts w:ascii="Times New Roman;serif" w:hAnsi="Times New Roman;serif"/>
          <w:b w:val="false"/>
          <w:i w:val="false"/>
          <w:caps w:val="false"/>
          <w:smallCaps w:val="false"/>
          <w:sz w:val="20"/>
        </w:rPr>
        <w:t xml:space="preserve">. The revolving credit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facility consists of (a) a revolving A credit facility in the amount of </w:t>
      </w:r>
      <w:r>
        <w:rPr>
          <w:rFonts w:ascii="Times New Roman;serif" w:hAnsi="Times New Roman;serif"/>
          <w:b w:val="false"/>
          <w:i w:val="false"/>
          <w:caps w:val="false"/>
          <w:smallCaps w:val="false"/>
          <w:strike w:val="false"/>
          <w:dstrike w:val="false"/>
          <w:sz w:val="20"/>
          <w:u w:val="none"/>
          <w:effect w:val="none"/>
        </w:rPr>
        <w:t>$1.3 billion</w:t>
      </w:r>
      <w:r>
        <w:rPr>
          <w:caps w:val="false"/>
          <w:smallCaps w:val="false"/>
          <w:sz w:val="24"/>
        </w:rPr>
        <w:t xml:space="preserve"> </w:t>
      </w:r>
      <w:r>
        <w:rPr>
          <w:rFonts w:ascii="Times New Roman;serif" w:hAnsi="Times New Roman;serif"/>
          <w:b w:val="false"/>
          <w:i w:val="false"/>
          <w:caps w:val="false"/>
          <w:smallCaps w:val="false"/>
          <w:sz w:val="20"/>
        </w:rPr>
        <w:t xml:space="preserve">with sublimits for letters of credit and swing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line loans and (b) a revolving B facility in the amount of </w:t>
      </w:r>
      <w:r>
        <w:rPr>
          <w:rFonts w:ascii="Times New Roman;serif" w:hAnsi="Times New Roman;serif"/>
          <w:b w:val="false"/>
          <w:i w:val="false"/>
          <w:caps w:val="false"/>
          <w:smallCaps w:val="false"/>
          <w:strike w:val="false"/>
          <w:dstrike w:val="false"/>
          <w:sz w:val="20"/>
          <w:u w:val="none"/>
          <w:effect w:val="none"/>
        </w:rPr>
        <w:t>$1.5 billion</w:t>
      </w:r>
      <w:r>
        <w:rPr>
          <w:caps w:val="false"/>
          <w:smallCaps w:val="false"/>
          <w:sz w:val="24"/>
        </w:rPr>
        <w:t xml:space="preserve"> </w:t>
      </w:r>
      <w:r>
        <w:rPr>
          <w:rFonts w:ascii="Times New Roman;serif" w:hAnsi="Times New Roman;serif"/>
          <w:b w:val="false"/>
          <w:i w:val="false"/>
          <w:caps w:val="false"/>
          <w:smallCaps w:val="false"/>
          <w:sz w:val="20"/>
        </w:rPr>
        <w:t>with borrowings in U.S</w:t>
      </w:r>
      <w:r>
        <w:rPr>
          <w:rFonts w:ascii="Times New Roman;serif" w:hAnsi="Times New Roman;serif"/>
          <w:b w:val="false"/>
          <w:i w:val="false"/>
          <w:caps w:val="false"/>
          <w:smallCaps w:val="false"/>
          <w:strike w:val="false"/>
          <w:dstrike w:val="false"/>
          <w:sz w:val="20"/>
          <w:u w:val="none"/>
          <w:effect w:val="none"/>
          <w:shd w:fill="FFFFFF" w:val="clear"/>
        </w:rPr>
        <w:t xml:space="preserve">. dollars, euros, British pounds,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Japanese yen or other currency as agreed in advance and sublimits for swing line loans. Procee</w:t>
      </w:r>
      <w:r>
        <w:rPr>
          <w:rFonts w:ascii="Times New Roman;serif" w:hAnsi="Times New Roman;serif"/>
          <w:b w:val="false"/>
          <w:i w:val="false"/>
          <w:caps w:val="false"/>
          <w:smallCaps w:val="false"/>
          <w:sz w:val="20"/>
        </w:rPr>
        <w:t xml:space="preserve">ds from the credit facilities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used for working capital purposes, acquisitions and other general corporate purposes. The maturity date for the Term Loan A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revolving credit facilities A and B is </w:t>
      </w:r>
      <w:r>
        <w:rPr>
          <w:rFonts w:ascii="Times New Roman;serif" w:hAnsi="Times New Roman;serif"/>
          <w:b w:val="false"/>
          <w:i w:val="false"/>
          <w:caps w:val="false"/>
          <w:smallCaps w:val="false"/>
          <w:strike w:val="false"/>
          <w:dstrike w:val="false"/>
          <w:sz w:val="20"/>
          <w:u w:val="none"/>
          <w:effect w:val="none"/>
        </w:rPr>
        <w:t>June 24, 2027</w:t>
      </w:r>
      <w:r>
        <w:rPr>
          <w:rFonts w:ascii="Times New Roman;serif" w:hAnsi="Times New Roman;serif"/>
          <w:b w:val="false"/>
          <w:i w:val="false"/>
          <w:caps w:val="false"/>
          <w:smallCaps w:val="false"/>
          <w:sz w:val="20"/>
        </w:rPr>
        <w:t xml:space="preserve">. The Term Loan B-5 has a maturity date of April 30, 2028. The 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Loan B-6 has a maturity date of November 5, 2032.</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January 31, 2024, we entered into the fourteenth amendment to the Credit Agreement. The amendment a) increased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capacity on the revolving credit facility by $275.0 million and b) increased the Term Loan A commitments by $325.0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used the Term Loan A proceeds to pay down existing borrowings under the revolving credit facility. As a result,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was leverage neutral and results in a $600 million increase in our availability under the revolving credit facility.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rates and maturity terms remain consistent with the existing credit facilities.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On September 26, 2024, we entered into the fifteenth amendment to the Credit Agreement. The amendment a) increased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Term Loan B commitments by $500 million and b) removed the SOFR adjustment margin of 0.10% from the calculation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interest on Term Loan B borrowings. We used the Term Loan B proceeds to pay down existing borrowings under the revolving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credit facility. The maturity dates and the interest rates for the revolving credit facility and Term Loan A commitments were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unchanged by this amendment.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On February 20, 2025, we entered into the sixteenth amendment to the Credit Agreement. The amendment increased the Term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Loan B commitments by an incremental $750 million. We used the Term Loan B proceeds to pay down existing borrowings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under the revolving credit facility and other general corporate purposes. The maturity dates and the interest rates for the Credit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Agreement were unchanged by this amendment.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On November 5, 2025, we entered into the seventeenth amendment to the Credit Agreement. The amendment, among other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things, (i) increases the aggregate commitments under the revolving credit facility by $1 billion, resulting in new total Revolver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B commitments of $1.5 billion, and (ii) adds a new seven-year Term Loan B-6 of $900 million. We used the Term Loan B-6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and revolving credit facility proceeds to fund the Alpha acquisition.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Interest on amounts outstanding under the Credit Agreement accrues as follows: for all loans denominated in U.S. dollars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exception of Term Loan B borrowings, based on SOFR plus a SOFR adjustment of 0.10%; for all loans denominated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British pounds, based on the SONIA plus a SONIA adjustment of 0.0326%; for all loans denominated in euros, based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Euro Interbank Offered Rate (EURIBOR); or for all loans denominated in Japanese yen, at the Toyko Interbank Offer 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(TIBOR) plus a margin based on a leverage ratio (as defined in the agreement); or our option (for U.S. dollar borrowings only),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Base Rate (defined as the rate equal to the highest of (a) the Federal Funds Rate plus 0.50%, (b) the prime rate announced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by Bank of America, N.A., or (c) SOFR plus 1.00%</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plus a margin based on a leverage ratio). Interest on Term Loan B-5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Term Loan B-6 borrowings is based on SOFR plus a margin of 1.75%. In addition, we pay a quarterly commitment fee at a rate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per annum ranging from 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0.30%</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of the daily unused portion of the credit facility based on a leverage ratio.</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December 31, 2025, the interest rate on the Term Loan A was 5.19%, the interest rate on the Term Loan B-5 and Term Loan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B-6 was 5.47%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the interest rate on the revolving A and B facilities (USD borrowings) was 5.24%. The unused credit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facility fee was 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all revolving facilities at December 31,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term loans are payable in quarterly installments due on the last business day of each March, June, September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December with the final principal payment due on the respective maturity date. Borrowings on the revolving line of credit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repayable at the maturity of the facility. Borrowings on the domestic swing line of credit are due on demand, and borrowings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foreign swing lines of credit are due no later than </w:t>
      </w:r>
      <w:r>
        <w:rPr>
          <w:rFonts w:ascii="Times New Roman;serif" w:hAnsi="Times New Roman;serif"/>
          <w:b w:val="false"/>
          <w:i w:val="false"/>
          <w:caps w:val="false"/>
          <w:smallCaps w:val="false"/>
          <w:strike w:val="false"/>
          <w:dstrike w:val="false"/>
          <w:sz w:val="20"/>
          <w:u w:val="none"/>
          <w:effect w:val="none"/>
        </w:rPr>
        <w:t>twenty</w:t>
      </w:r>
      <w:r>
        <w:rPr>
          <w:caps w:val="false"/>
          <w:smallCaps w:val="false"/>
          <w:sz w:val="24"/>
        </w:rPr>
        <w:t xml:space="preserve"> </w:t>
      </w:r>
      <w:r>
        <w:rPr>
          <w:rFonts w:ascii="Times New Roman;serif" w:hAnsi="Times New Roman;serif"/>
          <w:b w:val="false"/>
          <w:i w:val="false"/>
          <w:caps w:val="false"/>
          <w:smallCaps w:val="false"/>
          <w:sz w:val="20"/>
        </w:rPr>
        <w:t xml:space="preserve">business days after such loan is made.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obligations of the Borrowers under the Credit Agreement are secured by substantially all of the assets of Corpay and its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domestic subsidiaries, pursuant to a security agreement and includes a pledge of (i) 100% of the issued and outstanding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interests owned by us of each Domestic Subsidiary and (2) 66% of the voting shares of the first-tier foreign subsidiaries, but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excluding real property, personal property located outside of the U.S., accounts receivables and related assets subject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Securitization Facility and certain investments required under money transmitter laws to be held free and clear of liens.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At </w:t>
      </w:r>
      <w:r>
        <w:rPr>
          <w:rFonts w:ascii="Times New Roman;serif" w:hAnsi="Times New Roman;serif"/>
          <w:b w:val="false"/>
          <w:i w:val="false"/>
          <w:caps w:val="false"/>
          <w:smallCaps w:val="false"/>
          <w:strike w:val="false"/>
          <w:dstrike w:val="false"/>
          <w:sz w:val="20"/>
          <w:u w:val="none"/>
          <w:effect w:val="none"/>
          <w:shd w:fill="FFFFFF" w:val="clear"/>
        </w:rPr>
        <w:t>December 31, 2025, we had $2.9 billion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borrowings outstanding on Term Loan A, net of discounts, $3.9 billion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borrowings outstanding on Term Loan B, net of discounts and $1.3 billion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borrowings outstan</w:t>
      </w:r>
      <w:r>
        <w:rPr>
          <w:rFonts w:ascii="Times New Roman;serif" w:hAnsi="Times New Roman;serif"/>
          <w:b w:val="false"/>
          <w:i w:val="false"/>
          <w:caps w:val="false"/>
          <w:smallCaps w:val="false"/>
          <w:sz w:val="20"/>
        </w:rPr>
        <w:t xml:space="preserve">ding on the revolving credit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facility. We have unamortized debt issuance costs of </w:t>
      </w:r>
      <w:r>
        <w:rPr>
          <w:rFonts w:ascii="Times New Roman;serif" w:hAnsi="Times New Roman;serif"/>
          <w:b w:val="false"/>
          <w:i w:val="false"/>
          <w:caps w:val="false"/>
          <w:smallCaps w:val="false"/>
          <w:strike w:val="false"/>
          <w:dstrike w:val="false"/>
          <w:sz w:val="20"/>
          <w:u w:val="none"/>
          <w:effect w:val="none"/>
        </w:rPr>
        <w:t>$5.6 million</w:t>
      </w:r>
      <w:r>
        <w:rPr>
          <w:caps w:val="false"/>
          <w:smallCaps w:val="false"/>
          <w:sz w:val="24"/>
        </w:rPr>
        <w:t xml:space="preserve"> </w:t>
      </w:r>
      <w:r>
        <w:rPr>
          <w:rFonts w:ascii="Times New Roman;serif" w:hAnsi="Times New Roman;serif"/>
          <w:b w:val="false"/>
          <w:i w:val="false"/>
          <w:caps w:val="false"/>
          <w:smallCaps w:val="false"/>
          <w:sz w:val="20"/>
        </w:rPr>
        <w:t xml:space="preserve">related to the revolving credit facility as of </w:t>
      </w:r>
      <w:r>
        <w:rPr>
          <w:rFonts w:ascii="Times New Roman;serif" w:hAnsi="Times New Roman;serif"/>
          <w:b w:val="false"/>
          <w:i w:val="false"/>
          <w:caps w:val="false"/>
          <w:smallCaps w:val="false"/>
          <w:strike w:val="false"/>
          <w:dstrike w:val="false"/>
          <w:sz w:val="20"/>
          <w:u w:val="none"/>
          <w:effect w:val="none"/>
        </w:rPr>
        <w:t xml:space="preserve">December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recorded in other assets within the Consolidated Balance Sheets. We have unamortized debt discounts and debt issuance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costs of </w:t>
      </w:r>
      <w:r>
        <w:rPr>
          <w:rFonts w:ascii="Times New Roman;serif" w:hAnsi="Times New Roman;serif"/>
          <w:b w:val="false"/>
          <w:i w:val="false"/>
          <w:caps w:val="false"/>
          <w:smallCaps w:val="false"/>
          <w:strike w:val="false"/>
          <w:dstrike w:val="false"/>
          <w:sz w:val="20"/>
          <w:u w:val="none"/>
          <w:effect w:val="none"/>
        </w:rPr>
        <w:t>$26.5 million</w:t>
      </w:r>
      <w:r>
        <w:rPr>
          <w:caps w:val="false"/>
          <w:smallCaps w:val="false"/>
          <w:sz w:val="24"/>
        </w:rPr>
        <w:t xml:space="preserve"> </w:t>
      </w:r>
      <w:r>
        <w:rPr>
          <w:rFonts w:ascii="Times New Roman;serif" w:hAnsi="Times New Roman;serif"/>
          <w:b w:val="false"/>
          <w:i w:val="false"/>
          <w:caps w:val="false"/>
          <w:smallCaps w:val="false"/>
          <w:sz w:val="20"/>
        </w:rPr>
        <w:t xml:space="preserve">related to the term loans as of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recorded in notes payable and other obligations, net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current portion within the Consolidated Balance Sheets. As a result of the amortization of debt discounts and debt issuance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costs, the effective interest rate incurred on the term loan</w:t>
      </w:r>
      <w:r>
        <w:rPr>
          <w:rFonts w:ascii="Times New Roman;serif" w:hAnsi="Times New Roman;serif"/>
          <w:b w:val="false"/>
          <w:i w:val="false"/>
          <w:caps w:val="false"/>
          <w:smallCaps w:val="false"/>
          <w:strike w:val="false"/>
          <w:dstrike w:val="false"/>
          <w:sz w:val="20"/>
          <w:u w:val="none"/>
          <w:effect w:val="none"/>
          <w:shd w:fill="FFFFFF" w:val="clear"/>
        </w:rPr>
        <w:t>s was 5.97%</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during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During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trike w:val="false"/>
          <w:dstrike w:val="false"/>
          <w:sz w:val="20"/>
          <w:u w:val="none"/>
          <w:effect w:val="none"/>
          <w:shd w:fill="FFFFFF" w:val="clear"/>
        </w:rPr>
        <w:t>, we made borrowings of $1.7 billion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on the term loans, principal payments of $197.1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on the term loans and net borrowings of $63.7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on the revolving facilities.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As of December 31, 2025, we were in compliance with each of the covenants under the Credit Agre</w:t>
      </w:r>
      <w:r>
        <w:rPr>
          <w:rFonts w:ascii="Times New Roman;serif" w:hAnsi="Times New Roman;serif"/>
          <w:b w:val="false"/>
          <w:i w:val="false"/>
          <w:caps w:val="false"/>
          <w:smallCaps w:val="false"/>
          <w:sz w:val="20"/>
        </w:rPr>
        <w:t>ement.</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Securitization Facility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We are a party to a $2.3 billion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receivables purchase agreement among Fleetcor Funding LLC and Corpay Funding (UK)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Limited, as special purpose entities, Corpay Technologies Operating Company, LLC and Allstar Business Solutions Limited,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servicers, PNC Bank, National Association as administrator and swingline purchaser, PNC Capital Markets, LLC, as structuring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agent and multiple purchaser agents, conduit purchasers and related committed purchasers parties thereto (the "Securitization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Facility") as of December 31, 2025. At December 31, 2025, the interest rate on the Securitization Facility was 4.60%.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On January 24, 2025, we entered into an omnibus amendment to various documents governing the Securitization Facility.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amendment increased the Securitization Facility commitment from $1.7 billion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$1.8 billion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extended the outside maturity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 xml:space="preserve">date of the Securitization Facility from August 18, 2025 to January 24, 2028. </w:t>
      </w:r>
      <w:r>
        <w:rPr>
          <w:rFonts w:ascii="Times New Roman;serif" w:hAnsi="Times New Roman;serif"/>
          <w:b w:val="false"/>
          <w:i w:val="false"/>
          <w:caps w:val="false"/>
          <w:smallCaps w:val="false"/>
          <w:sz w:val="20"/>
        </w:rPr>
        <w:t xml:space="preserve">The omnibus amendment also reduced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 fee by 5 bps to SOFR plus 0.10% adjustment plus 0.90% or the Commercial Paper Rate plus 0.80% and decreased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unused facility fee by 5 bps for two of the purchasers.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November 3, 2025, we entered into the Sixth Amended and Restated Receivables Purchase Agreement (the "RPA")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connection with the Securitization Facility. The RPA and related documents, among other things, (i) increased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Securitization Facility commitment from </w:t>
      </w:r>
      <w:r>
        <w:rPr>
          <w:rFonts w:ascii="Times New Roman;serif" w:hAnsi="Times New Roman;serif"/>
          <w:b w:val="false"/>
          <w:i w:val="false"/>
          <w:caps w:val="false"/>
          <w:smallCaps w:val="false"/>
          <w:strike w:val="false"/>
          <w:dstrike w:val="false"/>
          <w:sz w:val="20"/>
          <w:u w:val="none"/>
          <w:effect w:val="none"/>
          <w:shd w:fill="FFFFFF" w:val="clear"/>
        </w:rPr>
        <w:t>$1.8 billion</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shd w:fill="FFFFFF" w:val="clear"/>
        </w:rPr>
        <w:t>$2.3 billion</w:t>
      </w:r>
      <w:r>
        <w:rPr>
          <w:rFonts w:ascii="Times New Roman;serif" w:hAnsi="Times New Roman;serif"/>
          <w:b w:val="false"/>
          <w:i w:val="false"/>
          <w:caps w:val="false"/>
          <w:smallCaps w:val="false"/>
          <w:sz w:val="20"/>
        </w:rPr>
        <w:t xml:space="preserve">, (ii) extended the outside maturity date of the Securitization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Facility to November 3, 2028, (iii) added three U.K.-based originators and one U.K.-based guarantor and (iv) lowered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drawn program pricing by 9 basis points.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Securitization Facility provides for certain termination events, which includes nonpayment, upon the occurrence of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administrator may declare the facility termination date to have occurred, may exercise certain enforcement rights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respect to the receivables and may appoint a successor servicer, among other things.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were in compliance with all financial and non-financial covenant requirements related to our Securitization Facility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Other Facilities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carefully monitor and manage initial and variation margin requirements for our cross-border solutions, which can result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transitory periods of elevated liquidity </w:t>
      </w:r>
      <w:r>
        <w:rPr>
          <w:rFonts w:ascii="Times New Roman;serif" w:hAnsi="Times New Roman;serif"/>
          <w:b w:val="false"/>
          <w:i w:val="false"/>
          <w:caps w:val="false"/>
          <w:smallCaps w:val="false"/>
          <w:strike w:val="false"/>
          <w:dstrike w:val="false"/>
          <w:sz w:val="20"/>
          <w:u w:val="none"/>
          <w:effect w:val="none"/>
        </w:rPr>
        <w:t>needs</w:t>
      </w:r>
      <w:r>
        <w:rPr>
          <w:caps w:val="false"/>
          <w:smallCaps w:val="false"/>
          <w:sz w:val="24"/>
        </w:rPr>
        <w:t xml:space="preserve"> </w:t>
      </w:r>
      <w:r>
        <w:rPr>
          <w:rFonts w:ascii="Times New Roman;serif" w:hAnsi="Times New Roman;serif"/>
          <w:b w:val="false"/>
          <w:i w:val="false"/>
          <w:caps w:val="false"/>
          <w:smallCaps w:val="false"/>
          <w:sz w:val="20"/>
        </w:rPr>
        <w:t xml:space="preserve">in cases where the currency market experiences disruption. In order to help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mitigate that liquidity risk, we have entered into facilities intended to provide additional means to manage working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needs for our cross-border solutions.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four unsecured overdraft facilities with a combined capacity of $205 million, which may be accessible via written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request and corresponding authorization from the applicable lenders. There is no guarantee the uncommitted capacity will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available to us on a future date. Interest on drawn balances accrues under the agreements at either (a) a fixed rate equal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lender's reference rate or the Federal Funds Effective Rate (as defined in the respective agreements) plus 1% or 1.25% or (b)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SOFR plus 1.25%.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no borrowings outstanding under the uncommitted credit facilities.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have a 364-day committed revolving credit facility with a total commitment of $70.0 million and maturity date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February 19, </w:t>
      </w:r>
      <w:r>
        <w:rPr>
          <w:rFonts w:ascii="Times New Roman;serif" w:hAnsi="Times New Roman;serif"/>
          <w:b w:val="false"/>
          <w:i w:val="false"/>
          <w:caps w:val="false"/>
          <w:smallCaps w:val="false"/>
          <w:strike w:val="false"/>
          <w:dstrike w:val="false"/>
          <w:sz w:val="20"/>
          <w:u w:val="none"/>
          <w:effect w:val="none"/>
        </w:rPr>
        <w:t>2027</w:t>
      </w:r>
      <w:r>
        <w:rPr>
          <w:rFonts w:ascii="Times New Roman;serif" w:hAnsi="Times New Roman;serif"/>
          <w:b w:val="false"/>
          <w:i w:val="false"/>
          <w:caps w:val="false"/>
          <w:smallCaps w:val="false"/>
          <w:sz w:val="20"/>
        </w:rPr>
        <w:t xml:space="preserve">. Borrowings under this facility will bear interest at the borrower's option at a rate equal to (a) Term SOFR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defined in the agreement) plus 1.25% or (b) the Base Rate (determined by reference to the greatest of (i) the Federal Funds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 Rate, at that time, plus 0.50%, (ii) the Prime Rate, at that time, and (iii) Term SOFR (as defined in the agreement)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such time plus 1.00%).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no borrowings outstanding under the committed credit facility.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Cash Flow Hedges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the following outstanding interest rate swap derivatives that qualify as hedging instruments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within designated cash flow hedges of variable interest rate risk (in millions):</w:t>
      </w:r>
    </w:p>
    <w:tbl>
      <w:tblPr>
        <w:tblW w:w="4541" w:type="dxa"/>
        <w:jc w:val="left"/>
        <w:tblInd w:w="0" w:type="dxa"/>
        <w:tblLayout w:type="fixed"/>
        <w:tblCellMar>
          <w:top w:w="28" w:type="dxa"/>
          <w:left w:w="28" w:type="dxa"/>
          <w:bottom w:w="28" w:type="dxa"/>
          <w:right w:w="28" w:type="dxa"/>
        </w:tblCellMar>
      </w:tblPr>
      <w:tblGrid>
        <w:gridCol w:w="1516"/>
        <w:gridCol w:w="109"/>
        <w:gridCol w:w="1561"/>
        <w:gridCol w:w="109"/>
        <w:gridCol w:w="1246"/>
      </w:tblGrid>
      <w:tr>
        <w:trPr/>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Notional Amount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Weighted Average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Fixed Rate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Maturity Date</w:t>
            </w:r>
          </w:p>
        </w:tc>
      </w:tr>
      <w:tr>
        <w:trPr/>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1/31/2026</w:t>
            </w:r>
          </w:p>
        </w:tc>
      </w:tr>
      <w:tr>
        <w:trPr/>
        <w:tc>
          <w:tcPr>
            <w:tcW w:w="15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7/31/2026</w:t>
            </w:r>
          </w:p>
        </w:tc>
      </w:tr>
      <w:tr>
        <w:trPr/>
        <w:tc>
          <w:tcPr>
            <w:tcW w:w="15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1/31/2027</w:t>
            </w:r>
          </w:p>
        </w:tc>
      </w:tr>
      <w:tr>
        <w:trPr/>
        <w:tc>
          <w:tcPr>
            <w:tcW w:w="15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7/31/2027</w:t>
            </w:r>
          </w:p>
        </w:tc>
      </w:tr>
      <w:tr>
        <w:trPr/>
        <w:tc>
          <w:tcPr>
            <w:tcW w:w="15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1/31/2028</w:t>
            </w:r>
          </w:p>
        </w:tc>
      </w:tr>
      <w:tr>
        <w:trPr/>
        <w:tc>
          <w:tcPr>
            <w:tcW w:w="15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7/31/2028</w:t>
            </w:r>
          </w:p>
        </w:tc>
      </w:tr>
      <w:tr>
        <w:trPr/>
        <w:tc>
          <w:tcPr>
            <w:tcW w:w="15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1/31/2029</w:t>
            </w:r>
          </w:p>
        </w:tc>
      </w:tr>
      <w:tr>
        <w:trPr/>
        <w:tc>
          <w:tcPr>
            <w:tcW w:w="15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7/31/2029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purpose of these contracts is to reduce the variability of cash flows in interest payments associated with $4.5 billion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unspecified variable rate debt, the sole source of which is due to changes in the SOFR benchmark interest rate. For each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swap contracts, we pay a fixed monthly rate and receive one month SOFR.</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cash flow hedges resulted in a reduction to interest expense, net of </w:t>
      </w:r>
      <w:r>
        <w:rPr>
          <w:rFonts w:ascii="Times New Roman;serif" w:hAnsi="Times New Roman;serif"/>
          <w:b w:val="false"/>
          <w:i w:val="false"/>
          <w:caps w:val="false"/>
          <w:smallCaps w:val="false"/>
          <w:strike w:val="false"/>
          <w:dstrike w:val="false"/>
          <w:sz w:val="20"/>
          <w:u w:val="none"/>
          <w:effect w:val="none"/>
        </w:rPr>
        <w:t>$13.2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$46.3 million</w:t>
      </w:r>
      <w:r>
        <w:rPr>
          <w:caps w:val="false"/>
          <w:smallCaps w:val="false"/>
          <w:sz w:val="24"/>
        </w:rPr>
        <w:t xml:space="preserve"> </w:t>
      </w:r>
      <w:r>
        <w:rPr>
          <w:rFonts w:ascii="Times New Roman;serif" w:hAnsi="Times New Roman;serif"/>
          <w:b w:val="false"/>
          <w:i w:val="false"/>
          <w:caps w:val="false"/>
          <w:smallCaps w:val="false"/>
          <w:sz w:val="20"/>
        </w:rPr>
        <w:t xml:space="preserve">during the years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shd w:fill="FFFFFF" w:val="clear"/>
        </w:rPr>
        <w:t>2024, respectively</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Net Investment Hedges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enter into cross-currency interest rate swaps that are designated as net investment hedges of our investments in foreign-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denominated operations. Such contracts effectively convert the U.S. dollar equivalent notional amounts to obligations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denominated in the respective foreign currency and partially offset the impact of changes in currency rates on such foreign-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denominated net investments. These contracts also create a positive interest differential on the U.S. dollar-denominated portion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swaps, resulting in interest rate savings on the USD notional. Upon maturity of a net investment hedge, if not rolled over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restructured, the final exchange may require a cash settlement based on the differential in prevailing exchange rates versus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initial rate in the hedge. This could result in a significant cash payment depending </w:t>
      </w:r>
      <w:r>
        <w:rPr>
          <w:rFonts w:ascii="Times New Roman;serif" w:hAnsi="Times New Roman;serif"/>
          <w:b w:val="false"/>
          <w:i w:val="false"/>
          <w:caps w:val="false"/>
          <w:smallCaps w:val="false"/>
          <w:strike w:val="false"/>
          <w:dstrike w:val="false"/>
          <w:sz w:val="20"/>
          <w:u w:val="none"/>
          <w:effect w:val="none"/>
        </w:rPr>
        <w:t>on</w:t>
      </w:r>
      <w:r>
        <w:rPr>
          <w:caps w:val="false"/>
          <w:smallCaps w:val="false"/>
          <w:sz w:val="24"/>
        </w:rPr>
        <w:t xml:space="preserve"> </w:t>
      </w:r>
      <w:r>
        <w:rPr>
          <w:rFonts w:ascii="Times New Roman;serif" w:hAnsi="Times New Roman;serif"/>
          <w:b w:val="false"/>
          <w:i w:val="false"/>
          <w:caps w:val="false"/>
          <w:smallCaps w:val="false"/>
          <w:sz w:val="20"/>
        </w:rPr>
        <w:t xml:space="preserve">market conditions at the time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settlement.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At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the following cross-currency interest rate swaps designated as net investment hedges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investments in foreign-denominated operations:</w:t>
      </w:r>
    </w:p>
    <w:tbl>
      <w:tblPr>
        <w:tblW w:w="6421" w:type="dxa"/>
        <w:jc w:val="left"/>
        <w:tblInd w:w="0" w:type="dxa"/>
        <w:tblLayout w:type="fixed"/>
        <w:tblCellMar>
          <w:top w:w="28" w:type="dxa"/>
          <w:left w:w="28" w:type="dxa"/>
          <w:bottom w:w="28" w:type="dxa"/>
          <w:right w:w="28" w:type="dxa"/>
        </w:tblCellMar>
      </w:tblPr>
      <w:tblGrid>
        <w:gridCol w:w="2026"/>
        <w:gridCol w:w="109"/>
        <w:gridCol w:w="1816"/>
        <w:gridCol w:w="109"/>
        <w:gridCol w:w="1006"/>
        <w:gridCol w:w="109"/>
        <w:gridCol w:w="1246"/>
      </w:tblGrid>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U.S. dollar equivalent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notional (in millions)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Fixed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Maturity Date</w:t>
            </w:r>
          </w:p>
        </w:tc>
      </w:tr>
      <w:tr>
        <w:trPr/>
        <w:tc>
          <w:tcPr>
            <w:tcW w:w="2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Euro (EUR)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5/26/2026</w:t>
            </w:r>
          </w:p>
        </w:tc>
      </w:tr>
      <w:tr>
        <w:trPr/>
        <w:tc>
          <w:tcPr>
            <w:tcW w:w="2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Canadian Dollar (CAD)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1/24/2028</w:t>
            </w:r>
          </w:p>
        </w:tc>
      </w:tr>
      <w:tr>
        <w:trPr/>
        <w:tc>
          <w:tcPr>
            <w:tcW w:w="2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British Pound (GBP)</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5/8/2028</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Hedge effectiveness is tested based on changes in the fair value of the cross-currency swaps due to changes in the USD/foreign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currency spot rates. We anticipate perfect effectiveness of the designated hedging relationships and record changes in the fair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 of the cross-currency interest rate swaps associated with changes in the spot rate through accumulated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comprehensive loss. Excluded components associated with the forward differential are recognized directly in earnings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interest expense, net. We recognized a benefit of </w:t>
      </w:r>
      <w:r>
        <w:rPr>
          <w:rFonts w:ascii="Times New Roman;serif" w:hAnsi="Times New Roman;serif"/>
          <w:b w:val="false"/>
          <w:i w:val="false"/>
          <w:caps w:val="false"/>
          <w:smallCaps w:val="false"/>
          <w:strike w:val="false"/>
          <w:dstrike w:val="false"/>
          <w:sz w:val="20"/>
          <w:u w:val="none"/>
          <w:effect w:val="none"/>
        </w:rPr>
        <w:t>$24.2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$13.9 million</w:t>
      </w:r>
      <w:r>
        <w:rPr>
          <w:caps w:val="false"/>
          <w:smallCaps w:val="false"/>
          <w:sz w:val="24"/>
        </w:rPr>
        <w:t xml:space="preserve"> </w:t>
      </w:r>
      <w:r>
        <w:rPr>
          <w:rFonts w:ascii="Times New Roman;serif" w:hAnsi="Times New Roman;serif"/>
          <w:b w:val="false"/>
          <w:i w:val="false"/>
          <w:caps w:val="false"/>
          <w:smallCaps w:val="false"/>
          <w:sz w:val="20"/>
        </w:rPr>
        <w:t xml:space="preserve">in interest expense, net for the years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respectively, related to these excluded components.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Stock Repurchase Program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Given our returns on our capital investments and significant cash provided by operations, management believes it is prudent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reinvest in the business to drive profitable growth and use excess cash flow to return cash to shareholders over time through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stock repurchases. </w:t>
      </w:r>
      <w:r>
        <w:rPr>
          <w:rFonts w:ascii="Times New Roman;serif" w:hAnsi="Times New Roman;serif"/>
          <w:b w:val="false"/>
          <w:i w:val="false"/>
          <w:caps w:val="false"/>
          <w:smallCaps w:val="false"/>
          <w:strike w:val="false"/>
          <w:dstrike w:val="false"/>
          <w:sz w:val="20"/>
          <w:u w:val="none"/>
          <w:effect w:val="none"/>
          <w:shd w:fill="FFFFFF" w:val="clear"/>
        </w:rPr>
        <w:t xml:space="preserve">Our Board of Directors (the "Board") has approved a stock repurchase program (as updated from time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time, the "Program") authorizing us to repurchase our common stock from time to time until December 31, 2026. On December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18, 2025, the Board authorized an increase to the aggregate size of the Program by $1.0 billion to $10.1 billion. Since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beginning of the Program thro</w:t>
      </w:r>
      <w:r>
        <w:rPr>
          <w:rFonts w:ascii="Times New Roman;serif" w:hAnsi="Times New Roman;serif"/>
          <w:b w:val="false"/>
          <w:i w:val="false"/>
          <w:caps w:val="false"/>
          <w:smallCaps w:val="false"/>
          <w:strike w:val="false"/>
          <w:dstrike w:val="false"/>
          <w:sz w:val="20"/>
          <w:u w:val="none"/>
          <w:effect w:val="none"/>
        </w:rPr>
        <w:t>ugh December 31, 2025, we have repurchased 35,659,347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for an aggregate purchase price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$8.6 billion, leaving us up to $1.5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remaining authorization available under the Program for future repurchases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shares of our common stock</w:t>
      </w:r>
      <w:r>
        <w:rPr>
          <w:rFonts w:ascii="Times New Roman;serif" w:hAnsi="Times New Roman;serif"/>
          <w:b w:val="false"/>
          <w:i w:val="false"/>
          <w:caps w:val="false"/>
          <w:smallCaps w:val="false"/>
          <w:sz w:val="20"/>
        </w:rPr>
        <w:t xml:space="preserve">. We repurchased </w:t>
      </w:r>
      <w:r>
        <w:rPr>
          <w:rFonts w:ascii="Times New Roman;serif" w:hAnsi="Times New Roman;serif"/>
          <w:b w:val="false"/>
          <w:i w:val="false"/>
          <w:caps w:val="false"/>
          <w:smallCaps w:val="false"/>
          <w:strike w:val="false"/>
          <w:dstrike w:val="false"/>
          <w:sz w:val="20"/>
          <w:u w:val="none"/>
          <w:effect w:val="none"/>
        </w:rPr>
        <w:t>2,568,667</w:t>
      </w:r>
      <w:r>
        <w:rPr>
          <w:caps w:val="false"/>
          <w:smallCaps w:val="false"/>
          <w:sz w:val="24"/>
        </w:rPr>
        <w:t xml:space="preserve"> </w:t>
      </w:r>
      <w:r>
        <w:rPr>
          <w:rFonts w:ascii="Times New Roman;serif" w:hAnsi="Times New Roman;serif"/>
          <w:b w:val="false"/>
          <w:i w:val="false"/>
          <w:caps w:val="false"/>
          <w:smallCaps w:val="false"/>
          <w:sz w:val="20"/>
        </w:rPr>
        <w:t xml:space="preserve">common shares totaling </w:t>
      </w:r>
      <w:r>
        <w:rPr>
          <w:rFonts w:ascii="Times New Roman;serif" w:hAnsi="Times New Roman;serif"/>
          <w:b w:val="false"/>
          <w:i w:val="false"/>
          <w:caps w:val="false"/>
          <w:smallCaps w:val="false"/>
          <w:strike w:val="false"/>
          <w:dstrike w:val="false"/>
          <w:sz w:val="20"/>
          <w:u w:val="none"/>
          <w:effect w:val="none"/>
        </w:rPr>
        <w:t>$0.8 billion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shd w:fill="FFFFFF" w:val="clear"/>
        </w:rPr>
        <w:t>2025; 4,211,818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common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shares totaling $1.3 billion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2,597,954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common shares totaling $0.7 billion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2023.</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stock repurchases may be made at times and in such amounts as deemed appropriate. The timing and amount of stock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repurchases, if any, will depend on a variety of factors including the stock price, market conditions, corporate and regulatory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requirements, and any additional constraints related to material inside information we may possess. </w:t>
      </w:r>
      <w:r>
        <w:rPr>
          <w:rFonts w:ascii="Times New Roman;serif" w:hAnsi="Times New Roman;serif"/>
          <w:b w:val="false"/>
          <w:i w:val="false"/>
          <w:caps w:val="false"/>
          <w:smallCaps w:val="false"/>
          <w:strike w:val="false"/>
          <w:dstrike w:val="false"/>
          <w:sz w:val="20"/>
          <w:u w:val="none"/>
          <w:effect w:val="none"/>
        </w:rPr>
        <w:t>Any</w:t>
      </w:r>
      <w:r>
        <w:rPr>
          <w:caps w:val="false"/>
          <w:smallCaps w:val="false"/>
          <w:sz w:val="24"/>
        </w:rPr>
        <w:t xml:space="preserve"> </w:t>
      </w:r>
      <w:r>
        <w:rPr>
          <w:rFonts w:ascii="Times New Roman;serif" w:hAnsi="Times New Roman;serif"/>
          <w:b w:val="false"/>
          <w:i w:val="false"/>
          <w:caps w:val="false"/>
          <w:smallCaps w:val="false"/>
          <w:sz w:val="20"/>
        </w:rPr>
        <w:t xml:space="preserve">repurchases have been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are expected to be funded by a combination of available cash flow from the business, working capital and debt.</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Redeemable Noncontrolling Interest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April 2025, we expanded our long-standing strategic partnership agreement with Mastercard to deliver an enhanced suite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corporate cross-border payment solutions. The transaction also included an investment in our cross-border business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Mastercard acquiring a </w:t>
      </w:r>
      <w:r>
        <w:rPr>
          <w:rFonts w:ascii="Times New Roman;serif" w:hAnsi="Times New Roman;serif"/>
          <w:b w:val="false"/>
          <w:i w:val="false"/>
          <w:caps w:val="false"/>
          <w:smallCaps w:val="false"/>
          <w:strike w:val="false"/>
          <w:dstrike w:val="false"/>
          <w:sz w:val="20"/>
          <w:u w:val="none"/>
          <w:effect w:val="none"/>
        </w:rPr>
        <w:t>2.3%</w:t>
      </w:r>
      <w:r>
        <w:rPr>
          <w:caps w:val="false"/>
          <w:smallCaps w:val="false"/>
          <w:sz w:val="24"/>
        </w:rPr>
        <w:t xml:space="preserve"> </w:t>
      </w:r>
      <w:r>
        <w:rPr>
          <w:rFonts w:ascii="Times New Roman;serif" w:hAnsi="Times New Roman;serif"/>
          <w:b w:val="false"/>
          <w:i w:val="false"/>
          <w:caps w:val="false"/>
          <w:smallCaps w:val="false"/>
          <w:sz w:val="20"/>
        </w:rPr>
        <w:t xml:space="preserve">noncontrolling interest in the cross-border business for </w:t>
      </w:r>
      <w:r>
        <w:rPr>
          <w:rFonts w:ascii="Times New Roman;serif" w:hAnsi="Times New Roman;serif"/>
          <w:b w:val="false"/>
          <w:i w:val="false"/>
          <w:caps w:val="false"/>
          <w:smallCaps w:val="false"/>
          <w:strike w:val="false"/>
          <w:dstrike w:val="false"/>
          <w:sz w:val="20"/>
          <w:u w:val="none"/>
          <w:effect w:val="none"/>
        </w:rPr>
        <w:t>$300 million</w:t>
      </w:r>
      <w:r>
        <w:rPr>
          <w:rFonts w:ascii="Times New Roman;serif" w:hAnsi="Times New Roman;serif"/>
          <w:b w:val="false"/>
          <w:i w:val="false"/>
          <w:caps w:val="false"/>
          <w:smallCaps w:val="false"/>
          <w:sz w:val="20"/>
        </w:rPr>
        <w:t xml:space="preserve">. The investment into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cross-border business closed on December 1, 2025, and the cash associated with the investment was presented as cash flows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provided by financing activities in our Consolidated Statements of Cash Flows.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Mastercard will have the right to sell, or put, its interest back to us for six months starting on August 1, 2027. If Mastercard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does not exercise the put right, we will have a reciprocal call right to repurchase the interest for six months starting on May 1,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2028. In each case, the redemption price is the amount of invested capital plus </w:t>
      </w:r>
      <w:r>
        <w:rPr>
          <w:rFonts w:ascii="Times New Roman;serif" w:hAnsi="Times New Roman;serif"/>
          <w:b w:val="false"/>
          <w:i w:val="false"/>
          <w:caps w:val="false"/>
          <w:smallCaps w:val="false"/>
          <w:strike w:val="false"/>
          <w:dstrike w:val="false"/>
          <w:sz w:val="20"/>
          <w:u w:val="none"/>
          <w:effect w:val="none"/>
        </w:rPr>
        <w:t>.08</w:t>
      </w:r>
      <w:r>
        <w:rPr>
          <w:caps w:val="false"/>
          <w:smallCaps w:val="false"/>
          <w:sz w:val="24"/>
        </w:rPr>
        <w:t xml:space="preserve"> </w:t>
      </w:r>
      <w:r>
        <w:rPr>
          <w:rFonts w:ascii="Times New Roman;serif" w:hAnsi="Times New Roman;serif"/>
          <w:b w:val="false"/>
          <w:i w:val="false"/>
          <w:caps w:val="false"/>
          <w:smallCaps w:val="false"/>
          <w:sz w:val="20"/>
        </w:rPr>
        <w:t xml:space="preserve">per annum, compounded annually.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Minority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May 2025, the Company and TPG formed a limited partnership that, through its wholly owned subsidiaries, entered into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definitive agreement to acquire AvidXchange. AvidXchange is a provider of AP automation solutions to lower middle market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companies with a focus on several verticals including real estate, homeowners associations, financial institutions and media.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take-private transaction was completed in October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conjunction with the closing of the AvidXchange transaction in October 2025, we invested approximately </w:t>
      </w:r>
      <w:r>
        <w:rPr>
          <w:rFonts w:ascii="Times New Roman;serif" w:hAnsi="Times New Roman;serif"/>
          <w:b w:val="false"/>
          <w:i w:val="false"/>
          <w:caps w:val="false"/>
          <w:smallCaps w:val="false"/>
          <w:strike w:val="false"/>
          <w:dstrike w:val="false"/>
          <w:sz w:val="20"/>
          <w:u w:val="none"/>
          <w:effect w:val="none"/>
        </w:rPr>
        <w:t>$578 million</w:t>
      </w:r>
      <w:r>
        <w:rPr>
          <w:caps w:val="false"/>
          <w:smallCaps w:val="false"/>
          <w:sz w:val="24"/>
        </w:rPr>
        <w:t xml:space="preserve"> </w:t>
      </w:r>
      <w:r>
        <w:rPr>
          <w:rFonts w:ascii="Times New Roman;serif" w:hAnsi="Times New Roman;serif"/>
          <w:b w:val="false"/>
          <w:i w:val="false"/>
          <w:caps w:val="false"/>
          <w:smallCaps w:val="false"/>
          <w:sz w:val="20"/>
        </w:rPr>
        <w:t xml:space="preserve">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approximately </w:t>
      </w:r>
      <w:r>
        <w:rPr>
          <w:rFonts w:ascii="Times New Roman;serif" w:hAnsi="Times New Roman;serif"/>
          <w:b w:val="false"/>
          <w:i w:val="false"/>
          <w:caps w:val="false"/>
          <w:smallCaps w:val="false"/>
          <w:strike w:val="false"/>
          <w:dstrike w:val="false"/>
          <w:sz w:val="20"/>
          <w:u w:val="none"/>
          <w:effect w:val="none"/>
        </w:rPr>
        <w:t>35%</w:t>
      </w:r>
      <w:r>
        <w:rPr>
          <w:caps w:val="false"/>
          <w:smallCaps w:val="false"/>
          <w:sz w:val="24"/>
        </w:rPr>
        <w:t xml:space="preserve"> </w:t>
      </w:r>
      <w:r>
        <w:rPr>
          <w:rFonts w:ascii="Times New Roman;serif" w:hAnsi="Times New Roman;serif"/>
          <w:b w:val="false"/>
          <w:i w:val="false"/>
          <w:caps w:val="false"/>
          <w:smallCaps w:val="false"/>
          <w:sz w:val="20"/>
        </w:rPr>
        <w:t xml:space="preserve">of the equity in the limited partnership with TPG for an enterprise valuation of approximately </w:t>
      </w:r>
      <w:r>
        <w:rPr>
          <w:rFonts w:ascii="Times New Roman;serif" w:hAnsi="Times New Roman;serif"/>
          <w:b w:val="false"/>
          <w:i w:val="false"/>
          <w:caps w:val="false"/>
          <w:smallCaps w:val="false"/>
          <w:strike w:val="false"/>
          <w:dstrike w:val="false"/>
          <w:sz w:val="20"/>
          <w:u w:val="none"/>
          <w:effect w:val="none"/>
        </w:rPr>
        <w:t>$1.9 billion</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limited partnership utilized approximately </w:t>
      </w:r>
      <w:r>
        <w:rPr>
          <w:rFonts w:ascii="Times New Roman;serif" w:hAnsi="Times New Roman;serif"/>
          <w:b w:val="false"/>
          <w:i w:val="false"/>
          <w:caps w:val="false"/>
          <w:smallCaps w:val="false"/>
          <w:strike w:val="false"/>
          <w:dstrike w:val="false"/>
          <w:sz w:val="20"/>
          <w:u w:val="none"/>
          <w:effect w:val="none"/>
        </w:rPr>
        <w:t>$450 million</w:t>
      </w:r>
      <w:r>
        <w:rPr>
          <w:caps w:val="false"/>
          <w:smallCaps w:val="false"/>
          <w:sz w:val="24"/>
        </w:rPr>
        <w:t xml:space="preserve"> </w:t>
      </w:r>
      <w:r>
        <w:rPr>
          <w:rFonts w:ascii="Times New Roman;serif" w:hAnsi="Times New Roman;serif"/>
          <w:b w:val="false"/>
          <w:i w:val="false"/>
          <w:caps w:val="false"/>
          <w:smallCaps w:val="false"/>
          <w:sz w:val="20"/>
        </w:rPr>
        <w:t xml:space="preserve">of debt financing to consummate the transaction. TPG holds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approximately </w:t>
      </w:r>
      <w:r>
        <w:rPr>
          <w:rFonts w:ascii="Times New Roman;serif" w:hAnsi="Times New Roman;serif"/>
          <w:b w:val="false"/>
          <w:i w:val="false"/>
          <w:caps w:val="false"/>
          <w:smallCaps w:val="false"/>
          <w:strike w:val="false"/>
          <w:dstrike w:val="false"/>
          <w:sz w:val="20"/>
          <w:u w:val="none"/>
          <w:effect w:val="none"/>
        </w:rPr>
        <w:t>56%</w:t>
      </w:r>
      <w:r>
        <w:rPr>
          <w:caps w:val="false"/>
          <w:smallCaps w:val="false"/>
          <w:sz w:val="24"/>
        </w:rPr>
        <w:t xml:space="preserve"> </w:t>
      </w:r>
      <w:r>
        <w:rPr>
          <w:rFonts w:ascii="Times New Roman;serif" w:hAnsi="Times New Roman;serif"/>
          <w:b w:val="false"/>
          <w:i w:val="false"/>
          <w:caps w:val="false"/>
          <w:smallCaps w:val="false"/>
          <w:sz w:val="20"/>
        </w:rPr>
        <w:t xml:space="preserve">of the equity in the limited partnership, and the management team of AvidXchange holds the remainder.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addition to other terms, the limited partnership agreement provides that, </w:t>
      </w:r>
      <w:r>
        <w:rPr>
          <w:rFonts w:ascii="Times New Roman;serif" w:hAnsi="Times New Roman;serif"/>
          <w:b w:val="false"/>
          <w:i w:val="false"/>
          <w:caps w:val="false"/>
          <w:smallCaps w:val="false"/>
          <w:strike w:val="false"/>
          <w:dstrike w:val="false"/>
          <w:sz w:val="20"/>
          <w:u w:val="none"/>
          <w:effect w:val="none"/>
        </w:rPr>
        <w:t>33 months</w:t>
      </w:r>
      <w:r>
        <w:rPr>
          <w:caps w:val="false"/>
          <w:smallCaps w:val="false"/>
          <w:sz w:val="24"/>
        </w:rPr>
        <w:t xml:space="preserve"> </w:t>
      </w:r>
      <w:r>
        <w:rPr>
          <w:rFonts w:ascii="Times New Roman;serif" w:hAnsi="Times New Roman;serif"/>
          <w:b w:val="false"/>
          <w:i w:val="false"/>
          <w:caps w:val="false"/>
          <w:smallCaps w:val="false"/>
          <w:sz w:val="20"/>
        </w:rPr>
        <w:t xml:space="preserve">after the closing of the AvidXchange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acquisition, we will have the right to acquire, or call, all the remaining outstanding equity in the limited partnership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approximately </w:t>
      </w:r>
      <w:r>
        <w:rPr>
          <w:rFonts w:ascii="Times New Roman;serif" w:hAnsi="Times New Roman;serif"/>
          <w:b w:val="false"/>
          <w:i w:val="false"/>
          <w:caps w:val="false"/>
          <w:smallCaps w:val="false"/>
          <w:strike w:val="false"/>
          <w:dstrike w:val="false"/>
          <w:sz w:val="20"/>
          <w:u w:val="none"/>
          <w:effect w:val="none"/>
        </w:rPr>
        <w:t>2.5</w:t>
      </w:r>
      <w:r>
        <w:rPr>
          <w:caps w:val="false"/>
          <w:smallCaps w:val="false"/>
          <w:sz w:val="24"/>
        </w:rPr>
        <w:t xml:space="preserve"> </w:t>
      </w:r>
      <w:r>
        <w:rPr>
          <w:rFonts w:ascii="Times New Roman;serif" w:hAnsi="Times New Roman;serif"/>
          <w:b w:val="false"/>
          <w:i w:val="false"/>
          <w:caps w:val="false"/>
          <w:smallCaps w:val="false"/>
          <w:sz w:val="20"/>
        </w:rPr>
        <w:t xml:space="preserve">times invested capital which would result in the Company's consolidation of the limited partnership. If we do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exercise such right to acquire all of the remaining outstanding equity of the limited partnership and TPG decides to sell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limited partnership to a third party within a period of </w:t>
      </w:r>
      <w:r>
        <w:rPr>
          <w:rFonts w:ascii="Times New Roman;serif" w:hAnsi="Times New Roman;serif"/>
          <w:b w:val="false"/>
          <w:i w:val="false"/>
          <w:caps w:val="false"/>
          <w:smallCaps w:val="false"/>
          <w:strike w:val="false"/>
          <w:dstrike w:val="false"/>
          <w:sz w:val="20"/>
          <w:u w:val="none"/>
          <w:effect w:val="none"/>
        </w:rPr>
        <w:t>15 months</w:t>
      </w:r>
      <w:r>
        <w:rPr>
          <w:caps w:val="false"/>
          <w:smallCaps w:val="false"/>
          <w:sz w:val="24"/>
        </w:rPr>
        <w:t xml:space="preserve"> </w:t>
      </w:r>
      <w:r>
        <w:rPr>
          <w:rFonts w:ascii="Times New Roman;serif" w:hAnsi="Times New Roman;serif"/>
          <w:b w:val="false"/>
          <w:i w:val="false"/>
          <w:caps w:val="false"/>
          <w:smallCaps w:val="false"/>
          <w:sz w:val="20"/>
        </w:rPr>
        <w:t xml:space="preserve">thereafter, we are required to guarantee a return to our partners,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subject to certain limitations, of approximately </w:t>
      </w:r>
      <w:r>
        <w:rPr>
          <w:rFonts w:ascii="Times New Roman;serif" w:hAnsi="Times New Roman;serif"/>
          <w:b w:val="false"/>
          <w:i w:val="false"/>
          <w:caps w:val="false"/>
          <w:smallCaps w:val="false"/>
          <w:strike w:val="false"/>
          <w:dstrike w:val="false"/>
          <w:sz w:val="20"/>
          <w:u w:val="none"/>
          <w:effect w:val="none"/>
        </w:rPr>
        <w:t>1.6</w:t>
      </w:r>
      <w:r>
        <w:rPr>
          <w:caps w:val="false"/>
          <w:smallCaps w:val="false"/>
          <w:sz w:val="24"/>
        </w:rPr>
        <w:t xml:space="preserve"> </w:t>
      </w:r>
      <w:r>
        <w:rPr>
          <w:rFonts w:ascii="Times New Roman;serif" w:hAnsi="Times New Roman;serif"/>
          <w:b w:val="false"/>
          <w:i w:val="false"/>
          <w:caps w:val="false"/>
          <w:smallCaps w:val="false"/>
          <w:sz w:val="20"/>
        </w:rPr>
        <w:t xml:space="preserve">times invested capital (the minimum return). If the partnership sells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AvidXchange in 2029 for an approximately similar valuation as today’s acquisition price, there will be no requirement to pay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minimum return.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PaybyPhone Disposition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February 2026, we signed a definitive agreement to sell PayByPhone, a mobile parking payments business within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Vehicle Payments segment to a third party for </w:t>
      </w:r>
      <w:r>
        <w:rPr>
          <w:rFonts w:ascii="Times New Roman;serif" w:hAnsi="Times New Roman;serif"/>
          <w:b w:val="false"/>
          <w:i w:val="false"/>
          <w:caps w:val="false"/>
          <w:smallCaps w:val="false"/>
          <w:strike w:val="false"/>
          <w:dstrike w:val="false"/>
          <w:sz w:val="20"/>
          <w:u w:val="none"/>
          <w:effect w:val="none"/>
        </w:rPr>
        <w:t>$450 million</w:t>
      </w:r>
      <w:r>
        <w:rPr>
          <w:rFonts w:ascii="Times New Roman;serif" w:hAnsi="Times New Roman;serif"/>
          <w:b w:val="false"/>
          <w:i w:val="false"/>
          <w:caps w:val="false"/>
          <w:smallCaps w:val="false"/>
          <w:sz w:val="20"/>
        </w:rPr>
        <w:t xml:space="preserve">. The transaction is expected to close during the first half </w:t>
      </w:r>
      <w:r>
        <w:rPr>
          <w:rFonts w:ascii="Times New Roman;serif" w:hAnsi="Times New Roman;serif"/>
          <w:b w:val="false"/>
          <w:i w:val="false"/>
          <w:caps w:val="false"/>
          <w:smallCaps w:val="false"/>
          <w:strike w:val="false"/>
          <w:dstrike w:val="false"/>
          <w:sz w:val="20"/>
          <w:u w:val="none"/>
          <w:effect w:val="none"/>
        </w:rPr>
        <w:t>of</w:t>
      </w:r>
      <w:r>
        <w:rPr>
          <w:caps w:val="false"/>
          <w:smallCaps w:val="false"/>
          <w:sz w:val="24"/>
        </w:rPr>
        <w:t xml:space="preserve"> </w:t>
      </w:r>
      <w:r>
        <w:rPr>
          <w:rFonts w:ascii="Times New Roman;serif" w:hAnsi="Times New Roman;serif"/>
          <w:b w:val="false"/>
          <w:i w:val="false"/>
          <w:caps w:val="false"/>
          <w:smallCaps w:val="false"/>
          <w:sz w:val="20"/>
        </w:rPr>
        <w:t xml:space="preserve">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in the process of estimating the impact this transaction will have on our financial results, but expect to recognize a pre-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gain on disposal.</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Material Cash Requirements and Uses of Cash</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Material cash requirements primarily consist of debt obligations and related interest payments, along with lease obligations.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 11 and Note 14 to the Consolidated Financial Statements within this Form 10-K for further information.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Deferred income tax liabilities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were approximately $614.3 million.</w:t>
      </w:r>
      <w:r>
        <w:rPr>
          <w:caps w:val="false"/>
          <w:smallCaps w:val="false"/>
          <w:sz w:val="24"/>
        </w:rPr>
        <w:t xml:space="preserve"> </w:t>
      </w:r>
      <w:r>
        <w:rPr>
          <w:rFonts w:ascii="Times New Roman;serif" w:hAnsi="Times New Roman;serif"/>
          <w:b w:val="false"/>
          <w:i w:val="false"/>
          <w:caps w:val="false"/>
          <w:smallCaps w:val="false"/>
          <w:sz w:val="20"/>
        </w:rPr>
        <w:t xml:space="preserve">See Note 13 to the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Financial Statements within this Form 10-K for further information. Deferred income tax </w:t>
      </w:r>
      <w:r>
        <w:rPr>
          <w:rFonts w:ascii="Times New Roman;serif" w:hAnsi="Times New Roman;serif"/>
          <w:b w:val="false"/>
          <w:i w:val="false"/>
          <w:caps w:val="false"/>
          <w:smallCaps w:val="false"/>
          <w:strike w:val="false"/>
          <w:dstrike w:val="false"/>
          <w:sz w:val="20"/>
          <w:u w:val="none"/>
          <w:effect w:val="none"/>
        </w:rPr>
        <w:t>liabilities</w:t>
      </w:r>
      <w:r>
        <w:rPr>
          <w:caps w:val="false"/>
          <w:smallCaps w:val="false"/>
          <w:sz w:val="24"/>
        </w:rPr>
        <w:t xml:space="preserve"> </w:t>
      </w:r>
      <w:r>
        <w:rPr>
          <w:rFonts w:ascii="Times New Roman;serif" w:hAnsi="Times New Roman;serif"/>
          <w:b w:val="false"/>
          <w:i w:val="false"/>
          <w:caps w:val="false"/>
          <w:smallCaps w:val="false"/>
          <w:sz w:val="20"/>
        </w:rPr>
        <w:t xml:space="preserve">are calculated based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temporary differences between the tax bases of assets and liabilities and their respective book bases, which will result in taxable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amounts in future years when the liabilities are settled at their reported financial statement amounts. The results of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calculations do not have a direct connection with the amount of cash taxes to be paid in any future periods. As a result, </w:t>
      </w:r>
    </w:p>
    <w:p>
      <w:pPr>
        <w:pStyle w:val="TextBody"/>
        <w:bidi w:val="0"/>
        <w:spacing w:lineRule="atLeast" w:line="200" w:before="0" w:after="0"/>
        <w:jc w:val="left"/>
        <w:rPr/>
      </w:pPr>
      <w:r>
        <w:rPr>
          <w:rFonts w:ascii="Times New Roman;serif" w:hAnsi="Times New Roman;serif"/>
          <w:b w:val="false"/>
          <w:i w:val="false"/>
          <w:caps w:val="false"/>
          <w:smallCaps w:val="false"/>
          <w:sz w:val="20"/>
        </w:rPr>
        <w:t>scheduling deferred income tax liabilities as payments du</w:t>
      </w:r>
      <w:r>
        <w:rPr>
          <w:rFonts w:ascii="Times New Roman;serif" w:hAnsi="Times New Roman;serif"/>
          <w:b w:val="false"/>
          <w:i w:val="false"/>
          <w:caps w:val="false"/>
          <w:smallCaps w:val="false"/>
          <w:strike w:val="false"/>
          <w:dstrike w:val="false"/>
          <w:sz w:val="20"/>
          <w:u w:val="none"/>
          <w:effect w:val="none"/>
          <w:shd w:fill="FFFFFF" w:val="clear"/>
        </w:rPr>
        <w:t xml:space="preserve">e by period could be misleading, as this scheduling would not relate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liquidity needs. At December 31, 2025, we had approximately $134.9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of unreco</w:t>
      </w:r>
      <w:r>
        <w:rPr>
          <w:rFonts w:ascii="Times New Roman;serif" w:hAnsi="Times New Roman;serif"/>
          <w:b w:val="false"/>
          <w:i w:val="false"/>
          <w:caps w:val="false"/>
          <w:smallCaps w:val="false"/>
          <w:strike w:val="false"/>
          <w:dstrike w:val="false"/>
          <w:sz w:val="20"/>
          <w:u w:val="none"/>
          <w:effect w:val="none"/>
        </w:rPr>
        <w:t xml:space="preserve">gnized income tax benefits related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uncertain tax positions</w:t>
      </w:r>
      <w:r>
        <w:rPr>
          <w:rFonts w:ascii="Times New Roman;serif" w:hAnsi="Times New Roman;serif"/>
          <w:b w:val="false"/>
          <w:i w:val="false"/>
          <w:caps w:val="false"/>
          <w:smallCaps w:val="false"/>
          <w:sz w:val="20"/>
        </w:rPr>
        <w:t xml:space="preserve">. We cannot reasonably estimate when all of these unrecognized income tax benefits may be settled.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 not expect reductions to unrecognized income tax benefits within the next 12 months as a result of projected resolutions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tax uncertainties.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Accounting Estimates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applying the accounting policies that we use to prepare our consolidated financial statements, we necessarily make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accounting estimates that affect our reported amounts of assets, liabilities, revenue and expenses. Some of these estimates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 us to make assumptions about matters that are highly uncertain at the time we make the accounting estimates. We base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assumptions and the resulting estimates on historical information and other factors that we believe to be reasonable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circumstances, and we evaluate these assumptions and estimates on an ongoing basis. In many instances, however,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reasonably could have used different accounting estimates and, in other instances, changes in our accounting estimates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occur from period to period, with the result in each case being a material change in the financial statement presentation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condition or results of operations. We refer to estimates of this type as critical accounting estimates. The critical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accounting estimates that we discuss below are those that we believe are most important to an understanding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 discussion of our Summary of Significant Accounting Policies, see Note 2 to our Consolidated Financial Statements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within this Form 10-K for further information.</w:t>
      </w:r>
    </w:p>
    <w:p>
      <w:pPr>
        <w:pStyle w:val="TextBody"/>
        <w:bidi w:val="0"/>
        <w:spacing w:lineRule="atLeast" w:line="200" w:before="0" w:after="0"/>
        <w:jc w:val="left"/>
        <w:rPr/>
      </w:pPr>
      <w:r>
        <w:rPr>
          <w:rFonts w:ascii="Times New Roman;serif" w:hAnsi="Times New Roman;serif"/>
          <w:b/>
          <w:i/>
          <w:sz w:val="20"/>
        </w:rPr>
        <w:t xml:space="preserve">Financial Instruments-Credit Losses. </w:t>
      </w:r>
      <w:r>
        <w:rPr>
          <w:rFonts w:ascii="Times New Roman;serif" w:hAnsi="Times New Roman;serif"/>
          <w:b w:val="false"/>
          <w:i w:val="false"/>
          <w:caps w:val="false"/>
          <w:smallCaps w:val="false"/>
          <w:sz w:val="20"/>
        </w:rPr>
        <w:t xml:space="preserve">Our current expected credit loss methodology for measurement of credit losses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assets measured at amortized cost basis, replaces the previous incurred loss impairment methodology. Our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subject to credit losses are primarily trade receivables. We utilize a combination of aging and loss-rate methods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 an estimate of current expected credit losses, depending on the nature and risk profile of the underlying asset pool,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on product, size of customer and historical losses. Expected credit losses are estimated based upon an assessment of risk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characteristics, historical payment experience and the age of outstanding receivables, adjusted for forward-looking economic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conditions. The allowances for remaining financial assets measured at amortized cost basis are evaluated based on underlying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condition, credit history and current and forward-looking economic conditions. The estimation process for expected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 losses includes consideration of qualitative and quantitative risk factors associated with the age of asset balances,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expected timing of payment, contract terms and conditions, changes in specific customer risk profiles or mix of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geographic risk, economic trends and relevant environmental factors. See Note 2 to our Consolidated Financial Statements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within this Form 10-K for further information.</w:t>
      </w:r>
    </w:p>
    <w:p>
      <w:pPr>
        <w:pStyle w:val="TextBody"/>
        <w:bidi w:val="0"/>
        <w:spacing w:lineRule="atLeast" w:line="200" w:before="0" w:after="0"/>
        <w:jc w:val="left"/>
        <w:rPr/>
      </w:pPr>
      <w:r>
        <w:rPr>
          <w:rFonts w:ascii="Times New Roman;serif" w:hAnsi="Times New Roman;serif"/>
          <w:b/>
          <w:i/>
          <w:sz w:val="20"/>
        </w:rPr>
        <w:t xml:space="preserve">Impairment of goodwill and indefinite-lived assets. </w:t>
      </w:r>
      <w:r>
        <w:rPr>
          <w:rFonts w:ascii="Times New Roman;serif" w:hAnsi="Times New Roman;serif"/>
          <w:b w:val="false"/>
          <w:i w:val="false"/>
          <w:caps w:val="false"/>
          <w:smallCaps w:val="false"/>
          <w:sz w:val="20"/>
        </w:rPr>
        <w:t xml:space="preserve">We complete an impairment test of goodwill at least annually or more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frequently if facts or circumstances indicate that goodwill might be impaired. Goodwill is tested for impairment at the reporting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unit level. When we believe it is appropriate, we may elect to first perform the optional qualitative assessment for certain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units. Factors considered in the qualitative assessment include general macroeconomic conditions, industry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 conditions, cost factors, overall financial performance of our reporting units, events or changes affecting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composition or carrying amount of the net assets of our reporting units, sustained decrease in our share price and other relevant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entity-specific events. If we elect to bypass the optional qualitative assessment or if we determine, on the basis of qualitative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factors, that the fair value of the reporting unit is more likely than not less than the carrying amount, a quantitative test would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required. We then perform the quantitative goodwill impairment test for the applicable reporting units by comparing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unit’s carrying amount, including goodwill, to its fair value, which is measured based upon, among other factors,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discounted cash flow analysis and, to a lesser extent, market multiples for comparable companies. If the carrying amount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reporting unit is greater than its fair value, a goodwill impairment loss is recognized.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evaluate indefinite-lived intangible assets (primarily trademarks and trade names) for impairment annually. We test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impairment at an interim date if events and circumstances indicate that it is more likely than not that the fair value of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indefinite-lived intangible asset is below its carrying amount. An impairment loss is recorded if the carrying amount of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indefinite-lived intangible asset exceeds the estimated fair value on the measurement date.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Globally we face uncertainties and risks related to economic factors in the countries we have operations. As a result, we make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assumptions that involve significant judgment about future uncertainties when performing impairment tests of goodwill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indefinite-lived intangible assets. Both of these impairment tests involve the use of critical accounting estimates. Depending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test/model, factors and estimates used to estimate the fair value include: i) earnings before interest, taxes, depreciation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(EBITDA) margin and growth, and ii) the discount rates for the goodwill impairment test; and i) the discount rates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ii) royalty rates used for indefinite-lived intangible assets test. The variability of these estimates and assumptions depends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 number of conditions which could change our conclusion at each reporting period. As these factors are often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interdependent and may not change in isolation, we do not believe it is meaningful to estimate and disclose the impact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changing a single factor. If our assumptions and estimates change between a current period impairment test and a prior period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impairment test, impairment losses could result. If we were to use different assumptions or consider different trends in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periods, impairment losses may also result. The total future impairment losses, if required, may be material.</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October 1,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as a result of our annual evaluation, we determined the goodwill within the Payroll Card reporting unit,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 component of our “Other” category, was partially impaired. Accordingly, we recognized a goodwill impairment loss of </w:t>
      </w:r>
      <w:r>
        <w:rPr>
          <w:rFonts w:ascii="Times New Roman;serif" w:hAnsi="Times New Roman;serif"/>
          <w:b w:val="false"/>
          <w:i w:val="false"/>
          <w:caps w:val="false"/>
          <w:smallCaps w:val="false"/>
          <w:strike w:val="false"/>
          <w:dstrike w:val="false"/>
          <w:sz w:val="20"/>
          <w:u w:val="none"/>
          <w:effect w:val="none"/>
        </w:rPr>
        <w:t xml:space="preserve">$90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 xml:space="preserve">within goodwill impairment in the Consolidated Statements of Income during the year ended December 31, 2024.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Factors that led to this conclusion included i) decreased use of the card and its core component for our target customers, ii)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impact of historic and sustained increases in inflation and interest rates on the reporting unit’s weighted average costs of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was beyond our control, and iii) inability to achieve forecasted operating results at historical underwritten values, all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resulted in revised mid to long-term projections during the fourth quarter of 2024, including reevaluation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Company's anticipated capital investment in the reporting unit and which negatively impacted the reporting unit's fair value.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engaged a third-party valuation firm to assist us with the performance of our goodwill quantitative impairment test.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estimation of the net present value of future cash flows was based upon varying economic assumptions, including assumptions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as revenue, net growth rates, operating costs, EBITDA margins, capital expenditures, tax rates, long-term growth rates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discount rates. As it relates to the Payroll Card reporting unit, of these assumptions, EBITDA margins and discount rates were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most sensitive, subjective and/or complex. These assumptions are based on risk-adjusted discount factors accommodating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viewpoints that consider the full range of variability contemplated in the current and potential future economic situations. There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is approximately </w:t>
      </w:r>
      <w:r>
        <w:rPr>
          <w:rFonts w:ascii="Times New Roman;serif" w:hAnsi="Times New Roman;serif"/>
          <w:b w:val="false"/>
          <w:i w:val="false"/>
          <w:caps w:val="false"/>
          <w:smallCaps w:val="false"/>
          <w:strike w:val="false"/>
          <w:dstrike w:val="false"/>
          <w:sz w:val="20"/>
          <w:u w:val="none"/>
          <w:effect w:val="none"/>
        </w:rPr>
        <w:t>$57 million</w:t>
      </w:r>
      <w:r>
        <w:rPr>
          <w:caps w:val="false"/>
          <w:smallCaps w:val="false"/>
          <w:sz w:val="24"/>
        </w:rPr>
        <w:t xml:space="preserve"> </w:t>
      </w:r>
      <w:r>
        <w:rPr>
          <w:rFonts w:ascii="Times New Roman;serif" w:hAnsi="Times New Roman;serif"/>
          <w:b w:val="false"/>
          <w:i w:val="false"/>
          <w:caps w:val="false"/>
          <w:smallCaps w:val="false"/>
          <w:sz w:val="20"/>
        </w:rPr>
        <w:t xml:space="preserve">of goodwill remaining related to the Payroll Card reporting unit following this impairment.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results of the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impairment test for all of our reporting units indicated that the estimated fair value of each of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reporting units was in excess of the corresponding carrying amount as of October 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no impairment of goodwill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existed. No events or changes in circumstances have occurred since the date of this most recent annual impairment test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would more likely than not reduce the fair value of a reporting unit below its carrying amount.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 2 and Note 8 to our Consolidated Financial Statements within this Form 10-K for further information.</w:t>
      </w:r>
    </w:p>
    <w:p>
      <w:pPr>
        <w:pStyle w:val="TextBody"/>
        <w:bidi w:val="0"/>
        <w:spacing w:lineRule="atLeast" w:line="200" w:before="0" w:after="0"/>
        <w:jc w:val="left"/>
        <w:rPr/>
      </w:pPr>
      <w:r>
        <w:rPr>
          <w:rFonts w:ascii="Times New Roman;serif" w:hAnsi="Times New Roman;serif"/>
          <w:b/>
          <w:i/>
          <w:sz w:val="20"/>
        </w:rPr>
        <w:t xml:space="preserve">Income taxes. </w:t>
      </w:r>
      <w:r>
        <w:rPr>
          <w:rFonts w:ascii="Times New Roman;serif" w:hAnsi="Times New Roman;serif"/>
          <w:b w:val="false"/>
          <w:i w:val="false"/>
          <w:caps w:val="false"/>
          <w:smallCaps w:val="false"/>
          <w:sz w:val="20"/>
        </w:rPr>
        <w:t xml:space="preserve">Our annual effective tax rate is based on our income and the tax laws in the various jurisdictions in which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operate. Significant judgment is required in </w:t>
      </w:r>
      <w:r>
        <w:rPr>
          <w:rFonts w:ascii="Times New Roman;serif" w:hAnsi="Times New Roman;serif"/>
          <w:b w:val="false"/>
          <w:i w:val="false"/>
          <w:caps w:val="false"/>
          <w:smallCaps w:val="false"/>
          <w:strike w:val="false"/>
          <w:dstrike w:val="false"/>
          <w:sz w:val="20"/>
          <w:u w:val="none"/>
          <w:effect w:val="none"/>
        </w:rPr>
        <w:t>estimating</w:t>
      </w:r>
      <w:r>
        <w:rPr>
          <w:caps w:val="false"/>
          <w:smallCaps w:val="false"/>
          <w:sz w:val="24"/>
        </w:rPr>
        <w:t xml:space="preserve"> </w:t>
      </w:r>
      <w:r>
        <w:rPr>
          <w:rFonts w:ascii="Times New Roman;serif" w:hAnsi="Times New Roman;serif"/>
          <w:b w:val="false"/>
          <w:i w:val="false"/>
          <w:caps w:val="false"/>
          <w:smallCaps w:val="false"/>
          <w:sz w:val="20"/>
        </w:rPr>
        <w:t xml:space="preserve">our annual income tax expense and annual effective rate through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realizability of our deferred tax assets, our income tax positions and related reserves and the recording of certain deferred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 related to foreign investments.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ultimate realization of a deferred tax asset is dependent upon the existence and timing of reversal of temporary differences,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ability to carryback income to open years and where allowed, the implementation of tax planning strategies and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generation of future taxable income during the periods in which the associated temporary differences become deductible.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Determining future taxable income requires us to estimate the amount of income subject to tax in future periods which includes: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 estimating revenue, revenue growth rates, Earnings and Interest Before Income Taxes and expenses by tax jurisdiction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examining historical results and considering current/future trends as well as scheduling out the timing of temporary items, ii)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factoring in adjustments for any known future changes in tax law/regulations, iii) the potential impact of any reasonable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planning strategies, and iv) estimating the future impact of complex material deductions. We record a valuation allowance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where we determine that it is not more likely than not that we will ultimately realize the entire tax benefit associated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deferred tax asset.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estimate income tax-related reserves to reduce tax benefits from any income tax positions where we believe the benefit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the tax position once taken on the tax return is uncertain such that it is more likely than not to be upheld by the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body but for an amount less than the benefit taken. When determining whether the full amount of the income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position will be upheld/sustained, we consider whether the technical merits of the position are supported by regulations, court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ruling, current legislation and other relevant authoritative guidance.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include any estimated interest and penalties on tax related matters in income tax expense. See Note 13 to our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Statements within this Form 10-K for further information.</w:t>
      </w:r>
    </w:p>
    <w:p>
      <w:pPr>
        <w:pStyle w:val="TextBody"/>
        <w:bidi w:val="0"/>
        <w:spacing w:lineRule="atLeast" w:line="200" w:before="0" w:after="0"/>
        <w:jc w:val="left"/>
        <w:rPr/>
      </w:pPr>
      <w:r>
        <w:rPr>
          <w:rFonts w:ascii="Times New Roman;serif" w:hAnsi="Times New Roman;serif"/>
          <w:b/>
          <w:i/>
          <w:sz w:val="20"/>
        </w:rPr>
        <w:t xml:space="preserve">Business combinations (valuation of intangible assets). </w:t>
      </w:r>
      <w:r>
        <w:rPr>
          <w:rFonts w:ascii="Times New Roman;serif" w:hAnsi="Times New Roman;serif"/>
          <w:b w:val="false"/>
          <w:i w:val="false"/>
          <w:caps w:val="false"/>
          <w:smallCaps w:val="false"/>
          <w:sz w:val="20"/>
        </w:rPr>
        <w:t xml:space="preserve">Acquired assets and liabilities assumed, including contingencies,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a business combination are recorded at fair value determined as of the acquisition date. The estimates we use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determine the fair value of intangible assets can be complex and require significant judgments. We use information available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to make fair value determinations and engage independent valuation specialists, when necessary, to assist in the fair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determination of significant acquired assets. The estimated fair values of customer-related and contract-based intangible assets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generally determined using the income approach, which is based on projected cash flows discounted to their present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using discount rates that consider the timing and risk of the forecasted cash flows. The discount rates used represented a risk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market participant weighted-average cost of capital, derived using customary market metrics. These measures of fair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 also require considerable judgments about future events, including forecasted customer attrition rates. Acquired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technologies are generally valued using the replacement cost method, which requires us to estimate the costs to construct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 of equivalent utility at prices available at the time of the valuation analysis, with adjustments in value for physical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deterioration and functional and economic obsolescence.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we use our best estimates and assumptions to determine the fair values of the assets acquired and the liabilities assumed,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estimates are inherently uncertain and subject to refinement. As a result, during the measurement period, which may be up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one year from the acquisition date, we record adjustments to the assets acquired and liabilities assumed. Upon the conclusion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measurement period, any subsequent adjustments are recorded in our Consolidated Statements of Income. We also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estimate the useful lives of intangible assets to determine the period over which to recognize the amount of acquisition-related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intangible assets as an expense. Certain assets may be considered to have indefinite useful lives. We periodically review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estimated useful lives assigned to our intangible assets to determine whether such estimated useful lives continue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appropriate. Refer to Note 8 to our Consolidated Financial Statements within this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Management’s Use of Non-GAAP Financial Measures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included in the discussion below certain financial measures that were not prepared in accordance with GAAP.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analysis of non-GAAP financial measures should be used only in conjunction with results presented in accordance with GAAP.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Below, we define the non-GAAP financial measures, provide a reconciliation of each non-GAAP financial measure to the most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directly comparable financial measure calculated in accordance with GAAP and discuss the reasons that we believe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is useful to management and may be useful to investors. Because our non-GAAP financial measures are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standardized measures, they may not be directly comparable with the non-GAAP financial measures of other companies using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same or similar non-GAAP financial measures. Although management uses these non-GAAP measures to set goals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measure performance, they have no standardized meaning prescribed by GAAP. These non-GAAP measures are presented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solely to permit investors to more fully understand how our management assesses underlying performance. These non-GAAP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measures are not, and should not be viewed as, a substitute for GAAP measures, and should be viewed in conjunction with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GAAP financial statements and financial measures. As a result, such non-GAAP measures have limits in their usefulness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investors.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defined the non-GAAP measure adjusted net income attributable to Corpay as net income attributable to Corpay,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reflected in our statement of income, adjusted to eliminate (a) non-cash stock-based compensation expense related to stock-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compensation awards, (b) amortization of deferred financing costs, discounts, intangible assets, amortization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premium recognized on the purchase of receivables and amortization attributable to the Company's noncontrolling interest, (c)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integration and deal related costs, and (d) other non-recurring items, including unusual credit losses, certain discrete tax items,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impact of business dispositions, impairment losses, asset write-offs, restructuring costs, loss on extinguishment of debt,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taxes associated with stock-based compensation programs, losses and gains on foreign currency transactions and legal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settlements and related legal fees. We adjust net income for the tax effect of adjustments using our effective income tax 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exclusive of certain discrete tax items. We calculate adjusted net income attributable to Corpay and adjusted net income per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diluted share attributable to Corpay to eliminate the effect of items that we do not consider indicative of our core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 We have defined the non-GAAP measure adjusted net income per diluted share attributable to Corpay as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calculation previously noted divided by the weighted average diluted shares outstanding as reflected in our statement of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net income attributable to Corpay and adjusted net income per diluted share attributable to Corpay are supplemental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measures of operating performance that do not represent and should not be considered as an alternative to net income,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per diluted share or cash flow from operations, as determined by GAAP. We believe it is useful to exclude non-cash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 based compensation expense from adjusted net income because non-cash equity grants made at a certain price and point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time do not necessarily reflect how our business is performing at any particular time and share based compensation expense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 not a key measure of our core operating performance. We also believe that amortization expense can vary substantially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to company and from period to period depending upon their financing and accounting methods, the fair value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average expected life of their acquired intangible assets, their capital structures and the method by which their assets were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acquired; therefore, we have excluded amortization expense from our adjusted net income. Integration and deal related costs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represent business acquisition transaction costs, professional services fees, short-term retention bonuses and system migration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costs, etc., that are not indicative of the performance of the underlying business. We also believe that certain expenses,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discrete tax items, gains on business dispositions, recoveries (e.g., legal settlements, write-off of customer receivable, etc.),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gains and losses on investments, taxes related to stock-based compensation programs and impairment losses do not necessarily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reflect how our investments and business are performing. We adjust net income for the tax effect of each of these adjustments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using the effective income tax rate during the period, exclusive of certain discrete tax items. </w:t>
      </w:r>
    </w:p>
    <w:p>
      <w:pPr>
        <w:pStyle w:val="TextBody"/>
        <w:bidi w:val="0"/>
        <w:spacing w:lineRule="atLeast" w:line="200" w:before="0" w:after="0"/>
        <w:jc w:val="left"/>
        <w:rPr/>
      </w:pPr>
      <w:r>
        <w:rPr>
          <w:rFonts w:ascii="Times New Roman;serif" w:hAnsi="Times New Roman;serif"/>
          <w:b/>
          <w:i/>
          <w:sz w:val="20"/>
        </w:rPr>
        <w:t>Organic Revenues, net by KPI</w:t>
      </w:r>
      <w:r>
        <w:rPr>
          <w:rFonts w:ascii="Times New Roman;serif" w:hAnsi="Times New Roman;serif"/>
          <w:b w:val="false"/>
          <w:i w:val="false"/>
          <w:caps w:val="false"/>
          <w:smallCaps w:val="false"/>
          <w:sz w:val="20"/>
        </w:rPr>
        <w:t xml:space="preserve">. Organic revenue growth is calculated as revenue growth in the current period adjusted for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impact of changes in the macroeconomic environment (to include fuel price, fuel price spreads and changes in foreign exchange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rates) over revenue in the comparable prior period adjusted to include or remove the impact of acquisitions and/or divestitures,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inclusive of changes of operational and capital structure, and non-recurring items that have occurred subsequent to that period.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organic revenue growth on a macro-neutral, one-time item and consistent acquisition/divestiture/non-recurring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item bases is useful to investors for understanding the performance of Corpay.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EBITDA is defined as earnings before interest, income taxes, interest expense, net, other expense (income), depreciation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goodwill impairment, loss on extinguishment of debt, investment loss/gain and other operating, net. Adjusted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EBITDA is defined as EBITDA further adjusted for stock-based compensation expense and other one-time items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legal expenses, restructuring costs and integration and deal related costs and other items as listed above for adjusted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EBITDA and adjusted EBITDA margin are defined as EBITDA and adjusted EBITDA as a percentage of revenue.</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Management uses adjusted net income attributable to Corpay, adjusted net income per diluted share attributable to Corpay,</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organic revenue growth, EBITDA and adjusted EBITDA:</w:t>
      </w:r>
      <w:r>
        <w:rPr>
          <w:caps w:val="false"/>
          <w:smallCaps w:val="false"/>
          <w:u w:val="single"/>
        </w:rPr>
        <w:t xml:space="preserve">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as measurements of operating performance because they assist us in comparing our operating performance on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consistent basis; </w:t>
      </w:r>
    </w:p>
    <w:p>
      <w:pPr>
        <w:pStyle w:val="TextBody"/>
        <w:bidi w:val="0"/>
        <w:spacing w:lineRule="atLeast" w:line="200" w:before="0" w:after="0"/>
        <w:jc w:val="both"/>
        <w:rPr>
          <w:u w:val="single"/>
        </w:rPr>
      </w:pPr>
      <w:r>
        <w:rPr>
          <w:caps w:val="false"/>
          <w:smallCaps w:val="false"/>
          <w:u w:val="single"/>
        </w:rPr>
        <w:t>•</w:t>
      </w:r>
      <w:r>
        <w:rPr>
          <w:rFonts w:ascii="Times New Roman;serif" w:hAnsi="Times New Roman;serif"/>
          <w:b w:val="false"/>
          <w:i w:val="false"/>
          <w:caps w:val="false"/>
          <w:smallCaps w:val="false"/>
          <w:sz w:val="20"/>
          <w:u w:val="single"/>
        </w:rPr>
        <w:t>for planning purposes, including the preparation of our internal annual operating budget;</w:t>
      </w:r>
      <w:r>
        <w:rPr>
          <w:caps w:val="false"/>
          <w:smallCaps w:val="false"/>
          <w:u w:val="single"/>
        </w:rPr>
        <w:t xml:space="preserve"> </w:t>
      </w:r>
    </w:p>
    <w:p>
      <w:pPr>
        <w:pStyle w:val="TextBody"/>
        <w:bidi w:val="0"/>
        <w:spacing w:lineRule="atLeast" w:line="200" w:before="0" w:after="0"/>
        <w:jc w:val="both"/>
        <w:rPr>
          <w:u w:val="single"/>
        </w:rPr>
      </w:pPr>
      <w:r>
        <w:rPr>
          <w:caps w:val="false"/>
          <w:smallCaps w:val="false"/>
          <w:u w:val="single"/>
        </w:rPr>
        <w:t>•</w:t>
      </w:r>
      <w:r>
        <w:rPr>
          <w:rFonts w:ascii="Times New Roman;serif" w:hAnsi="Times New Roman;serif"/>
          <w:b w:val="false"/>
          <w:i w:val="false"/>
          <w:caps w:val="false"/>
          <w:smallCaps w:val="false"/>
          <w:sz w:val="20"/>
          <w:u w:val="single"/>
        </w:rPr>
        <w:t>to allocate resources to enhance the financial performance of our business;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to evaluate the performance and effectiveness of our operational strategies.  </w:t>
      </w:r>
    </w:p>
    <w:p>
      <w:pPr>
        <w:pStyle w:val="TextBody"/>
        <w:bidi w:val="0"/>
        <w:spacing w:lineRule="atLeast" w:line="200" w:before="0" w:after="0"/>
        <w:jc w:val="left"/>
        <w:rPr/>
      </w:pPr>
      <w:r>
        <w:rPr>
          <w:rFonts w:ascii="Times New Roman;serif" w:hAnsi="Times New Roman;serif"/>
          <w:b/>
          <w:i/>
          <w:sz w:val="20"/>
        </w:rPr>
        <w:t>Reconciliation of Non-GAAP Revenue and Key Performance Metric by Segment to GAAP</w:t>
      </w:r>
      <w:r>
        <w:rPr>
          <w:rFonts w:ascii="Times New Roman;serif" w:hAnsi="Times New Roman;serif"/>
          <w:b w:val="false"/>
          <w:i w:val="false"/>
          <w:caps w:val="false"/>
          <w:smallCaps w:val="false"/>
          <w:sz w:val="20"/>
        </w:rPr>
        <w:t xml:space="preserve">. Set forth below is a reconciliation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organic growth by segment, calculated using pro forma and macro adjusted revenue and transactions to the most directly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comparable GAAP measure, revenue, net and transactions (in millions):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bl>
      <w:tblPr>
        <w:tblW w:w="8244" w:type="dxa"/>
        <w:jc w:val="left"/>
        <w:tblInd w:w="0" w:type="dxa"/>
        <w:tblLayout w:type="fixed"/>
        <w:tblCellMar>
          <w:top w:w="28" w:type="dxa"/>
          <w:left w:w="28" w:type="dxa"/>
          <w:bottom w:w="28" w:type="dxa"/>
          <w:right w:w="28" w:type="dxa"/>
        </w:tblCellMar>
      </w:tblPr>
      <w:tblGrid>
        <w:gridCol w:w="3811"/>
        <w:gridCol w:w="109"/>
        <w:gridCol w:w="964"/>
        <w:gridCol w:w="155"/>
        <w:gridCol w:w="966"/>
        <w:gridCol w:w="109"/>
        <w:gridCol w:w="980"/>
        <w:gridCol w:w="119"/>
        <w:gridCol w:w="1031"/>
      </w:tblGrid>
      <w:tr>
        <w:trPr/>
        <w:tc>
          <w:tcPr>
            <w:tcW w:w="3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Revenues, net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Key Performance Metric</w:t>
            </w:r>
          </w:p>
        </w:tc>
      </w:tr>
      <w:tr>
        <w:trPr/>
        <w:tc>
          <w:tcPr>
            <w:tcW w:w="38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r>
      <w:tr>
        <w:trPr/>
        <w:tc>
          <w:tcPr>
            <w:tcW w:w="3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381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VEHICLE PAYMENTS - TRANSACTIONS</w:t>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 forma and macro adjusted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$2,179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880</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823</w:t>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acquisitions/dispositions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fuel prices/spread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foreign exchange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reported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881</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821</w:t>
            </w:r>
          </w:p>
        </w:tc>
      </w:tr>
      <w:tr>
        <w:trPr/>
        <w:tc>
          <w:tcPr>
            <w:tcW w:w="3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CORPORATE PAYMENTS - SPEND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shd w:fill="CCEEFF" w:val="clear"/>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 forma and macro adjusted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$1,627</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$258,452</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$197,447</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acquisitions/dispositions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(25,393)</w:t>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fuel prices/spread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foreign exchange rates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reported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$1,635</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$258,452</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$172,055</w:t>
            </w:r>
          </w:p>
        </w:tc>
      </w:tr>
      <w:tr>
        <w:trPr/>
        <w:tc>
          <w:tcPr>
            <w:tcW w:w="3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LODGING PAYMENTS - ROOM NIGHTS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sz w:val="4"/>
                <w:szCs w:val="4"/>
              </w:rPr>
            </w:pPr>
            <w:r>
              <w:rPr>
                <w:sz w:val="4"/>
                <w:szCs w:val="4"/>
              </w:rPr>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shd w:fill="FFFFFF" w:val="clear"/>
            <w:vAlign w:val="center"/>
          </w:tcPr>
          <w:p>
            <w:pPr>
              <w:pStyle w:val="TableContents"/>
              <w:bidi w:val="0"/>
              <w:spacing w:before="0" w:after="283"/>
              <w:jc w:val="left"/>
              <w:rPr>
                <w:sz w:val="4"/>
                <w:szCs w:val="4"/>
              </w:rPr>
            </w:pPr>
            <w:r>
              <w:rPr>
                <w:sz w:val="4"/>
                <w:szCs w:val="4"/>
              </w:rPr>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 forma and macro adjusted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acquisitions/dispositions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fuel prices/spread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shd w:fill="CCEEFF" w:val="clear"/>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foreign exchange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reported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$470</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r>
      <w:tr>
        <w:trPr/>
        <w:tc>
          <w:tcPr>
            <w:tcW w:w="3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u w:val="single"/>
              </w:rPr>
              <w:t>OTHER</w:t>
            </w:r>
            <w:r>
              <w:rPr>
                <w:rFonts w:ascii="Times New Roman;serif" w:hAnsi="Times New Roman;serif"/>
                <w:b/>
                <w:i w:val="false"/>
                <w:caps w:val="false"/>
                <w:smallCaps w:val="false"/>
                <w:sz w:val="13"/>
              </w:rPr>
              <w:t>1</w:t>
            </w:r>
            <w:r>
              <w:rPr>
                <w:caps w:val="false"/>
                <w:smallCaps w:val="false"/>
                <w:u w:val="single"/>
              </w:rPr>
              <w:t xml:space="preserve"> </w:t>
            </w:r>
            <w:r>
              <w:rPr>
                <w:rFonts w:ascii="Times New Roman;serif" w:hAnsi="Times New Roman;serif"/>
                <w:b/>
                <w:i w:val="false"/>
                <w:caps w:val="false"/>
                <w:smallCaps w:val="false"/>
                <w:sz w:val="20"/>
                <w:u w:val="single"/>
              </w:rPr>
              <w:t>-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shd w:fill="CCEEFF" w:val="clear"/>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 forma and macro adjusted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$284</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1,718</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1,574</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acquisitions/dispositions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fuel prices/spread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foreign exchange rates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reported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1,718</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10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1,574</w:t>
            </w:r>
          </w:p>
        </w:tc>
      </w:tr>
      <w:tr>
        <w:trPr/>
        <w:tc>
          <w:tcPr>
            <w:tcW w:w="3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103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CORPAY CONSOLIDATED REVENUES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 forma and macro adjusted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$4,559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$4,133</w:t>
            </w:r>
          </w:p>
        </w:tc>
        <w:tc>
          <w:tcPr>
            <w:tcW w:w="109"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130" w:type="dxa"/>
            <w:gridSpan w:val="3"/>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Intentionally Left Blank</w:t>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acquisitions/dispositions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(158)</w:t>
            </w:r>
          </w:p>
        </w:tc>
        <w:tc>
          <w:tcPr>
            <w:tcW w:w="109"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jc w:val="left"/>
              <w:rPr/>
            </w:pPr>
            <w:r>
              <w:rPr/>
            </w:r>
          </w:p>
        </w:tc>
      </w:tr>
      <w:tr>
        <w:trPr/>
        <w:tc>
          <w:tcPr>
            <w:tcW w:w="38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Impact of fuel prices/spread</w:t>
            </w:r>
            <w:r>
              <w:rPr>
                <w:rFonts w:ascii="Times New Roman;serif" w:hAnsi="Times New Roman;serif"/>
                <w:b w:val="false"/>
                <w:i w:val="false"/>
                <w:caps w:val="false"/>
                <w:smallCaps w:val="false"/>
                <w:sz w:val="13"/>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jc w:val="left"/>
              <w:rPr/>
            </w:pPr>
            <w:r>
              <w:rPr/>
            </w:r>
          </w:p>
        </w:tc>
      </w:tr>
      <w:tr>
        <w:trPr/>
        <w:tc>
          <w:tcPr>
            <w:tcW w:w="38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Impact of foreign exchange rates</w:t>
            </w:r>
            <w:r>
              <w:rPr>
                <w:rFonts w:ascii="Times New Roman;serif" w:hAnsi="Times New Roman;serif"/>
                <w:b w:val="false"/>
                <w:i w:val="false"/>
                <w:caps w:val="false"/>
                <w:smallCaps w:val="false"/>
                <w:sz w:val="13"/>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jc w:val="left"/>
              <w:rPr/>
            </w:pPr>
            <w:r>
              <w:rPr/>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reported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$3,975</w:t>
            </w:r>
          </w:p>
        </w:tc>
        <w:tc>
          <w:tcPr>
            <w:tcW w:w="109"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774"/>
        <w:gridCol w:w="1552"/>
        <w:gridCol w:w="1552"/>
        <w:gridCol w:w="1552"/>
        <w:gridCol w:w="1552"/>
        <w:gridCol w:w="2223"/>
      </w:tblGrid>
      <w:tr>
        <w:trPr/>
        <w:tc>
          <w:tcPr>
            <w:tcW w:w="177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Columns may not calculate due to rounding.</w:t>
            </w:r>
          </w:p>
        </w:tc>
      </w:tr>
      <w:tr>
        <w:trPr/>
        <w:tc>
          <w:tcPr>
            <w:tcW w:w="10205" w:type="dxa"/>
            <w:gridSpan w:val="6"/>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20"/>
              </w:rPr>
              <w:t>Other includes Gift and Payroll Card operating segments.</w:t>
            </w:r>
          </w:p>
        </w:tc>
      </w:tr>
      <w:tr>
        <w:trPr/>
        <w:tc>
          <w:tcPr>
            <w:tcW w:w="10205" w:type="dxa"/>
            <w:gridSpan w:val="6"/>
            <w:tcBorders/>
            <w:vAlign w:val="center"/>
          </w:tcPr>
          <w:p>
            <w:pPr>
              <w:pStyle w:val="TableContents"/>
              <w:bidi w:val="0"/>
              <w:spacing w:lineRule="atLeast" w:line="220" w:before="0" w:after="0"/>
              <w:jc w:val="left"/>
              <w:rPr/>
            </w:pPr>
            <w:r>
              <w:rPr>
                <w:rFonts w:ascii="Times New Roman;serif" w:hAnsi="Times New Roman;serif"/>
                <w:b w:val="false"/>
                <w:i w:val="false"/>
                <w:caps w:val="false"/>
                <w:smallCaps w:val="false"/>
                <w:sz w:val="14"/>
              </w:rPr>
              <w:t>2</w:t>
            </w:r>
            <w:r>
              <w:rPr>
                <w:caps w:val="false"/>
                <w:smallCaps w:val="false"/>
              </w:rPr>
              <w:t xml:space="preserve"> </w:t>
            </w:r>
            <w:r>
              <w:rPr>
                <w:rFonts w:ascii="Times New Roman;serif" w:hAnsi="Times New Roman;serif"/>
                <w:b w:val="false"/>
                <w:i w:val="false"/>
                <w:caps w:val="false"/>
                <w:smallCaps w:val="false"/>
                <w:sz w:val="20"/>
              </w:rPr>
              <w:t xml:space="preserve">Revenues reflect the negative impact of fuel price spreads of approximately $18 million, approximately $11 million negative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impact from fuel prices and $2 million negative impact due to movements in foreign exchange rates. </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p>
      <w:pPr>
        <w:pStyle w:val="TextBody"/>
        <w:bidi w:val="0"/>
        <w:spacing w:lineRule="atLeast" w:line="200" w:before="0" w:after="0"/>
        <w:jc w:val="left"/>
        <w:rPr/>
      </w:pPr>
      <w:r>
        <w:rPr>
          <w:rFonts w:ascii="Times New Roman;serif" w:hAnsi="Times New Roman;serif"/>
          <w:b/>
          <w:i/>
          <w:strike w:val="false"/>
          <w:dstrike w:val="false"/>
          <w:sz w:val="20"/>
          <w:u w:val="none"/>
          <w:effect w:val="none"/>
          <w:shd w:fill="FFFFFF" w:val="clear"/>
        </w:rPr>
        <w:t xml:space="preserve">Reconciliation of Non-GAAP Measures. </w:t>
      </w:r>
      <w:r>
        <w:rPr>
          <w:rFonts w:ascii="Times New Roman;serif" w:hAnsi="Times New Roman;serif"/>
          <w:b w:val="false"/>
          <w:i w:val="false"/>
          <w:caps w:val="false"/>
          <w:smallCaps w:val="false"/>
          <w:strike w:val="false"/>
          <w:dstrike w:val="false"/>
          <w:sz w:val="20"/>
          <w:u w:val="none"/>
          <w:effect w:val="none"/>
          <w:shd w:fill="FFFFFF" w:val="clear"/>
        </w:rPr>
        <w:t>Se</w:t>
      </w:r>
      <w:r>
        <w:rPr>
          <w:rFonts w:ascii="Times New Roman;serif" w:hAnsi="Times New Roman;serif"/>
          <w:b w:val="false"/>
          <w:i w:val="false"/>
          <w:caps w:val="false"/>
          <w:smallCaps w:val="false"/>
          <w:sz w:val="20"/>
        </w:rPr>
        <w:t xml:space="preserve">t forth below is a reconciliation of adjusted net income attributable to Corpay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net income per diluted share attributable to Corpay to the most directly comparable GAAP measure, net income attributable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Corpay and net income per diluted share attributable to Corpay (in millions, except per share amounts)*:</w:t>
      </w:r>
    </w:p>
    <w:p>
      <w:pPr>
        <w:pStyle w:val="TextBody"/>
        <w:bidi w:val="0"/>
        <w:spacing w:before="0" w:after="0"/>
        <w:jc w:val="left"/>
        <w:rPr>
          <w:caps w:val="false"/>
          <w:smallCaps w:val="false"/>
        </w:rPr>
      </w:pPr>
      <w:r>
        <w:rPr>
          <w:caps w:val="false"/>
          <w:smallCaps w:val="false"/>
        </w:rPr>
        <w:t> </w:t>
      </w:r>
    </w:p>
    <w:tbl>
      <w:tblPr>
        <w:tblW w:w="7579" w:type="dxa"/>
        <w:jc w:val="left"/>
        <w:tblInd w:w="0" w:type="dxa"/>
        <w:tblLayout w:type="fixed"/>
        <w:tblCellMar>
          <w:top w:w="28" w:type="dxa"/>
          <w:left w:w="28" w:type="dxa"/>
          <w:bottom w:w="28" w:type="dxa"/>
          <w:right w:w="28" w:type="dxa"/>
        </w:tblCellMar>
      </w:tblPr>
      <w:tblGrid>
        <w:gridCol w:w="5431"/>
        <w:gridCol w:w="109"/>
        <w:gridCol w:w="932"/>
        <w:gridCol w:w="122"/>
        <w:gridCol w:w="985"/>
      </w:tblGrid>
      <w:tr>
        <w:trPr/>
        <w:tc>
          <w:tcPr>
            <w:tcW w:w="5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54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r>
      <w:tr>
        <w:trPr/>
        <w:tc>
          <w:tcPr>
            <w:tcW w:w="5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54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Corpay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$1,069.8</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w:t>
            </w:r>
          </w:p>
        </w:tc>
      </w:tr>
      <w:tr>
        <w:trPr/>
        <w:tc>
          <w:tcPr>
            <w:tcW w:w="54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per diluted share attributable to Corpay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$15.03</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$13.97</w:t>
            </w:r>
          </w:p>
        </w:tc>
      </w:tr>
      <w:tr>
        <w:trPr/>
        <w:tc>
          <w:tcPr>
            <w:tcW w:w="54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102.6</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116.7</w:t>
            </w:r>
          </w:p>
        </w:tc>
      </w:tr>
      <w:tr>
        <w:trPr/>
        <w:tc>
          <w:tcPr>
            <w:tcW w:w="54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Amortization</w:t>
            </w:r>
            <w:r>
              <w:rPr>
                <w:rFonts w:ascii="Times New Roman;serif" w:hAnsi="Times New Roman;serif"/>
                <w:b w:val="false"/>
                <w:i w:val="false"/>
                <w:caps w:val="false"/>
                <w:smallCaps w:val="false"/>
                <w:sz w:val="13"/>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283.2</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239.0</w:t>
            </w:r>
          </w:p>
        </w:tc>
      </w:tr>
      <w:tr>
        <w:trPr/>
        <w:tc>
          <w:tcPr>
            <w:tcW w:w="54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Loss on extinguishment of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r>
      <w:tr>
        <w:trPr/>
        <w:tc>
          <w:tcPr>
            <w:tcW w:w="54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Integration and deal related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108.0</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33.7</w:t>
            </w:r>
          </w:p>
        </w:tc>
      </w:tr>
      <w:tr>
        <w:trPr/>
        <w:tc>
          <w:tcPr>
            <w:tcW w:w="54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Restructuring and related costs</w:t>
            </w:r>
            <w:r>
              <w:rPr>
                <w:rFonts w:ascii="Times New Roman;serif" w:hAnsi="Times New Roman;serif"/>
                <w:b w:val="false"/>
                <w:i w:val="false"/>
                <w:caps w:val="false"/>
                <w:smallCaps w:val="false"/>
                <w:sz w:val="13"/>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w:t>
            </w:r>
          </w:p>
        </w:tc>
      </w:tr>
      <w:tr>
        <w:trPr/>
        <w:tc>
          <w:tcPr>
            <w:tcW w:w="54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disposition,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(42.3)</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(121.3)</w:t>
            </w:r>
          </w:p>
        </w:tc>
      </w:tr>
      <w:tr>
        <w:trPr/>
        <w:tc>
          <w:tcPr>
            <w:tcW w:w="54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impairment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w:t>
            </w:r>
          </w:p>
        </w:tc>
      </w:tr>
      <w:tr>
        <w:trPr/>
        <w:tc>
          <w:tcPr>
            <w:tcW w:w="54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Adjustments at equity method investment,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4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w:t>
            </w:r>
            <w:r>
              <w:rPr>
                <w:rFonts w:ascii="Times New Roman;serif" w:hAnsi="Times New Roman;serif"/>
                <w:b w:val="false"/>
                <w:i w:val="false"/>
                <w:caps w:val="false"/>
                <w:smallCaps w:val="false"/>
                <w:sz w:val="13"/>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w:t>
            </w:r>
          </w:p>
        </w:tc>
      </w:tr>
      <w:tr>
        <w:trPr/>
        <w:tc>
          <w:tcPr>
            <w:tcW w:w="54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515.1</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391.5</w:t>
            </w:r>
          </w:p>
        </w:tc>
      </w:tr>
      <w:tr>
        <w:trPr/>
        <w:tc>
          <w:tcPr>
            <w:tcW w:w="54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Income tax impact of pre-tax adjustments at the effective tax rate</w:t>
            </w:r>
            <w:r>
              <w:rPr>
                <w:rFonts w:ascii="Times New Roman;serif" w:hAnsi="Times New Roman;serif"/>
                <w:b w:val="false"/>
                <w:i w:val="false"/>
                <w:caps w:val="false"/>
                <w:smallCaps w:val="false"/>
                <w:sz w:val="13"/>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(127.7)</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(98.7)</w:t>
            </w:r>
          </w:p>
        </w:tc>
      </w:tr>
      <w:tr>
        <w:trPr/>
        <w:tc>
          <w:tcPr>
            <w:tcW w:w="54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Discrete tax items</w:t>
            </w:r>
            <w:r>
              <w:rPr>
                <w:rFonts w:ascii="Times New Roman;serif" w:hAnsi="Times New Roman;serif"/>
                <w:b w:val="false"/>
                <w:i w:val="false"/>
                <w:caps w:val="false"/>
                <w:smallCaps w:val="false"/>
                <w:sz w:val="13"/>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60.8</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67.5</w:t>
            </w:r>
          </w:p>
        </w:tc>
      </w:tr>
      <w:tr>
        <w:trPr/>
        <w:tc>
          <w:tcPr>
            <w:tcW w:w="54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net income attributable to Corpay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$1,518.1</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$1,364.1</w:t>
            </w:r>
          </w:p>
        </w:tc>
      </w:tr>
      <w:tr>
        <w:trPr/>
        <w:tc>
          <w:tcPr>
            <w:tcW w:w="54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Adjusted net income per diluted share attributable to Corpay</w:t>
            </w:r>
            <w:r>
              <w:rPr>
                <w:rFonts w:ascii="Times New Roman;serif" w:hAnsi="Times New Roman;serif"/>
                <w:b w:val="false"/>
                <w:i w:val="false"/>
                <w:caps w:val="false"/>
                <w:smallCaps w:val="false"/>
                <w:sz w:val="13"/>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$21.38</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$19.01</w:t>
            </w:r>
          </w:p>
        </w:tc>
      </w:tr>
      <w:tr>
        <w:trPr/>
        <w:tc>
          <w:tcPr>
            <w:tcW w:w="54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 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71.1</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71.8</w:t>
            </w:r>
          </w:p>
        </w:tc>
      </w:tr>
    </w:tbl>
    <w:tbl>
      <w:tblPr>
        <w:tblW w:w="9991" w:type="dxa"/>
        <w:jc w:val="left"/>
        <w:tblInd w:w="0" w:type="dxa"/>
        <w:tblLayout w:type="fixed"/>
        <w:tblCellMar>
          <w:top w:w="28" w:type="dxa"/>
          <w:left w:w="28" w:type="dxa"/>
          <w:bottom w:w="28" w:type="dxa"/>
          <w:right w:w="28" w:type="dxa"/>
        </w:tblCellMar>
      </w:tblPr>
      <w:tblGrid>
        <w:gridCol w:w="9991"/>
      </w:tblGrid>
      <w:tr>
        <w:trPr/>
        <w:tc>
          <w:tcPr>
            <w:tcW w:w="9991" w:type="dxa"/>
            <w:tcBorders/>
            <w:vAlign w:val="center"/>
          </w:tcPr>
          <w:p>
            <w:pPr>
              <w:pStyle w:val="TableContents"/>
              <w:bidi w:val="0"/>
              <w:spacing w:before="0" w:after="283"/>
              <w:jc w:val="left"/>
              <w:rPr>
                <w:sz w:val="4"/>
                <w:szCs w:val="4"/>
              </w:rPr>
            </w:pPr>
            <w:r>
              <w:rPr>
                <w:sz w:val="4"/>
                <w:szCs w:val="4"/>
              </w:rPr>
            </w:r>
          </w:p>
        </w:tc>
      </w:tr>
      <w:tr>
        <w:trPr/>
        <w:tc>
          <w:tcPr>
            <w:tcW w:w="999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20"/>
              </w:rPr>
              <w:t xml:space="preserve">Includes consolidated amortization related to intangible assets, premium on receivables, deferred financing costs and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debt discounts. </w:t>
            </w:r>
          </w:p>
        </w:tc>
      </w:tr>
      <w:tr>
        <w:trPr/>
        <w:tc>
          <w:tcPr>
            <w:tcW w:w="999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2</w:t>
            </w:r>
            <w:r>
              <w:rPr>
                <w:caps w:val="false"/>
                <w:smallCaps w:val="false"/>
              </w:rPr>
              <w:t xml:space="preserve"> </w:t>
            </w:r>
            <w:r>
              <w:rPr>
                <w:rFonts w:ascii="Times New Roman;serif" w:hAnsi="Times New Roman;serif"/>
                <w:b w:val="false"/>
                <w:i w:val="false"/>
                <w:caps w:val="false"/>
                <w:smallCaps w:val="false"/>
                <w:sz w:val="20"/>
              </w:rPr>
              <w:t xml:space="preserve">Includes losses and gains on foreign currency transactions, certain legal expenses, amortization expense attributable to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noncontrolling interest, taxes associated with stock-based compensation programs, a loss on an economic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hedge of a foreign-denominated purchase price of an acquisition and a gain on sale of a cost method investment.</w:t>
            </w:r>
          </w:p>
        </w:tc>
      </w:tr>
      <w:tr>
        <w:trPr/>
        <w:tc>
          <w:tcPr>
            <w:tcW w:w="999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3</w:t>
            </w:r>
            <w:r>
              <w:rPr>
                <w:caps w:val="false"/>
                <w:smallCaps w:val="false"/>
              </w:rPr>
              <w:t xml:space="preserve"> </w:t>
            </w:r>
            <w:r>
              <w:rPr>
                <w:rFonts w:ascii="Times New Roman;serif" w:hAnsi="Times New Roman;serif"/>
                <w:b w:val="false"/>
                <w:i w:val="false"/>
                <w:caps w:val="false"/>
                <w:smallCaps w:val="false"/>
                <w:sz w:val="20"/>
              </w:rPr>
              <w:t xml:space="preserve">Represents provision for income taxes of pre-tax adjustments. Adjustments related to our equity method investment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tax effected at the effective tax rate of the investment as stated. </w:t>
            </w:r>
          </w:p>
        </w:tc>
      </w:tr>
      <w:tr>
        <w:trPr/>
        <w:tc>
          <w:tcPr>
            <w:tcW w:w="999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4</w:t>
            </w:r>
            <w:r>
              <w:rPr>
                <w:caps w:val="false"/>
                <w:smallCaps w:val="false"/>
              </w:rPr>
              <w:t xml:space="preserve"> </w:t>
            </w:r>
            <w:r>
              <w:rPr>
                <w:rFonts w:ascii="Times New Roman;serif" w:hAnsi="Times New Roman;serif"/>
                <w:b w:val="false"/>
                <w:i w:val="false"/>
                <w:caps w:val="false"/>
                <w:smallCaps w:val="false"/>
                <w:sz w:val="20"/>
              </w:rPr>
              <w:t xml:space="preserve">For 2025, represents discrete tax provision recognized in the third quarter of 2025 as a result of legal entity and tax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restructuring actions taken by the Company to facilitate cross-border transactions, discrete non-cash tax provision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recognized related to the remeasurement of deferred tax assets and liabilities as a result of tax law changes in California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Brazil and the impact on taxes of certain non recurring tax impacting items resulting from acquisitions. For 2024,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represents discrete non-cash tax provision recognized in the fourth quarter of 2024 related to a prior tax planning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strategy and taxes on net gain realized upon disposition of our merchant solutions business within the Vehicle Payments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segment of $47.8 million. </w:t>
            </w:r>
          </w:p>
        </w:tc>
      </w:tr>
      <w:tr>
        <w:trPr/>
        <w:tc>
          <w:tcPr>
            <w:tcW w:w="9991"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5</w:t>
            </w:r>
            <w:r>
              <w:rPr>
                <w:caps w:val="false"/>
                <w:smallCaps w:val="false"/>
              </w:rPr>
              <w:t xml:space="preserve"> </w:t>
            </w:r>
            <w:r>
              <w:rPr>
                <w:rFonts w:ascii="Times New Roman;serif" w:hAnsi="Times New Roman;serif"/>
                <w:b w:val="false"/>
                <w:i w:val="false"/>
                <w:caps w:val="false"/>
                <w:smallCaps w:val="false"/>
                <w:sz w:val="20"/>
              </w:rPr>
              <w:t xml:space="preserve">Excludes the impact on earnings per share of the adjustment of a noncontrolling interest to its maximum redemption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 of $1.5 million. </w:t>
            </w:r>
          </w:p>
        </w:tc>
      </w:tr>
      <w:tr>
        <w:trPr/>
        <w:tc>
          <w:tcPr>
            <w:tcW w:w="99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Columns may not calculate due to rounding. </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p>
      <w:pPr>
        <w:pStyle w:val="TextBody"/>
        <w:bidi w:val="0"/>
        <w:spacing w:lineRule="atLeast" w:line="200" w:before="0" w:after="0"/>
        <w:jc w:val="left"/>
        <w:rPr/>
      </w:pPr>
      <w:r>
        <w:rPr>
          <w:rFonts w:ascii="Times New Roman;serif" w:hAnsi="Times New Roman;serif"/>
          <w:b/>
          <w:i/>
          <w:sz w:val="20"/>
        </w:rPr>
        <w:t xml:space="preserve">EBITDA, Adjusted EBITDA Measures. </w:t>
      </w:r>
      <w:r>
        <w:rPr>
          <w:rFonts w:ascii="Times New Roman;serif" w:hAnsi="Times New Roman;serif"/>
          <w:b w:val="false"/>
          <w:i w:val="false"/>
          <w:caps w:val="false"/>
          <w:smallCaps w:val="false"/>
          <w:sz w:val="20"/>
        </w:rPr>
        <w:t xml:space="preserve">EBITDA is defined as earnings before interest, income taxes, interest expense,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loss (income), depreciation and amortization, loss on extinguishment of debt, goodwill impairment, investment loss/gain,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gain on disposition and other operating, net. Adjusted EBITDA is defined as EBITDA further adjusted for stock-based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compensation expense and other one-time items as listed above. EBITDA and adjusted EBITDA margin is defined as EBITDA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adjusted EBITDA as a percentage of revenue.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reconciles EBITDA, Adjusted EBITDA and Adjusted EBITDA margin to net income from operations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millions, except percentages)*:</w:t>
      </w:r>
    </w:p>
    <w:tbl>
      <w:tblPr>
        <w:tblW w:w="7437" w:type="dxa"/>
        <w:jc w:val="left"/>
        <w:tblInd w:w="0" w:type="dxa"/>
        <w:tblLayout w:type="fixed"/>
        <w:tblCellMar>
          <w:top w:w="28" w:type="dxa"/>
          <w:left w:w="28" w:type="dxa"/>
          <w:bottom w:w="28" w:type="dxa"/>
          <w:right w:w="28" w:type="dxa"/>
        </w:tblCellMar>
      </w:tblPr>
      <w:tblGrid>
        <w:gridCol w:w="3912"/>
        <w:gridCol w:w="158"/>
        <w:gridCol w:w="158"/>
        <w:gridCol w:w="1468"/>
        <w:gridCol w:w="193"/>
        <w:gridCol w:w="1548"/>
      </w:tblGrid>
      <w:tr>
        <w:trPr/>
        <w:tc>
          <w:tcPr>
            <w:tcW w:w="39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09"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Year Ended December 31, </w:t>
            </w:r>
          </w:p>
        </w:tc>
      </w:tr>
      <w:tr>
        <w:trPr/>
        <w:tc>
          <w:tcPr>
            <w:tcW w:w="39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9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391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from operations</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$1,071.9</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54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w:t>
            </w:r>
          </w:p>
        </w:tc>
      </w:tr>
      <w:tr>
        <w:trPr/>
        <w:tc>
          <w:tcPr>
            <w:tcW w:w="39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Provision for income taxes</w:t>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46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469.7</w:t>
            </w:r>
          </w:p>
        </w:tc>
        <w:tc>
          <w:tcPr>
            <w:tcW w:w="193" w:type="dxa"/>
            <w:tcBorders/>
            <w:shd w:fill="FFFFFF" w:val="clear"/>
            <w:vAlign w:val="center"/>
          </w:tcPr>
          <w:p>
            <w:pPr>
              <w:pStyle w:val="TableContents"/>
              <w:bidi w:val="0"/>
              <w:spacing w:before="0" w:after="283"/>
              <w:jc w:val="left"/>
              <w:rPr>
                <w:sz w:val="4"/>
                <w:szCs w:val="4"/>
              </w:rPr>
            </w:pPr>
            <w:r>
              <w:rPr>
                <w:sz w:val="4"/>
                <w:szCs w:val="4"/>
              </w:rPr>
            </w:r>
          </w:p>
        </w:tc>
        <w:tc>
          <w:tcPr>
            <w:tcW w:w="154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381.4</w:t>
            </w:r>
          </w:p>
        </w:tc>
      </w:tr>
      <w:tr>
        <w:trPr/>
        <w:tc>
          <w:tcPr>
            <w:tcW w:w="391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 net</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403.8</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54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383.0</w:t>
            </w:r>
          </w:p>
        </w:tc>
      </w:tr>
      <w:tr>
        <w:trPr/>
        <w:tc>
          <w:tcPr>
            <w:tcW w:w="39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net</w:t>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46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47.0</w:t>
            </w:r>
          </w:p>
        </w:tc>
        <w:tc>
          <w:tcPr>
            <w:tcW w:w="193" w:type="dxa"/>
            <w:tcBorders/>
            <w:shd w:fill="FFFFFF" w:val="clear"/>
            <w:vAlign w:val="center"/>
          </w:tcPr>
          <w:p>
            <w:pPr>
              <w:pStyle w:val="TableContents"/>
              <w:bidi w:val="0"/>
              <w:spacing w:before="0" w:after="283"/>
              <w:jc w:val="left"/>
              <w:rPr>
                <w:sz w:val="4"/>
                <w:szCs w:val="4"/>
              </w:rPr>
            </w:pPr>
            <w:r>
              <w:rPr>
                <w:sz w:val="4"/>
                <w:szCs w:val="4"/>
              </w:rPr>
            </w:r>
          </w:p>
        </w:tc>
        <w:tc>
          <w:tcPr>
            <w:tcW w:w="154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w:t>
            </w:r>
          </w:p>
        </w:tc>
      </w:tr>
      <w:tr>
        <w:trPr/>
        <w:tc>
          <w:tcPr>
            <w:tcW w:w="391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 and amortization</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393.3</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54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351.1</w:t>
            </w:r>
          </w:p>
        </w:tc>
      </w:tr>
      <w:tr>
        <w:trPr/>
        <w:tc>
          <w:tcPr>
            <w:tcW w:w="39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impairment</w:t>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468"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93" w:type="dxa"/>
            <w:tcBorders/>
            <w:shd w:fill="FFFFFF" w:val="clear"/>
            <w:vAlign w:val="center"/>
          </w:tcPr>
          <w:p>
            <w:pPr>
              <w:pStyle w:val="TableContents"/>
              <w:bidi w:val="0"/>
              <w:spacing w:before="0" w:after="283"/>
              <w:jc w:val="left"/>
              <w:rPr>
                <w:sz w:val="4"/>
                <w:szCs w:val="4"/>
              </w:rPr>
            </w:pPr>
            <w:r>
              <w:rPr>
                <w:sz w:val="4"/>
                <w:szCs w:val="4"/>
              </w:rPr>
            </w:r>
          </w:p>
        </w:tc>
        <w:tc>
          <w:tcPr>
            <w:tcW w:w="154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w:t>
            </w:r>
          </w:p>
        </w:tc>
      </w:tr>
      <w:tr>
        <w:trPr/>
        <w:tc>
          <w:tcPr>
            <w:tcW w:w="391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disposition, net</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(42.3)</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54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(121.3)</w:t>
            </w:r>
          </w:p>
        </w:tc>
      </w:tr>
      <w:tr>
        <w:trPr/>
        <w:tc>
          <w:tcPr>
            <w:tcW w:w="39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Loss on extinguishment of debt</w:t>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46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93" w:type="dxa"/>
            <w:tcBorders/>
            <w:shd w:fill="FFFFFF" w:val="clear"/>
            <w:vAlign w:val="center"/>
          </w:tcPr>
          <w:p>
            <w:pPr>
              <w:pStyle w:val="TableContents"/>
              <w:bidi w:val="0"/>
              <w:spacing w:before="0" w:after="283"/>
              <w:jc w:val="left"/>
              <w:rPr>
                <w:sz w:val="4"/>
                <w:szCs w:val="4"/>
              </w:rPr>
            </w:pPr>
            <w:r>
              <w:rPr>
                <w:sz w:val="4"/>
                <w:szCs w:val="4"/>
              </w:rPr>
            </w:r>
          </w:p>
        </w:tc>
        <w:tc>
          <w:tcPr>
            <w:tcW w:w="154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r>
      <w:tr>
        <w:trPr/>
        <w:tc>
          <w:tcPr>
            <w:tcW w:w="391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operating, net</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54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r>
      <w:tr>
        <w:trPr/>
        <w:tc>
          <w:tcPr>
            <w:tcW w:w="39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EBITDA</w:t>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46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$2,347.2</w:t>
            </w:r>
          </w:p>
        </w:tc>
        <w:tc>
          <w:tcPr>
            <w:tcW w:w="193" w:type="dxa"/>
            <w:tcBorders/>
            <w:shd w:fill="FFFFFF" w:val="clear"/>
            <w:vAlign w:val="center"/>
          </w:tcPr>
          <w:p>
            <w:pPr>
              <w:pStyle w:val="TableContents"/>
              <w:bidi w:val="0"/>
              <w:spacing w:before="0" w:after="283"/>
              <w:jc w:val="left"/>
              <w:rPr>
                <w:sz w:val="4"/>
                <w:szCs w:val="4"/>
              </w:rPr>
            </w:pPr>
            <w:r>
              <w:rPr>
                <w:sz w:val="4"/>
                <w:szCs w:val="4"/>
              </w:rPr>
            </w:r>
          </w:p>
        </w:tc>
        <w:tc>
          <w:tcPr>
            <w:tcW w:w="154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$2,107.7</w:t>
            </w:r>
          </w:p>
        </w:tc>
      </w:tr>
      <w:tr>
        <w:trPr/>
        <w:tc>
          <w:tcPr>
            <w:tcW w:w="3912"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548"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46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$102.6</w:t>
            </w:r>
          </w:p>
        </w:tc>
        <w:tc>
          <w:tcPr>
            <w:tcW w:w="193" w:type="dxa"/>
            <w:tcBorders/>
            <w:shd w:fill="FFFFFF" w:val="clear"/>
            <w:vAlign w:val="center"/>
          </w:tcPr>
          <w:p>
            <w:pPr>
              <w:pStyle w:val="TableContents"/>
              <w:bidi w:val="0"/>
              <w:spacing w:before="0" w:after="283"/>
              <w:jc w:val="left"/>
              <w:rPr>
                <w:sz w:val="4"/>
                <w:szCs w:val="4"/>
              </w:rPr>
            </w:pPr>
            <w:r>
              <w:rPr>
                <w:sz w:val="4"/>
                <w:szCs w:val="4"/>
              </w:rPr>
            </w:r>
          </w:p>
        </w:tc>
        <w:tc>
          <w:tcPr>
            <w:tcW w:w="154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$116.7</w:t>
            </w:r>
          </w:p>
        </w:tc>
      </w:tr>
      <w:tr>
        <w:trPr/>
        <w:tc>
          <w:tcPr>
            <w:tcW w:w="3912"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 addbacks</w:t>
            </w:r>
            <w:r>
              <w:rPr>
                <w:rFonts w:ascii="Times New Roman;serif" w:hAnsi="Times New Roman;serif"/>
                <w:b w:val="false"/>
                <w:i w:val="false"/>
                <w:caps w:val="false"/>
                <w:smallCaps w:val="false"/>
                <w:sz w:val="13"/>
              </w:rPr>
              <w:t>1</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115.2</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54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46.4</w:t>
            </w:r>
          </w:p>
        </w:tc>
      </w:tr>
      <w:tr>
        <w:trPr/>
        <w:tc>
          <w:tcPr>
            <w:tcW w:w="39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EBITDA</w:t>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46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$2,565.1</w:t>
            </w:r>
          </w:p>
        </w:tc>
        <w:tc>
          <w:tcPr>
            <w:tcW w:w="193" w:type="dxa"/>
            <w:tcBorders/>
            <w:shd w:fill="FFFFFF" w:val="clear"/>
            <w:vAlign w:val="center"/>
          </w:tcPr>
          <w:p>
            <w:pPr>
              <w:pStyle w:val="TableContents"/>
              <w:bidi w:val="0"/>
              <w:spacing w:before="0" w:after="283"/>
              <w:jc w:val="left"/>
              <w:rPr>
                <w:sz w:val="4"/>
                <w:szCs w:val="4"/>
              </w:rPr>
            </w:pPr>
            <w:r>
              <w:rPr>
                <w:sz w:val="4"/>
                <w:szCs w:val="4"/>
              </w:rPr>
            </w:r>
          </w:p>
        </w:tc>
        <w:tc>
          <w:tcPr>
            <w:tcW w:w="154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$2,270.8</w:t>
            </w:r>
          </w:p>
        </w:tc>
      </w:tr>
      <w:tr>
        <w:trPr/>
        <w:tc>
          <w:tcPr>
            <w:tcW w:w="3912"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548"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 net</w:t>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46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$4,528.4</w:t>
            </w:r>
          </w:p>
        </w:tc>
        <w:tc>
          <w:tcPr>
            <w:tcW w:w="193" w:type="dxa"/>
            <w:tcBorders/>
            <w:shd w:fill="FFFFFF" w:val="clear"/>
            <w:vAlign w:val="center"/>
          </w:tcPr>
          <w:p>
            <w:pPr>
              <w:pStyle w:val="TableContents"/>
              <w:bidi w:val="0"/>
              <w:spacing w:before="0" w:after="283"/>
              <w:jc w:val="left"/>
              <w:rPr>
                <w:sz w:val="4"/>
                <w:szCs w:val="4"/>
              </w:rPr>
            </w:pPr>
            <w:r>
              <w:rPr>
                <w:sz w:val="4"/>
                <w:szCs w:val="4"/>
              </w:rPr>
            </w:r>
          </w:p>
        </w:tc>
        <w:tc>
          <w:tcPr>
            <w:tcW w:w="154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$3,974.6</w:t>
            </w:r>
          </w:p>
        </w:tc>
      </w:tr>
      <w:tr>
        <w:trPr/>
        <w:tc>
          <w:tcPr>
            <w:tcW w:w="391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EBITDA margin</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56.6%</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54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57.1%</w:t>
            </w:r>
          </w:p>
        </w:tc>
      </w:tr>
      <w:tr>
        <w:trPr/>
        <w:tc>
          <w:tcPr>
            <w:tcW w:w="3912"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sz w:val="4"/>
                <w:szCs w:val="4"/>
              </w:rPr>
            </w:pPr>
            <w:r>
              <w:rPr>
                <w:sz w:val="4"/>
                <w:szCs w:val="4"/>
              </w:rPr>
            </w:r>
          </w:p>
        </w:tc>
        <w:tc>
          <w:tcPr>
            <w:tcW w:w="1468" w:type="dxa"/>
            <w:tcBorders/>
            <w:shd w:fill="FFFFFF" w:val="clear"/>
            <w:vAlign w:val="center"/>
          </w:tcPr>
          <w:p>
            <w:pPr>
              <w:pStyle w:val="TableContents"/>
              <w:bidi w:val="0"/>
              <w:spacing w:before="0" w:after="283"/>
              <w:jc w:val="left"/>
              <w:rPr>
                <w:sz w:val="4"/>
                <w:szCs w:val="4"/>
              </w:rPr>
            </w:pPr>
            <w:r>
              <w:rPr>
                <w:sz w:val="4"/>
                <w:szCs w:val="4"/>
              </w:rPr>
            </w:r>
          </w:p>
        </w:tc>
        <w:tc>
          <w:tcPr>
            <w:tcW w:w="193" w:type="dxa"/>
            <w:tcBorders/>
            <w:shd w:fill="FFFFFF" w:val="clear"/>
            <w:vAlign w:val="center"/>
          </w:tcPr>
          <w:p>
            <w:pPr>
              <w:pStyle w:val="TableContents"/>
              <w:bidi w:val="0"/>
              <w:spacing w:before="0" w:after="283"/>
              <w:jc w:val="left"/>
              <w:rPr>
                <w:sz w:val="4"/>
                <w:szCs w:val="4"/>
              </w:rPr>
            </w:pPr>
            <w:r>
              <w:rPr>
                <w:sz w:val="4"/>
                <w:szCs w:val="4"/>
              </w:rPr>
            </w:r>
          </w:p>
        </w:tc>
        <w:tc>
          <w:tcPr>
            <w:tcW w:w="1548" w:type="dxa"/>
            <w:tcBorders/>
            <w:shd w:fill="FFFFFF" w:val="clear"/>
            <w:vAlign w:val="center"/>
          </w:tcPr>
          <w:p>
            <w:pPr>
              <w:pStyle w:val="TableContents"/>
              <w:bidi w:val="0"/>
              <w:spacing w:before="0" w:after="283"/>
              <w:jc w:val="left"/>
              <w:rPr>
                <w:sz w:val="4"/>
                <w:szCs w:val="4"/>
              </w:rPr>
            </w:pPr>
            <w:r>
              <w:rPr>
                <w:sz w:val="4"/>
                <w:szCs w:val="4"/>
              </w:rPr>
            </w:r>
          </w:p>
        </w:tc>
      </w:tr>
      <w:tr>
        <w:trPr/>
        <w:tc>
          <w:tcPr>
            <w:tcW w:w="7437" w:type="dxa"/>
            <w:gridSpan w:val="6"/>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20"/>
              </w:rPr>
              <w:t>Includes certain legal expenses, restructuring costs and integration and deal related costs</w:t>
            </w:r>
          </w:p>
        </w:tc>
      </w:tr>
      <w:tr>
        <w:trPr/>
        <w:tc>
          <w:tcPr>
            <w:tcW w:w="5889" w:type="dxa"/>
            <w:gridSpan w:val="5"/>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Columns may not calculate due to rounding.</w:t>
            </w:r>
          </w:p>
        </w:tc>
        <w:tc>
          <w:tcPr>
            <w:tcW w:w="154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7A. QUANTITATIVE AND QUALITATIVE DISCLOSURES ABOUT MARKET RISK</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Foreign currency risk</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Foreign Earnings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international businesses expose us to foreign currency exchange rate changes that can impact translations of foreign-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denominated assets and liabilities into U.S. dollars and future earnings and cash flows from transactions denominated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different currencies. Revenues from our international businesses were </w:t>
      </w:r>
      <w:r>
        <w:rPr>
          <w:rFonts w:ascii="Times New Roman;serif" w:hAnsi="Times New Roman;serif"/>
          <w:b w:val="false"/>
          <w:i w:val="false"/>
          <w:caps w:val="false"/>
          <w:smallCaps w:val="false"/>
          <w:strike w:val="false"/>
          <w:dstrike w:val="false"/>
          <w:sz w:val="20"/>
          <w:u w:val="none"/>
          <w:effect w:val="none"/>
        </w:rPr>
        <w:t>51.3%</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47.7%</w:t>
      </w:r>
      <w:r>
        <w:rPr>
          <w:caps w:val="false"/>
          <w:smallCaps w:val="false"/>
          <w:sz w:val="24"/>
        </w:rPr>
        <w:t xml:space="preserve"> </w:t>
      </w:r>
      <w:r>
        <w:rPr>
          <w:rFonts w:ascii="Times New Roman;serif" w:hAnsi="Times New Roman;serif"/>
          <w:b w:val="false"/>
          <w:i w:val="false"/>
          <w:caps w:val="false"/>
          <w:smallCaps w:val="false"/>
          <w:sz w:val="20"/>
        </w:rPr>
        <w:t xml:space="preserve">of total revenues for the years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respectively. We measure foreign currency exchange risk based on changes in foreign currency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exchange rates using a sensitivity analysis. The sensitivity analysis measures the potential change in earnings based on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hypothetical 10% change in currency exchange rates. Such analysis indicated that a hypothetical 10% change in foreign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currency exchange rates would have increased or decreased consolidated operating income during the year ended </w:t>
      </w:r>
      <w:r>
        <w:rPr>
          <w:rFonts w:ascii="Times New Roman;serif" w:hAnsi="Times New Roman;serif"/>
          <w:b w:val="false"/>
          <w:i w:val="false"/>
          <w:caps w:val="false"/>
          <w:smallCaps w:val="false"/>
          <w:strike w:val="false"/>
          <w:dstrike w:val="false"/>
          <w:sz w:val="20"/>
          <w:u w:val="none"/>
          <w:effect w:val="none"/>
        </w:rPr>
        <w:t xml:space="preserve">December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by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approximately $120.6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 xml:space="preserve">had the U.S. dollar exchange rate increased or decreased relative to the currencies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we had exposure. Similarly, the analysis for the prior year indicated that a hypothetical 10% change in currency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exchange rates would have increased or decreased consolidated operating income for the years ended December 31,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by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approximately </w:t>
      </w:r>
      <w:r>
        <w:rPr>
          <w:rFonts w:ascii="Times New Roman;serif" w:hAnsi="Times New Roman;serif"/>
          <w:b w:val="false"/>
          <w:i w:val="false"/>
          <w:caps w:val="false"/>
          <w:smallCaps w:val="false"/>
          <w:strike w:val="false"/>
          <w:dstrike w:val="false"/>
          <w:sz w:val="20"/>
          <w:u w:val="none"/>
          <w:effect w:val="none"/>
        </w:rPr>
        <w:t>$97.8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million </w:t>
      </w:r>
      <w:r>
        <w:rPr>
          <w:rFonts w:ascii="Times New Roman;serif" w:hAnsi="Times New Roman;serif"/>
          <w:b w:val="false"/>
          <w:i w:val="false"/>
          <w:caps w:val="false"/>
          <w:smallCaps w:val="false"/>
          <w:sz w:val="20"/>
        </w:rPr>
        <w:t xml:space="preserve">had the U.S. dollar exchange rate increased or decreased relative to the currencies to which we had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exposure.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Unhedged Cross-Currency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our cross-border payment solutions, we have additional foreign exchange risk and associated foreign exchange risk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requirements due to the nature of our cross-border payments provider business. The majority of cross-border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revenue is from exchanges of currency at spot rates, which enable customers to make cross-currency payments.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cross-border payment solutions, we also write foreign currency forward and option contracts for customers to facilitate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The duration of these derivative contracts at inception is generally less than one year. We aggregate 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exchange exposures arising from customer contracts, including the derivative contracts described above, and hedge (economic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hedge) the resulting net currency risks by entering into offsetting contracts with established financial institution counterparties.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Interest rate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exposed to the risk of changing interest rates on our cash investments and on the unhedged portion of our variable rate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debt. As of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we had </w:t>
      </w:r>
      <w:r>
        <w:rPr>
          <w:rFonts w:ascii="Times New Roman;serif" w:hAnsi="Times New Roman;serif"/>
          <w:b w:val="false"/>
          <w:i w:val="false"/>
          <w:caps w:val="false"/>
          <w:smallCaps w:val="false"/>
          <w:strike w:val="false"/>
          <w:dstrike w:val="false"/>
          <w:sz w:val="20"/>
          <w:u w:val="none"/>
          <w:effect w:val="none"/>
        </w:rPr>
        <w:t>$8.2 billion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$6.7 billion</w:t>
      </w:r>
      <w:r>
        <w:rPr>
          <w:rFonts w:ascii="Times New Roman;serif" w:hAnsi="Times New Roman;serif"/>
          <w:b w:val="false"/>
          <w:i w:val="false"/>
          <w:caps w:val="false"/>
          <w:smallCaps w:val="false"/>
          <w:sz w:val="20"/>
        </w:rPr>
        <w:t xml:space="preserve">, respectively, of variable rate debt outstanding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under our Credit Agreement, which excludes variable rate debt outstanding under our Securitization Facility of </w:t>
      </w:r>
      <w:r>
        <w:rPr>
          <w:rFonts w:ascii="Times New Roman;serif" w:hAnsi="Times New Roman;serif"/>
          <w:b w:val="false"/>
          <w:i w:val="false"/>
          <w:caps w:val="false"/>
          <w:smallCaps w:val="false"/>
          <w:strike w:val="false"/>
          <w:dstrike w:val="false"/>
          <w:sz w:val="20"/>
          <w:u w:val="none"/>
          <w:effect w:val="none"/>
        </w:rPr>
        <w:t>$1.8 billion</w:t>
      </w:r>
      <w:r>
        <w:rPr>
          <w:rFonts w:ascii="Times New Roman;serif" w:hAnsi="Times New Roman;serif"/>
          <w:b w:val="false"/>
          <w:i w:val="false"/>
          <w:caps w:val="false"/>
          <w:smallCaps w:val="false"/>
          <w:sz w:val="20"/>
        </w:rPr>
        <w:t xml:space="preserve">. See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Note 11 to our Consolidated Financial Statements within this Form 10-K for further information. We use derivative financial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instruments to reduce our exposure related to changes in interest rates.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we had a number of receive-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variable SOFR, pay-fixed interest rate swap derivative contracts with a cumulative notional U.S. dollar value of </w:t>
      </w:r>
      <w:r>
        <w:rPr>
          <w:rFonts w:ascii="Times New Roman;serif" w:hAnsi="Times New Roman;serif"/>
          <w:b w:val="false"/>
          <w:i w:val="false"/>
          <w:caps w:val="false"/>
          <w:smallCaps w:val="false"/>
          <w:strike w:val="false"/>
          <w:dstrike w:val="false"/>
          <w:sz w:val="20"/>
          <w:u w:val="none"/>
          <w:effect w:val="none"/>
        </w:rPr>
        <w:t>$4.5 billion</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objective of these contracts is to reduce the variability of cash flows in the previously unhedged interest payments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associated with variable rate debt, the sole source of which is due to changes in SOFR benchmark interest rate. While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agreements are intended to lessen the impact of rising interest rates on us, they also expose us to the risk that the other parties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agreements will not perform, we could incur significant costs associated with the settlement of the agreements,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agreements will be unenforceable and the underlying transactions will fail to qualify as highly-effective cash flow hedges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GAAP. See Note 16 to our Consolidated Financial Statements within this Form 10-K for further information.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on the amounts and mix of our fixed and floating rate debt (exclusive of our Securitization Facility but inclusive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aforementioned interest rate swaps) at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if market interest rates had increased or decreased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average of 100 basis points, our interest expense for the years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would have changed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approximately $37 million and $22 million, respectively. We determined these amounts by considering the impact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hypothetical interest rates on our borrowing costs. These analyses do not consider the effects of changes in the level of overall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economic activity that could exist in such an environment. These analyses also do not consider the effects of any potential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offsetting impact of changing interest rates on our interest revenues and interest income.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Fuel price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majority of our Vehicle Payments customers use our products and services in connection with the purchase of fuel.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Accordingly, our revenue is affected by fuel prices, which are subject to significant volatility. A decline in retail fuel prices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cause a change in our revenue from several sources, including fees paid to us based on a percentage of each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purchase. Changes in the absolute price of fuel may also impact unpaid account balances and the late fees and charges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on these amounts. The impact of changes in fuel price is somewhat mitigated by our agreements with certain merchants,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where the price paid to the merchant is equal to the lesser of the merchant’s cost plus a markup or a percentage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transaction purchase price. We do not enter into any fuel price derivative instruments.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Fuel price spread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our merchant and network relationships, we derive revenue from the difference between the price charged to a fleet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 for a transaction and the price paid to the merchant or network for the same transaction. For certain of our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the price paid to a merchant or network is calculated as the merchant’s wholesale cost of fuel plus a markup.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merchant’s wholesale cost of fuel is dependent on several factors including, among others, the factors described above affecting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fuel prices. The fuel price that we charge to our customer is dependent on several factors including, among others, the fuel price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paid to the fuel merchant, posted retail fuel prices and competitive fuel prices. We experience fuel price spread contraction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when the merchant’s wholesale cost of fuel increases at a faster rate than the fuel price we charge to our customers, or the fuel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price we charge to our customers decreases at a faster rate than the merchant’s wholesale cost of fuel. Accordingly, if fuel price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spreads contract, we may generate less revenue, which could adversely affect our operating results. The impact of volatility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fuel spreads is somewhat mitigated by our agreements with certain merchants, where the price paid to the merchant is equal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plus a markup or a percentage of the transaction purchase price.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ITEM</w:t>
      </w:r>
      <w:r>
        <w:rPr>
          <w:caps w:val="false"/>
          <w:smallCaps w:val="false"/>
          <w:sz w:val="24"/>
        </w:rPr>
        <w:t> </w:t>
      </w:r>
      <w:r>
        <w:rPr>
          <w:rFonts w:ascii="Times New Roman;serif" w:hAnsi="Times New Roman;serif"/>
          <w:b/>
          <w:i w:val="false"/>
          <w:caps w:val="false"/>
          <w:smallCaps w:val="false"/>
          <w:sz w:val="20"/>
        </w:rPr>
        <w:t>8. FINANCIAL STATEMENTS AND SUPPLEMENTARY DATA</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INDEX TO CONSOLIDATED FINANCIAL STATEMENTS</w:t>
      </w:r>
    </w:p>
    <w:p>
      <w:pPr>
        <w:pStyle w:val="TextBody"/>
        <w:bidi w:val="0"/>
        <w:spacing w:lineRule="atLeast" w:line="240" w:before="0" w:after="0"/>
        <w:jc w:val="left"/>
        <w:rPr>
          <w:caps w:val="false"/>
          <w:smallCaps w:val="false"/>
        </w:rPr>
      </w:pPr>
      <w:r>
        <w:rPr>
          <w:caps w:val="false"/>
          <w:smallCaps w:val="false"/>
        </w:rPr>
        <w:t> </w:t>
      </w:r>
    </w:p>
    <w:tbl>
      <w:tblPr>
        <w:tblW w:w="9422" w:type="dxa"/>
        <w:jc w:val="left"/>
        <w:tblInd w:w="0" w:type="dxa"/>
        <w:tblLayout w:type="fixed"/>
        <w:tblCellMar>
          <w:top w:w="28" w:type="dxa"/>
          <w:left w:w="28" w:type="dxa"/>
          <w:bottom w:w="28" w:type="dxa"/>
          <w:right w:w="28" w:type="dxa"/>
        </w:tblCellMar>
      </w:tblPr>
      <w:tblGrid>
        <w:gridCol w:w="8911"/>
        <w:gridCol w:w="511"/>
      </w:tblGrid>
      <w:tr>
        <w:trPr/>
        <w:tc>
          <w:tcPr>
            <w:tcW w:w="89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9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9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511" w:type="dxa"/>
            <w:tcBorders/>
            <w:vAlign w:val="center"/>
          </w:tcPr>
          <w:p>
            <w:pPr>
              <w:pStyle w:val="TableContents"/>
              <w:bidi w:val="0"/>
              <w:spacing w:lineRule="atLeast" w:line="160"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Page</w:t>
            </w:r>
          </w:p>
        </w:tc>
      </w:tr>
      <w:tr>
        <w:trPr/>
        <w:tc>
          <w:tcPr>
            <w:tcW w:w="8911" w:type="dxa"/>
            <w:tcBorders/>
            <w:vAlign w:val="center"/>
          </w:tcPr>
          <w:p>
            <w:pPr>
              <w:pStyle w:val="TableContents"/>
              <w:bidi w:val="0"/>
              <w:spacing w:lineRule="atLeast" w:line="200" w:before="0" w:after="0"/>
              <w:jc w:val="left"/>
              <w:rPr/>
            </w:pPr>
            <w:hyperlink w:anchor="i27d5f920da3f4d0c86f822f7ff119dbf_67">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Report of Independent Registered Public Accounting Firm (PCAOB ID: </w:t>
              </w:r>
            </w:hyperlink>
            <w:r>
              <w:rPr>
                <w:rFonts w:ascii="Times New Roman;serif" w:hAnsi="Times New Roman;serif"/>
                <w:b w:val="false"/>
                <w:i w:val="false"/>
                <w:caps w:val="false"/>
                <w:smallCaps w:val="false"/>
                <w:strike w:val="false"/>
                <w:dstrike w:val="false"/>
                <w:color w:val="3051F2"/>
                <w:sz w:val="20"/>
                <w:u w:val="none"/>
                <w:effect w:val="none"/>
              </w:rPr>
              <w:t>42</w:t>
            </w:r>
            <w:hyperlink w:anchor="i27d5f920da3f4d0c86f822f7ff119dbf_67">
              <w:r>
                <w:rPr>
                  <w:rStyle w:val="InternetLink"/>
                  <w:rFonts w:ascii="Times New Roman;serif" w:hAnsi="Times New Roman;serif"/>
                  <w:b w:val="false"/>
                  <w:i w:val="false"/>
                  <w:caps w:val="false"/>
                  <w:smallCaps w:val="false"/>
                  <w:strike w:val="false"/>
                  <w:dstrike w:val="false"/>
                  <w:color w:val="3051F2"/>
                  <w:sz w:val="20"/>
                  <w:u w:val="single"/>
                  <w:effect w:val="none"/>
                </w:rPr>
                <w:t>)</w:t>
              </w:r>
            </w:hyperlink>
          </w:p>
        </w:tc>
        <w:tc>
          <w:tcPr>
            <w:tcW w:w="511" w:type="dxa"/>
            <w:tcBorders/>
            <w:shd w:fill="FFFFFF" w:val="clear"/>
            <w:vAlign w:val="center"/>
          </w:tcPr>
          <w:p>
            <w:pPr>
              <w:pStyle w:val="TableContents"/>
              <w:bidi w:val="0"/>
              <w:spacing w:lineRule="atLeast" w:line="200" w:before="0" w:after="0"/>
              <w:jc w:val="left"/>
              <w:rPr/>
            </w:pPr>
            <w:hyperlink w:anchor="i27d5f920da3f4d0c86f822f7ff119dbf_67">
              <w:r>
                <w:rPr>
                  <w:rStyle w:val="InternetLink"/>
                  <w:rFonts w:ascii="Times New Roman;serif" w:hAnsi="Times New Roman;serif"/>
                  <w:b w:val="false"/>
                  <w:i w:val="false"/>
                  <w:caps w:val="false"/>
                  <w:smallCaps w:val="false"/>
                  <w:strike w:val="false"/>
                  <w:dstrike w:val="false"/>
                  <w:color w:val="000000"/>
                  <w:sz w:val="20"/>
                  <w:u w:val="single"/>
                  <w:effect w:val="none"/>
                </w:rPr>
                <w:t>61</w:t>
              </w:r>
            </w:hyperlink>
          </w:p>
        </w:tc>
      </w:tr>
      <w:tr>
        <w:trPr/>
        <w:tc>
          <w:tcPr>
            <w:tcW w:w="8911" w:type="dxa"/>
            <w:tcBorders/>
            <w:vAlign w:val="center"/>
          </w:tcPr>
          <w:p>
            <w:pPr>
              <w:pStyle w:val="TableContents"/>
              <w:bidi w:val="0"/>
              <w:spacing w:lineRule="atLeast" w:line="200" w:before="0" w:after="0"/>
              <w:jc w:val="left"/>
              <w:rPr/>
            </w:pPr>
            <w:hyperlink w:anchor="i27d5f920da3f4d0c86f822f7ff119dbf_70">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Consolidated Balance Sheets at December 31, </w:t>
              </w:r>
            </w:hyperlink>
            <w:r>
              <w:rPr>
                <w:rFonts w:ascii="Times New Roman;serif" w:hAnsi="Times New Roman;serif"/>
                <w:b w:val="false"/>
                <w:i w:val="false"/>
                <w:caps w:val="false"/>
                <w:smallCaps w:val="false"/>
                <w:strike w:val="false"/>
                <w:dstrike w:val="false"/>
                <w:color w:val="3051F2"/>
                <w:sz w:val="20"/>
                <w:u w:val="none"/>
                <w:effect w:val="none"/>
              </w:rPr>
              <w:t>2025</w:t>
            </w:r>
            <w:hyperlink w:anchor="i27d5f920da3f4d0c86f822f7ff119dbf_70">
              <w:r>
                <w:rPr>
                  <w:rStyle w:val="InternetLink"/>
                  <w:caps w:val="false"/>
                  <w:smallCaps w:val="false"/>
                  <w:strike w:val="false"/>
                  <w:dstrike w:val="false"/>
                  <w:color w:val="3051F2"/>
                  <w:sz w:val="24"/>
                  <w:u w:val="single"/>
                  <w:effect w:val="none"/>
                </w:rPr>
                <w:t xml:space="preserve"> </w:t>
              </w:r>
            </w:hyperlink>
            <w:hyperlink w:anchor="i27d5f920da3f4d0c86f822f7ff119dbf_70">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and </w:t>
              </w:r>
            </w:hyperlink>
            <w:r>
              <w:rPr>
                <w:rFonts w:ascii="Times New Roman;serif" w:hAnsi="Times New Roman;serif"/>
                <w:b w:val="false"/>
                <w:i w:val="false"/>
                <w:caps w:val="false"/>
                <w:smallCaps w:val="false"/>
                <w:strike w:val="false"/>
                <w:dstrike w:val="false"/>
                <w:color w:val="3051F2"/>
                <w:sz w:val="20"/>
                <w:u w:val="none"/>
                <w:effect w:val="none"/>
              </w:rPr>
              <w:t>2024</w:t>
            </w:r>
          </w:p>
        </w:tc>
        <w:tc>
          <w:tcPr>
            <w:tcW w:w="511" w:type="dxa"/>
            <w:tcBorders/>
            <w:shd w:fill="FFFFFF" w:val="clear"/>
            <w:vAlign w:val="center"/>
          </w:tcPr>
          <w:p>
            <w:pPr>
              <w:pStyle w:val="TableContents"/>
              <w:bidi w:val="0"/>
              <w:spacing w:lineRule="atLeast" w:line="200" w:before="0" w:after="0"/>
              <w:jc w:val="left"/>
              <w:rPr/>
            </w:pPr>
            <w:hyperlink w:anchor="i27d5f920da3f4d0c86f822f7ff119dbf_70">
              <w:r>
                <w:rPr>
                  <w:rStyle w:val="InternetLink"/>
                  <w:rFonts w:ascii="Times New Roman;serif" w:hAnsi="Times New Roman;serif"/>
                  <w:b w:val="false"/>
                  <w:i w:val="false"/>
                  <w:caps w:val="false"/>
                  <w:smallCaps w:val="false"/>
                  <w:strike w:val="false"/>
                  <w:dstrike w:val="false"/>
                  <w:color w:val="000000"/>
                  <w:sz w:val="20"/>
                  <w:u w:val="single"/>
                  <w:effect w:val="none"/>
                </w:rPr>
                <w:t>63</w:t>
              </w:r>
            </w:hyperlink>
          </w:p>
        </w:tc>
      </w:tr>
      <w:tr>
        <w:trPr/>
        <w:tc>
          <w:tcPr>
            <w:tcW w:w="8911" w:type="dxa"/>
            <w:tcBorders/>
            <w:vAlign w:val="center"/>
          </w:tcPr>
          <w:p>
            <w:pPr>
              <w:pStyle w:val="TableContents"/>
              <w:bidi w:val="0"/>
              <w:spacing w:lineRule="atLeast" w:line="200" w:before="0" w:after="0"/>
              <w:jc w:val="left"/>
              <w:rPr/>
            </w:pPr>
            <w:hyperlink w:anchor="i27d5f920da3f4d0c86f822f7ff119dbf_73">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Consolidated Statements of Income for the Years Ended December 31, </w:t>
              </w:r>
            </w:hyperlink>
            <w:r>
              <w:rPr>
                <w:rFonts w:ascii="Times New Roman;serif" w:hAnsi="Times New Roman;serif"/>
                <w:b w:val="false"/>
                <w:i w:val="false"/>
                <w:caps w:val="false"/>
                <w:smallCaps w:val="false"/>
                <w:strike w:val="false"/>
                <w:dstrike w:val="false"/>
                <w:color w:val="3051F2"/>
                <w:sz w:val="20"/>
                <w:u w:val="none"/>
                <w:effect w:val="none"/>
              </w:rPr>
              <w:t>2025</w:t>
            </w:r>
            <w:hyperlink w:anchor="i27d5f920da3f4d0c86f822f7ff119dbf_73">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 </w:t>
              </w:r>
            </w:hyperlink>
            <w:r>
              <w:rPr>
                <w:rFonts w:ascii="Times New Roman;serif" w:hAnsi="Times New Roman;serif"/>
                <w:b w:val="false"/>
                <w:i w:val="false"/>
                <w:caps w:val="false"/>
                <w:smallCaps w:val="false"/>
                <w:strike w:val="false"/>
                <w:dstrike w:val="false"/>
                <w:color w:val="3051F2"/>
                <w:sz w:val="20"/>
                <w:u w:val="none"/>
                <w:effect w:val="none"/>
              </w:rPr>
              <w:t>2024</w:t>
            </w:r>
            <w:hyperlink w:anchor="i27d5f920da3f4d0c86f822f7ff119dbf_73">
              <w:r>
                <w:rPr>
                  <w:rStyle w:val="InternetLink"/>
                  <w:caps w:val="false"/>
                  <w:smallCaps w:val="false"/>
                  <w:strike w:val="false"/>
                  <w:dstrike w:val="false"/>
                  <w:color w:val="3051F2"/>
                  <w:sz w:val="24"/>
                  <w:u w:val="single"/>
                  <w:effect w:val="none"/>
                </w:rPr>
                <w:t xml:space="preserve"> </w:t>
              </w:r>
            </w:hyperlink>
            <w:hyperlink w:anchor="i27d5f920da3f4d0c86f822f7ff119dbf_73">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and </w:t>
              </w:r>
            </w:hyperlink>
            <w:r>
              <w:rPr>
                <w:rFonts w:ascii="Times New Roman;serif" w:hAnsi="Times New Roman;serif"/>
                <w:b w:val="false"/>
                <w:i w:val="false"/>
                <w:caps w:val="false"/>
                <w:smallCaps w:val="false"/>
                <w:strike w:val="false"/>
                <w:dstrike w:val="false"/>
                <w:color w:val="3051F2"/>
                <w:sz w:val="20"/>
                <w:u w:val="none"/>
                <w:effect w:val="none"/>
              </w:rPr>
              <w:t>2023</w:t>
            </w:r>
          </w:p>
        </w:tc>
        <w:tc>
          <w:tcPr>
            <w:tcW w:w="511" w:type="dxa"/>
            <w:tcBorders/>
            <w:shd w:fill="FFFFFF" w:val="clear"/>
            <w:vAlign w:val="center"/>
          </w:tcPr>
          <w:p>
            <w:pPr>
              <w:pStyle w:val="TableContents"/>
              <w:bidi w:val="0"/>
              <w:spacing w:lineRule="atLeast" w:line="200" w:before="0" w:after="0"/>
              <w:jc w:val="left"/>
              <w:rPr/>
            </w:pPr>
            <w:hyperlink w:anchor="i27d5f920da3f4d0c86f822f7ff119dbf_73">
              <w:r>
                <w:rPr>
                  <w:rStyle w:val="InternetLink"/>
                  <w:rFonts w:ascii="Times New Roman;serif" w:hAnsi="Times New Roman;serif"/>
                  <w:b w:val="false"/>
                  <w:i w:val="false"/>
                  <w:caps w:val="false"/>
                  <w:smallCaps w:val="false"/>
                  <w:strike w:val="false"/>
                  <w:dstrike w:val="false"/>
                  <w:color w:val="000000"/>
                  <w:sz w:val="20"/>
                  <w:u w:val="single"/>
                  <w:effect w:val="none"/>
                </w:rPr>
                <w:t>64</w:t>
              </w:r>
            </w:hyperlink>
          </w:p>
        </w:tc>
      </w:tr>
      <w:tr>
        <w:trPr/>
        <w:tc>
          <w:tcPr>
            <w:tcW w:w="8911" w:type="dxa"/>
            <w:tcBorders/>
            <w:vAlign w:val="center"/>
          </w:tcPr>
          <w:p>
            <w:pPr>
              <w:pStyle w:val="TableContents"/>
              <w:bidi w:val="0"/>
              <w:spacing w:lineRule="atLeast" w:line="200" w:before="0" w:after="0"/>
              <w:jc w:val="left"/>
              <w:rPr/>
            </w:pPr>
            <w:hyperlink w:anchor="i27d5f920da3f4d0c86f822f7ff119dbf_76">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Consolidated Statements of Comprehensive Income for the Years Ended December 31, </w:t>
              </w:r>
            </w:hyperlink>
            <w:r>
              <w:rPr>
                <w:rFonts w:ascii="Times New Roman;serif" w:hAnsi="Times New Roman;serif"/>
                <w:b w:val="false"/>
                <w:i w:val="false"/>
                <w:caps w:val="false"/>
                <w:smallCaps w:val="false"/>
                <w:strike w:val="false"/>
                <w:dstrike w:val="false"/>
                <w:color w:val="3051F2"/>
                <w:sz w:val="20"/>
                <w:u w:val="none"/>
                <w:effect w:val="none"/>
              </w:rPr>
              <w:t>2025</w:t>
            </w:r>
            <w:hyperlink w:anchor="i27d5f920da3f4d0c86f822f7ff119dbf_76">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 </w:t>
              </w:r>
            </w:hyperlink>
            <w:r>
              <w:rPr>
                <w:rFonts w:ascii="Times New Roman;serif" w:hAnsi="Times New Roman;serif"/>
                <w:b w:val="false"/>
                <w:i w:val="false"/>
                <w:caps w:val="false"/>
                <w:smallCaps w:val="false"/>
                <w:strike w:val="false"/>
                <w:dstrike w:val="false"/>
                <w:color w:val="3051F2"/>
                <w:sz w:val="20"/>
                <w:u w:val="none"/>
                <w:effect w:val="none"/>
              </w:rPr>
              <w:t>2024</w:t>
            </w:r>
            <w:hyperlink w:anchor="i27d5f920da3f4d0c86f822f7ff119dbf_76">
              <w:r>
                <w:rPr>
                  <w:rStyle w:val="InternetLink"/>
                  <w:caps w:val="false"/>
                  <w:smallCaps w:val="false"/>
                  <w:strike w:val="false"/>
                  <w:dstrike w:val="false"/>
                  <w:color w:val="3051F2"/>
                  <w:sz w:val="24"/>
                  <w:u w:val="single"/>
                  <w:effect w:val="none"/>
                </w:rPr>
                <w:t xml:space="preserve"> </w:t>
              </w:r>
            </w:hyperlink>
            <w:hyperlink w:anchor="i27d5f920da3f4d0c86f822f7ff119dbf_76">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and </w:t>
              </w:r>
            </w:hyperlink>
            <w:r>
              <w:rPr>
                <w:rFonts w:ascii="Times New Roman;serif" w:hAnsi="Times New Roman;serif"/>
                <w:b w:val="false"/>
                <w:i w:val="false"/>
                <w:caps w:val="false"/>
                <w:smallCaps w:val="false"/>
                <w:strike w:val="false"/>
                <w:dstrike w:val="false"/>
                <w:color w:val="3051F2"/>
                <w:sz w:val="20"/>
                <w:u w:val="none"/>
                <w:effect w:val="none"/>
              </w:rPr>
              <w:t>2023</w:t>
            </w:r>
          </w:p>
        </w:tc>
        <w:tc>
          <w:tcPr>
            <w:tcW w:w="511" w:type="dxa"/>
            <w:tcBorders/>
            <w:shd w:fill="FFFFFF" w:val="clear"/>
            <w:vAlign w:val="center"/>
          </w:tcPr>
          <w:p>
            <w:pPr>
              <w:pStyle w:val="TableContents"/>
              <w:bidi w:val="0"/>
              <w:spacing w:lineRule="atLeast" w:line="200" w:before="0" w:after="0"/>
              <w:jc w:val="left"/>
              <w:rPr/>
            </w:pPr>
            <w:hyperlink w:anchor="i27d5f920da3f4d0c86f822f7ff119dbf_76">
              <w:r>
                <w:rPr>
                  <w:rStyle w:val="InternetLink"/>
                  <w:rFonts w:ascii="Times New Roman;serif" w:hAnsi="Times New Roman;serif"/>
                  <w:b w:val="false"/>
                  <w:i w:val="false"/>
                  <w:caps w:val="false"/>
                  <w:smallCaps w:val="false"/>
                  <w:strike w:val="false"/>
                  <w:dstrike w:val="false"/>
                  <w:color w:val="000000"/>
                  <w:sz w:val="20"/>
                  <w:u w:val="single"/>
                  <w:effect w:val="none"/>
                </w:rPr>
                <w:t>65</w:t>
              </w:r>
            </w:hyperlink>
          </w:p>
        </w:tc>
      </w:tr>
      <w:tr>
        <w:trPr/>
        <w:tc>
          <w:tcPr>
            <w:tcW w:w="8911" w:type="dxa"/>
            <w:tcBorders/>
            <w:vAlign w:val="center"/>
          </w:tcPr>
          <w:p>
            <w:pPr>
              <w:pStyle w:val="TableContents"/>
              <w:bidi w:val="0"/>
              <w:spacing w:lineRule="atLeast" w:line="200" w:before="0" w:after="0"/>
              <w:jc w:val="left"/>
              <w:rPr/>
            </w:pPr>
            <w:hyperlink w:anchor="i27d5f920da3f4d0c86f822f7ff119dbf_79">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Consolidated Statements of Equity for the Years Ended December 31, </w:t>
              </w:r>
            </w:hyperlink>
            <w:r>
              <w:rPr>
                <w:rFonts w:ascii="Times New Roman;serif" w:hAnsi="Times New Roman;serif"/>
                <w:b w:val="false"/>
                <w:i w:val="false"/>
                <w:caps w:val="false"/>
                <w:smallCaps w:val="false"/>
                <w:strike w:val="false"/>
                <w:dstrike w:val="false"/>
                <w:color w:val="3051F2"/>
                <w:sz w:val="20"/>
                <w:u w:val="none"/>
                <w:effect w:val="none"/>
              </w:rPr>
              <w:t>2025</w:t>
            </w:r>
            <w:hyperlink w:anchor="i27d5f920da3f4d0c86f822f7ff119dbf_79">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 </w:t>
              </w:r>
            </w:hyperlink>
            <w:r>
              <w:rPr>
                <w:rFonts w:ascii="Times New Roman;serif" w:hAnsi="Times New Roman;serif"/>
                <w:b w:val="false"/>
                <w:i w:val="false"/>
                <w:caps w:val="false"/>
                <w:smallCaps w:val="false"/>
                <w:strike w:val="false"/>
                <w:dstrike w:val="false"/>
                <w:color w:val="3051F2"/>
                <w:sz w:val="20"/>
                <w:u w:val="none"/>
                <w:effect w:val="none"/>
              </w:rPr>
              <w:t>2024</w:t>
            </w:r>
            <w:hyperlink w:anchor="i27d5f920da3f4d0c86f822f7ff119dbf_79">
              <w:r>
                <w:rPr>
                  <w:rStyle w:val="InternetLink"/>
                  <w:caps w:val="false"/>
                  <w:smallCaps w:val="false"/>
                  <w:strike w:val="false"/>
                  <w:dstrike w:val="false"/>
                  <w:color w:val="3051F2"/>
                  <w:sz w:val="24"/>
                  <w:u w:val="single"/>
                  <w:effect w:val="none"/>
                </w:rPr>
                <w:t xml:space="preserve"> </w:t>
              </w:r>
            </w:hyperlink>
            <w:hyperlink w:anchor="i27d5f920da3f4d0c86f822f7ff119dbf_79">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and </w:t>
              </w:r>
            </w:hyperlink>
            <w:r>
              <w:rPr>
                <w:rFonts w:ascii="Times New Roman;serif" w:hAnsi="Times New Roman;serif"/>
                <w:b w:val="false"/>
                <w:i w:val="false"/>
                <w:caps w:val="false"/>
                <w:smallCaps w:val="false"/>
                <w:strike w:val="false"/>
                <w:dstrike w:val="false"/>
                <w:color w:val="3051F2"/>
                <w:sz w:val="20"/>
                <w:u w:val="none"/>
                <w:effect w:val="none"/>
              </w:rPr>
              <w:t>2023</w:t>
            </w:r>
          </w:p>
        </w:tc>
        <w:tc>
          <w:tcPr>
            <w:tcW w:w="511" w:type="dxa"/>
            <w:tcBorders/>
            <w:shd w:fill="FFFFFF" w:val="clear"/>
            <w:vAlign w:val="center"/>
          </w:tcPr>
          <w:p>
            <w:pPr>
              <w:pStyle w:val="TableContents"/>
              <w:bidi w:val="0"/>
              <w:spacing w:lineRule="atLeast" w:line="200" w:before="0" w:after="0"/>
              <w:jc w:val="left"/>
              <w:rPr/>
            </w:pPr>
            <w:hyperlink w:anchor="i27d5f920da3f4d0c86f822f7ff119dbf_79">
              <w:r>
                <w:rPr>
                  <w:rStyle w:val="InternetLink"/>
                  <w:rFonts w:ascii="Times New Roman;serif" w:hAnsi="Times New Roman;serif"/>
                  <w:b w:val="false"/>
                  <w:i w:val="false"/>
                  <w:caps w:val="false"/>
                  <w:smallCaps w:val="false"/>
                  <w:strike w:val="false"/>
                  <w:dstrike w:val="false"/>
                  <w:color w:val="000000"/>
                  <w:sz w:val="20"/>
                  <w:u w:val="single"/>
                  <w:effect w:val="none"/>
                </w:rPr>
                <w:t>66</w:t>
              </w:r>
            </w:hyperlink>
          </w:p>
        </w:tc>
      </w:tr>
      <w:tr>
        <w:trPr/>
        <w:tc>
          <w:tcPr>
            <w:tcW w:w="8911" w:type="dxa"/>
            <w:tcBorders/>
            <w:vAlign w:val="center"/>
          </w:tcPr>
          <w:p>
            <w:pPr>
              <w:pStyle w:val="TableContents"/>
              <w:bidi w:val="0"/>
              <w:spacing w:lineRule="atLeast" w:line="200" w:before="0" w:after="0"/>
              <w:jc w:val="left"/>
              <w:rPr/>
            </w:pPr>
            <w:hyperlink w:anchor="i27d5f920da3f4d0c86f822f7ff119dbf_82">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Consolidated Statements of Cash Flows for the Years Ended December 31, </w:t>
              </w:r>
            </w:hyperlink>
            <w:r>
              <w:rPr>
                <w:rFonts w:ascii="Times New Roman;serif" w:hAnsi="Times New Roman;serif"/>
                <w:b w:val="false"/>
                <w:i w:val="false"/>
                <w:caps w:val="false"/>
                <w:smallCaps w:val="false"/>
                <w:strike w:val="false"/>
                <w:dstrike w:val="false"/>
                <w:color w:val="3051F2"/>
                <w:sz w:val="20"/>
                <w:u w:val="none"/>
                <w:effect w:val="none"/>
              </w:rPr>
              <w:t>2025</w:t>
            </w:r>
            <w:hyperlink w:anchor="i27d5f920da3f4d0c86f822f7ff119dbf_82">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 </w:t>
              </w:r>
            </w:hyperlink>
            <w:r>
              <w:rPr>
                <w:rFonts w:ascii="Times New Roman;serif" w:hAnsi="Times New Roman;serif"/>
                <w:b w:val="false"/>
                <w:i w:val="false"/>
                <w:caps w:val="false"/>
                <w:smallCaps w:val="false"/>
                <w:strike w:val="false"/>
                <w:dstrike w:val="false"/>
                <w:color w:val="3051F2"/>
                <w:sz w:val="20"/>
                <w:u w:val="none"/>
                <w:effect w:val="none"/>
              </w:rPr>
              <w:t>2024</w:t>
            </w:r>
            <w:hyperlink w:anchor="i27d5f920da3f4d0c86f822f7ff119dbf_82">
              <w:r>
                <w:rPr>
                  <w:rStyle w:val="InternetLink"/>
                  <w:caps w:val="false"/>
                  <w:smallCaps w:val="false"/>
                  <w:strike w:val="false"/>
                  <w:dstrike w:val="false"/>
                  <w:color w:val="3051F2"/>
                  <w:sz w:val="24"/>
                  <w:u w:val="single"/>
                  <w:effect w:val="none"/>
                </w:rPr>
                <w:t xml:space="preserve"> </w:t>
              </w:r>
            </w:hyperlink>
            <w:hyperlink w:anchor="i27d5f920da3f4d0c86f822f7ff119dbf_82">
              <w:r>
                <w:rPr>
                  <w:rStyle w:val="InternetLink"/>
                  <w:rFonts w:ascii="Times New Roman;serif" w:hAnsi="Times New Roman;serif"/>
                  <w:b w:val="false"/>
                  <w:i w:val="false"/>
                  <w:caps w:val="false"/>
                  <w:smallCaps w:val="false"/>
                  <w:strike w:val="false"/>
                  <w:dstrike w:val="false"/>
                  <w:color w:val="3051F2"/>
                  <w:sz w:val="20"/>
                  <w:u w:val="single"/>
                  <w:effect w:val="none"/>
                </w:rPr>
                <w:t xml:space="preserve">and </w:t>
              </w:r>
            </w:hyperlink>
            <w:r>
              <w:rPr>
                <w:rFonts w:ascii="Times New Roman;serif" w:hAnsi="Times New Roman;serif"/>
                <w:b w:val="false"/>
                <w:i w:val="false"/>
                <w:caps w:val="false"/>
                <w:smallCaps w:val="false"/>
                <w:strike w:val="false"/>
                <w:dstrike w:val="false"/>
                <w:color w:val="3051F2"/>
                <w:sz w:val="20"/>
                <w:u w:val="none"/>
                <w:effect w:val="none"/>
              </w:rPr>
              <w:t>2023</w:t>
            </w:r>
          </w:p>
        </w:tc>
        <w:tc>
          <w:tcPr>
            <w:tcW w:w="511" w:type="dxa"/>
            <w:tcBorders/>
            <w:shd w:fill="FFFFFF" w:val="clear"/>
            <w:vAlign w:val="center"/>
          </w:tcPr>
          <w:p>
            <w:pPr>
              <w:pStyle w:val="TableContents"/>
              <w:bidi w:val="0"/>
              <w:spacing w:lineRule="atLeast" w:line="200" w:before="0" w:after="0"/>
              <w:jc w:val="left"/>
              <w:rPr/>
            </w:pPr>
            <w:hyperlink w:anchor="i27d5f920da3f4d0c86f822f7ff119dbf_82">
              <w:r>
                <w:rPr>
                  <w:rStyle w:val="InternetLink"/>
                  <w:rFonts w:ascii="Times New Roman;serif" w:hAnsi="Times New Roman;serif"/>
                  <w:b w:val="false"/>
                  <w:i w:val="false"/>
                  <w:caps w:val="false"/>
                  <w:smallCaps w:val="false"/>
                  <w:strike w:val="false"/>
                  <w:dstrike w:val="false"/>
                  <w:color w:val="000000"/>
                  <w:sz w:val="20"/>
                  <w:u w:val="single"/>
                  <w:effect w:val="none"/>
                </w:rPr>
                <w:t>67</w:t>
              </w:r>
            </w:hyperlink>
          </w:p>
        </w:tc>
      </w:tr>
      <w:tr>
        <w:trPr/>
        <w:tc>
          <w:tcPr>
            <w:tcW w:w="8911" w:type="dxa"/>
            <w:tcBorders/>
            <w:vAlign w:val="center"/>
          </w:tcPr>
          <w:p>
            <w:pPr>
              <w:pStyle w:val="TableContents"/>
              <w:bidi w:val="0"/>
              <w:spacing w:lineRule="atLeast" w:line="200" w:before="0" w:after="0"/>
              <w:jc w:val="left"/>
              <w:rPr/>
            </w:pPr>
            <w:hyperlink w:anchor="i27d5f920da3f4d0c86f822f7ff119dbf_85">
              <w:r>
                <w:rPr>
                  <w:rStyle w:val="InternetLink"/>
                  <w:rFonts w:ascii="Times New Roman;serif" w:hAnsi="Times New Roman;serif"/>
                  <w:b w:val="false"/>
                  <w:i w:val="false"/>
                  <w:caps w:val="false"/>
                  <w:smallCaps w:val="false"/>
                  <w:strike w:val="false"/>
                  <w:dstrike w:val="false"/>
                  <w:color w:val="3051F2"/>
                  <w:sz w:val="20"/>
                  <w:u w:val="single"/>
                  <w:effect w:val="none"/>
                </w:rPr>
                <w:t>Notes to Consolidated Financial Statements</w:t>
              </w:r>
            </w:hyperlink>
          </w:p>
        </w:tc>
        <w:tc>
          <w:tcPr>
            <w:tcW w:w="511" w:type="dxa"/>
            <w:tcBorders/>
            <w:shd w:fill="FFFFFF" w:val="clear"/>
            <w:vAlign w:val="center"/>
          </w:tcPr>
          <w:p>
            <w:pPr>
              <w:pStyle w:val="TableContents"/>
              <w:bidi w:val="0"/>
              <w:spacing w:lineRule="atLeast" w:line="200" w:before="0" w:after="0"/>
              <w:jc w:val="left"/>
              <w:rPr/>
            </w:pPr>
            <w:hyperlink w:anchor="i27d5f920da3f4d0c86f822f7ff119dbf_85">
              <w:r>
                <w:rPr>
                  <w:rStyle w:val="InternetLink"/>
                  <w:rFonts w:ascii="Times New Roman;serif" w:hAnsi="Times New Roman;serif"/>
                  <w:b w:val="false"/>
                  <w:i w:val="false"/>
                  <w:caps w:val="false"/>
                  <w:smallCaps w:val="false"/>
                  <w:strike w:val="false"/>
                  <w:dstrike w:val="false"/>
                  <w:color w:val="000000"/>
                  <w:sz w:val="20"/>
                  <w:u w:val="single"/>
                  <w:effect w:val="none"/>
                </w:rPr>
                <w:t>68</w:t>
              </w:r>
            </w:hyperlink>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Report of Independent Registered Public Accounting Firm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the Stockholders and the Board of Directors of Corpay,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Opinion on the Financial Statements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We have audited the accompanying consolidated balance sheets of Corpay, Inc. and subsidiaries (the Company) as of </w:t>
      </w:r>
      <w:r>
        <w:rPr>
          <w:rFonts w:ascii="Times New Roman;serif" w:hAnsi="Times New Roman;serif"/>
          <w:b w:val="false"/>
          <w:i w:val="false"/>
          <w:caps w:val="false"/>
          <w:smallCaps w:val="false"/>
          <w:strike w:val="false"/>
          <w:dstrike w:val="false"/>
          <w:sz w:val="20"/>
          <w:u w:val="none"/>
          <w:effect w:val="none"/>
        </w:rPr>
        <w:t xml:space="preserve">December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the related consolidated statements of income, comprehensive income, equity and cash flows for each of the three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years in the period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and the related notes (collectively referred to as the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In our opinion, the consolidated financial statements present fairly, in all material respects, the financial position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Company at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and the results of its operations and its cash flows for each of the three years 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period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in conformity with U.S. generally accepted accounting principles.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have audited, in accordance with the standards of the Public Company Accounting Oversight Board (United States)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(PCAOB), the Company's internal control over financial reporting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based on criteria established in Internal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Control-Integrated Framework issued by the Committee of Sponsoring Organizations of the Treadway Commission (2013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framework) and our report dated </w:t>
      </w:r>
      <w:r>
        <w:rPr>
          <w:rFonts w:ascii="Times New Roman;serif" w:hAnsi="Times New Roman;serif"/>
          <w:b w:val="false"/>
          <w:i w:val="false"/>
          <w:caps w:val="false"/>
          <w:smallCaps w:val="false"/>
          <w:strike w:val="false"/>
          <w:dstrike w:val="false"/>
          <w:sz w:val="20"/>
          <w:u w:val="none"/>
          <w:effect w:val="none"/>
        </w:rPr>
        <w:t>February 26, 2026</w:t>
      </w:r>
      <w:r>
        <w:rPr>
          <w:caps w:val="false"/>
          <w:smallCaps w:val="false"/>
          <w:sz w:val="24"/>
        </w:rPr>
        <w:t xml:space="preserve"> </w:t>
      </w:r>
      <w:r>
        <w:rPr>
          <w:rFonts w:ascii="Times New Roman;serif" w:hAnsi="Times New Roman;serif"/>
          <w:b w:val="false"/>
          <w:i w:val="false"/>
          <w:caps w:val="false"/>
          <w:smallCaps w:val="false"/>
          <w:sz w:val="20"/>
        </w:rPr>
        <w:t>expressed an unqualified opinion thereon.</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for Opinion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financial statements are the responsibility of the Company's management. Our responsibility is to express an opinion 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Company’s financial statements based on our audits. We are a public accounting firm registered with the PCAOB and are required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be independent with respect to the Company in accordance with the U.S. federal securities laws and the applicable rules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regulations of the Securities and Exchange Commission and the PCAOB.</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We conducted our audits in accordance with the standards of the PCAOB. Those standards require that we plan and perform the</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audit to obtain reasonable assurance about whether the financial statements are free of material misstatement, whether due to error</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or fraud. Our audits included performing procedures to assess the risks of material misstatement of the financial statements, whether</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due to error or fraud, and performing procedures that respond to those risks. Such procedures included examining, on a test basis,</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evidence regarding the amounts and disclosures in the financial statements. Our audits also included evaluating the accounting</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principles used and significant estimates made by management, as well as evaluating the overall presentation of the financial</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statements. We believe that our audits provide a reasonable basis for our opinion.</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Audit Matters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The critical audit matters communicated below are matters arising from the current period audit of the financial statements that were</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communicated or required to be communicated to the audit committee and that: (1) relate to accounts or disclosures that are material</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to the financial statements and (2) involved our especially challenging, subjective or complex judgments. The communication of</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critical audit matters does not alter in any way our opinion on the consolidated financial statements, taken as a whole, and we are</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not, by communicating the critical audit matters below, providing separate opinions on the critical audit matters or on the accounts</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or disclosures to which they relate.</w:t>
      </w:r>
    </w:p>
    <w:tbl>
      <w:tblPr>
        <w:tblW w:w="10205" w:type="dxa"/>
        <w:jc w:val="left"/>
        <w:tblInd w:w="0" w:type="dxa"/>
        <w:tblLayout w:type="fixed"/>
        <w:tblCellMar>
          <w:top w:w="28" w:type="dxa"/>
          <w:left w:w="28" w:type="dxa"/>
          <w:bottom w:w="28" w:type="dxa"/>
          <w:right w:w="28" w:type="dxa"/>
        </w:tblCellMar>
      </w:tblPr>
      <w:tblGrid>
        <w:gridCol w:w="1324"/>
        <w:gridCol w:w="109"/>
        <w:gridCol w:w="8772"/>
      </w:tblGrid>
      <w:tr>
        <w:trPr/>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2" w:type="dxa"/>
            <w:tcBorders/>
            <w:vAlign w:val="center"/>
          </w:tcPr>
          <w:p>
            <w:pPr>
              <w:pStyle w:val="TableContents"/>
              <w:bidi w:val="0"/>
              <w:spacing w:before="0" w:after="283"/>
              <w:jc w:val="left"/>
              <w:rPr>
                <w:sz w:val="4"/>
                <w:szCs w:val="4"/>
              </w:rPr>
            </w:pPr>
            <w:r>
              <w:rPr>
                <w:sz w:val="4"/>
                <w:szCs w:val="4"/>
              </w:rPr>
            </w:r>
          </w:p>
        </w:tc>
      </w:tr>
      <w:tr>
        <w:trPr/>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2" w:type="dxa"/>
            <w:tcBorders/>
            <w:vAlign w:val="center"/>
          </w:tcPr>
          <w:p>
            <w:pPr>
              <w:pStyle w:val="TableContents"/>
              <w:bidi w:val="0"/>
              <w:spacing w:lineRule="atLeast" w:line="200" w:before="0" w:after="0"/>
              <w:jc w:val="left"/>
              <w:rPr>
                <w:rFonts w:ascii="Times New Roman;serif" w:hAnsi="Times New Roman;serif"/>
                <w:b/>
                <w:i/>
                <w:strike w:val="false"/>
                <w:dstrike w:val="false"/>
                <w:color w:val="000000"/>
                <w:sz w:val="20"/>
                <w:u w:val="none"/>
                <w:effect w:val="none"/>
              </w:rPr>
            </w:pPr>
            <w:r>
              <w:rPr>
                <w:rFonts w:ascii="Times New Roman;serif" w:hAnsi="Times New Roman;serif"/>
                <w:b/>
                <w:i/>
                <w:strike w:val="false"/>
                <w:dstrike w:val="false"/>
                <w:color w:val="000000"/>
                <w:sz w:val="20"/>
                <w:u w:val="none"/>
                <w:effect w:val="none"/>
              </w:rPr>
              <w:t>Valuation of goodwill</w:t>
            </w:r>
          </w:p>
        </w:tc>
      </w:tr>
      <w:tr>
        <w:trPr/>
        <w:tc>
          <w:tcPr>
            <w:tcW w:w="1324"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Description of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the Matter</w:t>
            </w:r>
          </w:p>
        </w:tc>
        <w:tc>
          <w:tcPr>
            <w:tcW w:w="109" w:type="dxa"/>
            <w:tcBorders/>
            <w:vAlign w:val="center"/>
          </w:tcPr>
          <w:p>
            <w:pPr>
              <w:pStyle w:val="TableContents"/>
              <w:bidi w:val="0"/>
              <w:spacing w:before="0" w:after="283"/>
              <w:jc w:val="left"/>
              <w:rPr>
                <w:sz w:val="4"/>
                <w:szCs w:val="4"/>
              </w:rPr>
            </w:pPr>
            <w:r>
              <w:rPr>
                <w:sz w:val="4"/>
                <w:szCs w:val="4"/>
              </w:rPr>
            </w:r>
          </w:p>
        </w:tc>
        <w:tc>
          <w:tcPr>
            <w:tcW w:w="8772"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At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the Company’s goodwill was $7.6 billion. As discussed in Note 2 to the consolidated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statements, the Company completes an impairment test of goodwill at the reporting unit level at least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annually or more frequently if facts and circumstances indicate that goodwill might be impaired. For a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unit in which the Company concludes, based on a qualitative assessment, that it is more likely than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that the fair value of the reporting unit is less than its carrying amount (or if the Company elects to not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 the qualitative assessment), the Company performs a quantitative impairment test, which involves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estimating the fair value of the reporting unit using a discounted cash flow analysis, and to a lesser extent,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 multiples for comparable companies.</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Auditing the Company's annual goodwill impairment tests for reporting units to which a material amount of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goodwill has been allocated and for which a quantitative impairment test was completed by the Company was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complex and subjective due to the high degree of subjectivity of certain assumptions underlying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determination of the reporting unit fair value using the discounted cash flow model. These assumptions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included forecasts for Earnings before Interest Taxes Depreciation and Amortization (EBITDA) margin as well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the discount rates, which could be affected by expectations about future market or economic conditions.</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bl>
      <w:tblPr>
        <w:tblW w:w="10205" w:type="dxa"/>
        <w:jc w:val="left"/>
        <w:tblInd w:w="0" w:type="dxa"/>
        <w:tblLayout w:type="fixed"/>
        <w:tblCellMar>
          <w:top w:w="28" w:type="dxa"/>
          <w:left w:w="28" w:type="dxa"/>
          <w:bottom w:w="28" w:type="dxa"/>
          <w:right w:w="28" w:type="dxa"/>
        </w:tblCellMar>
      </w:tblPr>
      <w:tblGrid>
        <w:gridCol w:w="1321"/>
        <w:gridCol w:w="109"/>
        <w:gridCol w:w="8775"/>
      </w:tblGrid>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How We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Addressed the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Matter in Our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Audit</w:t>
            </w:r>
          </w:p>
        </w:tc>
        <w:tc>
          <w:tcPr>
            <w:tcW w:w="109" w:type="dxa"/>
            <w:tcBorders/>
            <w:vAlign w:val="center"/>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obtained an understanding, evaluated the design and tested the operating effectiveness of controls over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Company’s goodwill impairment review process, including controls over management’s review of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assumptions described above. For example, we tested controls over management’s review of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EBITDA margin forecasts and the discounts rates used in the determination of the reporting units’ estimated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values.</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test the reporting units' estimated fair values, our audit procedures included, among others, assessing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methodologies used by the Company and testing the significant assumptions discussed above, inclusive of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underlying data used by the Company in its development of these assumptions. We involved our valuation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specialists to assist us in evaluating the Company’s estimated discount rate methodology and developing an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independent range of reasonable discount rates. We also compared EBITDA margin forecasts to historical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results and current industry and economic trends and performed sensitivity analyses on the significant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assumptions to evaluate the changes in the fair values of the reporting units that would result from changes in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significant assumptions.</w:t>
            </w:r>
          </w:p>
        </w:tc>
      </w:tr>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lineRule="atLeast" w:line="200" w:before="0" w:after="0"/>
              <w:jc w:val="left"/>
              <w:rPr>
                <w:rFonts w:ascii="Times New Roman;serif" w:hAnsi="Times New Roman;serif"/>
                <w:b/>
                <w:i/>
                <w:strike w:val="false"/>
                <w:dstrike w:val="false"/>
                <w:color w:val="000000"/>
                <w:sz w:val="20"/>
                <w:u w:val="none"/>
                <w:effect w:val="none"/>
              </w:rPr>
            </w:pPr>
            <w:r>
              <w:rPr>
                <w:rFonts w:ascii="Times New Roman;serif" w:hAnsi="Times New Roman;serif"/>
                <w:b/>
                <w:i/>
                <w:strike w:val="false"/>
                <w:dstrike w:val="false"/>
                <w:color w:val="000000"/>
                <w:sz w:val="20"/>
                <w:u w:val="none"/>
                <w:effect w:val="none"/>
              </w:rPr>
              <w:t>Valuation of acquired customer relationship intangible assets</w:t>
            </w:r>
          </w:p>
        </w:tc>
      </w:tr>
      <w:tr>
        <w:trPr/>
        <w:tc>
          <w:tcPr>
            <w:tcW w:w="1321"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Description of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the Matter</w:t>
            </w:r>
          </w:p>
        </w:tc>
        <w:tc>
          <w:tcPr>
            <w:tcW w:w="109" w:type="dxa"/>
            <w:tcBorders/>
            <w:vAlign w:val="center"/>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discussed in Notes 2 and 7 to the consolidated financial statements, the Company completed the acquisition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Alpha Group International plc ("Alpha") for total estimated purchase consideration of $2.4 billion.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acquisition was accounted for as a business combination. The Company recorded intangible assets from this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acquisition, including customer and vendor relationships of $945.2 million. The Company used the excess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earnings method to estimate the preliminary fair values of the customer relationships, which were based on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management’s estimates and assumptions.</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Auditing the preliminary fair values of the Alpha customer relationships was complex and subjective due to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estimation uncertainty in determining customer attrition rates which had a significant impact on the estimated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fair values. The customer attrition rates are forward-looking and could be affected by expectations about future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 or economic conditions.</w:t>
            </w:r>
          </w:p>
        </w:tc>
      </w:tr>
      <w:tr>
        <w:trPr/>
        <w:tc>
          <w:tcPr>
            <w:tcW w:w="1321"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How We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Addressed the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Matter in Our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Audit</w:t>
            </w:r>
          </w:p>
        </w:tc>
        <w:tc>
          <w:tcPr>
            <w:tcW w:w="109" w:type="dxa"/>
            <w:tcBorders/>
            <w:vAlign w:val="center"/>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obtained an understanding, evaluated the design and tested the operating effectiveness of controls over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valuation of customer relationships, including controls over models to estimate the fair values of the above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identified intangible assets and management’s review of the significant assumptions discussed above.</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test the estimated fair values of the customer relationships, our audit procedures included, among others,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evaluating the Company’s selection of the valuation methodology, testing the significant assumptions, and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testing the completeness and accuracy of underlying data. With the assistance of our valuation specialists, we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assessed the methodology used by the Company and evaluated the customer attrition rates used within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valuation models. This included understanding and validating the source information underlying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determination of the attrition rates and testing the mathematical accuracy of the calculations. We also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performed sensitivity analyses to evaluate the changes in the fair values of the intangible assets that would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 from changes in customer attrition rates and compared the preliminary fair values of customer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relationships relative to the purchase price to publicly available comparable transactions.</w:t>
            </w:r>
          </w:p>
        </w:tc>
      </w:tr>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 </w:t>
      </w:r>
      <w:r>
        <w:rPr>
          <w:rFonts w:ascii="Times New Roman;serif" w:hAnsi="Times New Roman;serif"/>
          <w:b w:val="false"/>
          <w:i w:val="false"/>
          <w:caps w:val="false"/>
          <w:smallCaps w:val="false"/>
          <w:strike w:val="false"/>
          <w:dstrike w:val="false"/>
          <w:sz w:val="20"/>
          <w:u w:val="none"/>
          <w:effect w:val="none"/>
        </w:rPr>
        <w:t>Ernst &amp; Young LLP</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served as the Company's auditor since 2002.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Atlanta, Georgia</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February 26,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Corpay, Inc. and Subsidiaries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Consolidated Balance </w:t>
      </w:r>
      <w:r>
        <w:rPr>
          <w:rFonts w:ascii="Times New Roman;serif" w:hAnsi="Times New Roman;serif"/>
          <w:b w:val="false"/>
          <w:i w:val="false"/>
          <w:caps w:val="false"/>
          <w:smallCaps w:val="false"/>
          <w:strike w:val="false"/>
          <w:dstrike w:val="false"/>
          <w:sz w:val="20"/>
          <w:u w:val="none"/>
          <w:effect w:val="none"/>
        </w:rPr>
        <w:t>Sheets</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(In Thousands, Except Share and Par Value Amounts)</w:t>
      </w:r>
    </w:p>
    <w:tbl>
      <w:tblPr>
        <w:tblW w:w="8876" w:type="dxa"/>
        <w:jc w:val="left"/>
        <w:tblInd w:w="0" w:type="dxa"/>
        <w:tblLayout w:type="fixed"/>
        <w:tblCellMar>
          <w:top w:w="28" w:type="dxa"/>
          <w:left w:w="28" w:type="dxa"/>
          <w:bottom w:w="28" w:type="dxa"/>
          <w:right w:w="28" w:type="dxa"/>
        </w:tblCellMar>
      </w:tblPr>
      <w:tblGrid>
        <w:gridCol w:w="6331"/>
        <w:gridCol w:w="109"/>
        <w:gridCol w:w="1141"/>
        <w:gridCol w:w="109"/>
        <w:gridCol w:w="1186"/>
      </w:tblGrid>
      <w:tr>
        <w:trPr/>
        <w:tc>
          <w:tcPr>
            <w:tcW w:w="6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3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43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63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Current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$2,408,097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$1,553,642</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Restricted cash</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6,583,843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2,902,703</w:t>
            </w:r>
          </w:p>
        </w:tc>
      </w:tr>
      <w:tr>
        <w:trPr/>
        <w:tc>
          <w:tcPr>
            <w:tcW w:w="633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Accounts and other receivables (less allowance for credit losses of </w:t>
            </w:r>
            <w:r>
              <w:rPr>
                <w:rFonts w:ascii="Times New Roman;serif" w:hAnsi="Times New Roman;serif"/>
                <w:b w:val="false"/>
                <w:i w:val="false"/>
                <w:caps w:val="false"/>
                <w:smallCaps w:val="false"/>
                <w:strike w:val="false"/>
                <w:dstrike w:val="false"/>
                <w:sz w:val="20"/>
                <w:u w:val="none"/>
                <w:effect w:val="none"/>
              </w:rPr>
              <w:t>$170,957</w:t>
            </w:r>
            <w:r>
              <w:rPr>
                <w:caps w:val="false"/>
                <w:smallCaps w:val="false"/>
                <w:sz w:val="24"/>
              </w:rPr>
              <w:t xml:space="preserve">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at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$133,757</w:t>
            </w:r>
            <w:r>
              <w:rPr>
                <w:caps w:val="false"/>
                <w:smallCaps w:val="false"/>
                <w:sz w:val="24"/>
              </w:rPr>
              <w:t xml:space="preserve"> </w:t>
            </w:r>
            <w:r>
              <w:rPr>
                <w:rFonts w:ascii="Times New Roman;serif" w:hAnsi="Times New Roman;serif"/>
                <w:b w:val="false"/>
                <w:i w:val="false"/>
                <w:caps w:val="false"/>
                <w:smallCaps w:val="false"/>
                <w:sz w:val="20"/>
              </w:rPr>
              <w:t xml:space="preserve">at </w:t>
            </w:r>
            <w:r>
              <w:rPr>
                <w:rFonts w:ascii="Times New Roman;serif" w:hAnsi="Times New Roman;serif"/>
                <w:b w:val="false"/>
                <w:i w:val="false"/>
                <w:caps w:val="false"/>
                <w:smallCaps w:val="false"/>
                <w:strike w:val="false"/>
                <w:dstrike w:val="false"/>
                <w:sz w:val="20"/>
                <w:u w:val="none"/>
                <w:effect w:val="none"/>
              </w:rPr>
              <w:t>December 31, 2024</w:t>
            </w: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2,145,679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2,090,500</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Securitized accounts receivable—restricted for securitization investors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1,823,000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1,323,000</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1,002,621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806,024</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current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13,963,240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8,675,869</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Property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472,310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377,705</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Goodwill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7,564,822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5,984,667</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intangibles,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3,237,729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2,410,442</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601,942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60,088</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568,092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448,260</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$26,408,135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$17,957,031</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Liabilities, redeemable noncontrolling interest and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$1,564,548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$1,570,426</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Accrued 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606,600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444,938</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Customer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8,118,566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3,266,126</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Securitization facility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1,823,000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1,323,000</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Current portion of notes payable and lines of credit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1,522,530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1,446,974</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661,433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656,417</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14,296,677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8,707,881</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Notes payable and other obligations, less current portion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6,656,157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5,226,106</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614,345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439,176</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noncurrent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612,279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437,879</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noncurrent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7,882,781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6,103,161</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Commitments and contingencies (Note 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Redeemable noncontrolling interest (Note 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633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Common stock, </w:t>
            </w:r>
            <w:r>
              <w:rPr>
                <w:rFonts w:ascii="Times New Roman;serif" w:hAnsi="Times New Roman;serif"/>
                <w:b w:val="false"/>
                <w:i w:val="false"/>
                <w:caps w:val="false"/>
                <w:smallCaps w:val="false"/>
                <w:strike w:val="false"/>
                <w:dstrike w:val="false"/>
                <w:sz w:val="20"/>
                <w:u w:val="none"/>
                <w:effect w:val="none"/>
              </w:rPr>
              <w:t>$0.001</w:t>
            </w:r>
            <w:r>
              <w:rPr>
                <w:caps w:val="false"/>
                <w:smallCaps w:val="false"/>
                <w:sz w:val="24"/>
              </w:rPr>
              <w:t xml:space="preserve"> </w:t>
            </w:r>
            <w:r>
              <w:rPr>
                <w:rFonts w:ascii="Times New Roman;serif" w:hAnsi="Times New Roman;serif"/>
                <w:b w:val="false"/>
                <w:i w:val="false"/>
                <w:caps w:val="false"/>
                <w:smallCaps w:val="false"/>
                <w:sz w:val="20"/>
              </w:rPr>
              <w:t xml:space="preserve">par value; </w:t>
            </w:r>
            <w:r>
              <w:rPr>
                <w:rFonts w:ascii="Times New Roman;serif" w:hAnsi="Times New Roman;serif"/>
                <w:b w:val="false"/>
                <w:i w:val="false"/>
                <w:caps w:val="false"/>
                <w:smallCaps w:val="false"/>
                <w:strike w:val="false"/>
                <w:dstrike w:val="false"/>
                <w:sz w:val="20"/>
                <w:u w:val="none"/>
                <w:effect w:val="none"/>
              </w:rPr>
              <w:t>475,000,000</w:t>
            </w:r>
            <w:r>
              <w:rPr>
                <w:caps w:val="false"/>
                <w:smallCaps w:val="false"/>
                <w:sz w:val="24"/>
              </w:rPr>
              <w:t xml:space="preserve"> </w:t>
            </w:r>
            <w:r>
              <w:rPr>
                <w:rFonts w:ascii="Times New Roman;serif" w:hAnsi="Times New Roman;serif"/>
                <w:b w:val="false"/>
                <w:i w:val="false"/>
                <w:caps w:val="false"/>
                <w:smallCaps w:val="false"/>
                <w:sz w:val="20"/>
              </w:rPr>
              <w:t xml:space="preserve">shares authorized;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132,186,610</w:t>
            </w:r>
            <w:r>
              <w:rPr>
                <w:caps w:val="false"/>
                <w:smallCaps w:val="false"/>
                <w:sz w:val="24"/>
              </w:rPr>
              <w:t xml:space="preserve"> </w:t>
            </w:r>
            <w:r>
              <w:rPr>
                <w:rFonts w:ascii="Times New Roman;serif" w:hAnsi="Times New Roman;serif"/>
                <w:b w:val="false"/>
                <w:i w:val="false"/>
                <w:caps w:val="false"/>
                <w:smallCaps w:val="false"/>
                <w:sz w:val="20"/>
              </w:rPr>
              <w:t xml:space="preserve">shares issued and </w:t>
            </w:r>
            <w:r>
              <w:rPr>
                <w:rFonts w:ascii="Times New Roman;serif" w:hAnsi="Times New Roman;serif"/>
                <w:b w:val="false"/>
                <w:i w:val="false"/>
                <w:caps w:val="false"/>
                <w:smallCaps w:val="false"/>
                <w:strike w:val="false"/>
                <w:dstrike w:val="false"/>
                <w:sz w:val="20"/>
                <w:u w:val="none"/>
                <w:effect w:val="none"/>
              </w:rPr>
              <w:t>68,362,289</w:t>
            </w:r>
            <w:r>
              <w:rPr>
                <w:caps w:val="false"/>
                <w:smallCaps w:val="false"/>
                <w:sz w:val="24"/>
              </w:rPr>
              <w:t xml:space="preserve"> </w:t>
            </w:r>
            <w:r>
              <w:rPr>
                <w:rFonts w:ascii="Times New Roman;serif" w:hAnsi="Times New Roman;serif"/>
                <w:b w:val="false"/>
                <w:i w:val="false"/>
                <w:caps w:val="false"/>
                <w:smallCaps w:val="false"/>
                <w:sz w:val="20"/>
              </w:rPr>
              <w:t xml:space="preserve">shares outstanding at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and </w:t>
            </w:r>
            <w:r>
              <w:rPr>
                <w:rFonts w:ascii="Times New Roman;serif" w:hAnsi="Times New Roman;serif"/>
                <w:b w:val="false"/>
                <w:i w:val="false"/>
                <w:caps w:val="false"/>
                <w:smallCaps w:val="false"/>
                <w:strike w:val="false"/>
                <w:dstrike w:val="false"/>
                <w:sz w:val="20"/>
                <w:u w:val="none"/>
                <w:effect w:val="none"/>
              </w:rPr>
              <w:t>131,425,669</w:t>
            </w:r>
            <w:r>
              <w:rPr>
                <w:caps w:val="false"/>
                <w:smallCaps w:val="false"/>
                <w:sz w:val="24"/>
              </w:rPr>
              <w:t xml:space="preserve"> </w:t>
            </w:r>
            <w:r>
              <w:rPr>
                <w:rFonts w:ascii="Times New Roman;serif" w:hAnsi="Times New Roman;serif"/>
                <w:b w:val="false"/>
                <w:i w:val="false"/>
                <w:caps w:val="false"/>
                <w:smallCaps w:val="false"/>
                <w:sz w:val="20"/>
              </w:rPr>
              <w:t xml:space="preserve">shares issued and </w:t>
            </w:r>
            <w:r>
              <w:rPr>
                <w:rFonts w:ascii="Times New Roman;serif" w:hAnsi="Times New Roman;serif"/>
                <w:b w:val="false"/>
                <w:i w:val="false"/>
                <w:caps w:val="false"/>
                <w:smallCaps w:val="false"/>
                <w:strike w:val="false"/>
                <w:dstrike w:val="false"/>
                <w:sz w:val="20"/>
                <w:u w:val="none"/>
                <w:effect w:val="none"/>
              </w:rPr>
              <w:t>70,170,016</w:t>
            </w:r>
            <w:r>
              <w:rPr>
                <w:caps w:val="false"/>
                <w:smallCaps w:val="false"/>
                <w:sz w:val="24"/>
              </w:rPr>
              <w:t xml:space="preserve"> </w:t>
            </w:r>
            <w:r>
              <w:rPr>
                <w:rFonts w:ascii="Times New Roman;serif" w:hAnsi="Times New Roman;serif"/>
                <w:b w:val="false"/>
                <w:i w:val="false"/>
                <w:caps w:val="false"/>
                <w:smallCaps w:val="false"/>
                <w:sz w:val="20"/>
              </w:rPr>
              <w:t xml:space="preserve">shares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outstanding at </w:t>
            </w:r>
            <w:r>
              <w:rPr>
                <w:rFonts w:ascii="Times New Roman;serif" w:hAnsi="Times New Roman;serif"/>
                <w:b w:val="false"/>
                <w:i w:val="false"/>
                <w:caps w:val="false"/>
                <w:smallCaps w:val="false"/>
                <w:strike w:val="false"/>
                <w:dstrike w:val="false"/>
                <w:sz w:val="20"/>
                <w:u w:val="none"/>
                <w:effect w:val="none"/>
              </w:rPr>
              <w:t>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Additional paid-in 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3,970,077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3,811,131</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Retained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10,264,751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9,196,405</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Accumulated other comprehensive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(1,392,154)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(1,713,996)</w:t>
            </w:r>
          </w:p>
        </w:tc>
      </w:tr>
      <w:tr>
        <w:trPr/>
        <w:tc>
          <w:tcPr>
            <w:tcW w:w="633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Less treasury stock (</w:t>
            </w:r>
            <w:r>
              <w:rPr>
                <w:rFonts w:ascii="Times New Roman;serif" w:hAnsi="Times New Roman;serif"/>
                <w:b w:val="false"/>
                <w:i w:val="false"/>
                <w:caps w:val="false"/>
                <w:smallCaps w:val="false"/>
                <w:strike w:val="false"/>
                <w:dstrike w:val="false"/>
                <w:sz w:val="20"/>
                <w:u w:val="none"/>
                <w:effect w:val="none"/>
              </w:rPr>
              <w:t>63,824,321</w:t>
            </w:r>
            <w:r>
              <w:rPr>
                <w:caps w:val="false"/>
                <w:smallCaps w:val="false"/>
                <w:sz w:val="24"/>
              </w:rPr>
              <w:t xml:space="preserve"> </w:t>
            </w:r>
            <w:r>
              <w:rPr>
                <w:rFonts w:ascii="Times New Roman;serif" w:hAnsi="Times New Roman;serif"/>
                <w:b w:val="false"/>
                <w:i w:val="false"/>
                <w:caps w:val="false"/>
                <w:smallCaps w:val="false"/>
                <w:sz w:val="20"/>
              </w:rPr>
              <w:t xml:space="preserve">shares and </w:t>
            </w:r>
            <w:r>
              <w:rPr>
                <w:rFonts w:ascii="Times New Roman;serif" w:hAnsi="Times New Roman;serif"/>
                <w:b w:val="false"/>
                <w:i w:val="false"/>
                <w:caps w:val="false"/>
                <w:smallCaps w:val="false"/>
                <w:strike w:val="false"/>
                <w:dstrike w:val="false"/>
                <w:sz w:val="20"/>
                <w:u w:val="none"/>
                <w:effect w:val="none"/>
              </w:rPr>
              <w:t>61,255,653</w:t>
            </w:r>
            <w:r>
              <w:rPr>
                <w:caps w:val="false"/>
                <w:smallCaps w:val="false"/>
                <w:sz w:val="24"/>
              </w:rPr>
              <w:t xml:space="preserve"> </w:t>
            </w:r>
            <w:r>
              <w:rPr>
                <w:rFonts w:ascii="Times New Roman;serif" w:hAnsi="Times New Roman;serif"/>
                <w:b w:val="false"/>
                <w:i w:val="false"/>
                <w:caps w:val="false"/>
                <w:smallCaps w:val="false"/>
                <w:sz w:val="20"/>
              </w:rPr>
              <w:t xml:space="preserve">shares at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respectively)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(8,958,942)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(8,171,329)</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Corpay stockholders’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3,883,864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3,122,342</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Noncontrolling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23,647</w:t>
            </w:r>
          </w:p>
        </w:tc>
      </w:tr>
      <w:tr>
        <w:trPr/>
        <w:tc>
          <w:tcPr>
            <w:tcW w:w="63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equity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3,926,677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3,145,989</w:t>
            </w:r>
          </w:p>
        </w:tc>
      </w:tr>
      <w:tr>
        <w:trPr/>
        <w:tc>
          <w:tcPr>
            <w:tcW w:w="63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 redeemable noncontrolling interest and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$26,408,135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$17,957,031</w:t>
            </w:r>
          </w:p>
        </w:tc>
      </w:tr>
    </w:tbl>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See accompanying notes.</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Corpay, Inc. and Subsidiaries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Statements of Income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(In Thousands, Except Per Share Amounts)</w:t>
      </w:r>
    </w:p>
    <w:p>
      <w:pPr>
        <w:pStyle w:val="TextBody"/>
        <w:bidi w:val="0"/>
        <w:spacing w:lineRule="atLeast" w:line="240" w:before="0" w:after="0"/>
        <w:jc w:val="left"/>
        <w:rPr>
          <w:caps w:val="false"/>
          <w:smallCaps w:val="false"/>
        </w:rPr>
      </w:pPr>
      <w:r>
        <w:rPr>
          <w:caps w:val="false"/>
          <w:smallCaps w:val="false"/>
        </w:rPr>
        <w:t> </w:t>
      </w:r>
    </w:p>
    <w:tbl>
      <w:tblPr>
        <w:tblW w:w="8671" w:type="dxa"/>
        <w:jc w:val="left"/>
        <w:tblInd w:w="0" w:type="dxa"/>
        <w:tblLayout w:type="fixed"/>
        <w:tblCellMar>
          <w:top w:w="28" w:type="dxa"/>
          <w:left w:w="28" w:type="dxa"/>
          <w:bottom w:w="28" w:type="dxa"/>
          <w:right w:w="28" w:type="dxa"/>
        </w:tblCellMar>
      </w:tblPr>
      <w:tblGrid>
        <w:gridCol w:w="5191"/>
        <w:gridCol w:w="109"/>
        <w:gridCol w:w="1036"/>
        <w:gridCol w:w="109"/>
        <w:gridCol w:w="1036"/>
        <w:gridCol w:w="109"/>
        <w:gridCol w:w="1081"/>
      </w:tblGrid>
      <w:tr>
        <w:trPr/>
        <w:tc>
          <w:tcPr>
            <w:tcW w:w="5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37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r>
      <w:tr>
        <w:trPr/>
        <w:tc>
          <w:tcPr>
            <w:tcW w:w="519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$3,757,719</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Processing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969,177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869,085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819,908</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478,988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380,906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340,157</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General and administrative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733,028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616,874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603,424</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 and amortization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393,303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351,088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336,604</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impairment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operating,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753</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disposition,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(42,261)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(121,310)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income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1,994,108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1,787,157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1,656,873</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(income),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(16,739)</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403,848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383,043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348,607</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Loss on extinguishment of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expense,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452,429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402,044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331,868</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1,541,679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1,385,113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1,325,005</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Provision for income taxes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469,731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381,381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343,115</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1,071,948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981,890</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income (loss) attributable to noncontrolling interests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Corpay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$1,069,826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$981,890</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Earnings per share: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earnings per share attributable to Corpay*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doub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doub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doub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$13.42</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 earnings per share attributable to Corpay*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$13.20</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Weighted average shares outstanding: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 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70,137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70,331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73,155</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74,387</w:t>
            </w:r>
          </w:p>
        </w:tc>
      </w:tr>
    </w:tbl>
    <w:tbl>
      <w:tblPr>
        <w:tblW w:w="8296" w:type="dxa"/>
        <w:jc w:val="left"/>
        <w:tblInd w:w="0" w:type="dxa"/>
        <w:tblLayout w:type="fixed"/>
        <w:tblCellMar>
          <w:top w:w="28" w:type="dxa"/>
          <w:left w:w="28" w:type="dxa"/>
          <w:bottom w:w="28" w:type="dxa"/>
          <w:right w:w="28" w:type="dxa"/>
        </w:tblCellMar>
      </w:tblPr>
      <w:tblGrid>
        <w:gridCol w:w="8296"/>
      </w:tblGrid>
      <w:tr>
        <w:trPr/>
        <w:tc>
          <w:tcPr>
            <w:tcW w:w="8296" w:type="dxa"/>
            <w:tcBorders/>
            <w:vAlign w:val="center"/>
          </w:tcPr>
          <w:p>
            <w:pPr>
              <w:pStyle w:val="TableContents"/>
              <w:bidi w:val="0"/>
              <w:spacing w:before="0" w:after="283"/>
              <w:jc w:val="left"/>
              <w:rPr>
                <w:sz w:val="4"/>
                <w:szCs w:val="4"/>
              </w:rPr>
            </w:pPr>
            <w:r>
              <w:rPr>
                <w:sz w:val="4"/>
                <w:szCs w:val="4"/>
              </w:rPr>
            </w:r>
          </w:p>
        </w:tc>
      </w:tr>
      <w:tr>
        <w:trPr/>
        <w:tc>
          <w:tcPr>
            <w:tcW w:w="82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2025, Basic and Diluted earnings per share amounts are determined under the two-class method</w:t>
            </w:r>
          </w:p>
        </w:tc>
      </w:tr>
      <w:tr>
        <w:trPr/>
        <w:tc>
          <w:tcPr>
            <w:tcW w:w="8296" w:type="dxa"/>
            <w:tcBorders/>
            <w:vAlign w:val="center"/>
          </w:tcPr>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See accompanying notes.</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Corpay, Inc. and Subsidiaries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Comprehensive Income</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(In Thousands)</w:t>
      </w:r>
    </w:p>
    <w:p>
      <w:pPr>
        <w:pStyle w:val="TextBody"/>
        <w:bidi w:val="0"/>
        <w:spacing w:lineRule="atLeast" w:line="240" w:before="0" w:after="0"/>
        <w:jc w:val="left"/>
        <w:rPr>
          <w:caps w:val="false"/>
          <w:smallCaps w:val="false"/>
        </w:rPr>
      </w:pPr>
      <w:r>
        <w:rPr>
          <w:caps w:val="false"/>
          <w:smallCaps w:val="false"/>
        </w:rPr>
        <w:t> </w:t>
      </w:r>
    </w:p>
    <w:tbl>
      <w:tblPr>
        <w:tblW w:w="8536" w:type="dxa"/>
        <w:jc w:val="left"/>
        <w:tblInd w:w="0" w:type="dxa"/>
        <w:tblLayout w:type="fixed"/>
        <w:tblCellMar>
          <w:top w:w="28" w:type="dxa"/>
          <w:left w:w="28" w:type="dxa"/>
          <w:bottom w:w="28" w:type="dxa"/>
          <w:right w:w="28" w:type="dxa"/>
        </w:tblCellMar>
      </w:tblPr>
      <w:tblGrid>
        <w:gridCol w:w="5056"/>
        <w:gridCol w:w="109"/>
        <w:gridCol w:w="1036"/>
        <w:gridCol w:w="109"/>
        <w:gridCol w:w="1036"/>
        <w:gridCol w:w="109"/>
        <w:gridCol w:w="1081"/>
      </w:tblGrid>
      <w:tr>
        <w:trPr/>
        <w:tc>
          <w:tcPr>
            <w:tcW w:w="5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37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r>
      <w:tr>
        <w:trPr/>
        <w:tc>
          <w:tcPr>
            <w:tcW w:w="50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50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$1,071,948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$981,890</w:t>
            </w:r>
          </w:p>
        </w:tc>
      </w:tr>
      <w:tr>
        <w:trPr/>
        <w:tc>
          <w:tcPr>
            <w:tcW w:w="50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50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gains (losses),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459,563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(496,534)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140,089</w:t>
            </w:r>
          </w:p>
        </w:tc>
      </w:tr>
      <w:tr>
        <w:trPr/>
        <w:tc>
          <w:tcPr>
            <w:tcW w:w="50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Reclassification of accumulated foreign currency translation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losses to net income as a result of the sale of a foreign entity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 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120,269</w:t>
            </w:r>
          </w:p>
        </w:tc>
      </w:tr>
      <w:tr>
        <w:trPr/>
        <w:tc>
          <w:tcPr>
            <w:tcW w:w="50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change in derivative contracts,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(131,617)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(39,807)</w:t>
            </w:r>
          </w:p>
        </w:tc>
      </w:tr>
      <w:tr>
        <w:trPr/>
        <w:tc>
          <w:tcPr>
            <w:tcW w:w="50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comprehensive income (loss), net of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327,946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(430,673)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220,551</w:t>
            </w:r>
          </w:p>
        </w:tc>
      </w:tr>
      <w:tr>
        <w:trPr/>
        <w:tc>
          <w:tcPr>
            <w:tcW w:w="50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comprehensive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1,399,894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573,059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1,202,441</w:t>
            </w:r>
          </w:p>
        </w:tc>
      </w:tr>
      <w:tr>
        <w:trPr/>
        <w:tc>
          <w:tcPr>
            <w:tcW w:w="50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Comprehensive income (loss) attributable to noncontrolling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0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attributable to Corpay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$1,392,187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$578,849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$1,202,441</w:t>
            </w:r>
          </w:p>
        </w:tc>
      </w:tr>
    </w:tbl>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See accompanying notes.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Corpay, Inc. and Subsidiaries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Equity</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(In Thousands)</w:t>
      </w:r>
    </w:p>
    <w:p>
      <w:pPr>
        <w:pStyle w:val="TextBody"/>
        <w:bidi w:val="0"/>
        <w:spacing w:lineRule="atLeast" w:line="240" w:before="0" w:after="0"/>
        <w:jc w:val="left"/>
        <w:rPr>
          <w:caps w:val="false"/>
          <w:smallCaps w:val="false"/>
        </w:rPr>
      </w:pPr>
      <w:r>
        <w:rPr>
          <w:caps w:val="false"/>
          <w:smallCaps w:val="false"/>
        </w:rPr>
        <w:t xml:space="preserve">   </w:t>
      </w:r>
    </w:p>
    <w:tbl>
      <w:tblPr>
        <w:tblW w:w="10691" w:type="dxa"/>
        <w:jc w:val="left"/>
        <w:tblInd w:w="0" w:type="dxa"/>
        <w:tblLayout w:type="fixed"/>
        <w:tblCellMar>
          <w:top w:w="28" w:type="dxa"/>
          <w:left w:w="28" w:type="dxa"/>
          <w:bottom w:w="28" w:type="dxa"/>
          <w:right w:w="28" w:type="dxa"/>
        </w:tblCellMar>
      </w:tblPr>
      <w:tblGrid>
        <w:gridCol w:w="1246"/>
        <w:gridCol w:w="109"/>
        <w:gridCol w:w="766"/>
        <w:gridCol w:w="109"/>
        <w:gridCol w:w="1036"/>
        <w:gridCol w:w="109"/>
        <w:gridCol w:w="1141"/>
        <w:gridCol w:w="109"/>
        <w:gridCol w:w="1216"/>
        <w:gridCol w:w="109"/>
        <w:gridCol w:w="1096"/>
        <w:gridCol w:w="109"/>
        <w:gridCol w:w="1036"/>
        <w:gridCol w:w="109"/>
        <w:gridCol w:w="1201"/>
        <w:gridCol w:w="109"/>
        <w:gridCol w:w="1081"/>
      </w:tblGrid>
      <w:tr>
        <w:trPr/>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Loss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Treasury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Total Corpay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Stockholders'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Noncontrolling </w:t>
            </w:r>
          </w:p>
          <w:p>
            <w:pPr>
              <w:pStyle w:val="TableContents"/>
              <w:bidi w:val="0"/>
              <w:spacing w:lineRule="atLeast" w:line="160" w:before="0" w:after="0"/>
              <w:jc w:val="left"/>
              <w:rPr/>
            </w:pPr>
            <w:r>
              <w:rPr>
                <w:rFonts w:ascii="Times New Roman;serif" w:hAnsi="Times New Roman;serif"/>
                <w:b/>
                <w:i w:val="false"/>
                <w:caps w:val="false"/>
                <w:smallCaps w:val="false"/>
                <w:sz w:val="16"/>
              </w:rPr>
              <w:t>Interest</w:t>
            </w:r>
            <w:r>
              <w:rPr>
                <w:rFonts w:ascii="Times New Roman;serif" w:hAnsi="Times New Roman;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Equity</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Balance at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$3,049,570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$7,210,769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$(1,509,650)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$(6,209,324)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$2,541,493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$2,541,493</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 income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981,890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981,890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981,890</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Other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comprehensive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loss,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220,551</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Acquisition of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(678,191)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(691,403)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(691,403)</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Stock-based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116,086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116,086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116,086</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Issuance of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113,741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113,742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113,742</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Balance at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3,266,185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8,192,659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(1,289,099)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(6,887,515)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3,282,359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3,282,359</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 income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1,003,732</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Other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comprehensive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income,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(424,897)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(424,897)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(430,673)</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Acquisition of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noncontrolling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29,437</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Acquisition of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common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(1,283,814)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(1,283,814)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(1,283,814)</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Stock-based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compensation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116,724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116,724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116,724</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Issuance of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common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428,224</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Balance at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December 31,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3,811,131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9,196,405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(1,713,996)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(8,171,329)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3,122,342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3,145,989</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1,069,826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1,069,826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1,071,428</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Other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comprehensive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loss, net of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321,842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321,842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327,946</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Acquisition of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common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(787,613)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(787,613)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(787,613)</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Stock-based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compensation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102,637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102,637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102,637</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Issuance of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common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67,769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67,770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67,770</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Remeasurement to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redemption value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on redeemable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non-controlling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(1,480)</w:t>
            </w:r>
          </w:p>
        </w:tc>
      </w:tr>
      <w:tr>
        <w:trPr/>
        <w:tc>
          <w:tcPr>
            <w:tcW w:w="124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Change in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controlling interest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of investment,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124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Balance at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$3,970,077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$10,264,751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$(1,392,154)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$(8,958,942)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$3,883,864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$3,926,677</w:t>
            </w:r>
          </w:p>
        </w:tc>
      </w:tr>
    </w:tbl>
    <w:tbl>
      <w:tblPr>
        <w:tblW w:w="9916" w:type="dxa"/>
        <w:jc w:val="left"/>
        <w:tblInd w:w="0" w:type="dxa"/>
        <w:tblLayout w:type="fixed"/>
        <w:tblCellMar>
          <w:top w:w="28" w:type="dxa"/>
          <w:left w:w="28" w:type="dxa"/>
          <w:bottom w:w="28" w:type="dxa"/>
          <w:right w:w="28" w:type="dxa"/>
        </w:tblCellMar>
      </w:tblPr>
      <w:tblGrid>
        <w:gridCol w:w="9916"/>
      </w:tblGrid>
      <w:tr>
        <w:trPr/>
        <w:tc>
          <w:tcPr>
            <w:tcW w:w="9916" w:type="dxa"/>
            <w:tcBorders/>
            <w:vAlign w:val="center"/>
          </w:tcPr>
          <w:p>
            <w:pPr>
              <w:pStyle w:val="TableContents"/>
              <w:bidi w:val="0"/>
              <w:spacing w:before="0" w:after="283"/>
              <w:jc w:val="left"/>
              <w:rPr>
                <w:sz w:val="4"/>
                <w:szCs w:val="4"/>
              </w:rPr>
            </w:pPr>
            <w:r>
              <w:rPr>
                <w:sz w:val="4"/>
                <w:szCs w:val="4"/>
              </w:rPr>
            </w:r>
          </w:p>
        </w:tc>
      </w:tr>
      <w:tr>
        <w:trPr/>
        <w:tc>
          <w:tcPr>
            <w:tcW w:w="9916"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20"/>
              </w:rPr>
              <w:t xml:space="preserve">Excludes redeemable noncontrolling interest of </w:t>
            </w:r>
            <w:r>
              <w:rPr>
                <w:rFonts w:ascii="Times New Roman;serif" w:hAnsi="Times New Roman;serif"/>
                <w:b w:val="false"/>
                <w:i w:val="false"/>
                <w:caps w:val="false"/>
                <w:smallCaps w:val="false"/>
                <w:strike w:val="false"/>
                <w:dstrike w:val="false"/>
                <w:sz w:val="20"/>
                <w:u w:val="none"/>
                <w:effect w:val="none"/>
              </w:rPr>
              <w:t>$302 million</w:t>
            </w:r>
            <w:r>
              <w:rPr>
                <w:caps w:val="false"/>
                <w:smallCaps w:val="false"/>
                <w:sz w:val="24"/>
              </w:rPr>
              <w:t xml:space="preserve"> </w:t>
            </w:r>
            <w:r>
              <w:rPr>
                <w:rFonts w:ascii="Times New Roman;serif" w:hAnsi="Times New Roman;serif"/>
                <w:b w:val="false"/>
                <w:i w:val="false"/>
                <w:caps w:val="false"/>
                <w:smallCaps w:val="false"/>
                <w:sz w:val="20"/>
              </w:rPr>
              <w:t xml:space="preserve">classified as mezzanine equity. See Note 2 for additional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w:t>
            </w:r>
          </w:p>
        </w:tc>
      </w:tr>
      <w:tr>
        <w:trPr/>
        <w:tc>
          <w:tcPr>
            <w:tcW w:w="9916" w:type="dxa"/>
            <w:tcBorders/>
            <w:vAlign w:val="center"/>
          </w:tcPr>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See accompanying notes.</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Corpay, Inc. and </w:t>
      </w:r>
      <w:r>
        <w:rPr>
          <w:rFonts w:ascii="Times New Roman;serif" w:hAnsi="Times New Roman;serif"/>
          <w:b w:val="false"/>
          <w:i w:val="false"/>
          <w:caps w:val="false"/>
          <w:smallCaps w:val="false"/>
          <w:strike w:val="false"/>
          <w:dstrike w:val="false"/>
          <w:sz w:val="18"/>
          <w:u w:val="none"/>
          <w:effect w:val="none"/>
        </w:rPr>
        <w:t>Subsidiaries</w:t>
      </w:r>
    </w:p>
    <w:p>
      <w:pPr>
        <w:pStyle w:val="TextBody"/>
        <w:bidi w:val="0"/>
        <w:spacing w:lineRule="atLeast" w:line="180" w:before="0" w:after="0"/>
        <w:jc w:val="left"/>
        <w:rPr>
          <w:sz w:val="24"/>
        </w:rPr>
      </w:pPr>
      <w:r>
        <w:rPr>
          <w:rFonts w:ascii="Times New Roman;serif" w:hAnsi="Times New Roman;serif"/>
          <w:b w:val="false"/>
          <w:i w:val="false"/>
          <w:caps w:val="false"/>
          <w:smallCaps w:val="false"/>
          <w:sz w:val="18"/>
        </w:rPr>
        <w:t xml:space="preserve">Consolidated Statements of </w:t>
      </w:r>
      <w:r>
        <w:rPr>
          <w:rFonts w:ascii="Times New Roman;serif" w:hAnsi="Times New Roman;serif"/>
          <w:b w:val="false"/>
          <w:i w:val="false"/>
          <w:caps w:val="false"/>
          <w:smallCaps w:val="false"/>
          <w:strike w:val="false"/>
          <w:dstrike w:val="false"/>
          <w:sz w:val="18"/>
          <w:u w:val="none"/>
          <w:effect w:val="none"/>
        </w:rPr>
        <w:t>Cash</w:t>
      </w:r>
      <w:r>
        <w:rPr>
          <w:caps w:val="false"/>
          <w:smallCaps w:val="false"/>
          <w:sz w:val="24"/>
        </w:rPr>
        <w:t xml:space="preserve"> </w:t>
      </w:r>
      <w:r>
        <w:rPr>
          <w:rFonts w:ascii="Times New Roman;serif" w:hAnsi="Times New Roman;serif"/>
          <w:b w:val="false"/>
          <w:i w:val="false"/>
          <w:caps w:val="false"/>
          <w:smallCaps w:val="false"/>
          <w:sz w:val="18"/>
        </w:rPr>
        <w:t>Flows</w:t>
      </w:r>
    </w:p>
    <w:p>
      <w:pPr>
        <w:pStyle w:val="TextBody"/>
        <w:bidi w:val="0"/>
        <w:spacing w:lineRule="atLeast" w:line="180" w:before="0" w:after="0"/>
        <w:jc w:val="left"/>
        <w:rPr/>
      </w:pPr>
      <w:r>
        <w:rPr>
          <w:rFonts w:ascii="Times New Roman;serif" w:hAnsi="Times New Roman;serif"/>
          <w:b w:val="false"/>
          <w:i/>
          <w:sz w:val="18"/>
        </w:rPr>
        <w:t>(In Thousands)</w:t>
      </w:r>
      <w:r>
        <w:rPr>
          <w:caps w:val="false"/>
          <w:smallCaps w:val="false"/>
        </w:rPr>
        <w:t> </w:t>
      </w:r>
    </w:p>
    <w:tbl>
      <w:tblPr>
        <w:tblW w:w="9016" w:type="dxa"/>
        <w:jc w:val="left"/>
        <w:tblInd w:w="0" w:type="dxa"/>
        <w:tblLayout w:type="fixed"/>
        <w:tblCellMar>
          <w:top w:w="28" w:type="dxa"/>
          <w:left w:w="28" w:type="dxa"/>
          <w:bottom w:w="28" w:type="dxa"/>
          <w:right w:w="28" w:type="dxa"/>
        </w:tblCellMar>
      </w:tblPr>
      <w:tblGrid>
        <w:gridCol w:w="5716"/>
        <w:gridCol w:w="109"/>
        <w:gridCol w:w="1036"/>
        <w:gridCol w:w="109"/>
        <w:gridCol w:w="946"/>
        <w:gridCol w:w="109"/>
        <w:gridCol w:w="991"/>
      </w:tblGrid>
      <w:tr>
        <w:trPr/>
        <w:tc>
          <w:tcPr>
            <w:tcW w:w="5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19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r>
      <w:tr>
        <w:trPr/>
        <w:tc>
          <w:tcPr>
            <w:tcW w:w="57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571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$1,071,948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$1,003,732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$981,890</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Adjustments to reconcile net income to net cash provided by operating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120,106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109,983</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102,637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116,724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116,086</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Provision for credit losses on accounts and other receivables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122,642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125,152</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Amortization of deferred financing costs and discounts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21,065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7,249</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Amortization of intangible assets and premium on receivables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262,139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230,982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226,621</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Deferred income taxes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(27,904)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(64,718)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(46,678)</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Loss on extinguishment of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Goodwill impairment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Gain on disposition of business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(42,261)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(121,310)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(13,712)</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Other non-cash operating expense,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19,296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637</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operating assets and liabilities (net of acquisitions/disposition):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Accounts and other receivables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(499,184)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(176,931)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(210,261)</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(101,037)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69,287</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Derivative assets and liabilities,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(74,210)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(15,414)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(33,278)</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54,180</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Accounts payable, accrued expenses and customer deposits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499,000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663,222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713,976</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1,499,901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1,940,565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2,101,132</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Investing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Acquisitions, net of cash acquired*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1,933,783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(821,924)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(428,327)</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 of property and equipment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(200,756)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(175,176)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(153,822)</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Investment in equity method investment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(578,446)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Proceeds from disposition, net of cash</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58,209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185,506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197,025</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14,572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4,401</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investing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1,227,362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(807,477)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(380,723)</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Proceeds from issuance of 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67,770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428,224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113,742</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 of common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(782,818)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(1,287,998)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(686,859)</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Proceeds from redeemable noncontrolling 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 on securitization facility,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20,000</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Deferred financing costs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(38,825)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(8,493)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(376)</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Proceeds from 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1,650,000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Principal payments on notes payable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(197,140)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(140,050)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(94,000)</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 from revolver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12,134,000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9,989,000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8,734,960</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Payments on revolver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(12,071,000)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(9,278,000)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(9,118,960)</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 (payments) on swing line of credit,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(140,713)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135,568</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(2,286)</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1,561,751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404,989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(898,211)</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Effect of foreign currency exchange rates on cash</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246,581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(223,267)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30,157</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increase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4,535,595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1,314,810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852,355</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 and restricted cash, beginning of year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4,456,345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3,141,535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2,289,180</w:t>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 and restricted cash, end of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$8,991,940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$4,456,345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$3,141,535</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Supplemental cash flow information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paid for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$491,373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$496,098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doub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$448,384</w:t>
            </w:r>
          </w:p>
        </w:tc>
      </w:tr>
      <w:tr>
        <w:trPr/>
        <w:tc>
          <w:tcPr>
            <w:tcW w:w="57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paid for income taxes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$510,733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$374,039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$408,340</w:t>
            </w:r>
          </w:p>
        </w:tc>
      </w:tr>
    </w:tbl>
    <w:tbl>
      <w:tblPr>
        <w:tblW w:w="9871" w:type="dxa"/>
        <w:jc w:val="left"/>
        <w:tblInd w:w="0" w:type="dxa"/>
        <w:tblLayout w:type="fixed"/>
        <w:tblCellMar>
          <w:top w:w="28" w:type="dxa"/>
          <w:left w:w="28" w:type="dxa"/>
          <w:bottom w:w="28" w:type="dxa"/>
          <w:right w:w="28" w:type="dxa"/>
        </w:tblCellMar>
      </w:tblPr>
      <w:tblGrid>
        <w:gridCol w:w="9871"/>
      </w:tblGrid>
      <w:tr>
        <w:trPr/>
        <w:tc>
          <w:tcPr>
            <w:tcW w:w="9871" w:type="dxa"/>
            <w:tcBorders/>
            <w:vAlign w:val="center"/>
          </w:tcPr>
          <w:p>
            <w:pPr>
              <w:pStyle w:val="TableContents"/>
              <w:bidi w:val="0"/>
              <w:spacing w:before="0" w:after="283"/>
              <w:jc w:val="left"/>
              <w:rPr>
                <w:sz w:val="4"/>
                <w:szCs w:val="4"/>
              </w:rPr>
            </w:pPr>
            <w:r>
              <w:rPr>
                <w:sz w:val="4"/>
                <w:szCs w:val="4"/>
              </w:rPr>
            </w:r>
          </w:p>
        </w:tc>
      </w:tr>
      <w:tr>
        <w:trPr/>
        <w:tc>
          <w:tcPr>
            <w:tcW w:w="9871" w:type="dxa"/>
            <w:tcBorders/>
            <w:vAlign w:val="center"/>
          </w:tcPr>
          <w:p>
            <w:pPr>
              <w:pStyle w:val="TableContents"/>
              <w:bidi w:val="0"/>
              <w:spacing w:lineRule="atLeast" w:line="180" w:before="0" w:after="0"/>
              <w:jc w:val="left"/>
              <w:rPr>
                <w:sz w:val="24"/>
              </w:rPr>
            </w:pPr>
            <w:r>
              <w:rPr>
                <w:rFonts w:ascii="Times New Roman;serif" w:hAnsi="Times New Roman;serif"/>
                <w:b w:val="false"/>
                <w:i/>
                <w:sz w:val="18"/>
              </w:rPr>
              <w:t>*</w:t>
            </w:r>
            <w:r>
              <w:rPr>
                <w:rFonts w:ascii="Times New Roman;serif" w:hAnsi="Times New Roman;serif"/>
                <w:b w:val="false"/>
                <w:i w:val="false"/>
                <w:caps w:val="false"/>
                <w:smallCaps w:val="false"/>
                <w:sz w:val="18"/>
              </w:rPr>
              <w:t xml:space="preserve">With the acquisition of Alpha, the purchase price included approximately </w:t>
            </w:r>
            <w:r>
              <w:rPr>
                <w:rFonts w:ascii="Times New Roman;serif" w:hAnsi="Times New Roman;serif"/>
                <w:b w:val="false"/>
                <w:i w:val="false"/>
                <w:caps w:val="false"/>
                <w:smallCaps w:val="false"/>
                <w:strike w:val="false"/>
                <w:dstrike w:val="false"/>
                <w:sz w:val="18"/>
                <w:u w:val="none"/>
                <w:effect w:val="none"/>
              </w:rPr>
              <w:t>$4 billion</w:t>
            </w:r>
            <w:r>
              <w:rPr>
                <w:caps w:val="false"/>
                <w:smallCaps w:val="false"/>
                <w:sz w:val="24"/>
              </w:rPr>
              <w:t xml:space="preserve"> </w:t>
            </w:r>
            <w:r>
              <w:rPr>
                <w:rFonts w:ascii="Times New Roman;serif" w:hAnsi="Times New Roman;serif"/>
                <w:b w:val="false"/>
                <w:i w:val="false"/>
                <w:caps w:val="false"/>
                <w:smallCaps w:val="false"/>
                <w:sz w:val="18"/>
              </w:rPr>
              <w:t xml:space="preserve">in cash and cash equivalents and restricted cash, for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which there were corresponding customer deposit liabilities assumed. </w:t>
            </w:r>
          </w:p>
        </w:tc>
      </w:tr>
      <w:tr>
        <w:trPr/>
        <w:tc>
          <w:tcPr>
            <w:tcW w:w="9871" w:type="dxa"/>
            <w:tcBorders/>
            <w:vAlign w:val="center"/>
          </w:tcPr>
          <w:p>
            <w:pPr>
              <w:pStyle w:val="TableContents"/>
              <w:bidi w:val="0"/>
              <w:spacing w:lineRule="atLeast" w:line="180" w:before="0" w:after="0"/>
              <w:jc w:val="left"/>
              <w:rPr>
                <w:rFonts w:ascii="Times New Roman;serif" w:hAnsi="Times New Roman;serif"/>
                <w:b w:val="false"/>
                <w:i/>
                <w:sz w:val="18"/>
              </w:rPr>
            </w:pPr>
            <w:r>
              <w:rPr>
                <w:rFonts w:ascii="Times New Roman;serif" w:hAnsi="Times New Roman;serif"/>
                <w:b w:val="false"/>
                <w:i/>
                <w:sz w:val="18"/>
              </w:rPr>
              <w:t>See accompanying notes.</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Corpay, Inc. and Subsidiaries</w:t>
      </w:r>
    </w:p>
    <w:p>
      <w:pPr>
        <w:pStyle w:val="TextBody"/>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Notes to Consolidated Financial Statements</w:t>
      </w:r>
    </w:p>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December 31, 2025</w:t>
      </w:r>
      <w:r>
        <w:rPr>
          <w:caps w:val="false"/>
          <w:smallCaps w:val="false"/>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1. </w:t>
      </w:r>
      <w:r>
        <w:rPr>
          <w:rFonts w:ascii="Times New Roman;serif" w:hAnsi="Times New Roman;serif"/>
          <w:b/>
          <w:i w:val="false"/>
          <w:caps w:val="false"/>
          <w:smallCaps w:val="false"/>
          <w:strike w:val="false"/>
          <w:dstrike w:val="false"/>
          <w:sz w:val="20"/>
          <w:u w:val="none"/>
          <w:effect w:val="none"/>
        </w:rPr>
        <w:t>Description of Business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Corpay is a global corporate payments company that helps businesses and consumers better manage and pay their expenses in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simple, controlled manner. Corpay provides a broad suite of payment and spend management solutions, including accounts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payable automation and cross-border payment solutions (including foreign exchange spot, forward and option transactions),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commercial card programs (e.g., purchasing cards, business cards and virtual cards), vehicle payment solutions (e.g., fuel cards,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toll payments and related services) and lodging payment solutions (e.g., hotel and extended stay bookings).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Corpay’s vision is that every payment is digital, every purchase is controlled and every related decision is informed.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wide range of modern, digitized solutions generally provides control, reporting and automation benefits superior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many of the payment methods businesses often use, such as cash, paper checks, general purpose credit cards, as well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employee pay and reclaim processes.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the following reportable segments: Corporate Payments, Vehicle Payments, Lodging Payments and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reports these segments to reflect how it organizes and manages its global employee base, manages operating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 and executes on strategic initiatives.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Corporate Payments solutions simplify and automate vendor payments and includes accounts payable (AP)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automation, virtual cards, cross-border payments and purchasing and </w:t>
      </w:r>
      <w:r>
        <w:rPr>
          <w:rFonts w:ascii="Times New Roman;serif" w:hAnsi="Times New Roman;serif"/>
          <w:b w:val="false"/>
          <w:i w:val="false"/>
          <w:caps w:val="false"/>
          <w:smallCaps w:val="false"/>
          <w:strike w:val="false"/>
          <w:dstrike w:val="false"/>
          <w:sz w:val="20"/>
          <w:u w:val="none"/>
          <w:effect w:val="none"/>
        </w:rPr>
        <w:t>travel and entertainment ("T&amp;E")</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cards. </w:t>
      </w:r>
      <w:r>
        <w:rPr>
          <w:rFonts w:ascii="Times New Roman;serif" w:hAnsi="Times New Roman;serif"/>
          <w:b w:val="false"/>
          <w:i w:val="false"/>
          <w:caps w:val="false"/>
          <w:smallCaps w:val="false"/>
          <w:strike w:val="false"/>
          <w:dstrike w:val="false"/>
          <w:sz w:val="20"/>
          <w:u w:val="none"/>
          <w:effect w:val="none"/>
        </w:rPr>
        <w:t xml:space="preserve">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Vehicle Payments solutions help control and monitor spending and include fuel card offerings, tolls and other complementary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products. </w:t>
      </w:r>
      <w:r>
        <w:rPr>
          <w:rFonts w:ascii="Times New Roman;serif" w:hAnsi="Times New Roman;serif"/>
          <w:b w:val="false"/>
          <w:i w:val="false"/>
          <w:caps w:val="false"/>
          <w:smallCaps w:val="false"/>
          <w:strike w:val="false"/>
          <w:dstrike w:val="false"/>
          <w:sz w:val="20"/>
          <w:u w:val="none"/>
          <w:effect w:val="none"/>
          <w:shd w:fill="FFFFFF" w:val="clear"/>
        </w:rPr>
        <w:t xml:space="preserve">The Company's Lodging Payments solutions help businesses manage their lodging costs, while simplifying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management of hotels and housing, both short and longer-term, while also providing traveler and end customer support.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Company also provides other payments solutions, including Gift and Payroll Cards.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solutions provide customers with control capabilities including customizable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user-level controls, programmable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alerts and detailed transaction reporting, among others. The Company's customers can use the data, controls and tools to combat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employee misuse and fraud, streamline expense administration and potentially lower their operating costs.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utilizes both proprietary and third-party payment acceptance networks to deliver its solutions. In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proprietary networks, which tend to be geographically distinct, transactions are processed on applications and operating systems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owned and operated by the Company and only at select participating merchants with whom it has contracted directly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acceptance. Third-party networks are operated by independent parties and tend to be more broadly accepted, which is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primary benefit compared with the Company's proprietary networks. Mastercard and VISA are the Company's primary third-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party network partners in North America and Europe,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actively markets and sells its solutions to current and prospective customers using a multi-channel, go-to-market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strategy, which includes comprehensive digital channels, direct sales forces and strategic partner relationships. The Company</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sells stand-alone products and services and is currently deploying platforms where a single customer can use multiple products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one user interface. The Company competes with financial institutions that provide general purpose commercial card,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accounts payable and cross-border payment products, as well as specialized providers offering more targeted solutions; and also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traditional payment methods such as cash, checks and manual processes. The Company supplements its organic growth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strategy and sales efforts by pursuing attractive acquisition opportunities, which serve to strengthen and extend our market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positions and create value faster. With a long, proven operating history, Corpay facilitates payments to or on behalf of millions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businesses around the world through multiple modalities.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2. </w:t>
      </w:r>
      <w:r>
        <w:rPr>
          <w:rFonts w:ascii="Times New Roman;serif" w:hAnsi="Times New Roman;serif"/>
          <w:b/>
          <w:i w:val="false"/>
          <w:caps w:val="false"/>
          <w:smallCaps w:val="false"/>
          <w:strike w:val="false"/>
          <w:dstrike w:val="false"/>
          <w:sz w:val="20"/>
          <w:u w:val="none"/>
          <w:effect w:val="none"/>
        </w:rPr>
        <w:t>Basis of Presentation and Summary of Significant Accounting Policies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Use of Estimates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preparation of financial statements in conformity with accounting principles generally accepted in the United States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(GAAP) requires management to make estimates and assumptions that affect the reported amounts of assets and liabilities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disclosure of contingent assets and liabilities at the date of the financial statements and the reported amounts of revenue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expenses during the reporting periods. Future events and their effects cannot be predicted with certainty; accordingly,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accounting estimates require the exercise of judgment. The accounting estimates used in the preparation of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financial statements may change as new events occur, as more experience is acquired, as additional information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obtained and as the Company’s operating environment changes. Actual results may differ from those estimates.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Principles of Consolidation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accompanying consolidated financial statements include the accounts of Corpay, Inc. and all of its wholly owned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subsidiaries. All significant intercompany balances and transactions have been eliminated.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fiscal year ends on December 31. In certain of the Company’s U.K. businesses, the Company records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results using a 4-4-5 week accounting cycle with the fiscal year ending on the Friday on or immediately preceding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Fiscal years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include 52 weeks for the businesses reporting using a 4-4-5 accounting cycle.</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Financial</w:t>
      </w:r>
      <w:bookmarkStart w:id="3" w:name="ie9e33b0a29f740a0b184ba940fb7f96e_34806"/>
      <w:bookmarkStart w:id="4" w:name="ie9e33b0a29f740a0b184ba940fb7f96e_34729"/>
      <w:bookmarkEnd w:id="3"/>
      <w:bookmarkEnd w:id="4"/>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Instruments-Credit Losses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accounts for financial assets' expected credit losses in accordance with Accounting Standards Codification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(ASC) 326, "Financial Instruments - Credit Losses". The Company’s financial assets subject to credit losses are primarily trade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receivables. The Company utilizes a combination of aging and loss-rate methods to develop an estimate of current expected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losses, depending on the nature and risk profile of the underlying asset pool, based on product, size of customer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historical losses. Expected credit losses are estimated based upon an assessment of risk characteristics, historical payment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experience and the age of outstanding receivables, adjusted for forward-looking economic conditions. The allowances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remaining financial assets measured at amortized cost basis are evaluated based on underlying financial condition, credit history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current and forward-looking economic conditions. The estimation process for expected credit losses includes consideration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qualitative and quantitative risk factors associated with the age of asset balances, expected timing of payment, contract terms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conditions, changes in specific customer risk profiles or mix of customers, geographic risk, economic trends and relevant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environmental factors. The Company's provision for credit losses is recorded within processing expenses in the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Statements of Income. At both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approximately 87%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outstanding accounts receivable were less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than 30 days past due. Accounts receivable deemed uncollectible are removed from accounts receivable and the allowance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losses when internal collection efforts have been exhausted and accounts have been turned over to a third-party collection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agency. Recoveries from the third-party collection agency are not significant.</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Business Combinations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Business combinations completed by us have been accounted for under the acquisition method of accounting, which requires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the acquired assets and liabilities, including contingencies, be recorded at fair value determined as of the acquisition 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excess of the purchase price over the fair values of the tangible and intangible assets acquired and liabilities assumed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represents goodwill. Amounts assigned to goodwill are primarily attributable to buyer-specific synergies expected to arise after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acquisition (e.g., enhanced reach of the combined organization and other synergies) and the assembled work force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acquiree. The results of the acquired businesses are included in our results of operations beginning from the completion date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transaction.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estimates the Company uses to determine the fair value of long-lived assets, such as intangible assets, can be complex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require significant judgments. The Company uses information available to us to make fair value determinations and engages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independent valuation specialists, when necessary, to assist in the fair value determination of significant acquired long-lived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indefinite-lived assets. The estimated fair values of customer-related and contract-based intangible assets are generally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determined using the income approach, which is based on projected cash flows discounted to their present value using discount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rates that consider the timing and risk of the forecasted cash flows (excess earnings method). The discount rates used represent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risk-adjusted market participant weighted-average cost of capital, derived using customary market metrics. These measures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fair value also require considerable judgments about future events, including forecasted revenue growth rates, forecasted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 attrition rates and technology changes. Acquired technologies are generally valued using the replacement cost method,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requires us to estimate the costs to construct an asset of equivalent utility at prices available at the time of the valuation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analysis, with adjustments in value for physical deterioration and functional and economic obsolescence. Trademarks and trade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names are generally valued using the "relief-from-royalty" approach. This method assumes that trademarks and trade names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value to the extent that their owner is relieved of the obligation to pay royalties for the benefits received from them.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method requires the Company to estimate the future revenues for the related brands, the appropriate royalty rate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weighted-average cost of capital. This measure of fair value requires considerable judgment about the value a market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participant would be willing to pay in order to achieve the benefits associated with the trade name. Non-compete arrangements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measured at fair value separately from the business combination using a cash flow method based on the Company's best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estimate of the probability of competition and its business effect absent the non-compete arrangement.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While the Company uses its best estimates and assumptions to determine the fair values of the assets acquired and the liabilities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assumed, its estimates are inherently uncertain and subject to refinement. As a result, during the measurement period,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may be up to one year from the acquisition date, the Company records adjustments to the assets acquired and liabilities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assumed. Upon the conclusion of the measurement period, any subsequent adjustments are recorded in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Income. The Company also estimates the useful lives of intangible assets to determine the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 which to recognize the amount of acquisition-related intangible assets as an expense. Certain assets may be considered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indefinite useful lives. The Company periodically reviews the indefinite nature of these assets. The Company also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periodically reviews the estimated useful lives assigned to its intangible assets to determine whether such estimated useful lives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continue to be appropriate.</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 xml:space="preserve">Impairment of </w:t>
      </w:r>
      <w:bookmarkStart w:id="5" w:name="ie9e33b0a29f740a0b184ba940fb7f96e_34742"/>
      <w:bookmarkEnd w:id="5"/>
      <w:r>
        <w:rPr>
          <w:rFonts w:ascii="Times New Roman;serif" w:hAnsi="Times New Roman;serif"/>
          <w:b/>
          <w:i w:val="false"/>
          <w:caps w:val="false"/>
          <w:smallCaps w:val="false"/>
          <w:strike w:val="false"/>
          <w:dstrike w:val="false"/>
          <w:sz w:val="20"/>
          <w:u w:val="none"/>
          <w:effect w:val="none"/>
        </w:rPr>
        <w:t>Long-Lived</w:t>
      </w:r>
      <w:bookmarkStart w:id="6" w:name="ie9e33b0a29f740a0b184ba940fb7f96e_34826"/>
      <w:bookmarkEnd w:id="6"/>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Assets, Goodwill, Intangibles and Investments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regularly evaluates whether events and circumstances have occurred that indicate the carrying amount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property and equipment and intangible assets with finite lives may not be recoverable. When factors indicate that these long-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lived assets should be evaluated for possible impairment, the Company assesses the potential impairment by determining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whether the carrying amount of such long-lived assets will be recovered through the future undiscounted cash flows expected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use of the asset and its eventual disposition. If the carrying amount of the asset is determined not to be recoverable,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write-down to fair value is recorded. Fair values are determined based on quoted market prices or discounted cash flow analyses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applicable. The Company regularly evaluates whether events and circumstances have occurred that indicate the useful lives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property and equipment and intangible assets with finite lives may warrant revision.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completes an impairment test of goodwill at least annually or more frequently if facts or circumstances indicate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goodwill might be impaired. Goodwill is tested for impairment at the reporting unit level. When the Company believes it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appropriate, the Company may elect to first perform the optional qualitative assessment for certain of its reporting units. Factors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considered in the qualitative assessment include general macroeconomic conditions, industry and market conditions, cost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factors, overall financial performance of our reporting units, events or changes affecting the composition or carrying amount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net assets of our reporting units, sustained decrease in our share price and other relevant entity-specific events. If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elects to bypass the optional qualitative assessment or if it determines, on the basis of qualitative factors, that the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of the reporting unit is more likely than not less than the carrying amount, a quantitative test would be required.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then performs the quantitative goodwill impairment test for the applicable reporting units by comparing the reporting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unit’s carrying amount, including goodwill, to its fair value, which is measured based upon, among other factors, a discounted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cash flow analysis and, to a lesser extent, market multiples for comparable companies. If the carrying amount of the reporting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unit is greater than its fair value, goodwill is considered impaired.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October 1, 2024, as a result of the annual evaluation, the Company determined the goodwill within the Payroll Card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reporting unit, a component of its “Other” category, was partially impaired. Accordingly, the Company recognized a goodwill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impairment loss of $90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within goodwill impairment in the Consolidated Statements of Income during the year ended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31, 2024. Factors that led to this conclusion included i) decreased use of the card and its core component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target customers, ii) the impact of historic and sustained increases in inflation and interest rates on the reporting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unit’s weighted average costs of capital, which was beyond the Company's control and iii) inability to achieve forecasted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results at historical underwritten values, all of which resulted in revised mid to long-term projections during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fourth quarter of 2024, including reevaluation of the Company's anticipated capital investment in the reporting unit and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negatively impacted the reporting unit's fair value. The Company engaged a third-party valuation firm to assist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performance of its goodwill quantitative impairment test. The estimation of the net present value of future cash flows was 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upon varying economic assumptions, including assumptions such as revenue, net growth rates, operating costs, EBITDA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margins, capital expenditures, tax rates, long-term growth rates and discount rates. Of these assumptions, EBITDA margins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discount rates were the most sensitive, subjective and/or complex. These assumptions were based on risk-adjusted discount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factors accommodating viewpoints that consider the full range of variability contemplated in the current and potential future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economic situations. There is approximately $57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goodwill remaining related to the Payroll card reporting unit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December 31, 2025 and 2024.</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results of the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impairment test for the Company's reporting units indicated that the estimated fair value of each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reporting units was in excess of the corresponding carrying amount as of October 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impairment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goodwill existed. No events or changes in circumstances have occurred since the date of this most recent annual impairment test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would more likely than not reduce the fair value of a reporting unit below its carrying amount.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also evaluates indefinite-lived intangible assets (primarily trademarks and trade names) for impairment annually.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also tests for impairment at an interim date if events and circumstances indicate that it is more likely than not that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 impairment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exists. An impairment loss is recognized if the carrying amount of an indefinite-lived intangible asset exceeds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estimated fair value on the measurement 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Estimates critical to the Company’s evaluation of indefinite-lived intangible assets for impairment include the discount 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royalty rates used in its evaluation of trade names and projected revenue growth. Based on the indefinite-lived intangible asset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impairment analyses performed as of October 1, 2025, the Company determined no impairment existed. No events or changes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circumstances have occurred since the date of this most recent annual impairment analysis that would more likely than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reduce the fair value of an indefinite-lived intangible asset below its carrying amount.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elected the alternative to measure certain investments in equity instruments that do not have readily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determinable fair values at cost minus impairment, if any, plus or minus changes resulting from observable price changes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similar investments of the issuer. The Company reassesses these investments each reporting period to evaluate whether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investments continue to qualify for the alternative measurement at cost minus impairment, rather than requiring measurement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fair value on a recurring basis. The Company evaluates these equity investments without readily determinable fair values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impairment based on qualitative indicators (e.g., significant deterioration in investee's financial performance, adverse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regulation, etc.). Investments classified as trading securities are carried at fair value with any unrealized gain or loss recorded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within investment (gain) loss in the Consolidated Statements of Income.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2021, the Company made an investment of $37.4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a 20-year joint venture with a third-party Brazilian bank.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determined that it exercises significant influence, but does not control, the joint venture and/or intermediary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records its allocable share of the joint ventures earnings/losses as an equity method investment under ASC 323, "Investments—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Equity Method and Joint Ventures". Additionally, during 2025, the Company made an investment of $578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approximately 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equity in a limited partnership with TPG in connection with the acquisition of AvidXChange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Holdings, Inc. The Company determined that it does not control the limited partnership and records its allocable share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partnership's earnings/losses as an equity method investment under ASC 323. S</w:t>
      </w:r>
      <w:r>
        <w:rPr>
          <w:rFonts w:ascii="Times New Roman;serif" w:hAnsi="Times New Roman;serif"/>
          <w:b w:val="false"/>
          <w:i w:val="false"/>
          <w:caps w:val="false"/>
          <w:smallCaps w:val="false"/>
          <w:strike w:val="false"/>
          <w:dstrike w:val="false"/>
          <w:sz w:val="20"/>
          <w:u w:val="none"/>
          <w:effect w:val="none"/>
          <w:shd w:fill="FFFFFF" w:val="clear"/>
        </w:rPr>
        <w:t>ee Note 7 for f</w:t>
      </w:r>
      <w:r>
        <w:rPr>
          <w:rFonts w:ascii="Times New Roman;serif" w:hAnsi="Times New Roman;serif"/>
          <w:b w:val="false"/>
          <w:i w:val="false"/>
          <w:caps w:val="false"/>
          <w:smallCaps w:val="false"/>
          <w:strike w:val="false"/>
          <w:dstrike w:val="false"/>
          <w:sz w:val="20"/>
          <w:u w:val="none"/>
          <w:effect w:val="none"/>
        </w:rPr>
        <w:t xml:space="preserve">urther information regarding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Company's investment in AvidXChange.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recognized net losses related to its equity method investments of $25.4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year ended December 31</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which were recorded within Other expense (income), net in the Consolidated Statements of Income. The impact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equity method investments was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material for the years ended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monitors its equity method investments qualitatively for other than temporary impairment. The Company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recorded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impairment charges on its investments for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Property and Equipment and Definite-Lived Intangible Assets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Property and equipment are stated at cost and depreciated on the straight-line basis. Intangible assets with finite lives, consisting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of customer relationships, are stated at fair value upon acquisition and are amortized over their estimated useful lives.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Customer and merchant relationship useful lives are estimated using historical attrition rates.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develops internal-use software that is used in providing processing and information management services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A significant portion of the Company’s capital expenditures are devoted to the development of such internal-use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computer software. Software development costs are capitalized once application development stage of the software has been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established. Costs incurred during preliminary project stage prior to the application development stage are expensed as incurred.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Application development stage is established when the Company has completed all planning, designing, coding and testing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that are necessary to determine that the software can be produced to meet its design specifications,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functions, features and technical performance requirements. Capitalization of costs ceases when the software is ready for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intended use. Software development costs are amortized using the straight-line method over the estimated useful life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software. The Company capitalized software costs of $174.3 million, $136.3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$128.0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2023, respectively. Amortization expense for software totaled $102.9 million, $78.8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$77.5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2024</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2023, respectively.</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Income</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Taxes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accounts for income taxes under the asset and liability method. Deferred tax assets and liabilities are recognized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future tax consequences attributable to differences between the financial statement carrying amounts of existing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liabilities and their respective tax bases. Deferred tax assets and liabilities are measured using enacted tax rates expected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apply to taxable income in the years in which those temporary differences are expected to be recovered or settled. The effect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deferred tax assets and liabilities of a change in tax rates is recognized in the period that includes the enactment date.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has elected to treat the Global Intangible Low Taxed Income (GILTI) inclusion as a current period 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ultimate realization of deferred tax assets is dependent upon the generation of future taxable income during the periods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the associated temporary differences become deductible. The Company evaluates on a quarterly basis whether it is more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likely than not that its deferred tax assets will be realized in the future and concludes whether a valuation allowance must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established.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recognizes the impact of an uncertain income tax position on the income tax return at the largest amount that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more likely than not to be sustained upon audit by the relevant taxing authority. An uncertain income tax position will not be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recognized if it has less than a 50% likelihood of being sustained.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Company includes any estimated interest and penalties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tax related matters in income tax expense.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w:t>
      </w:r>
      <w:r>
        <w:rPr>
          <w:rFonts w:ascii="Times New Roman;serif" w:hAnsi="Times New Roman;serif"/>
          <w:b w:val="false"/>
          <w:i w:val="false"/>
          <w:caps w:val="false"/>
          <w:smallCaps w:val="false"/>
          <w:strike w:val="false"/>
          <w:dstrike w:val="false"/>
          <w:sz w:val="20"/>
          <w:u w:val="none"/>
          <w:effect w:val="none"/>
          <w:shd w:fill="FFFFFF" w:val="clear"/>
        </w:rPr>
        <w:t>ee Note 13 for f</w:t>
      </w:r>
      <w:r>
        <w:rPr>
          <w:rFonts w:ascii="Times New Roman;serif" w:hAnsi="Times New Roman;serif"/>
          <w:b w:val="false"/>
          <w:i w:val="false"/>
          <w:caps w:val="false"/>
          <w:smallCaps w:val="false"/>
          <w:strike w:val="false"/>
          <w:dstrike w:val="false"/>
          <w:sz w:val="20"/>
          <w:u w:val="none"/>
          <w:effect w:val="none"/>
        </w:rPr>
        <w:t>urther information.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Cash and Cash Equivalents and Restricted Cash</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Cash and cash equivalents primarily consist of a) cash on hand, b) highly liquid investments with original maturities of three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months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less, such as certificates of deposit, treasury bills and money market funds, and c) customer deposits repayable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demand without legal restrictions. Restricted cash represents a) customer deposits repayable on demand held in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geographies with legal restrictions contractually set aside to fulfill payment obligations on a customer's behalf, b) collateral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received from customers for cross-currency transactions in our cross-border payments business, which are restricted from use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than to repay customer deposits and secure and settle cross-currency transactions, and c) collateral posted with banks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hedging positions in our cross-border payments business.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provides a reconciliation of cash and cash equivalents and restricted cash reported within the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Balance Sheets to amounts within the Consolidated Statements of Cash Flows (in thousands).</w:t>
      </w:r>
    </w:p>
    <w:tbl>
      <w:tblPr>
        <w:tblW w:w="7621" w:type="dxa"/>
        <w:jc w:val="left"/>
        <w:tblInd w:w="0" w:type="dxa"/>
        <w:tblLayout w:type="fixed"/>
        <w:tblCellMar>
          <w:top w:w="28" w:type="dxa"/>
          <w:left w:w="28" w:type="dxa"/>
          <w:bottom w:w="28" w:type="dxa"/>
          <w:right w:w="28" w:type="dxa"/>
        </w:tblCellMar>
      </w:tblPr>
      <w:tblGrid>
        <w:gridCol w:w="2746"/>
        <w:gridCol w:w="109"/>
        <w:gridCol w:w="1501"/>
        <w:gridCol w:w="109"/>
        <w:gridCol w:w="1501"/>
        <w:gridCol w:w="109"/>
        <w:gridCol w:w="1546"/>
      </w:tblGrid>
      <w:tr>
        <w:trPr/>
        <w:tc>
          <w:tcPr>
            <w:tcW w:w="2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2023</w:t>
            </w:r>
          </w:p>
        </w:tc>
      </w:tr>
      <w:tr>
        <w:trPr/>
        <w:tc>
          <w:tcPr>
            <w:tcW w:w="27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$2,408,097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$1,553,642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$1,389,648</w:t>
            </w:r>
          </w:p>
        </w:tc>
      </w:tr>
      <w:tr>
        <w:trPr/>
        <w:tc>
          <w:tcPr>
            <w:tcW w:w="27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Restricted cash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6,583,843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2,902,703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1,751,887</w:t>
            </w:r>
          </w:p>
        </w:tc>
      </w:tr>
      <w:tr>
        <w:trPr/>
        <w:tc>
          <w:tcPr>
            <w:tcW w:w="27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cash and cash equivalents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$8,991,940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$4,456,345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$3,141,535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Foreign Currency Translation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and liabilities of foreign subsidiaries as well as intra-entity balances denominated in foreign-currency and designated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long-term investment are translated into U.S. dollars at the rates of exchange in effect at period-end. The related translation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adjustments are recorded to accumulated other comprehensive loss. Income and expenses are translated at the average monthly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rates of exchange in effect during the year. Gains and losses from foreign currency transactions of these subsidiaries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included in net income. The Company recognized net foreign exchange losses, which are recorded within Other expense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 net in the Consolidated Statements of Income for the years ended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follows (in millions): </w:t>
      </w:r>
    </w:p>
    <w:tbl>
      <w:tblPr>
        <w:tblW w:w="3976" w:type="dxa"/>
        <w:jc w:val="left"/>
        <w:tblInd w:w="0" w:type="dxa"/>
        <w:tblLayout w:type="fixed"/>
        <w:tblCellMar>
          <w:top w:w="28" w:type="dxa"/>
          <w:left w:w="28" w:type="dxa"/>
          <w:bottom w:w="28" w:type="dxa"/>
          <w:right w:w="28" w:type="dxa"/>
        </w:tblCellMar>
      </w:tblPr>
      <w:tblGrid>
        <w:gridCol w:w="2101"/>
        <w:gridCol w:w="109"/>
        <w:gridCol w:w="571"/>
        <w:gridCol w:w="109"/>
        <w:gridCol w:w="466"/>
        <w:gridCol w:w="109"/>
        <w:gridCol w:w="51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21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exchange losses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recorded foreign currency losses and gains on long-term intra-entity transactions included as a component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currency translation losses (gains), net of tax, in the Consolidated Statements of Comprehensive Income for the years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follows (in millions):</w:t>
      </w:r>
    </w:p>
    <w:tbl>
      <w:tblPr>
        <w:tblW w:w="7036" w:type="dxa"/>
        <w:jc w:val="left"/>
        <w:tblInd w:w="0" w:type="dxa"/>
        <w:tblLayout w:type="fixed"/>
        <w:tblCellMar>
          <w:top w:w="28" w:type="dxa"/>
          <w:left w:w="28" w:type="dxa"/>
          <w:bottom w:w="28" w:type="dxa"/>
          <w:right w:w="28" w:type="dxa"/>
        </w:tblCellMar>
      </w:tblPr>
      <w:tblGrid>
        <w:gridCol w:w="4726"/>
        <w:gridCol w:w="109"/>
        <w:gridCol w:w="571"/>
        <w:gridCol w:w="109"/>
        <w:gridCol w:w="676"/>
        <w:gridCol w:w="109"/>
        <w:gridCol w:w="736"/>
      </w:tblGrid>
      <w:tr>
        <w:trPr/>
        <w:tc>
          <w:tcPr>
            <w:tcW w:w="4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47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Foreign currency losses (gains) on long-term intra-entity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Derivatives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uses derivatives to minimize its exposures related to changes in interest rates and economic changes in the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certain foreign-denominated net assets. The Company also uses derivatives to facilitate cross-currency corporate payments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by writing derivatives to customers and enters into cross-currency derivative contracts with banking partners to mitigate foreign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exchange risk</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associated with customer derivative contracts.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is exposed to the risk of changing interest rates because its borrowings are subject to variable interest rates.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order to mitigate this risk, the Company utilizes derivative instruments. Interest rate swap contracts designated as cash flow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hedges involve the receipt of variable amounts from a counterparty in exchange for the Company making fixed-rate payments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 the life of the agreements without exchange of the underlying notional amount. The Company hedges interest payments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 unspecified portion of its variable rate debt utilizing derivatives designated as cash flow hedges.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Changes in the fair value of derivatives that are designated and qualify as cash flow hedges are recorded to the derivative assets/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and offset against accumulated other comprehensive loss. Derivative fair value changes that are recorded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accumulated other comprehensive loss are reclassified to earnings in the same period or periods that the hedged item affects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earnings, to the extent the derivative is highly effective in offsetting the change in cash flows attributable to the hedged risk.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Company's cross-border payments business, the Company uses derivatives to facilitate cross-currency corporate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by writing derivatives, primarily foreign currency forward contracts, option contracts and swaps, for its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derives a currency spread from this activity. The Company recognizes current cross-border payments derivatives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prepaid expenses and other current assets and recognizes other current liabilities and derivatives greater than one year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other assets and other noncurrent liabilities in the accompanying Consolidated Balance Sheets at their fair value. Any gains/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losses associated with these derivatives are recorded through earnings.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Company also utilizes cross-currency interest rate swaps designated as net investment hedges of its investments in foreign-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denominated operations, which effectively converts a specified U.S. dollar notional equivalent to an obligation denominated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currency and partially offsets the impact of changes in currency rates on the Company's foreign-denominated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investments. Such contracts also create a positive interest differential on the U.S. dollar-denominated portion of the swap,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resulting in interest rate savings on the USD notional.</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 cash flows associated with the Company's foreign currency and interest rate swap derivatives are included in cash flows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from operating activities in the Consolidated Statements of Cash Flows.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Upon settlement of derivatives designated as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 hedges, the associated cash flows will be classified as investing activities in the Consolidated Statements of 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Flows. See</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Note 16 for further information.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p>
      <w:pPr>
        <w:pStyle w:val="TextBody"/>
        <w:bidi w:val="0"/>
        <w:spacing w:lineRule="atLeast" w:line="200" w:before="0" w:after="0"/>
        <w:jc w:val="left"/>
        <w:rPr>
          <w:rFonts w:ascii="Times New Roman;serif" w:hAnsi="Times New Roman;serif"/>
          <w:b/>
          <w:i w:val="false"/>
          <w:caps w:val="false"/>
          <w:smallCaps w:val="false"/>
          <w:strike w:val="false"/>
          <w:dstrike w:val="false"/>
          <w:color w:val="212529"/>
          <w:sz w:val="20"/>
          <w:u w:val="none"/>
          <w:effect w:val="none"/>
        </w:rPr>
      </w:pPr>
      <w:r>
        <w:rPr>
          <w:rFonts w:ascii="Times New Roman;serif" w:hAnsi="Times New Roman;serif"/>
          <w:b/>
          <w:i w:val="false"/>
          <w:caps w:val="false"/>
          <w:smallCaps w:val="false"/>
          <w:strike w:val="false"/>
          <w:dstrike w:val="false"/>
          <w:color w:val="212529"/>
          <w:sz w:val="20"/>
          <w:u w:val="none"/>
          <w:effect w:val="none"/>
        </w:rPr>
        <w:t>Spot Trade Offsetting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uses spot trades to facilitate cross-currency corporate payments. The Company applies offsetting to spot trade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and liabilities associated with contracts that include master netting agreements with the same counterparty, as a right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offset exists, which the Company believes to be enforceable. As such, the Company has netted spot trade liabilities against spot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trade receivables at the counter-party level. The Company recognizes all spot trade assets, net in accounts receivable and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spot trade liabilities, net in accounts payable, each net at the counterparty level, in its Consolidated Balance Sheets at their fair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value.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following table presents the Company’s spot trade assets and liabilities at their fair value for the years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millions):</w:t>
      </w:r>
    </w:p>
    <w:tbl>
      <w:tblPr>
        <w:tblW w:w="8022" w:type="dxa"/>
        <w:jc w:val="left"/>
        <w:tblInd w:w="0" w:type="dxa"/>
        <w:tblLayout w:type="fixed"/>
        <w:tblCellMar>
          <w:top w:w="28" w:type="dxa"/>
          <w:left w:w="28" w:type="dxa"/>
          <w:bottom w:w="28" w:type="dxa"/>
          <w:right w:w="28" w:type="dxa"/>
        </w:tblCellMar>
      </w:tblPr>
      <w:tblGrid>
        <w:gridCol w:w="1846"/>
        <w:gridCol w:w="826"/>
        <w:gridCol w:w="109"/>
        <w:gridCol w:w="1291"/>
        <w:gridCol w:w="109"/>
        <w:gridCol w:w="676"/>
        <w:gridCol w:w="109"/>
        <w:gridCol w:w="826"/>
        <w:gridCol w:w="109"/>
        <w:gridCol w:w="1291"/>
        <w:gridCol w:w="109"/>
        <w:gridCol w:w="721"/>
      </w:tblGrid>
      <w:tr>
        <w:trPr/>
        <w:tc>
          <w:tcPr>
            <w:tcW w:w="18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301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056"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2024</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Offset on the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Sheet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Net </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Gross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Offset on the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Sheet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Net</w:t>
            </w:r>
          </w:p>
        </w:tc>
      </w:tr>
      <w:tr>
        <w:trPr/>
        <w:tc>
          <w:tcPr>
            <w:tcW w:w="184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Assets </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Accounts Receivable</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$5,285.7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$2,305.6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$173.8</w:t>
            </w:r>
          </w:p>
        </w:tc>
      </w:tr>
      <w:tr>
        <w:trPr/>
        <w:tc>
          <w:tcPr>
            <w:tcW w:w="184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Accounts Payable</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$5,194.1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$86.5</w:t>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Stock-Based Compensation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routinely grants employee stock options and restricted stock awards/units as part of employee compensation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plans. Stock options are granted with an exercise price equal to the fair market value of the underlying Company share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date of grant. Options granted have vesting provisions ranging from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four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vesting of the options is generally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based on the passage of time, performance or market conditions, or a combination of these. Stock option grants are subject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forfeiture if employment terminates prior to vesting. The Company has selected the Black-Scholes option pricing model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estimating the grant date fair value of stock option awards. The Company has considered the retirement and forfeiture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provisions of the options and utilized its historical experience to estimate the expected term of the options. Option forfeitures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accounted for upon occurrence. The Company bases the risk-free interest rate on the yield of a zero coupon U.S. Treasury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security with a maturity equal to the expected term of the option from the date of the grant. Expected volatility is based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historical volatility.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Awards of restricted stock and restricted stock units are independent of stock option grants and are subject to forfeiture if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employment terminates prior to vesting. The vesting of shares granted is generally based on the passage of time, performance 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market conditions, or a combination of these. Shares generally have graded vesting provisions of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four years. The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of restricted stock where the shares vest based on the passage of time or performance is based on the grant date fair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Company’s stock.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stock options and restricted stock units granted with market-based vesting conditions is estimated using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Monte Carlo simulation valuation model. The risk-free interest rate and volatility assumptions used within the Monte Carlo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simulation valuation model are calculated consistently with those applied in the Black-Scholes options pricing model utilized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determining the fair value of the market-based stock option awards.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performance-based restricted stock awards/units and performance-based stock option awards, the Company must also make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assumptions regarding the likelihood of achieving performance goals. If actual results differ significantly from these estimates,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stock-based compensation expense and the Company’s results of operations could be materially affected.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Stock-based compensation cost is measured at the grant date based on the value of the award and is recognized as expense over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requisite service period based on the number of years over which the requisite service is expected to be rendered.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Deferred Financing Costs/Debt Discounts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Costs incurred to obtain financing are amortized over the term of the related debt using the effective interest method and 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included within interest expense,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Company capitalized additional debt issuance costs of $38.8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$8.5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2024. These debt issuance costs were primarily associated with the refinancing of the Company's Credit Facility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Securitization Facility, and for 2025 also included approximately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commitment and arrangement fees related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bridge term loan the Company entered into in connection with the acquisition of Alpha. 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had deferred financing costs of $11.2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$4.2 million, respectively, related to the revolver under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Facility and the Securitization Facility, each recorded within prepaid expenses and other current assets,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Balance Sheets.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Company had deferred financing costs and debt discounts of $26.5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$16.6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respectively, related to the term notes under the Credit Facility, which were recorded as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discount to the term debt outstanding within the current portion of notes payable and lines of credit and within notes payable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other obligations, less current portion on the Consolidated Balance Sheets.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Comprehensive Income (Loss)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Comprehensive income (loss) is defined as the total of net income and all other changes in equity that result from transactions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other economic events of a reporting period other than transactions with owners.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Accounts Receivable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through Corpay Technologies Operating Company, LLC ("CTOC") and certain of its other subsidiaries,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maintains a $2.3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rev</w:t>
      </w:r>
      <w:r>
        <w:rPr>
          <w:rFonts w:ascii="Times New Roman;serif" w:hAnsi="Times New Roman;serif"/>
          <w:b w:val="false"/>
          <w:i w:val="false"/>
          <w:caps w:val="false"/>
          <w:smallCaps w:val="false"/>
          <w:strike w:val="false"/>
          <w:dstrike w:val="false"/>
          <w:sz w:val="20"/>
          <w:u w:val="none"/>
          <w:effect w:val="none"/>
          <w:shd w:fill="FFFFFF" w:val="clear"/>
        </w:rPr>
        <w:t>o</w:t>
      </w:r>
      <w:r>
        <w:rPr>
          <w:rFonts w:ascii="Times New Roman;serif" w:hAnsi="Times New Roman;serif"/>
          <w:b w:val="false"/>
          <w:i w:val="false"/>
          <w:caps w:val="false"/>
          <w:smallCaps w:val="false"/>
          <w:strike w:val="false"/>
          <w:dstrike w:val="false"/>
          <w:sz w:val="20"/>
          <w:u w:val="none"/>
          <w:effect w:val="none"/>
        </w:rPr>
        <w:t xml:space="preserve">lving accounts receivable securitization facility (as amended from time to time, the "Securitization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Facility"). On November 3, 2025, CTOC and others entered into the Sixth Amended and Restated Receivables Purchase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Agreement (the "RPA") in connection with the Securitization Facility. The RPA and related documents, among other things, (i)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increased the Securitization Facility commitment from $1.8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$2.3 billion, (ii) extended the outside maturity date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Securitization Facility to November 3, 2028, (iii) added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U.K.-based originators and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U.K.-based guarantor and (iv)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lowered the drawn program pricing by 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basis points.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Accounts receivable collateralized within our Securitization Facility relate to trade accounts receivable resulting primarily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charge card activity and other customer receivables in the U.S and the U.K. Pursuant to the terms of the Securitization Facility,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U.S.-based originators transfer in the form of a sale certain of their domestic receivables, on a revolving basis,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FLEETCOR Funding LLC ("Funding"), a wholly-owned bankruptcy remote consolidated subsidiary. In turn, Funding transfers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form of a sale, on a revolving basis, a proportionate undivided ownership interest in this pool of accounts receivable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unrelated transferees (i.e., multi-seller banks and asset-backed commercial paper conduits). Funding retains a residual,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subordinated interest in cash flow distribution from the transferred receivables and provides to the transferees an incremental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pledge of unsold receivables as a form of over-collateralization to enhance the credit of the transferred receivables. Purchases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by the banks and conduits may be financed with the sale of highly-rated commercial paper.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utilizes proceeds from the securitized assets as an alternative to other forms of financing to reduce its overall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borrowing costs. CTOC has agreed to continue servicing the sold receivables for the transferees at market rates,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approximates the CTOC’s cost of servicing. Funding determines the level of funding achieved by the sale of accounts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receivable, subject to a maximum amount. As the Company maintains certain continuing involvement in the transferred/sold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receivables, it does not derecognize the receivables from its Consolidated Balance Sheets. Instead, the Company records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proceeds and any residual interest received as a Securitization Facility liability.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Consolidated Balance Sheets and Statements of Income reflect the activity related to securitized accounts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receivable and the corresponding securitized debt, including interest income, fees generated from late payments, provision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losses on accounts receivable and interest expense. The cash flows from borrowings and repayments associated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securitized debt are presented as cash flows from financing activities. The maturity date for the Securitization Facility is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earlier of November 3, 2028 or the first maturity date of any loan under the Company's Credit Agreement, which is June 24,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2027. </w:t>
      </w:r>
    </w:p>
    <w:p>
      <w:pPr>
        <w:pStyle w:val="TextBody"/>
        <w:bidi w:val="0"/>
        <w:spacing w:lineRule="atLeast" w:line="24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accounts receivable and securitized accounts receivable include the following at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thousands):</w:t>
      </w:r>
      <w:r>
        <w:rPr>
          <w:caps w:val="false"/>
          <w:smallCaps w:val="false"/>
          <w:strike w:val="false"/>
          <w:dstrike w:val="false"/>
          <w:sz w:val="24"/>
          <w:u w:val="none"/>
          <w:effect w:val="none"/>
        </w:rPr>
        <w:t> </w:t>
      </w:r>
    </w:p>
    <w:tbl>
      <w:tblPr>
        <w:tblW w:w="6476" w:type="dxa"/>
        <w:jc w:val="left"/>
        <w:tblInd w:w="0" w:type="dxa"/>
        <w:tblLayout w:type="fixed"/>
        <w:tblCellMar>
          <w:top w:w="28" w:type="dxa"/>
          <w:left w:w="28" w:type="dxa"/>
          <w:bottom w:w="28" w:type="dxa"/>
          <w:right w:w="28" w:type="dxa"/>
        </w:tblCellMar>
      </w:tblPr>
      <w:tblGrid>
        <w:gridCol w:w="4141"/>
        <w:gridCol w:w="109"/>
        <w:gridCol w:w="1036"/>
        <w:gridCol w:w="109"/>
        <w:gridCol w:w="1081"/>
      </w:tblGrid>
      <w:tr>
        <w:trPr/>
        <w:tc>
          <w:tcPr>
            <w:tcW w:w="4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4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domestic unsecuritized accounts receivable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$661,167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$945,714</w:t>
            </w:r>
          </w:p>
        </w:tc>
      </w:tr>
      <w:tr>
        <w:trPr/>
        <w:tc>
          <w:tcPr>
            <w:tcW w:w="4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Gross domestic securitized accounts receivable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1,823,000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1,323,000</w:t>
            </w:r>
          </w:p>
        </w:tc>
      </w:tr>
      <w:tr>
        <w:trPr/>
        <w:tc>
          <w:tcPr>
            <w:tcW w:w="4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Gross foreign receivables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1,655,469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1,278,543</w:t>
            </w:r>
          </w:p>
        </w:tc>
      </w:tr>
      <w:tr>
        <w:trPr/>
        <w:tc>
          <w:tcPr>
            <w:tcW w:w="4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gross receivables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4,139,636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3,547,257</w:t>
            </w:r>
          </w:p>
        </w:tc>
      </w:tr>
      <w:tr>
        <w:trPr/>
        <w:tc>
          <w:tcPr>
            <w:tcW w:w="4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Less allowance for credit losses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(170,957)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(133,757)</w:t>
            </w:r>
          </w:p>
        </w:tc>
      </w:tr>
      <w:tr>
        <w:trPr/>
        <w:tc>
          <w:tcPr>
            <w:tcW w:w="4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accounts and securitized accounts receivable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$3,968,679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$3,413,500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 rollforward of the Company’s allowance for credit losses related to accounts receivable for the years ended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follows (in thousands):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6856" w:type="dxa"/>
        <w:jc w:val="left"/>
        <w:tblInd w:w="0" w:type="dxa"/>
        <w:tblLayout w:type="fixed"/>
        <w:tblCellMar>
          <w:top w:w="28" w:type="dxa"/>
          <w:left w:w="28" w:type="dxa"/>
          <w:bottom w:w="28" w:type="dxa"/>
          <w:right w:w="28" w:type="dxa"/>
        </w:tblCellMar>
      </w:tblPr>
      <w:tblGrid>
        <w:gridCol w:w="3781"/>
        <w:gridCol w:w="109"/>
        <w:gridCol w:w="901"/>
        <w:gridCol w:w="109"/>
        <w:gridCol w:w="901"/>
        <w:gridCol w:w="109"/>
        <w:gridCol w:w="946"/>
      </w:tblGrid>
      <w:tr>
        <w:trPr/>
        <w:tc>
          <w:tcPr>
            <w:tcW w:w="3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3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Allowance for credit losses beginning of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$133,757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$180,163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$149,846</w:t>
            </w:r>
          </w:p>
        </w:tc>
      </w:tr>
      <w:tr>
        <w:trPr/>
        <w:tc>
          <w:tcPr>
            <w:tcW w:w="3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Provision for credit losses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122,642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125,152</w:t>
            </w:r>
          </w:p>
        </w:tc>
      </w:tr>
      <w:tr>
        <w:trPr/>
        <w:tc>
          <w:tcPr>
            <w:tcW w:w="3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Write-offs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(115,631)</w:t>
            </w:r>
          </w:p>
        </w:tc>
      </w:tr>
      <w:tr>
        <w:trPr/>
        <w:tc>
          <w:tcPr>
            <w:tcW w:w="3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Recoveries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13,596</w:t>
            </w:r>
          </w:p>
        </w:tc>
      </w:tr>
      <w:tr>
        <w:trPr/>
        <w:tc>
          <w:tcPr>
            <w:tcW w:w="3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Impact of foreign currency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7,200</w:t>
            </w:r>
          </w:p>
        </w:tc>
      </w:tr>
      <w:tr>
        <w:trPr/>
        <w:tc>
          <w:tcPr>
            <w:tcW w:w="3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Allowance for credit losses end of year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$170,957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$133,757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$180,163</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provision for credit losses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during the year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versus the comparable prior periods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due to the growth of the business, as credit loss expense as a percentage of spend improved versus the comparable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prior periods. Write-offs include receivables for which a full allowance was previously provided.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Advertising</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expenses advertising costs as incurred.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Advertising expense was $107.7 million, $75.0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$64.6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 respectively.</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Redeemable Noncontrolling Interest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April 2025, the Company expanded its long-standing strategic partnership agreement with Mastercard to deliver an enhanced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suite of corporate cross-border payment solutions. The transaction also included an investment in the Company's cross-border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business with Mastercard acquiring a 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noncontrolling interest in the cross-border business for $300 million.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 into the Company’s cross-border business closed on December 1, 2025, and the cash associated with the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was presented as cash flows provided by financing activities in the Company's Consolidated Statements of Cash Flows.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Mastercard has the right to sell, or put, its interest back to the Company for six months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starting on August 1, 2027. If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Mastercard does not exercise the put right, the Company will have a reciprocal call right to repurchase the interest for six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months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starting on May 1, 2028. In each case, the redemption price is the amount of invested capital plus 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annum,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compounded annually. The call and put rights are considered clearly and closely related to the noncontrolling interest and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 separated as bifurcated derivatives.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carrying amount of the redeemable noncontrolling interest is adjusted to its full redemption value through retained earnings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the end of each reporting period. The following table presents a reconciliation of the changes in the redeemable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noncontrolling interest balance (in thousands):</w:t>
      </w:r>
    </w:p>
    <w:tbl>
      <w:tblPr>
        <w:tblW w:w="6741" w:type="dxa"/>
        <w:jc w:val="left"/>
        <w:tblInd w:w="0" w:type="dxa"/>
        <w:tblLayout w:type="fixed"/>
        <w:tblCellMar>
          <w:top w:w="28" w:type="dxa"/>
          <w:left w:w="28" w:type="dxa"/>
          <w:bottom w:w="28" w:type="dxa"/>
          <w:right w:w="28" w:type="dxa"/>
        </w:tblCellMar>
      </w:tblPr>
      <w:tblGrid>
        <w:gridCol w:w="5146"/>
        <w:gridCol w:w="109"/>
        <w:gridCol w:w="1486"/>
      </w:tblGrid>
      <w:tr>
        <w:trPr/>
        <w:tc>
          <w:tcPr>
            <w:tcW w:w="5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5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Redeemable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Noncontrolling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Interest</w:t>
            </w:r>
          </w:p>
        </w:tc>
      </w:tr>
      <w:tr>
        <w:trPr/>
        <w:tc>
          <w:tcPr>
            <w:tcW w:w="514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Balance at </w:t>
            </w:r>
            <w:r>
              <w:rPr>
                <w:rFonts w:ascii="Times New Roman;serif" w:hAnsi="Times New Roman;serif"/>
                <w:b w:val="false"/>
                <w:i w:val="false"/>
                <w:caps w:val="false"/>
                <w:smallCaps w:val="false"/>
                <w:strike w:val="false"/>
                <w:dstrike w:val="false"/>
                <w:sz w:val="20"/>
                <w:u w:val="none"/>
                <w:effect w:val="none"/>
              </w:rPr>
              <w:t>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51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contribution from redeemable noncontrolling 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300,000</w:t>
            </w:r>
          </w:p>
        </w:tc>
      </w:tr>
      <w:tr>
        <w:trPr/>
        <w:tc>
          <w:tcPr>
            <w:tcW w:w="51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redeemable noncontrolling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520</w:t>
            </w:r>
          </w:p>
        </w:tc>
      </w:tr>
      <w:tr>
        <w:trPr/>
        <w:tc>
          <w:tcPr>
            <w:tcW w:w="51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Adjustment to redemption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1,480</w:t>
            </w:r>
          </w:p>
        </w:tc>
      </w:tr>
      <w:tr>
        <w:trPr/>
        <w:tc>
          <w:tcPr>
            <w:tcW w:w="514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Balance at </w:t>
            </w:r>
            <w:r>
              <w:rPr>
                <w:rFonts w:ascii="Times New Roman;serif" w:hAnsi="Times New Roman;serif"/>
                <w:b w:val="false"/>
                <w:i w:val="false"/>
                <w:caps w:val="false"/>
                <w:smallCaps w:val="false"/>
                <w:strike w:val="false"/>
                <w:dstrike w:val="false"/>
                <w:sz w:val="20"/>
                <w:u w:val="none"/>
                <w:effect w:val="none"/>
              </w:rPr>
              <w:t>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$302,000</w:t>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Earnings Per Share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reports basic and diluted earnings per share. Basic earnings per share is calculated using the weighted average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common stock and non-vested, non-forfeitable restricted shares outstanding, unadjusted for dilution and net income attributable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common shareholders.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Diluted earnings per share is calculated using the weighted average shares outstanding and contingently issuable shares less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weighted average shares recognized during the period. The net outstanding shares have been adjusted for the dilutive effect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common stock equivalents, which consist of outstanding stock options and unvested forfeitable restricted stock units.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illustrated further in Note 17, for the year ended December 31, 2025, Mastercard's noncontrolling interest is redeemable at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fixed price (i.e., not fair value) and therefore is treated as a participating security, requiring application of the two-class method. </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Adoption of New Accounting Standards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Income Taxes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December 2023, the FASB issued ASU No. 2023-09, "Income Taxes (Topic 740): Improvements to Income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Disclosures" ("ASU 2023-09"). The amendments require disclosure of specific categories in the rate reconciliation and provide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additional information for reconciling items that meet a quantitative threshold and further disaggregation of income taxes paid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individually significant jurisdictions. The ASU is effective for fiscal years beginning after December 15, 2024, with early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adoption permitted. ASU 2023-09 should be applied on a prospective basis, while retrospective application is permitted.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adopted this ASU during the year ended December 31, 2025 and applied the amendments prospectively to all periods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presented in our consolidated financial statements. See Note 13 for further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Recent Accounting Pronouncements Not</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Yet Adopted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Disaggregation of Income Statement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November 2024, the FASB issued ASU No. 2024-03, "Disaggregation of Income Statement Expenses" ("ASU 2024-03").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ASU 2024-03, among other items, requires additional financial statement disclosures in tabular format disaggregating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information about prescribed categories (including employee compensation, depreciation and amortization) underlying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relevant income statement expense captions. ASU 2024-03 is effective on a prospective basis for fiscal years beginning after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15, 2026 and interim periods within fiscal years beginning after December 15, 2027, with early adoption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retrospective application permitted. We are currently evaluating the impact this guidance will have on the disclosures within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financial statements.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Financial Instruments - Credit Losses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2025, the FASB issued ASU No. 2025-05, "Financial Instruments - Credit Losses (Topic 326): Measurement of Credit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Losses for Accounts Receivable and Contract Assets" ("ASU 2025-05"). ASU 2025-05 provides a practical expedient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allows entities to assume conditions existing as of the balance sheet date remain unchanged over the life of the asset when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estimating credit losses for current trade receivables and current contract assets arising from transactions accounted for under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Topic 606. ASU 2025-05 is effective on a prospective basis for fiscal years beginning after December 15, 2025, and for interim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periods within those fiscal years, with early adoption permitted. We are currently evaluating this guidance and believe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adoption will not have a material effect on our consolidated financial statements or related disclosures.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Internal-use Software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September 2025, the FASB issued ASU No. 2025-06, "Intangibles - Goodwill and Other - Internal-use Software (Subtopic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350-40): Targeted Improvements to the Accounting for Internal-Use Software" ( "ASU 2025-06"). ASU 2025-06 updates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requirements for capitalizing internal-use software costs by replacing the current stage-based model with a principles-based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approach. Under ASU 2025-06, the prescriptive software development stages (e.g., preliminary project stage, application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stage) are eliminated, and instead capitalization must begin when management authorizes and commits to funding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project and it is probable the project will be completed and used as intended. ASU 2025-06 is effective for fiscal years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beginning after December 15, 2027, including interim periods within those fiscal years, with early adoption permitted. ASU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2025-06 may be applied prospectively, on a modified retrospective basis for in-process projects, or retrospectively. We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currently evaluating the impact this guidance will have on our consolidated financial statements and related disclosures.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Derivatives and Other Scoping and Hedging Improvements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September 2025, the FASB issued ASU No. 2025-07, "Derivatives and Hedging (Topic 815) and Revenue from Contracts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Customers (Topic 606): Derivatives Scope Refinements and Scope Clarification for Share-Based Noncash Consideration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from a Customer in a Revenue Contract" ("ASU 2025-07"). ASU 2025-07 excludes from derivative accounting certain non-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exchange-traded contracts, the underlyings of which are based on operations or activities of the parties to the contract,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various notable exceptions including puts and calls on debt instruments.ASU 2025-07 also clarifies that the noncash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consideration guidance of Topic 606 should apply initially to noncash share-based consideration received from a customer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transferred goods or services until the right to receive such consideration becomes unconditional. ASU 2025-07 is effective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fiscal years beginning after December 15, 2026, including interim periods within those fiscal years, with early adoption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permitted. ASU 2025-07 may be applied prospectively or on a modified retrospective basis. We are currently evaluating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impact this guidance will have on our consolidated financial statements and related disclosures.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November 2025, the FASB issued ASU No. 2025-09, "Derivatives and Hedging (Topic 815): Hedge Accounting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Improvements" ("ASU 2025-09"). ASU 2025-09 includes five amendments to hedge accounting intended to better enable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entities to achieve and maintain hedge accounting. These amendments include, but are not limited to, the FASB's expansion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hedged risks permitted to be aggregated in a group of forecasted transactions in a cash flow hedge from having a shared risk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similar risk exposure and the establishment of a hedging model for "choose your rate debt." ASU 2025-09 is effective for fiscal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years beginning after December 15, 2026, including interim periods within those fiscal years, with early adoption permitted.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ASU 2025-09 is applied prospectively. We are currently evaluating the impact this guidance will have on our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statements and related disclosures.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3. </w:t>
      </w:r>
      <w:r>
        <w:rPr>
          <w:rFonts w:ascii="Times New Roman;serif" w:hAnsi="Times New Roman;serif"/>
          <w:b/>
          <w:i w:val="false"/>
          <w:caps w:val="false"/>
          <w:smallCaps w:val="false"/>
          <w:strike w:val="false"/>
          <w:dstrike w:val="false"/>
          <w:sz w:val="20"/>
          <w:u w:val="none"/>
          <w:effect w:val="none"/>
        </w:rPr>
        <w:t>Revenue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provides payment solutions to our business, merchant, consumer and payment network customers. Our payment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solutions are primarily focused on specific spend categories, including Vehicle Payments, Corporate Payments, Lodging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and Other. The Company provides solutions that help businesses of all sizes control, simplify and secure payment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various domestic and cross-border payables using specialized payment products. The Company also provides other payment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solutions for fleet maintenance, employee benefits and long-haul transportation-related services.  </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Payment Services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primary performance obligation for the majority of its payment solutions (Vehicle Payments, Corporate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Lodging Payments and Other) is to stand-ready to provide authorization and processing services (payment services)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an unknown or unspecified quantity of transactions and the consideration received is contingent upon the customer’s use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(e.g., number of transactions submitted and processed) of the related payment services. Accordingly, the total transaction price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variable. Payment services involve a series of distinct daily services that are substantially the same, with the same pattern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transfer to the customer. As a result, the Company directly allocates and recognizes variable consideration in the period it has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contractual right to invoice the customer. Similarly, for the toll product within Vehicle Payments, the Company's primary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performance obligation is to stand-ready each month to provide access to the toll network and process toll transactions. Each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of access is determined to be distinct and substantially the same as the customer benefits over the period of access.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records revenue for its payment services net of (i) the cost of the underlying products and services; (ii)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assessments and other fees charged by the credit and debit payment networks (along with any rebates provided by them); (iii)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 rebates and other discounts; and (iv) taxes assessed (e.g., VAT and VAT-like taxes) by a government, imposed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concurrent with a revenue-producing transaction. Variability arising from rebates is generally resolved and/or reset within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reporting period to which the variable consideration is allocated. As such, the Company is able to directly allocate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adjustments against revenue in the reporting period in which they are invoiced and does not materially constrain revenue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recognition as a significant reversal of revenue is not probable at invoicing.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majority of the transaction price the Company receives for fulfilling the payment services performance obligation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comprised of one or a combination of the following: 1) interchange fees earned from the payment networks; 2) discount fees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earned from merchants; 3) fees calculated based on a number of transactions processed; 4) fees calculated based upon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percentage of the transaction value for the underlying goods or services (i.e. fuel, food, toll, lodging and transportation cards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vouchers); and 5) monthly access fees.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recognizes revenue when the underlying transactions are complete and as its performance obligations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satisfied. Transactions are considered complete depending upon the related payment solution but generally when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has authorized the transaction, validated that the transaction has no errors and accepted and posted the data to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records.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Company's cross-border payments business, a portion of revenue is from exchanges of currency at spot rates,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enables customers to make cross-currency payments. The Company's performance obligation for its foreign exchange payment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services is providing a foreign currency payment to a customer’s designated recipient and therefore, the Company recognizes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on foreign exchange payment services when the underlying payment is made. Revenues from foreign exchange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 services are primarily comprised of the difference between the exchange rate set by the Company to the customer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rate available in the wholesale foreign exchange market.</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Gift Card Products and Services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Gift solutions deliver both stored value cards and e-cards (cards) and card-based services primarily in the form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gift cards to retailers. These activities each represent performance obligations that are separate and distinct. Revenue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stored value cards is recognized (gross of the underlying cost of the related card, recorded in processing expenses within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Income) at the point in time when control passes to the Company's customer, which is generally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upon shipment.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Card-based services consist of transaction processing and reporting of gift card transactions where the Company recognizes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based on the passage of time as it stands ready to process an unknown or unspecified quantity of transactions. As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 the Company directly allocates and recognizes variable consideration over the estimated period of time over which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performance obligation is satisfied.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Other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accounts for revenue from late fees and finance charges, in jurisdictions where permitted under local regulations,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in the U.S., Canada and Brazil, in accordance with ASC 310, "Receivables." Such fees are recognized net of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 for estimated uncollectible amounts, at the time the fees and finance charges are assessed and services are provided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represent approximately 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total consolidated revenues, net for the years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respectively. The Company ceases billing and accruing for late fees and finance charges approximately 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days after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balance becomes delinquent.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in its cross-border payments business, the Company writes foreign currency forwards, option contracts and swaps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its customers primarily to facilitate future payments in foreign currencies. The duration of these derivative contracts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inception is generally less than one year. The Company aggregates its foreign exchange exposures arising from customer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contracts, including forwards, options and spot exchanges of currency, as necessary, and economically hedges the net currency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risks by entering into offsetting derivatives with established financial institution counterparties. The Company accounts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derivatives in its cross-border payments business in accordance with ASC 815, "Derivatives and Hedging." Revenues earned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currency spread inherent in the instruments on date of execution, as well as changes in fair value related to these instruments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prior to settlement, represented approximately 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consolidated revenues, net, for the years ended December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is also derived from the sale of equipment and cards in certain of the Company’s businesses, which is recognized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time the device or card is sold and control has passed to the customer. This revenue is recognized gross of the cost of sales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to the equipment and cards in revenues, net within the Consolidated Statements of Income. The Company has recorded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$89.3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$74.8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$76.3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expenses related to sales of equipment and cards in processing expenses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within the Consolidated Statements of Income for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2023, respectively.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Revenues from contracts with customers, within the scope of Topic 606, represent approximately 84%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85%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revenues, net, for the years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remaining revenue primarily represents float revenue earned on invested customer funds in jurisdictions where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permitted. Such revenue represented approximately 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consolidated revenues, net for the years ended December 31, 2025</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2024, and was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significant for the year ended December 31, 2023.</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Disaggregation of Revenues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provides its services to customers across different payment solutions and geographies. Revenues, net by solution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years ended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millions) are as follows: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176" w:type="dxa"/>
        <w:jc w:val="left"/>
        <w:tblInd w:w="0" w:type="dxa"/>
        <w:tblLayout w:type="fixed"/>
        <w:tblCellMar>
          <w:top w:w="28" w:type="dxa"/>
          <w:left w:w="28" w:type="dxa"/>
          <w:bottom w:w="28" w:type="dxa"/>
          <w:right w:w="28" w:type="dxa"/>
        </w:tblCellMar>
      </w:tblPr>
      <w:tblGrid>
        <w:gridCol w:w="2326"/>
        <w:gridCol w:w="109"/>
        <w:gridCol w:w="826"/>
        <w:gridCol w:w="109"/>
        <w:gridCol w:w="826"/>
        <w:gridCol w:w="109"/>
        <w:gridCol w:w="871"/>
      </w:tblGrid>
      <w:tr>
        <w:trPr/>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Revenues by Segment</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23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Vehicle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$2,005.5</w:t>
            </w:r>
          </w:p>
        </w:tc>
      </w:tr>
      <w:tr>
        <w:trPr/>
        <w:tc>
          <w:tcPr>
            <w:tcW w:w="23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Corporate Payments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981.1</w:t>
            </w:r>
          </w:p>
        </w:tc>
      </w:tr>
      <w:tr>
        <w:trPr/>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Lodging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520.2</w:t>
            </w:r>
          </w:p>
        </w:tc>
      </w:tr>
      <w:tr>
        <w:trPr/>
        <w:tc>
          <w:tcPr>
            <w:tcW w:w="23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250.9</w:t>
            </w:r>
          </w:p>
        </w:tc>
      </w:tr>
      <w:tr>
        <w:trPr/>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$3,757.7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Revenues, net by geography for the years ended December 31 (in millions) are as follows:</w:t>
      </w:r>
    </w:p>
    <w:tbl>
      <w:tblPr>
        <w:tblW w:w="5821" w:type="dxa"/>
        <w:jc w:val="left"/>
        <w:tblInd w:w="0" w:type="dxa"/>
        <w:tblLayout w:type="fixed"/>
        <w:tblCellMar>
          <w:top w:w="28" w:type="dxa"/>
          <w:left w:w="28" w:type="dxa"/>
          <w:bottom w:w="28" w:type="dxa"/>
          <w:right w:w="28" w:type="dxa"/>
        </w:tblCellMar>
      </w:tblPr>
      <w:tblGrid>
        <w:gridCol w:w="2971"/>
        <w:gridCol w:w="109"/>
        <w:gridCol w:w="826"/>
        <w:gridCol w:w="109"/>
        <w:gridCol w:w="826"/>
        <w:gridCol w:w="109"/>
        <w:gridCol w:w="871"/>
      </w:tblGrid>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Revenues by Geography*</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29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 (country of domicile)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$2,045.2</w:t>
            </w:r>
          </w:p>
        </w:tc>
      </w:tr>
      <w:tr>
        <w:trPr/>
        <w:tc>
          <w:tcPr>
            <w:tcW w:w="29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Brazil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526.1</w:t>
            </w:r>
          </w:p>
        </w:tc>
      </w:tr>
      <w:tr>
        <w:trPr/>
        <w:tc>
          <w:tcPr>
            <w:tcW w:w="29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Kingdom</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478.5</w:t>
            </w:r>
          </w:p>
        </w:tc>
      </w:tr>
      <w:tr>
        <w:trPr/>
        <w:tc>
          <w:tcPr>
            <w:tcW w:w="29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Other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707.9</w:t>
            </w:r>
          </w:p>
        </w:tc>
      </w:tr>
      <w:tr>
        <w:trPr/>
        <w:tc>
          <w:tcPr>
            <w:tcW w:w="29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$3,757.7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*Columns may not calculate due to rounding. </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Contract Liabilities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Deferred revenue contract liabilities for customers subject to ASC 606 were $43.1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$39.0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respectively. We expect to recognize approximately $37.2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these amounts in revenues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within 12 months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the remaining $5.9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over the next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December 31, 2025. The amount and timing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recognition is affected by several factors, including contract modifications and terminations, which could impact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estimate of amounts allocated to remaining performance obligations and when such revenues could be recognized.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Revenue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recognized for the year ended December 31, 2025, that was included in the deferred revenue contract liability as of January 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was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approximately $27.8 million. </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Costs to Obtain or Fulfill a Contract and/or Customer Incentives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accordance with ASC 606, the Company capitalizes the incremental costs of obtaining a contract with a customer if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expects to recover those costs. The incremental costs of obtaining a contract are those that the Company incurs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obtain a contract with a customer that it would not have incurred if the contract had not been obtained (for example, a sales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commission).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Costs incurred to fulfill a contract are capitalized if those costs meet all of the following criteria:</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a.The costs relate directly to a contract or to an anticipated contract that the Company can specifically identify.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b.The costs generate or enhance resources of the Company that will be used in satisfying (or in continuing to satisfy)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 obligations in the future.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c.The costs are expected to be recovered.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order to determine the appropriate amortization period for contract costs, the Company considers a combination of factors,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customer attrition rates, estimated terms of customer relationships, the useful lives of technology used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to provide products and services to its customers, whether further contract renewals are expected and if there is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incremental commission to be paid on a contract renewal. Contract acquisition and fulfillment costs are amortized using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straight-line method over the expected period of benefit (ranging from five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ten years). Costs to obtain a contract with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expected period of benefit of one year or less are recognized as an expense when incurred. The amortization of contract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acquisition costs associated with sales commissions that qualify for capitalization is recorded as selling expense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Consolidated Statements of Income.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Amortization of capitalized contract costs recorded in selling expense was $20.6 million, $18.9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$16.7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Costs to obtain or fulfill a contract are classified as contract cost assets within prepaid expenses and other current assets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assets in the Company’s Consolidated Balance Sheets. The Company had capitalized contract costs of $25.3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$19.7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within prepaid expenses and other current assets and $52.9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$43.8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within other assets 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Consolidated Balance Sheets,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Further, the Company on occasion may make a cash payment to a customer as a contract incentive. We defer these costs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to a customer if recoverable and amortize them over the benefit period, including anticipated customer renewals.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amortization of costs associated with cash payments for client incentives is included as a reduction of revenues 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Consolidated Statements of Income. The Company had deferred customer incentives of $4.4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respectively. Amortization of deferred customer incentives was immaterial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Practical Expedients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ASC 606 requires disclosure of the aggregate amount of the transaction price allocated to unsatisfied performance obligations;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however, as allowed by ASC 606, the Company elected to exclude this disclosure for contracts with performance obligations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one year or less and contracts with variable consideration that is directly allocated to a single performance obligation such as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stand-ready series. As described above, the Company's most significant single performance obligations consist of variable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consideration directly allocated under a stand-ready series of distinct days of service. Such direct allocation of variable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consideration meets the specified criteria for the disclosure exclusion; therefore, the majority of the aggregate amount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 price that is allocated to unsatisfied performance obligations is variable consideration that is not required for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disclosure. The aggregate fixed consideration portion of customer contracts with an initial contract duration greater than one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year is not material.</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elected to exclude all sales taxes and other similar taxes from the transaction price. Accordingly,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presents all collections from customers for these taxes on a net basis, rather than having to assess whether the Company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acting as an agent or a principal in each taxing jurisdiction.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certain arrangements with customers, the Company has determined that certain promised services and products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immaterial in the context of the contract, both quantitatively and qualitatively.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a practical expedient, the Company is not required to adjust the promised amount of consideration for the effects of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significant financing component if the Company expects, at contract inception, that the period between when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transfers a promised service or product to a customer and when the customer pays for the service or product will be one year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less. As of December 31, 2025, the Company’s contracts with customers contain standard pricing where the timing on control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transfer is dependent upon the customer in a stand-ready environment and therefore did not contain a significant financing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component.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4. </w:t>
      </w:r>
      <w:r>
        <w:rPr>
          <w:rFonts w:ascii="Times New Roman;serif" w:hAnsi="Times New Roman;serif"/>
          <w:b/>
          <w:i w:val="false"/>
          <w:caps w:val="false"/>
          <w:smallCaps w:val="false"/>
          <w:strike w:val="false"/>
          <w:dstrike w:val="false"/>
          <w:sz w:val="20"/>
          <w:u w:val="none"/>
          <w:effect w:val="none"/>
        </w:rPr>
        <w:t>Fair Value Measurements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Fair value is a market-based measurement that reflects assumptions that market participants would use in pricing an asset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liability. GAAP discusses valuation techniques, such as the market approach (comparable market prices), the income approach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(present value of future income or cash flow) and the cost approach (cost to replace the service capacity of an asset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replacement cost). These valuation techniques are based upon observable and unobservable inputs. Observable inputs reflect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market data obtained from independent sources, while unobservable inputs reflect the Company’s market assumptions.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the basis for evaluating such inputs, a three-tier value hierarchy prioritizes the inputs used in measuring fair value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follows: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Level 1: Observable inputs such as quoted prices for identical assets or liabilities in active markets.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Level 2: Observable inputs other than quoted prices that are directly or indirectly observable for the asset or liability,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quoted prices for similar assets or liabilities in active markets; quoted prices for similar or identical assets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in markets that are not active; and model-derived valuations whose inputs are observable or whose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significant value drivers are observable.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Level 3: Unobservable inputs for which there is little or no market data, which require the reporting entity to develop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its own assumptions. The fair value hierarchy also requires an entity to maximize the use of observable inputs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minimize the use of unobservable inputs when measuring fair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presents the Company’s financial assets and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which are measured at fair values on a recurring </w:t>
      </w:r>
    </w:p>
    <w:p>
      <w:pPr>
        <w:pStyle w:val="TextBody"/>
        <w:bidi w:val="0"/>
        <w:spacing w:lineRule="atLeast" w:line="240" w:before="0" w:after="0"/>
        <w:jc w:val="left"/>
        <w:rPr>
          <w:sz w:val="24"/>
        </w:rPr>
      </w:pPr>
      <w:r>
        <w:rPr>
          <w:rFonts w:ascii="Times New Roman;serif" w:hAnsi="Times New Roman;serif"/>
          <w:b w:val="false"/>
          <w:i w:val="false"/>
          <w:caps w:val="false"/>
          <w:smallCaps w:val="false"/>
          <w:strike w:val="false"/>
          <w:dstrike w:val="false"/>
          <w:sz w:val="20"/>
          <w:u w:val="none"/>
          <w:effect w:val="none"/>
        </w:rPr>
        <w:t>basis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(in thousands):</w:t>
      </w:r>
      <w:r>
        <w:rPr>
          <w:caps w:val="false"/>
          <w:smallCaps w:val="false"/>
          <w:strike w:val="false"/>
          <w:dstrike w:val="false"/>
          <w:sz w:val="24"/>
          <w:u w:val="none"/>
          <w:effect w:val="none"/>
        </w:rPr>
        <w:t> </w:t>
      </w:r>
    </w:p>
    <w:tbl>
      <w:tblPr>
        <w:tblW w:w="8586" w:type="dxa"/>
        <w:jc w:val="left"/>
        <w:tblInd w:w="0" w:type="dxa"/>
        <w:tblLayout w:type="fixed"/>
        <w:tblCellMar>
          <w:top w:w="28" w:type="dxa"/>
          <w:left w:w="28" w:type="dxa"/>
          <w:bottom w:w="28" w:type="dxa"/>
          <w:right w:w="28" w:type="dxa"/>
        </w:tblCellMar>
      </w:tblPr>
      <w:tblGrid>
        <w:gridCol w:w="4741"/>
        <w:gridCol w:w="109"/>
        <w:gridCol w:w="1036"/>
        <w:gridCol w:w="109"/>
        <w:gridCol w:w="646"/>
        <w:gridCol w:w="109"/>
        <w:gridCol w:w="1036"/>
        <w:gridCol w:w="109"/>
        <w:gridCol w:w="691"/>
      </w:tblGrid>
      <w:tr>
        <w:trPr/>
        <w:tc>
          <w:tcPr>
            <w:tcW w:w="4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Level 3</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Overnight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Money market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399,401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399,401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Certificates of deposit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371,843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371,843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Treasury bills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360,085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360,085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rate swaps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Cross-currency interest rate swap</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exchange, interest rate and commodity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949,026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949,026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$2,287,408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$2,287,408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collateral for foreign exchange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rate swaps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Cross-currency interest rate swap</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149,742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149,742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exchange, interest rate and commodity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655,039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655,039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$829,224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$829,224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collateral obligation for foreign exchange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$356,712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Overnight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$140,359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$140,359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Money market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320,289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320,289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Certificates of deposit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273,082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273,082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Treasury bills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550,514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550,514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rate swaps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Cross-currency interest rate swap</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30,530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30,530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exchange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833,695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833,695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$2,168,234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$2,168,234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collateral for foreign exchange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$34,994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rate swaps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Cross-currency interest rate swap</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exchange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724,296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724,296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$739,377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$739,377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collateral obligation for foreign exchange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$718,143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highly-liquid investments classified as cash equivalents, with original maturities of three months or less,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included in our Consolidated Balance Sheets. The Company utilizes Level 2 fair value determinations derived from directly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indirectly observable (market based) information to determine the fair value of these highly liquid investments.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has certain cash and cash equivalents that are invested in highly liquid investments, such as, overnight deposits, money markets,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certificates of deposit and Treasury bills, with purchased maturities ranging from overnight to three months or less. The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overnight deposits is determined based upon the quoted market prices for the treasury securities associated with the deposit.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value of money market instruments is determined based upon the financial institutions' month-end statement, as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instruments are not tradable and must be settled directly by us with the respective financial institution. Certificates of deposit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certain U.S. Treasury bills are valued at cost, plus interest accrued. Given the short-term nature of these instruments,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carrying value approximates fair value. Foreign exchange derivative contracts are carried at fair value, with changes in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recognized in the Consolidated Statements of Income. The fair value of the Company's derivatives is derived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reference to a valuation from a derivatives dealer operating in an active market, which approximates the fair value of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instruments. Interest rate swap derivative contracts are carried at fair value, with changes in fair value recognized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accumulated other comprehensive loss to the extent designated as highly effective cash flow hedges for accounting purposes.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represents the net settlement if the contracts were terminated as of the reporting date. Cash collateral received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exchange derivatives is recorded within customer deposits in our Consolidated Balance Sheets. Cash collateral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deposited for foreign exchange derivatives is recorded within restricted cash in our Consolidated Balance Sheets.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level within the fair value hierarchy and the measurement technique are reviewed quarterly. Transfers between levels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deemed to have occurred at the end of the quarter. There were no transfers between fair value levels during the periods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presented for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assets that are measured at fair value on a nonrecurring basis and are evaluated with periodic testing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impairment include property and equipment, investments, goodwill and other intangible assets. Estimates of the fair value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acquired and liabilities assumed in business combinations are generally developed using key inputs such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management’s projections of cash flows on a held-and-used basis (if applicable), discounted as appropriate, management’s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projections of cash flows upon disposition and discount rates. Accordingly, these fair value measurements are in Level 3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fair value hierarchy.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derivatives are over-the-counter instruments with liquid markets. The Company determines the fair values of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derivatives based on quoted market prices for similar assets or liabilities or pricing models using current market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rates. Accordingly, these fair value measurements are in Level 2 of the fair value hierarchy. The amounts exchanged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calculated by reference to the notional amounts and by other terms of the derivatives, such as interest rates, foreign currency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exchange rates, commodity rates or other financial indices. See Note 16 for further information.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regularly evaluates the carrying value of its investments.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carrying value of investments without readily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determinable fair values was $601.9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the Company’s cash, accounts receivable, securitized accounts receivable and related facility, prepaid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expenses and other current assets, accounts payable, accrued expenses, customer deposits and short-term borrowings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approximate their respective carrying values due to the short-term maturities of the instruments. The carrying value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debt obligations approximates fair value as the interest rates on the debt are variable market-based interest rates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reset on a monthly basis. These are each Level 2 fair value measurements, except for cash, which is a Level 1 fair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5. </w:t>
      </w:r>
      <w:r>
        <w:rPr>
          <w:rFonts w:ascii="Times New Roman;serif" w:hAnsi="Times New Roman;serif"/>
          <w:b/>
          <w:i w:val="false"/>
          <w:caps w:val="false"/>
          <w:smallCaps w:val="false"/>
          <w:strike w:val="false"/>
          <w:dstrike w:val="false"/>
          <w:sz w:val="20"/>
          <w:u w:val="none"/>
          <w:effect w:val="none"/>
        </w:rPr>
        <w:t>Stockholders' Equity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Company's Board of Directors (the "Board") has approved a stock repurchase program (as updated from time to time,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"Program") authorizing the Company to repurchase its common stock from time to tim</w:t>
      </w:r>
      <w:r>
        <w:rPr>
          <w:rFonts w:ascii="Times New Roman;serif" w:hAnsi="Times New Roman;serif"/>
          <w:b w:val="false"/>
          <w:i w:val="false"/>
          <w:caps w:val="false"/>
          <w:smallCaps w:val="false"/>
          <w:strike w:val="false"/>
          <w:dstrike w:val="false"/>
          <w:sz w:val="20"/>
          <w:u w:val="none"/>
          <w:effect w:val="none"/>
        </w:rPr>
        <w:t>e until December 31,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18, 2025, the Board authorized an increase to the aggregate size of the Program by $1.0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$10.1 billion.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Since the beginning of the Program through December 31, 2025, 35,659,347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have been repurchased for an aggregate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purchase price of $8.6 billion, leaving the Company up to $1.5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remaining authorization available under the Program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future repurchases in shares of its common stock. There were 2,568,667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common shares totaling $0.8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4,211,818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common shares totaling $1.3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2024; and 2,597,954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common shares totaling $0.7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repurchased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under the Program. Repurchased shares are held as treasury stock on the Company's Consolidated Balance Sheets.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On August 18, 2023, as part of the Program, the Company entered an accelerated share repurchase (ASR) agreement ("2023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ASR Agreement") with a third-party financial institution to repurchase $450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of its common stock. Pursuant to the 2023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ASR Agreement, the Company delivered $450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cash and received 1,372,841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shares based on a stock price of $262.23</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on August 18, 2023. The 2023 ASR Agreement was completed on September 26, 2023, at which time the Company received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293,588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additional shares based on a final weighted average per share purchase price during the repurchase period of $270.04.</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accounted for the 2023 ASR Agreement as two separate transactions: (i) as shares of reacquired common stock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shares delivered to the Company upon execution of the ASR Agreement and (ii) as a forward contract indexed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common stock for the undelivered shares. The initial delivery of shares was included in treasury stock at cost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resulted in an immediate reduction of the outstanding shares used to calculate the weighted average common shares outstanding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basic and diluted earnings per share. The forward contracts indexed to the Company's own common stock met the criteria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equity classification, and these amounts were initially recorded in additional paid-in capital and reclassified to treasury stock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upon settlement based on the final weighted average per share price.</w:t>
      </w:r>
      <w:r>
        <w:rPr>
          <w:caps w:val="false"/>
          <w:smallCaps w:val="false"/>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6. Stock-Based Compensation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accounts for stock-based compensation pursuant to relevant authoritative guidance, which requires measurement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compensation cost for all stock awards at fair value on the date of grant and recognition of compensation, net of forfeitures,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over the requisite service period for awards expected to vest.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a Stock Incentive Plan (the "Plan"), pursuant to which the Company's Board is permitted to grant equity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employees and directors. Under the Plan, a maximum of 20.65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million shares of the Company's common stock is approved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 issued for grants of restricted stock and stock options.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table below summarizes the expense recognized within general and administrative expenses in the Consolidated Statements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Income related to stock-based compensation for the years ended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thousands):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326" w:type="dxa"/>
        <w:jc w:val="left"/>
        <w:tblInd w:w="0" w:type="dxa"/>
        <w:tblLayout w:type="fixed"/>
        <w:tblCellMar>
          <w:top w:w="28" w:type="dxa"/>
          <w:left w:w="28" w:type="dxa"/>
          <w:bottom w:w="28" w:type="dxa"/>
          <w:right w:w="28" w:type="dxa"/>
        </w:tblCellMar>
      </w:tblPr>
      <w:tblGrid>
        <w:gridCol w:w="2296"/>
        <w:gridCol w:w="109"/>
        <w:gridCol w:w="886"/>
        <w:gridCol w:w="109"/>
        <w:gridCol w:w="886"/>
        <w:gridCol w:w="109"/>
        <w:gridCol w:w="931"/>
      </w:tblGrid>
      <w:tr>
        <w:trPr/>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22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$30,959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$24,342</w:t>
            </w:r>
          </w:p>
        </w:tc>
      </w:tr>
      <w:tr>
        <w:trPr/>
        <w:tc>
          <w:tcPr>
            <w:tcW w:w="22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Restricted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71,678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85,902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91,744</w:t>
            </w:r>
          </w:p>
        </w:tc>
      </w:tr>
      <w:tr>
        <w:trPr/>
        <w:tc>
          <w:tcPr>
            <w:tcW w:w="22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$102,637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$116,724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$116,086</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tax benefits related to stock-based compensation, inclusive of the tax benefits upon the exercises of options a</w:t>
      </w:r>
      <w:r>
        <w:rPr>
          <w:rFonts w:ascii="Times New Roman;serif" w:hAnsi="Times New Roman;serif"/>
          <w:b w:val="false"/>
          <w:i w:val="false"/>
          <w:caps w:val="false"/>
          <w:smallCaps w:val="false"/>
          <w:strike w:val="false"/>
          <w:dstrike w:val="false"/>
          <w:sz w:val="20"/>
          <w:u w:val="none"/>
          <w:effect w:val="none"/>
          <w:shd w:fill="FFFFFF" w:val="clear"/>
        </w:rPr>
        <w:t xml:space="preserve">nd vesting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restricted stock </w:t>
      </w:r>
      <w:r>
        <w:rPr>
          <w:rFonts w:ascii="Times New Roman;serif" w:hAnsi="Times New Roman;serif"/>
          <w:b w:val="false"/>
          <w:i w:val="false"/>
          <w:caps w:val="false"/>
          <w:smallCaps w:val="false"/>
          <w:strike w:val="false"/>
          <w:dstrike w:val="false"/>
          <w:sz w:val="20"/>
          <w:u w:val="none"/>
          <w:effect w:val="none"/>
        </w:rPr>
        <w:t>were $38.1 million, $60.7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$22.1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for the years ended December 31, 2025,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2023,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Company’s total unrecognized compensation cost related to outstanding stock awards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(cost in thousands):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4631" w:type="dxa"/>
        <w:jc w:val="left"/>
        <w:tblInd w:w="0" w:type="dxa"/>
        <w:tblLayout w:type="fixed"/>
        <w:tblCellMar>
          <w:top w:w="28" w:type="dxa"/>
          <w:left w:w="28" w:type="dxa"/>
          <w:bottom w:w="28" w:type="dxa"/>
          <w:right w:w="28" w:type="dxa"/>
        </w:tblCellMar>
      </w:tblPr>
      <w:tblGrid>
        <w:gridCol w:w="1426"/>
        <w:gridCol w:w="109"/>
        <w:gridCol w:w="1141"/>
        <w:gridCol w:w="109"/>
        <w:gridCol w:w="1846"/>
      </w:tblGrid>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Unrecognized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Compensation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Period of Expense</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Recognition Remaining</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 Years)</w:t>
            </w:r>
          </w:p>
        </w:tc>
      </w:tr>
      <w:tr>
        <w:trPr/>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w:t>
            </w:r>
          </w:p>
        </w:tc>
      </w:tr>
      <w:tr>
        <w:trPr/>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Restricted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36,877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0.58</w:t>
            </w:r>
          </w:p>
        </w:tc>
      </w:tr>
      <w:tr>
        <w:trPr/>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$87,231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4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Stock Options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summarizes the changes in the number of shares of stock options outstanding for the following periods (shares </w:t>
      </w:r>
    </w:p>
    <w:p>
      <w:pPr>
        <w:pStyle w:val="TextBody"/>
        <w:bidi w:val="0"/>
        <w:spacing w:lineRule="atLeast" w:line="240" w:before="0" w:after="0"/>
        <w:jc w:val="left"/>
        <w:rPr>
          <w:sz w:val="24"/>
        </w:rPr>
      </w:pPr>
      <w:r>
        <w:rPr>
          <w:rFonts w:ascii="Times New Roman;serif" w:hAnsi="Times New Roman;serif"/>
          <w:b w:val="false"/>
          <w:i w:val="false"/>
          <w:caps w:val="false"/>
          <w:smallCaps w:val="false"/>
          <w:strike w:val="false"/>
          <w:dstrike w:val="false"/>
          <w:sz w:val="20"/>
          <w:u w:val="none"/>
          <w:effect w:val="none"/>
        </w:rPr>
        <w:t>and aggregate intrinsic value in thousands):</w:t>
      </w:r>
      <w:r>
        <w:rPr>
          <w:caps w:val="false"/>
          <w:smallCaps w:val="false"/>
          <w:strike w:val="false"/>
          <w:dstrike w:val="false"/>
          <w:sz w:val="24"/>
          <w:u w:val="none"/>
          <w:effect w:val="none"/>
        </w:rPr>
        <w:t> </w:t>
      </w:r>
    </w:p>
    <w:tbl>
      <w:tblPr>
        <w:tblW w:w="9496" w:type="dxa"/>
        <w:jc w:val="left"/>
        <w:tblInd w:w="0" w:type="dxa"/>
        <w:tblLayout w:type="fixed"/>
        <w:tblCellMar>
          <w:top w:w="28" w:type="dxa"/>
          <w:left w:w="28" w:type="dxa"/>
          <w:bottom w:w="28" w:type="dxa"/>
          <w:right w:w="28" w:type="dxa"/>
        </w:tblCellMar>
      </w:tblPr>
      <w:tblGrid>
        <w:gridCol w:w="3286"/>
        <w:gridCol w:w="109"/>
        <w:gridCol w:w="691"/>
        <w:gridCol w:w="109"/>
        <w:gridCol w:w="796"/>
        <w:gridCol w:w="109"/>
        <w:gridCol w:w="931"/>
        <w:gridCol w:w="109"/>
        <w:gridCol w:w="931"/>
        <w:gridCol w:w="109"/>
        <w:gridCol w:w="1276"/>
        <w:gridCol w:w="109"/>
        <w:gridCol w:w="931"/>
      </w:tblGrid>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Price</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Options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Exercisable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at End of</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Price of</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Exercisable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Fair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 of</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Options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Granted During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the Year</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Aggregate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Intrinsic</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tc>
      </w:tr>
      <w:tr>
        <w:trPr/>
        <w:tc>
          <w:tcPr>
            <w:tcW w:w="32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$113,681</w:t>
            </w:r>
          </w:p>
        </w:tc>
      </w:tr>
      <w:tr>
        <w:trPr/>
        <w:tc>
          <w:tcPr>
            <w:tcW w:w="32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Granted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40,983</w:t>
            </w:r>
          </w:p>
        </w:tc>
      </w:tr>
      <w:tr>
        <w:trPr/>
        <w:tc>
          <w:tcPr>
            <w:tcW w:w="32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Forfeited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451,039</w:t>
            </w:r>
          </w:p>
        </w:tc>
      </w:tr>
      <w:tr>
        <w:trPr/>
        <w:tc>
          <w:tcPr>
            <w:tcW w:w="32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Granted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324,577</w:t>
            </w:r>
          </w:p>
        </w:tc>
      </w:tr>
      <w:tr>
        <w:trPr/>
        <w:tc>
          <w:tcPr>
            <w:tcW w:w="32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Forfeited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364,092</w:t>
            </w:r>
          </w:p>
        </w:tc>
      </w:tr>
      <w:tr>
        <w:trPr/>
        <w:tc>
          <w:tcPr>
            <w:tcW w:w="32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Granted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325.28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86,899</w:t>
            </w:r>
          </w:p>
        </w:tc>
      </w:tr>
      <w:tr>
        <w:trPr/>
        <w:tc>
          <w:tcPr>
            <w:tcW w:w="32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Forfeited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240.35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$206,036</w:t>
            </w:r>
          </w:p>
        </w:tc>
      </w:tr>
      <w:tr>
        <w:trPr/>
        <w:tc>
          <w:tcPr>
            <w:tcW w:w="32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Expected to vest at 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$289.87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summarizes information about stock options outstanding 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in thousands):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491" w:type="dxa"/>
        <w:jc w:val="left"/>
        <w:tblInd w:w="0" w:type="dxa"/>
        <w:tblLayout w:type="fixed"/>
        <w:tblCellMar>
          <w:top w:w="28" w:type="dxa"/>
          <w:left w:w="28" w:type="dxa"/>
          <w:bottom w:w="28" w:type="dxa"/>
          <w:right w:w="28" w:type="dxa"/>
        </w:tblCellMar>
      </w:tblPr>
      <w:tblGrid>
        <w:gridCol w:w="1711"/>
        <w:gridCol w:w="109"/>
        <w:gridCol w:w="1006"/>
        <w:gridCol w:w="109"/>
        <w:gridCol w:w="1471"/>
        <w:gridCol w:w="109"/>
        <w:gridCol w:w="976"/>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Options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Outstanding</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 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Remaining Vesting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Life in Years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Options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Exercisable</w:t>
            </w:r>
          </w:p>
        </w:tc>
      </w:tr>
      <w:tr>
        <w:trPr/>
        <w:tc>
          <w:tcPr>
            <w:tcW w:w="17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$133.40</w:t>
            </w:r>
            <w:r>
              <w:rPr>
                <w:caps w:val="false"/>
                <w:smallCaps w:val="false"/>
                <w:sz w:val="24"/>
              </w:rPr>
              <w:t xml:space="preserve"> – </w:t>
            </w:r>
            <w:r>
              <w:rPr>
                <w:rFonts w:ascii="Times New Roman;serif" w:hAnsi="Times New Roman;serif"/>
                <w:b w:val="false"/>
                <w:i w:val="false"/>
                <w:caps w:val="false"/>
                <w:smallCaps w:val="false"/>
                <w:strike w:val="false"/>
                <w:dstrike w:val="false"/>
                <w:sz w:val="20"/>
                <w:u w:val="none"/>
                <w:effect w:val="none"/>
              </w:rPr>
              <w:t>$150.74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895</w:t>
            </w:r>
          </w:p>
        </w:tc>
      </w:tr>
      <w:tr>
        <w:trPr/>
        <w:tc>
          <w:tcPr>
            <w:tcW w:w="17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$165.96</w:t>
            </w:r>
            <w:r>
              <w:rPr>
                <w:caps w:val="false"/>
                <w:smallCaps w:val="false"/>
                <w:sz w:val="24"/>
              </w:rPr>
              <w:t xml:space="preserve"> – </w:t>
            </w:r>
            <w:r>
              <w:rPr>
                <w:rFonts w:ascii="Times New Roman;serif" w:hAnsi="Times New Roman;serif"/>
                <w:b w:val="false"/>
                <w:i w:val="false"/>
                <w:caps w:val="false"/>
                <w:smallCaps w:val="false"/>
                <w:strike w:val="false"/>
                <w:dstrike w:val="false"/>
                <w:sz w:val="20"/>
                <w:u w:val="none"/>
                <w:effect w:val="none"/>
              </w:rPr>
              <w:t>$225.45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381</w:t>
            </w:r>
          </w:p>
        </w:tc>
      </w:tr>
      <w:tr>
        <w:trPr/>
        <w:tc>
          <w:tcPr>
            <w:tcW w:w="17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$231.70</w:t>
            </w:r>
            <w:r>
              <w:rPr>
                <w:caps w:val="false"/>
                <w:smallCaps w:val="false"/>
                <w:sz w:val="24"/>
              </w:rPr>
              <w:t xml:space="preserve"> – </w:t>
            </w:r>
            <w:r>
              <w:rPr>
                <w:rFonts w:ascii="Times New Roman;serif" w:hAnsi="Times New Roman;serif"/>
                <w:b w:val="false"/>
                <w:i w:val="false"/>
                <w:caps w:val="false"/>
                <w:smallCaps w:val="false"/>
                <w:strike w:val="false"/>
                <w:dstrike w:val="false"/>
                <w:sz w:val="20"/>
                <w:u w:val="none"/>
                <w:effect w:val="none"/>
              </w:rPr>
              <w:t>$261.07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w:t>
            </w:r>
          </w:p>
        </w:tc>
      </w:tr>
      <w:tr>
        <w:trPr/>
        <w:tc>
          <w:tcPr>
            <w:tcW w:w="17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$272.38</w:t>
            </w:r>
            <w:r>
              <w:rPr>
                <w:caps w:val="false"/>
                <w:smallCaps w:val="false"/>
                <w:sz w:val="24"/>
              </w:rPr>
              <w:t xml:space="preserve"> – </w:t>
            </w:r>
            <w:r>
              <w:rPr>
                <w:rFonts w:ascii="Times New Roman;serif" w:hAnsi="Times New Roman;serif"/>
                <w:b w:val="false"/>
                <w:i w:val="false"/>
                <w:caps w:val="false"/>
                <w:smallCaps w:val="false"/>
                <w:strike w:val="false"/>
                <w:dstrike w:val="false"/>
                <w:sz w:val="20"/>
                <w:u w:val="none"/>
                <w:effect w:val="none"/>
              </w:rPr>
              <w:t>$319.61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w:t>
            </w:r>
          </w:p>
        </w:tc>
      </w:tr>
      <w:tr>
        <w:trPr/>
        <w:tc>
          <w:tcPr>
            <w:tcW w:w="17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$328.16</w:t>
            </w:r>
            <w:r>
              <w:rPr>
                <w:caps w:val="false"/>
                <w:smallCaps w:val="false"/>
                <w:sz w:val="24"/>
              </w:rPr>
              <w:t xml:space="preserve"> – </w:t>
            </w:r>
            <w:r>
              <w:rPr>
                <w:rFonts w:ascii="Times New Roman;serif" w:hAnsi="Times New Roman;serif"/>
                <w:b w:val="false"/>
                <w:i w:val="false"/>
                <w:caps w:val="false"/>
                <w:smallCaps w:val="false"/>
                <w:strike w:val="false"/>
                <w:dstrike w:val="false"/>
                <w:sz w:val="20"/>
                <w:u w:val="none"/>
                <w:effect w:val="none"/>
              </w:rPr>
              <w:t>$377.31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1,551</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aggregate intrinsic value of stock options exercisable 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$178.4 million. The weighted average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remaining contractual term of options exercisable 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2.8 years.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stock option awards granted was estimated using the Black-Scholes option pricing model with the following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weighted-average assumptions for grants or modifications during the years ended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follows:</w:t>
      </w:r>
    </w:p>
    <w:tbl>
      <w:tblPr>
        <w:tblW w:w="4666" w:type="dxa"/>
        <w:jc w:val="left"/>
        <w:tblInd w:w="0" w:type="dxa"/>
        <w:tblLayout w:type="fixed"/>
        <w:tblCellMar>
          <w:top w:w="28" w:type="dxa"/>
          <w:left w:w="28" w:type="dxa"/>
          <w:bottom w:w="28" w:type="dxa"/>
          <w:right w:w="28" w:type="dxa"/>
        </w:tblCellMar>
      </w:tblPr>
      <w:tblGrid>
        <w:gridCol w:w="2086"/>
        <w:gridCol w:w="109"/>
        <w:gridCol w:w="736"/>
        <w:gridCol w:w="109"/>
        <w:gridCol w:w="736"/>
        <w:gridCol w:w="109"/>
        <w:gridCol w:w="78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20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Risk-free interest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4.39%</w:t>
            </w:r>
          </w:p>
        </w:tc>
      </w:tr>
      <w:tr>
        <w:trPr/>
        <w:tc>
          <w:tcPr>
            <w:tcW w:w="20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Dividend yield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0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Expected volatility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33.73%</w:t>
            </w:r>
          </w:p>
        </w:tc>
      </w:tr>
      <w:tr>
        <w:trPr/>
        <w:tc>
          <w:tcPr>
            <w:tcW w:w="20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Expected term (in years)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weighted-average remaining contractual term for options outstanding was 5.1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December 31, 2025.</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September 30, 2021, the Company granted 850,000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performance stock options to an officer of the Company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Option Grant"), which are exercisable upon the achievement of certain time-based vesting and market conditions. On October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23, 2024, the Company modified the Performance Option Grant and recorded approximately $10.3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incremental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stock-based compensation expense.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October 25, 2021, the Company granted 30,000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performance stock options to an officer of the Company, which 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exercisable upon the achievement of certain performance metrics and time-based vesting.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June 18, 2025, the Company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modified the grant and recorded approximately $1.1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incremental stock-based compensation expense.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Restricted Stock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changes in the number of shares of restricted stock awards and restricted stock units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outstanding for the following periods (shares in thousands):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4736" w:type="dxa"/>
        <w:jc w:val="left"/>
        <w:tblInd w:w="0" w:type="dxa"/>
        <w:tblLayout w:type="fixed"/>
        <w:tblCellMar>
          <w:top w:w="28" w:type="dxa"/>
          <w:left w:w="28" w:type="dxa"/>
          <w:bottom w:w="28" w:type="dxa"/>
          <w:right w:w="28" w:type="dxa"/>
        </w:tblCellMar>
      </w:tblPr>
      <w:tblGrid>
        <w:gridCol w:w="2941"/>
        <w:gridCol w:w="109"/>
        <w:gridCol w:w="586"/>
        <w:gridCol w:w="109"/>
        <w:gridCol w:w="991"/>
      </w:tblGrid>
      <w:tr>
        <w:trPr/>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Grant Date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$237.68</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Granted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213.36</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Cancelled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230.11</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Issued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235.25</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219.61</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Granted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277.87</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Cancelled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229.11</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Issued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225.22</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260.23</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Granted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320.15</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Cancelled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277.13</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Issued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258.03</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$304.83</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The total fair value of restricted stock awards and restricted stock units vest</w:t>
      </w:r>
      <w:r>
        <w:rPr>
          <w:rFonts w:ascii="Times New Roman;serif" w:hAnsi="Times New Roman;serif"/>
          <w:b w:val="false"/>
          <w:i w:val="false"/>
          <w:caps w:val="false"/>
          <w:smallCaps w:val="false"/>
          <w:strike w:val="false"/>
          <w:dstrike w:val="false"/>
          <w:sz w:val="20"/>
          <w:u w:val="none"/>
          <w:effect w:val="none"/>
        </w:rPr>
        <w:t>ed was $112.5 million, $112.3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$66.6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for the years ended December 31, 2025,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7. </w:t>
      </w:r>
      <w:r>
        <w:rPr>
          <w:rFonts w:ascii="Times New Roman;serif" w:hAnsi="Times New Roman;serif"/>
          <w:b/>
          <w:i w:val="false"/>
          <w:caps w:val="false"/>
          <w:smallCaps w:val="false"/>
          <w:strike w:val="false"/>
          <w:dstrike w:val="false"/>
          <w:sz w:val="20"/>
          <w:u w:val="none"/>
          <w:effect w:val="none"/>
        </w:rPr>
        <w:t>Acquisitions and Investments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2025 Acquisitions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Gringo Acquisition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February 2025, the Company acquired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Gringo, a leading Brazil-based vehicle registration and compliance payment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for approximately $153.7 million, net of cash and cash equivalents acquired of approximately $10.2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Immediately prior to the acquisition, the Company infused capital equal to the purchase price into Zapay, one of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less than wholly owned subsidiaries, in order for Zapay to complete the acquisition of Gringo. As a result of the capital infusion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by the Company, the Company's controlling interest in Zapay increased to approximately 86%. This transaction, which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accounted for separately from the business acquisition, was recorded as an equity transaction. The Company financed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acquisition using available cash. Results from the Gringo acquisition have been included in the Company's Vehicle Payments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segment from the date of acquisition.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Gringo acquisition was accounted for as a business combination. The related acquisition accounting is preliminary as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is still completing the valuation of intangible assets, income taxes, working capital, and contingencies. None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goodwill attributable to the acquisition of Gringo is expected to be deductible for tax purposes. Noncompete agreements signed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conjunction with this acquisition were accounted for separately from the business acquisition. There were no material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measurement period adjustments recorded during the year ended </w:t>
      </w:r>
      <w:r>
        <w:rPr>
          <w:rFonts w:ascii="Times New Roman;serif" w:hAnsi="Times New Roman;serif"/>
          <w:b w:val="false"/>
          <w:i w:val="false"/>
          <w:caps w:val="false"/>
          <w:smallCaps w:val="false"/>
          <w:strike w:val="false"/>
          <w:dstrike w:val="false"/>
          <w:sz w:val="20"/>
          <w:u w:val="none"/>
          <w:effect w:val="none"/>
          <w:shd w:fill="FFFFFF" w:val="clear"/>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related to the Gringo acquisition.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preliminary acquisition accounting for the Gringo acquisition noted above (in thousands):</w:t>
      </w:r>
    </w:p>
    <w:tbl>
      <w:tblPr>
        <w:tblW w:w="4382" w:type="dxa"/>
        <w:jc w:val="left"/>
        <w:tblInd w:w="0" w:type="dxa"/>
        <w:tblLayout w:type="fixed"/>
        <w:tblCellMar>
          <w:top w:w="28" w:type="dxa"/>
          <w:left w:w="28" w:type="dxa"/>
          <w:bottom w:w="28" w:type="dxa"/>
          <w:right w:w="28" w:type="dxa"/>
        </w:tblCellMar>
      </w:tblPr>
      <w:tblGrid>
        <w:gridCol w:w="3451"/>
        <w:gridCol w:w="931"/>
      </w:tblGrid>
      <w:tr>
        <w:trPr/>
        <w:tc>
          <w:tcPr>
            <w:tcW w:w="3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Trade and other receivables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$8,591</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4,284</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long term assets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847</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Goodwill</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129,885</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24,270</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Accounts payable</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(1,370)</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(5,036)</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noncurrent liabilities</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(8,557)</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consideration paid</w:t>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$152,914</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estimated fair value of intangible assets acquired and the related estimated useful lives consisted of the following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thousands):</w:t>
      </w:r>
    </w:p>
    <w:tbl>
      <w:tblPr>
        <w:tblW w:w="6772" w:type="dxa"/>
        <w:jc w:val="left"/>
        <w:tblInd w:w="0" w:type="dxa"/>
        <w:tblLayout w:type="fixed"/>
        <w:tblCellMar>
          <w:top w:w="28" w:type="dxa"/>
          <w:left w:w="28" w:type="dxa"/>
          <w:bottom w:w="28" w:type="dxa"/>
          <w:right w:w="28" w:type="dxa"/>
        </w:tblCellMar>
      </w:tblPr>
      <w:tblGrid>
        <w:gridCol w:w="3826"/>
        <w:gridCol w:w="2011"/>
        <w:gridCol w:w="109"/>
        <w:gridCol w:w="826"/>
      </w:tblGrid>
      <w:tr>
        <w:trPr/>
        <w:tc>
          <w:tcPr>
            <w:tcW w:w="382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283"/>
              <w:jc w:val="left"/>
              <w:rPr>
                <w:sz w:val="4"/>
                <w:szCs w:val="4"/>
              </w:rPr>
            </w:pPr>
            <w:r>
              <w:rPr>
                <w:sz w:val="4"/>
                <w:szCs w:val="4"/>
              </w:rPr>
            </w:r>
          </w:p>
        </w:tc>
        <w:tc>
          <w:tcPr>
            <w:tcW w:w="201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Useful Lives (in Years)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Value</w:t>
            </w:r>
          </w:p>
        </w:tc>
      </w:tr>
      <w:tr>
        <w:trPr/>
        <w:tc>
          <w:tcPr>
            <w:tcW w:w="3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Trade names and trademarks - indefinite lived</w:t>
            </w:r>
          </w:p>
        </w:tc>
        <w:tc>
          <w:tcPr>
            <w:tcW w:w="20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$13,457</w:t>
            </w:r>
          </w:p>
        </w:tc>
      </w:tr>
      <w:tr>
        <w:trPr/>
        <w:tc>
          <w:tcPr>
            <w:tcW w:w="3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Proprietary technology</w:t>
            </w:r>
          </w:p>
        </w:tc>
        <w:tc>
          <w:tcPr>
            <w:tcW w:w="20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3,360</w:t>
            </w:r>
          </w:p>
        </w:tc>
      </w:tr>
      <w:tr>
        <w:trPr/>
        <w:tc>
          <w:tcPr>
            <w:tcW w:w="3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Customer and vendor relationships</w:t>
            </w:r>
          </w:p>
        </w:tc>
        <w:tc>
          <w:tcPr>
            <w:tcW w:w="20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7,453</w:t>
            </w:r>
          </w:p>
        </w:tc>
      </w:tr>
      <w:tr>
        <w:trPr/>
        <w:tc>
          <w:tcPr>
            <w:tcW w:w="3826"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$24,270</w:t>
            </w:r>
          </w:p>
        </w:tc>
      </w:tr>
    </w:tbl>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Alpha Acquisition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2025, the Company announced, pursuant to Rule 2.7 of the United Kingdom City Code on Takeovers and Mergers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firm intention to make a cash offer to acquire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Alpha Group International plc (LSE: ALPHA) ("Alpha") to be effected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by means of a court-sanctioned scheme of arrangement (the "Scheme") under Part 26 of the United Kingdom Companies Act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2006. Alpha is a leading provider of B2B cross-border foreign exchange solutions to corporations and investment funds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U.K. and Europe. Alpha pioneered alternative bank accounts as a simpler, faster way for investment managers to fund their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investments and pay expenses anywhere in Europe.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October 31, 2025, Corpay completed the acquisition of all of the ordinary shares of Alpha for £42.50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cash for each Alpha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share upon the terms as described in the Rule 2.7 Announcement, resulting in an aggregate purchase price of approximately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£1.8 billion, or $2.4 billion. The aggregate cash consideration paid in the transaction was funded with borrowings under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Credit Facility, as described further in Note 11.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Results from the Alpha acquisition have been included in the Company's Corporate Payments segment from the date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acquisition. During the year ended December 31, 2025, the Company incurred $26.2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deal</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costs, including advisory,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legal, audit, valuation and other professional service fees in connection with the Alpha acquisition, which are included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general and administrative expenses in the Consolidated Statements of Income. During the year ended December 31,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Alpha's revenues and net loss represented approximately 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Company's total revenues and total net income,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within the Company's Consolidated Statements of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Alpha acquisition was accounted for as a business combination. Total consideration was approximately $2.1 billion, net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cash and cash equivalents and restricted cash acquired of $4.5 billion. The primary areas of the preliminary acquisition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accounting that are not yet finalized relate to the following: (i) finalizing the review and valuation of intangible assets, including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key assumptions, inputs and estimates, and certain useful life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assumptions, including customer attrition rates, (ii) finalizing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estimate of the impact of acquisition accounting on deferred income taxes or liabilities, (iii) finalizing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review of certain working capital accounts acquired, and (iv) finalizing the evaluation and valuation of certain legal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matters and/or other loss contingencies, including those that the Company may not yet be aware of but that meet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requirement to qualify as a pre-acquisition contingency. None of the goodwill attributable to the acquisition of Alpha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expected to be deductible for tax purposes.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preliminary acquisition accounting for the Alpha acquisition noted above (in thousands):</w:t>
      </w:r>
    </w:p>
    <w:tbl>
      <w:tblPr>
        <w:tblW w:w="9195" w:type="dxa"/>
        <w:jc w:val="left"/>
        <w:tblInd w:w="0" w:type="dxa"/>
        <w:tblLayout w:type="fixed"/>
        <w:tblCellMar>
          <w:top w:w="28" w:type="dxa"/>
          <w:left w:w="28" w:type="dxa"/>
          <w:bottom w:w="28" w:type="dxa"/>
          <w:right w:w="28" w:type="dxa"/>
        </w:tblCellMar>
      </w:tblPr>
      <w:tblGrid>
        <w:gridCol w:w="6821"/>
        <w:gridCol w:w="2374"/>
      </w:tblGrid>
      <w:tr>
        <w:trPr/>
        <w:tc>
          <w:tcPr>
            <w:tcW w:w="682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68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Trade and other receivables</w:t>
            </w:r>
          </w:p>
        </w:tc>
        <w:tc>
          <w:tcPr>
            <w:tcW w:w="237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$44,306</w:t>
            </w:r>
          </w:p>
        </w:tc>
      </w:tr>
      <w:tr>
        <w:trPr/>
        <w:tc>
          <w:tcPr>
            <w:tcW w:w="68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237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196,460</w:t>
            </w:r>
          </w:p>
        </w:tc>
      </w:tr>
      <w:tr>
        <w:trPr/>
        <w:tc>
          <w:tcPr>
            <w:tcW w:w="68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long term assets</w:t>
            </w:r>
          </w:p>
        </w:tc>
        <w:tc>
          <w:tcPr>
            <w:tcW w:w="237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104,436</w:t>
            </w:r>
          </w:p>
        </w:tc>
      </w:tr>
      <w:tr>
        <w:trPr/>
        <w:tc>
          <w:tcPr>
            <w:tcW w:w="68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Goodwill</w:t>
            </w:r>
          </w:p>
        </w:tc>
        <w:tc>
          <w:tcPr>
            <w:tcW w:w="237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1,206,424</w:t>
            </w:r>
          </w:p>
        </w:tc>
      </w:tr>
      <w:tr>
        <w:trPr/>
        <w:tc>
          <w:tcPr>
            <w:tcW w:w="68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Intangibles</w:t>
            </w:r>
          </w:p>
        </w:tc>
        <w:tc>
          <w:tcPr>
            <w:tcW w:w="237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994,605</w:t>
            </w:r>
          </w:p>
        </w:tc>
      </w:tr>
      <w:tr>
        <w:trPr/>
        <w:tc>
          <w:tcPr>
            <w:tcW w:w="68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 and accrued expenses</w:t>
            </w:r>
          </w:p>
        </w:tc>
        <w:tc>
          <w:tcPr>
            <w:tcW w:w="237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(41,814)</w:t>
            </w:r>
          </w:p>
        </w:tc>
      </w:tr>
      <w:tr>
        <w:trPr/>
        <w:tc>
          <w:tcPr>
            <w:tcW w:w="68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237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(4,272,375)</w:t>
            </w:r>
          </w:p>
        </w:tc>
      </w:tr>
      <w:tr>
        <w:trPr/>
        <w:tc>
          <w:tcPr>
            <w:tcW w:w="68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noncurrent liabilities</w:t>
            </w:r>
          </w:p>
        </w:tc>
        <w:tc>
          <w:tcPr>
            <w:tcW w:w="237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(320,473)</w:t>
            </w:r>
          </w:p>
        </w:tc>
      </w:tr>
      <w:tr>
        <w:trPr/>
        <w:tc>
          <w:tcPr>
            <w:tcW w:w="68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Total consideration</w:t>
            </w:r>
            <w:r>
              <w:rPr>
                <w:rFonts w:ascii="Times New Roman;serif" w:hAnsi="Times New Roman;serif"/>
                <w:b w:val="false"/>
                <w:i w:val="false"/>
                <w:caps w:val="false"/>
                <w:smallCaps w:val="false"/>
                <w:sz w:val="13"/>
              </w:rPr>
              <w:t>1</w:t>
            </w:r>
          </w:p>
        </w:tc>
        <w:tc>
          <w:tcPr>
            <w:tcW w:w="237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$(2,088,431)</w:t>
            </w:r>
          </w:p>
        </w:tc>
      </w:tr>
      <w:tr>
        <w:trPr/>
        <w:tc>
          <w:tcPr>
            <w:tcW w:w="6821" w:type="dxa"/>
            <w:tcBorders/>
            <w:shd w:fill="FFFFFF" w:val="clear"/>
            <w:vAlign w:val="center"/>
          </w:tcPr>
          <w:p>
            <w:pPr>
              <w:pStyle w:val="TableContents"/>
              <w:bidi w:val="0"/>
              <w:spacing w:before="0" w:after="283"/>
              <w:jc w:val="left"/>
              <w:rPr>
                <w:sz w:val="4"/>
                <w:szCs w:val="4"/>
              </w:rPr>
            </w:pPr>
            <w:r>
              <w:rPr>
                <w:sz w:val="4"/>
                <w:szCs w:val="4"/>
              </w:rPr>
            </w:r>
          </w:p>
        </w:tc>
        <w:tc>
          <w:tcPr>
            <w:tcW w:w="237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5" w:type="dxa"/>
            <w:gridSpan w:val="2"/>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20"/>
              </w:rPr>
              <w:t xml:space="preserve">The Alpha purchase price included approximately </w:t>
            </w:r>
            <w:r>
              <w:rPr>
                <w:rFonts w:ascii="Times New Roman;serif" w:hAnsi="Times New Roman;serif"/>
                <w:b w:val="false"/>
                <w:i w:val="false"/>
                <w:caps w:val="false"/>
                <w:smallCaps w:val="false"/>
                <w:strike w:val="false"/>
                <w:dstrike w:val="false"/>
                <w:sz w:val="20"/>
                <w:u w:val="none"/>
                <w:effect w:val="none"/>
              </w:rPr>
              <w:t>$4 billion</w:t>
            </w:r>
            <w:r>
              <w:rPr>
                <w:caps w:val="false"/>
                <w:smallCaps w:val="false"/>
                <w:sz w:val="24"/>
              </w:rPr>
              <w:t xml:space="preserve"> </w:t>
            </w:r>
            <w:r>
              <w:rPr>
                <w:rFonts w:ascii="Times New Roman;serif" w:hAnsi="Times New Roman;serif"/>
                <w:b w:val="false"/>
                <w:i w:val="false"/>
                <w:caps w:val="false"/>
                <w:smallCaps w:val="false"/>
                <w:sz w:val="20"/>
              </w:rPr>
              <w:t xml:space="preserve">in cash and cash equivalents and restricted cash,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which there were corresponding customer deposit liabilities assumed. </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estimated fair value of intangible assets acquired and the related estimated useful lives consisted of the following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thousands):</w:t>
      </w:r>
    </w:p>
    <w:tbl>
      <w:tblPr>
        <w:tblW w:w="6007" w:type="dxa"/>
        <w:jc w:val="left"/>
        <w:tblInd w:w="0" w:type="dxa"/>
        <w:tblLayout w:type="fixed"/>
        <w:tblCellMar>
          <w:top w:w="28" w:type="dxa"/>
          <w:left w:w="28" w:type="dxa"/>
          <w:bottom w:w="28" w:type="dxa"/>
          <w:right w:w="28" w:type="dxa"/>
        </w:tblCellMar>
      </w:tblPr>
      <w:tblGrid>
        <w:gridCol w:w="2956"/>
        <w:gridCol w:w="2011"/>
        <w:gridCol w:w="109"/>
        <w:gridCol w:w="931"/>
      </w:tblGrid>
      <w:tr>
        <w:trPr/>
        <w:tc>
          <w:tcPr>
            <w:tcW w:w="295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283"/>
              <w:jc w:val="left"/>
              <w:rPr>
                <w:sz w:val="4"/>
                <w:szCs w:val="4"/>
              </w:rPr>
            </w:pPr>
            <w:r>
              <w:rPr>
                <w:sz w:val="4"/>
                <w:szCs w:val="4"/>
              </w:rPr>
            </w:r>
          </w:p>
        </w:tc>
        <w:tc>
          <w:tcPr>
            <w:tcW w:w="201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Useful Lives (in Years)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Value</w:t>
            </w:r>
          </w:p>
        </w:tc>
      </w:tr>
      <w:tr>
        <w:trPr/>
        <w:tc>
          <w:tcPr>
            <w:tcW w:w="29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Trade names and trademarks</w:t>
            </w:r>
          </w:p>
        </w:tc>
        <w:tc>
          <w:tcPr>
            <w:tcW w:w="20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$26,938</w:t>
            </w:r>
          </w:p>
        </w:tc>
      </w:tr>
      <w:tr>
        <w:trPr/>
        <w:tc>
          <w:tcPr>
            <w:tcW w:w="29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Proprietary technology</w:t>
            </w:r>
          </w:p>
        </w:tc>
        <w:tc>
          <w:tcPr>
            <w:tcW w:w="20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22,470</w:t>
            </w:r>
          </w:p>
        </w:tc>
      </w:tr>
      <w:tr>
        <w:trPr/>
        <w:tc>
          <w:tcPr>
            <w:tcW w:w="29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Customer and vendor relationships</w:t>
            </w:r>
          </w:p>
        </w:tc>
        <w:tc>
          <w:tcPr>
            <w:tcW w:w="20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11</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945,197</w:t>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$994,605</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Pro forma information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unaudited proforma consolidated condensed financial results of operations are presented as if the acquisition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Alpha occurred on January 1, 2024. The unaudited proforma consolidated condensed financial results have been prepared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and Alpha's historical consolidated statements of income for the years ended December 31, 2025 and 2024.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unaudited pro forma information is presented for informational purposes only and is not necessarily indicative of future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operations or results had the acquisition occurred on January 1, 2024. The pro forma financial information does not include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synergies or operating cost reductions that may be achieved from the combined operations. These amounts are presented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accordance with GAAP, consistent with the Company's accounting policies (in millions): </w:t>
      </w:r>
    </w:p>
    <w:tbl>
      <w:tblPr>
        <w:tblW w:w="5045" w:type="dxa"/>
        <w:jc w:val="left"/>
        <w:tblInd w:w="0" w:type="dxa"/>
        <w:tblLayout w:type="fixed"/>
        <w:tblCellMar>
          <w:top w:w="28" w:type="dxa"/>
          <w:left w:w="28" w:type="dxa"/>
          <w:bottom w:w="28" w:type="dxa"/>
          <w:right w:w="28" w:type="dxa"/>
        </w:tblCellMar>
      </w:tblPr>
      <w:tblGrid>
        <w:gridCol w:w="2896"/>
        <w:gridCol w:w="109"/>
        <w:gridCol w:w="915"/>
        <w:gridCol w:w="147"/>
        <w:gridCol w:w="978"/>
      </w:tblGrid>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(Unaudited)</w:t>
            </w:r>
          </w:p>
        </w:tc>
      </w:tr>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 Ended December 31,</w:t>
            </w:r>
          </w:p>
        </w:tc>
      </w:tr>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$4,807</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$4,257</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Corpay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$1,012</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97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 xml:space="preserve">Minority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May 2025, the Company formed a limited partnership with TPG that, through its wholly owned subsidiaries, entered into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definitive agreement to acquire AvidXchange Holdings, Inc (NASDAQ: AVDX) (“AvidXchange”). AvidXchange is a provider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AP automation solutions to lower middle market companies with a focus on several verticals including real estate,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homeowners associations, financial institutions and media. The take-private transaction was completed in October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conjunction with the closing of the AvidXchange transaction in October 2025, the Company invested approximately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$578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approximately 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equity in the limited partnership with TPG for an enterprise valuation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approximately $1.9 billion. The limited partnership utilized approximately $450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debt financing to consummate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transaction. TPG holds approximately 56%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equity in the limited partnership, and the management team of AvidXchange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holds the remainder. In addition to other terms, the limited partnership agreement provides that, 33 months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after the closing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AvidXchange acquisition, the Company will have the right to acquire, or call, all the remaining outstanding equity 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limited partnership for approximately 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times invested capital, which would result in the Company's consolidation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limited partnership. If the Company does not exercise such right to acquire all of the remaining outstanding equity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limited partnership and TPG decides to sell the limited partnership to a third party within a period of 15 months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thereafter,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is required to guarantee a return to its partners, subject to certain limitations, of approximately 1.6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times invested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capital (the minimum return). If the partnership sells AvidXchange in 2029 for an approximately similar valuation as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acquisition, there will be no requirement to pay any minimum return.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Private Company Council adjustments are identified and removed to conform with the Company's accounting as appropriate.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Furthermore, the acquisition accounting is preliminary and not yet finalized, with regards to (i) the valuation of its customer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intangible assets, including key assumptions, inputs and estimates, and certain useful life assumptions, including customer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attrition rates, (ii) finalizing the estimate of the impact of acquisition accounting on deferred income taxes or liabilities, and (iii)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finalizing the review of certain working capital accounts acquired.  </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2024</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Acquisitions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March 2024, the Company acquired 70%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outstanding stock of Zapay, a Brazil-based digital consumer mobility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solution for paying vehicle-related taxes and compliance fees, for approximately $59.5 million, net of cash. As part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agreement, the Company has the right to acquire the remainder of Zapay in four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the acquisition date. The majority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 in Zapay further scales the Company's Vehicle Payments business in Brazil. The Company recorded goodwill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approximately $73.3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representing the strategic benefits of the majority investment in Zapay. None of the goodwill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attributable to the acquisition of Zapay is deductible for tax purposes.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July 2024, the Company acquired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stock of Paymerang, a U.S.-based leader in AP automation solutions,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approximately $179.2 million, net of cash and cash equivalents and restricted cash acquired of $309 million. The Company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recorded goodwill of approximately $303.9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representing the strategic benefits of the acquisition, which expands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Corpay's presence in several markets, including education, healthcare, hospitality and manufacturing. None of the goodwill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attributable to the acquisition of Paymerang is deductible for tax purposes.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December 2024, the Company acquired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GPS Capital Markets, LLC ("GPS") for approximately $577.1 million,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cash and cash equivalents and restricted cash acquired of $190.7 million. GPS provides B2B cross-border and treasury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solutions to upper middle market companies, primarily in the U.S. As the Company acquired a single member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LLC, the acquisition allowed for all U.S. assets to be stepped-up to fair value at the acquisition date and goodwill to be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deductible for federal income tax purposes. The Company recorded goodwill of approximately $335.1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representing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strategic benefits of the acquisition of GPS, which further scales the Company's cross-border solution. All of the goodwill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attributable to the acquisition of GPS is deductible for tax purposes.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aggregate consideration paid for these acquisitions was approximately $815.8 million, net of cash and cash equivalents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restricted cash of $508.8 million. The Company financed the acquisitions using a combination of available cash and borrowings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its existing credit facility. Results from these acquisitions have been included in the Company's consolidated results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respective date of each acquisition. Results from the Zapay acquisition have been included in the Company's Vehicle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segment and the results of both Paymerang and GPS have been included in the Company's Corporate Payments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segment. In connection with certain of the 2024 acquisitions, the Company signed noncompete agreements valued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approximately $26.6 million, which were accounted for separately from the business acquisition and recorded within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intangibles, net in the Company’s Consolidated Balance Sheets.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 of the 2024 acquisitions are accounted for as business combinations. There were no material measurement period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adjustments recorded during the year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related to the 2024 acquisitions.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acquisition accounting for the 2024 business acquisitions noted above (in thousands):</w:t>
      </w:r>
    </w:p>
    <w:tbl>
      <w:tblPr>
        <w:tblW w:w="4397" w:type="dxa"/>
        <w:jc w:val="left"/>
        <w:tblInd w:w="0" w:type="dxa"/>
        <w:tblLayout w:type="fixed"/>
        <w:tblCellMar>
          <w:top w:w="28" w:type="dxa"/>
          <w:left w:w="28" w:type="dxa"/>
          <w:bottom w:w="28" w:type="dxa"/>
          <w:right w:w="28" w:type="dxa"/>
        </w:tblCellMar>
      </w:tblPr>
      <w:tblGrid>
        <w:gridCol w:w="3451"/>
        <w:gridCol w:w="946"/>
      </w:tblGrid>
      <w:tr>
        <w:trPr/>
        <w:tc>
          <w:tcPr>
            <w:tcW w:w="345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Trade and other receivables</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$22,898</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72,394</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long term assets</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40,909</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Goodwill</w:t>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712,324</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Intangibles</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584,102</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Accounts payable</w:t>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(55,504)</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(463,627)</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noncurrent liabilities</w:t>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(94,803)</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Total fair value of net assets acquired </w:t>
            </w:r>
          </w:p>
        </w:tc>
        <w:tc>
          <w:tcPr>
            <w:tcW w:w="9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818,693</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Noncontrolling interest</w:t>
            </w:r>
          </w:p>
        </w:tc>
        <w:tc>
          <w:tcPr>
            <w:tcW w:w="9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(29,437)</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consideration paid</w:t>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$789,256</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estimated fair value of intangible assets acquired and the related estimated useful lives consisted of the following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thousands):</w:t>
      </w:r>
    </w:p>
    <w:tbl>
      <w:tblPr>
        <w:tblW w:w="6877" w:type="dxa"/>
        <w:jc w:val="left"/>
        <w:tblInd w:w="0" w:type="dxa"/>
        <w:tblLayout w:type="fixed"/>
        <w:tblCellMar>
          <w:top w:w="28" w:type="dxa"/>
          <w:left w:w="28" w:type="dxa"/>
          <w:bottom w:w="28" w:type="dxa"/>
          <w:right w:w="28" w:type="dxa"/>
        </w:tblCellMar>
      </w:tblPr>
      <w:tblGrid>
        <w:gridCol w:w="3826"/>
        <w:gridCol w:w="2011"/>
        <w:gridCol w:w="109"/>
        <w:gridCol w:w="931"/>
      </w:tblGrid>
      <w:tr>
        <w:trPr/>
        <w:tc>
          <w:tcPr>
            <w:tcW w:w="382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283"/>
              <w:jc w:val="left"/>
              <w:rPr>
                <w:sz w:val="4"/>
                <w:szCs w:val="4"/>
              </w:rPr>
            </w:pPr>
            <w:r>
              <w:rPr>
                <w:sz w:val="4"/>
                <w:szCs w:val="4"/>
              </w:rPr>
            </w:r>
          </w:p>
        </w:tc>
        <w:tc>
          <w:tcPr>
            <w:tcW w:w="201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Useful Lives (in Years)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Value</w:t>
            </w:r>
          </w:p>
        </w:tc>
      </w:tr>
      <w:tr>
        <w:trPr/>
        <w:tc>
          <w:tcPr>
            <w:tcW w:w="3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Trade names and trademarks - indefinite lived</w:t>
            </w:r>
          </w:p>
        </w:tc>
        <w:tc>
          <w:tcPr>
            <w:tcW w:w="20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$13,938</w:t>
            </w:r>
          </w:p>
        </w:tc>
      </w:tr>
      <w:tr>
        <w:trPr/>
        <w:tc>
          <w:tcPr>
            <w:tcW w:w="3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Trade names and trademarks - other</w:t>
            </w:r>
          </w:p>
        </w:tc>
        <w:tc>
          <w:tcPr>
            <w:tcW w:w="20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12,200</w:t>
            </w:r>
          </w:p>
        </w:tc>
      </w:tr>
      <w:tr>
        <w:trPr/>
        <w:tc>
          <w:tcPr>
            <w:tcW w:w="3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Proprietary technology</w:t>
            </w:r>
          </w:p>
        </w:tc>
        <w:tc>
          <w:tcPr>
            <w:tcW w:w="20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23,485</w:t>
            </w:r>
          </w:p>
        </w:tc>
      </w:tr>
      <w:tr>
        <w:trPr/>
        <w:tc>
          <w:tcPr>
            <w:tcW w:w="3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Customer relationships</w:t>
            </w:r>
          </w:p>
        </w:tc>
        <w:tc>
          <w:tcPr>
            <w:tcW w:w="20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534,479</w:t>
            </w:r>
          </w:p>
        </w:tc>
      </w:tr>
      <w:tr>
        <w:trPr/>
        <w:tc>
          <w:tcPr>
            <w:tcW w:w="3826" w:type="dxa"/>
            <w:tcBorders/>
            <w:shd w:fill="CCEEFF" w:val="clear"/>
            <w:vAlign w:val="center"/>
          </w:tcPr>
          <w:p>
            <w:pPr>
              <w:pStyle w:val="TableContents"/>
              <w:bidi w:val="0"/>
              <w:spacing w:before="0" w:after="283"/>
              <w:jc w:val="left"/>
              <w:rPr>
                <w:sz w:val="4"/>
                <w:szCs w:val="4"/>
              </w:rPr>
            </w:pPr>
            <w:r>
              <w:rPr>
                <w:sz w:val="4"/>
                <w:szCs w:val="4"/>
              </w:rPr>
            </w:r>
          </w:p>
        </w:tc>
        <w:tc>
          <w:tcPr>
            <w:tcW w:w="20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$584,102</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During the year ended December 31, 2024, the Company also completed multiple asset acquisitions for approximately $6.7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8. </w:t>
      </w:r>
      <w:r>
        <w:rPr>
          <w:rFonts w:ascii="Times New Roman;serif" w:hAnsi="Times New Roman;serif"/>
          <w:b/>
          <w:i w:val="false"/>
          <w:caps w:val="false"/>
          <w:smallCaps w:val="false"/>
          <w:strike w:val="false"/>
          <w:dstrike w:val="false"/>
          <w:sz w:val="20"/>
          <w:u w:val="none"/>
          <w:effect w:val="none"/>
        </w:rPr>
        <w:t>Goodwill and Other Intangible Assets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summary of changes in the Company’s goodwill by reportable segment is as follows (in thousands):</w:t>
      </w:r>
    </w:p>
    <w:tbl>
      <w:tblPr>
        <w:tblW w:w="10205" w:type="dxa"/>
        <w:jc w:val="left"/>
        <w:tblInd w:w="0" w:type="dxa"/>
        <w:tblLayout w:type="fixed"/>
        <w:tblCellMar>
          <w:top w:w="28" w:type="dxa"/>
          <w:left w:w="28" w:type="dxa"/>
          <w:bottom w:w="28" w:type="dxa"/>
          <w:right w:w="28" w:type="dxa"/>
        </w:tblCellMar>
      </w:tblPr>
      <w:tblGrid>
        <w:gridCol w:w="1790"/>
        <w:gridCol w:w="113"/>
        <w:gridCol w:w="1195"/>
        <w:gridCol w:w="113"/>
        <w:gridCol w:w="1093"/>
        <w:gridCol w:w="113"/>
        <w:gridCol w:w="1013"/>
        <w:gridCol w:w="113"/>
        <w:gridCol w:w="1077"/>
        <w:gridCol w:w="113"/>
        <w:gridCol w:w="1060"/>
        <w:gridCol w:w="113"/>
        <w:gridCol w:w="934"/>
        <w:gridCol w:w="113"/>
        <w:gridCol w:w="1252"/>
      </w:tblGrid>
      <w:tr>
        <w:trPr/>
        <w:tc>
          <w:tcPr>
            <w:tcW w:w="17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95"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13" w:type="dxa"/>
            <w:tcBorders/>
            <w:vAlign w:val="center"/>
          </w:tcPr>
          <w:p>
            <w:pPr>
              <w:pStyle w:val="TableContents"/>
              <w:bidi w:val="0"/>
              <w:spacing w:before="0" w:after="283"/>
              <w:jc w:val="left"/>
              <w:rPr>
                <w:sz w:val="4"/>
                <w:szCs w:val="4"/>
              </w:rPr>
            </w:pPr>
            <w:r>
              <w:rPr>
                <w:sz w:val="4"/>
                <w:szCs w:val="4"/>
              </w:rPr>
            </w:r>
          </w:p>
        </w:tc>
        <w:tc>
          <w:tcPr>
            <w:tcW w:w="109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pPr>
            <w:r>
              <w:rPr>
                <w:rFonts w:ascii="Times New Roman;serif" w:hAnsi="Times New Roman;serif"/>
                <w:b/>
                <w:i w:val="false"/>
                <w:caps w:val="false"/>
                <w:smallCaps w:val="false"/>
                <w:sz w:val="16"/>
              </w:rPr>
              <w:t>Acquisitions</w:t>
            </w:r>
            <w:r>
              <w:rPr>
                <w:rFonts w:ascii="Times New Roman;serif" w:hAnsi="Times New Roman;serif"/>
                <w:b/>
                <w:i w:val="false"/>
                <w:caps w:val="false"/>
                <w:smallCaps w:val="false"/>
                <w:sz w:val="10"/>
              </w:rPr>
              <w:t>1</w:t>
            </w:r>
          </w:p>
        </w:tc>
        <w:tc>
          <w:tcPr>
            <w:tcW w:w="113" w:type="dxa"/>
            <w:tcBorders/>
            <w:vAlign w:val="center"/>
          </w:tcPr>
          <w:p>
            <w:pPr>
              <w:pStyle w:val="TableContents"/>
              <w:bidi w:val="0"/>
              <w:spacing w:before="0" w:after="283"/>
              <w:jc w:val="left"/>
              <w:rPr>
                <w:sz w:val="4"/>
                <w:szCs w:val="4"/>
              </w:rPr>
            </w:pPr>
            <w:r>
              <w:rPr>
                <w:sz w:val="4"/>
                <w:szCs w:val="4"/>
              </w:rPr>
            </w:r>
          </w:p>
        </w:tc>
        <w:tc>
          <w:tcPr>
            <w:tcW w:w="101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Dispositions</w:t>
            </w:r>
          </w:p>
        </w:tc>
        <w:tc>
          <w:tcPr>
            <w:tcW w:w="113" w:type="dxa"/>
            <w:tcBorders/>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Impairments</w:t>
            </w:r>
          </w:p>
        </w:tc>
        <w:tc>
          <w:tcPr>
            <w:tcW w:w="113" w:type="dxa"/>
            <w:tcBorders/>
            <w:vAlign w:val="center"/>
          </w:tcPr>
          <w:p>
            <w:pPr>
              <w:pStyle w:val="TableContents"/>
              <w:bidi w:val="0"/>
              <w:spacing w:before="0" w:after="283"/>
              <w:jc w:val="left"/>
              <w:rPr>
                <w:sz w:val="4"/>
                <w:szCs w:val="4"/>
              </w:rPr>
            </w:pPr>
            <w:r>
              <w:rPr>
                <w:sz w:val="4"/>
                <w:szCs w:val="4"/>
              </w:rPr>
            </w:r>
          </w:p>
        </w:tc>
        <w:tc>
          <w:tcPr>
            <w:tcW w:w="106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Acquisition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Accounting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Adjustments</w:t>
            </w:r>
          </w:p>
        </w:tc>
        <w:tc>
          <w:tcPr>
            <w:tcW w:w="113" w:type="dxa"/>
            <w:tcBorders/>
            <w:vAlign w:val="center"/>
          </w:tcPr>
          <w:p>
            <w:pPr>
              <w:pStyle w:val="TableContents"/>
              <w:bidi w:val="0"/>
              <w:spacing w:before="0" w:after="283"/>
              <w:jc w:val="left"/>
              <w:rPr>
                <w:sz w:val="4"/>
                <w:szCs w:val="4"/>
              </w:rPr>
            </w:pPr>
            <w:r>
              <w:rPr>
                <w:sz w:val="4"/>
                <w:szCs w:val="4"/>
              </w:rPr>
            </w:r>
          </w:p>
        </w:tc>
        <w:tc>
          <w:tcPr>
            <w:tcW w:w="93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Foreign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Currency</w:t>
            </w:r>
          </w:p>
        </w:tc>
        <w:tc>
          <w:tcPr>
            <w:tcW w:w="113" w:type="dxa"/>
            <w:tcBorders/>
            <w:vAlign w:val="center"/>
          </w:tcPr>
          <w:p>
            <w:pPr>
              <w:pStyle w:val="TableContents"/>
              <w:bidi w:val="0"/>
              <w:spacing w:before="0" w:after="283"/>
              <w:jc w:val="left"/>
              <w:rPr>
                <w:sz w:val="4"/>
                <w:szCs w:val="4"/>
              </w:rPr>
            </w:pPr>
            <w:r>
              <w:rPr>
                <w:sz w:val="4"/>
                <w:szCs w:val="4"/>
              </w:rPr>
            </w:r>
          </w:p>
        </w:tc>
        <w:tc>
          <w:tcPr>
            <w:tcW w:w="125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1790"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Segment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19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1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6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25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Vehicle Payments</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19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$2,626,055</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$129,885</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1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93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$166,608</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25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$2,922,606</w:t>
            </w:r>
          </w:p>
        </w:tc>
      </w:tr>
      <w:tr>
        <w:trPr/>
        <w:tc>
          <w:tcPr>
            <w:tcW w:w="179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Corporate Payments</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19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2,687,354</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1,206,424</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13"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1,717</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93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68,260</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25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3,963,755</w:t>
            </w:r>
          </w:p>
        </w:tc>
      </w:tr>
      <w:tr>
        <w:trPr/>
        <w:tc>
          <w:tcPr>
            <w:tcW w:w="179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Lodging Payments </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19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413,438</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1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6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93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6,231</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25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419,669</w:t>
            </w:r>
          </w:p>
        </w:tc>
      </w:tr>
      <w:tr>
        <w:trPr/>
        <w:tc>
          <w:tcPr>
            <w:tcW w:w="1790"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w:t>
            </w:r>
            <w:r>
              <w:rPr>
                <w:rFonts w:ascii="Times New Roman;serif" w:hAnsi="Times New Roman;serif"/>
                <w:b w:val="false"/>
                <w:i w:val="false"/>
                <w:caps w:val="false"/>
                <w:smallCaps w:val="false"/>
                <w:sz w:val="13"/>
              </w:rPr>
              <w:t>2</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19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257,820</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1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6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93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972</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25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258,792</w:t>
            </w:r>
          </w:p>
        </w:tc>
      </w:tr>
      <w:tr>
        <w:trPr/>
        <w:tc>
          <w:tcPr>
            <w:tcW w:w="1790"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19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$5,984,667</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$1,336,309</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1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6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$1,775</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$242,071</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25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$7,564,822</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9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7"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3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5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20"/>
              </w:rPr>
              <w:t xml:space="preserve">Reflects the recognition of preliminary goodwill related to acquisitions completed by the Company during the year ended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t>
            </w:r>
          </w:p>
        </w:tc>
      </w:tr>
      <w:tr>
        <w:trPr/>
        <w:tc>
          <w:tcPr>
            <w:tcW w:w="10205" w:type="dxa"/>
            <w:gridSpan w:val="15"/>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13"/>
              </w:rPr>
              <w:t xml:space="preserve">2 </w:t>
            </w:r>
            <w:r>
              <w:rPr>
                <w:rFonts w:ascii="Times New Roman;serif" w:hAnsi="Times New Roman;serif"/>
                <w:b w:val="false"/>
                <w:i w:val="false"/>
                <w:caps w:val="false"/>
                <w:smallCaps w:val="false"/>
                <w:sz w:val="20"/>
              </w:rPr>
              <w:t xml:space="preserve">Goodwill for the Company's Payroll Card reporting unit is presented net of accumulated impairment losses of </w:t>
            </w:r>
            <w:r>
              <w:rPr>
                <w:rFonts w:ascii="Times New Roman;serif" w:hAnsi="Times New Roman;serif"/>
                <w:b w:val="false"/>
                <w:i w:val="false"/>
                <w:caps w:val="false"/>
                <w:smallCaps w:val="false"/>
                <w:strike w:val="false"/>
                <w:dstrike w:val="false"/>
                <w:sz w:val="20"/>
                <w:u w:val="none"/>
                <w:effect w:val="none"/>
              </w:rPr>
              <w:t>$90.0 million</w:t>
            </w:r>
            <w:r>
              <w:rPr>
                <w:rFonts w:ascii="Times New Roman;serif" w:hAnsi="Times New Roman;serif"/>
                <w:b w:val="false"/>
                <w:i w:val="false"/>
                <w:caps w:val="false"/>
                <w:smallCaps w:val="false"/>
                <w:sz w:val="20"/>
              </w:rPr>
              <w:t xml:space="preserv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of which were recorded during the year ended December 31, 2024.</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w:t>
      </w:r>
    </w:p>
    <w:tbl>
      <w:tblPr>
        <w:tblW w:w="10205" w:type="dxa"/>
        <w:jc w:val="left"/>
        <w:tblInd w:w="0" w:type="dxa"/>
        <w:tblLayout w:type="fixed"/>
        <w:tblCellMar>
          <w:top w:w="28" w:type="dxa"/>
          <w:left w:w="28" w:type="dxa"/>
          <w:bottom w:w="28" w:type="dxa"/>
          <w:right w:w="28" w:type="dxa"/>
        </w:tblCellMar>
      </w:tblPr>
      <w:tblGrid>
        <w:gridCol w:w="1727"/>
        <w:gridCol w:w="113"/>
        <w:gridCol w:w="1174"/>
        <w:gridCol w:w="113"/>
        <w:gridCol w:w="1015"/>
        <w:gridCol w:w="113"/>
        <w:gridCol w:w="1062"/>
        <w:gridCol w:w="113"/>
        <w:gridCol w:w="1124"/>
        <w:gridCol w:w="113"/>
        <w:gridCol w:w="1046"/>
        <w:gridCol w:w="113"/>
        <w:gridCol w:w="1039"/>
        <w:gridCol w:w="113"/>
        <w:gridCol w:w="1227"/>
      </w:tblGrid>
      <w:tr>
        <w:trPr/>
        <w:tc>
          <w:tcPr>
            <w:tcW w:w="17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7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7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13" w:type="dxa"/>
            <w:tcBorders/>
            <w:vAlign w:val="center"/>
          </w:tcPr>
          <w:p>
            <w:pPr>
              <w:pStyle w:val="TableContents"/>
              <w:bidi w:val="0"/>
              <w:spacing w:before="0" w:after="283"/>
              <w:jc w:val="left"/>
              <w:rPr>
                <w:sz w:val="4"/>
                <w:szCs w:val="4"/>
              </w:rPr>
            </w:pPr>
            <w:r>
              <w:rPr>
                <w:sz w:val="4"/>
                <w:szCs w:val="4"/>
              </w:rPr>
            </w:r>
          </w:p>
        </w:tc>
        <w:tc>
          <w:tcPr>
            <w:tcW w:w="1015"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Acquisitions</w:t>
            </w:r>
          </w:p>
        </w:tc>
        <w:tc>
          <w:tcPr>
            <w:tcW w:w="113" w:type="dxa"/>
            <w:tcBorders/>
            <w:vAlign w:val="center"/>
          </w:tcPr>
          <w:p>
            <w:pPr>
              <w:pStyle w:val="TableContents"/>
              <w:bidi w:val="0"/>
              <w:spacing w:before="0" w:after="283"/>
              <w:jc w:val="left"/>
              <w:rPr>
                <w:sz w:val="4"/>
                <w:szCs w:val="4"/>
              </w:rPr>
            </w:pPr>
            <w:r>
              <w:rPr>
                <w:sz w:val="4"/>
                <w:szCs w:val="4"/>
              </w:rPr>
            </w:r>
          </w:p>
        </w:tc>
        <w:tc>
          <w:tcPr>
            <w:tcW w:w="106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pPr>
            <w:r>
              <w:rPr>
                <w:rFonts w:ascii="Times New Roman;serif" w:hAnsi="Times New Roman;serif"/>
                <w:b/>
                <w:i w:val="false"/>
                <w:caps w:val="false"/>
                <w:smallCaps w:val="false"/>
                <w:sz w:val="16"/>
              </w:rPr>
              <w:t>Dispositions</w:t>
            </w:r>
            <w:r>
              <w:rPr>
                <w:rFonts w:ascii="Times New Roman;serif" w:hAnsi="Times New Roman;serif"/>
                <w:b/>
                <w:i w:val="false"/>
                <w:caps w:val="false"/>
                <w:smallCaps w:val="false"/>
                <w:sz w:val="10"/>
              </w:rPr>
              <w:t>1</w:t>
            </w:r>
          </w:p>
        </w:tc>
        <w:tc>
          <w:tcPr>
            <w:tcW w:w="113" w:type="dxa"/>
            <w:tcBorders/>
            <w:vAlign w:val="center"/>
          </w:tcPr>
          <w:p>
            <w:pPr>
              <w:pStyle w:val="TableContents"/>
              <w:bidi w:val="0"/>
              <w:spacing w:before="0" w:after="283"/>
              <w:jc w:val="left"/>
              <w:rPr>
                <w:sz w:val="4"/>
                <w:szCs w:val="4"/>
              </w:rPr>
            </w:pPr>
            <w:r>
              <w:rPr>
                <w:sz w:val="4"/>
                <w:szCs w:val="4"/>
              </w:rPr>
            </w:r>
          </w:p>
        </w:tc>
        <w:tc>
          <w:tcPr>
            <w:tcW w:w="112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pPr>
            <w:r>
              <w:rPr>
                <w:rFonts w:ascii="Times New Roman;serif" w:hAnsi="Times New Roman;serif"/>
                <w:b/>
                <w:i w:val="false"/>
                <w:caps w:val="false"/>
                <w:smallCaps w:val="false"/>
                <w:sz w:val="16"/>
              </w:rPr>
              <w:t>Impairments</w:t>
            </w:r>
            <w:r>
              <w:rPr>
                <w:rFonts w:ascii="Times New Roman;serif" w:hAnsi="Times New Roman;serif"/>
                <w:b/>
                <w:i w:val="false"/>
                <w:caps w:val="false"/>
                <w:smallCaps w:val="false"/>
                <w:sz w:val="10"/>
              </w:rPr>
              <w:t>2</w:t>
            </w:r>
          </w:p>
        </w:tc>
        <w:tc>
          <w:tcPr>
            <w:tcW w:w="113" w:type="dxa"/>
            <w:tcBorders/>
            <w:vAlign w:val="center"/>
          </w:tcPr>
          <w:p>
            <w:pPr>
              <w:pStyle w:val="TableContents"/>
              <w:bidi w:val="0"/>
              <w:spacing w:before="0" w:after="283"/>
              <w:jc w:val="left"/>
              <w:rPr>
                <w:sz w:val="4"/>
                <w:szCs w:val="4"/>
              </w:rPr>
            </w:pPr>
            <w:r>
              <w:rPr>
                <w:sz w:val="4"/>
                <w:szCs w:val="4"/>
              </w:rPr>
            </w:r>
          </w:p>
        </w:tc>
        <w:tc>
          <w:tcPr>
            <w:tcW w:w="10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Acquisition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Accounting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Adjustments</w:t>
            </w:r>
          </w:p>
        </w:tc>
        <w:tc>
          <w:tcPr>
            <w:tcW w:w="113" w:type="dxa"/>
            <w:tcBorders/>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Foreign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Currency</w:t>
            </w:r>
          </w:p>
        </w:tc>
        <w:tc>
          <w:tcPr>
            <w:tcW w:w="113" w:type="dxa"/>
            <w:tcBorders/>
            <w:vAlign w:val="center"/>
          </w:tcPr>
          <w:p>
            <w:pPr>
              <w:pStyle w:val="TableContents"/>
              <w:bidi w:val="0"/>
              <w:spacing w:before="0" w:after="283"/>
              <w:jc w:val="left"/>
              <w:rPr>
                <w:sz w:val="4"/>
                <w:szCs w:val="4"/>
              </w:rPr>
            </w:pPr>
            <w:r>
              <w:rPr>
                <w:sz w:val="4"/>
                <w:szCs w:val="4"/>
              </w:rPr>
            </w:r>
          </w:p>
        </w:tc>
        <w:tc>
          <w:tcPr>
            <w:tcW w:w="1227"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1727"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Segment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6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Vehicle Payments</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17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$2,803,990</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1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$73,217</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6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$(58,220)</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12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$(192,932)</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$2,626,055</w:t>
            </w:r>
          </w:p>
        </w:tc>
      </w:tr>
      <w:tr>
        <w:trPr/>
        <w:tc>
          <w:tcPr>
            <w:tcW w:w="17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Corporate Payments</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2,074,736</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637,332</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62"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1,058</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(25,772)</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2,687,354</w:t>
            </w:r>
          </w:p>
        </w:tc>
      </w:tr>
      <w:tr>
        <w:trPr/>
        <w:tc>
          <w:tcPr>
            <w:tcW w:w="172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Lodging Payments</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17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416,952</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15"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62"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12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(3,514)</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413,438</w:t>
            </w:r>
          </w:p>
        </w:tc>
      </w:tr>
      <w:tr>
        <w:trPr/>
        <w:tc>
          <w:tcPr>
            <w:tcW w:w="17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349,280</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6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(90,000)</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(1,460)</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257,820</w:t>
            </w:r>
          </w:p>
        </w:tc>
      </w:tr>
      <w:tr>
        <w:trPr/>
        <w:tc>
          <w:tcPr>
            <w:tcW w:w="1727"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17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$5,644,958</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1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$710,549</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6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$(58,220)</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12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$(90,000)</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$1,058</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$(223,678)</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$5,984,667</w:t>
            </w:r>
          </w:p>
        </w:tc>
      </w:tr>
      <w:tr>
        <w:trPr/>
        <w:tc>
          <w:tcPr>
            <w:tcW w:w="17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7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4"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4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3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27"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20"/>
              </w:rPr>
              <w:t xml:space="preserve">Reflects goodwill derecognized in connection with the disposition of the Company's merchant solutions business in the U.S.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 19 for further information.</w:t>
            </w:r>
          </w:p>
        </w:tc>
      </w:tr>
      <w:tr>
        <w:trPr/>
        <w:tc>
          <w:tcPr>
            <w:tcW w:w="10205" w:type="dxa"/>
            <w:gridSpan w:val="15"/>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2</w:t>
            </w:r>
            <w:r>
              <w:rPr>
                <w:caps w:val="false"/>
                <w:smallCaps w:val="false"/>
              </w:rPr>
              <w:t xml:space="preserve"> </w:t>
            </w:r>
            <w:r>
              <w:rPr>
                <w:rFonts w:ascii="Times New Roman;serif" w:hAnsi="Times New Roman;serif"/>
                <w:b w:val="false"/>
                <w:i w:val="false"/>
                <w:caps w:val="false"/>
                <w:smallCaps w:val="false"/>
                <w:sz w:val="20"/>
              </w:rPr>
              <w:t xml:space="preserve">Represents the partial impairment of the goodwill within the Company's Payroll Card reporting unit during the year ended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December 31, 2024. See Note 2 for further information. </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Acquisition accounting adjustments recorded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are a result of the Company completing its acquisition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accounting and working capital adjustments for certain prior year acquisitions. At December 31, 2025, goodwill is presented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accumulated impairment losses of $90.0 million,which was recorded during the year ended December 31, 2024 and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included in our Other category as described above.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intangible assets consisted of the following at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thousands):</w:t>
      </w:r>
    </w:p>
    <w:tbl>
      <w:tblPr>
        <w:tblW w:w="10205" w:type="dxa"/>
        <w:jc w:val="left"/>
        <w:tblInd w:w="0" w:type="dxa"/>
        <w:tblLayout w:type="fixed"/>
        <w:tblCellMar>
          <w:top w:w="28" w:type="dxa"/>
          <w:left w:w="28" w:type="dxa"/>
          <w:bottom w:w="28" w:type="dxa"/>
          <w:right w:w="28" w:type="dxa"/>
        </w:tblCellMar>
      </w:tblPr>
      <w:tblGrid>
        <w:gridCol w:w="2040"/>
        <w:gridCol w:w="109"/>
        <w:gridCol w:w="901"/>
        <w:gridCol w:w="109"/>
        <w:gridCol w:w="1036"/>
        <w:gridCol w:w="109"/>
        <w:gridCol w:w="1155"/>
        <w:gridCol w:w="109"/>
        <w:gridCol w:w="1036"/>
        <w:gridCol w:w="109"/>
        <w:gridCol w:w="1036"/>
        <w:gridCol w:w="109"/>
        <w:gridCol w:w="1155"/>
        <w:gridCol w:w="109"/>
        <w:gridCol w:w="1083"/>
      </w:tblGrid>
      <w:tr>
        <w:trPr/>
        <w:tc>
          <w:tcPr>
            <w:tcW w:w="2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445"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3492"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2040"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Avg Useful</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Life</w:t>
            </w:r>
          </w:p>
          <w:p>
            <w:pPr>
              <w:pStyle w:val="TableContents"/>
              <w:bidi w:val="0"/>
              <w:spacing w:lineRule="atLeast" w:line="160" w:before="0" w:after="0"/>
              <w:jc w:val="left"/>
              <w:rPr/>
            </w:pPr>
            <w:r>
              <w:rPr>
                <w:rFonts w:ascii="Times New Roman;serif" w:hAnsi="Times New Roman;serif"/>
                <w:b/>
                <w:i w:val="false"/>
                <w:caps w:val="false"/>
                <w:smallCaps w:val="false"/>
                <w:sz w:val="16"/>
              </w:rPr>
              <w:t>(Years)</w:t>
            </w:r>
            <w:r>
              <w:rPr>
                <w:rFonts w:ascii="Times New Roman;serif" w:hAnsi="Times New Roman;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Gross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Gross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r>
      <w:tr>
        <w:trPr/>
        <w:tc>
          <w:tcPr>
            <w:tcW w:w="204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Customer and vendor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relationships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$4,541,001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$(1,908,916)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$2,632,085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$3,476,642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$(1,624,079)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$1,852,563</w:t>
            </w:r>
          </w:p>
        </w:tc>
      </w:tr>
      <w:tr>
        <w:trPr/>
        <w:tc>
          <w:tcPr>
            <w:tcW w:w="204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Trade names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trademarks—indefinite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lived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442,814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5"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442,814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410,391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5"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410,391</w:t>
            </w:r>
          </w:p>
        </w:tc>
      </w:tr>
      <w:tr>
        <w:trPr/>
        <w:tc>
          <w:tcPr>
            <w:tcW w:w="204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Trade names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trademarks—other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66,047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52,992</w:t>
            </w:r>
          </w:p>
        </w:tc>
      </w:tr>
      <w:tr>
        <w:trPr/>
        <w:tc>
          <w:tcPr>
            <w:tcW w:w="204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Technology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327,925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(259,748)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68,177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306,296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(245,038)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61,258</w:t>
            </w:r>
          </w:p>
        </w:tc>
      </w:tr>
      <w:tr>
        <w:trPr/>
        <w:tc>
          <w:tcPr>
            <w:tcW w:w="204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Non-compete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agreements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51,836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33,238</w:t>
            </w:r>
          </w:p>
        </w:tc>
      </w:tr>
      <w:tr>
        <w:trPr/>
        <w:tc>
          <w:tcPr>
            <w:tcW w:w="204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other intangibles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$5,456,515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$(2,218,786)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$3,237,729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$4,311,788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$(1,901,346)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$2,410,442</w:t>
            </w:r>
          </w:p>
        </w:tc>
      </w:tr>
      <w:tr>
        <w:trPr/>
        <w:tc>
          <w:tcPr>
            <w:tcW w:w="20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N/A = Not Applicable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3"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z w:val="10"/>
              </w:rPr>
              <w:t>1</w:t>
            </w:r>
            <w:r>
              <w:rPr>
                <w:caps w:val="false"/>
                <w:smallCaps w:val="false"/>
              </w:rPr>
              <w:t xml:space="preserve"> </w:t>
            </w:r>
            <w:r>
              <w:rPr>
                <w:rFonts w:ascii="Times New Roman;serif" w:hAnsi="Times New Roman;serif"/>
                <w:b w:val="false"/>
                <w:i w:val="false"/>
                <w:caps w:val="false"/>
                <w:smallCaps w:val="false"/>
                <w:sz w:val="16"/>
              </w:rPr>
              <w:t>The weighted-average useful life calculation excludes fully amortized intangible assets.</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Changes in foreign exchange rates resulted in $75.9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decreases to the carrying values of 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intangible assets in the years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respectively. Amortization expense related to intangible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assets for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$261.9 million, $230.8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$225.4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respectively.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During the years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Company wrote-off the gross carrying amounts and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related accumulated amortization of fully amortized intangible assets of approximately $20.2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$70.3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which were no longer being used. Due to rebranding activity during the year ended December 31, 2024,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reassessed the useful lives of certain trademarks. This resulted in a reclassification of $13.3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indefinite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finite-lived assets as of December 31, 2024. At the time of change in estimate, which was applied prospectively, the Company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tested these trademarks for impairment, which resulted in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impairment charge.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future estimated amortization of intangible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is as follows (in thousands):</w:t>
      </w:r>
    </w:p>
    <w:tbl>
      <w:tblPr>
        <w:tblW w:w="2031" w:type="dxa"/>
        <w:jc w:val="left"/>
        <w:tblInd w:w="0" w:type="dxa"/>
        <w:tblLayout w:type="fixed"/>
        <w:tblCellMar>
          <w:top w:w="28" w:type="dxa"/>
          <w:left w:w="28" w:type="dxa"/>
          <w:bottom w:w="28" w:type="dxa"/>
          <w:right w:w="28" w:type="dxa"/>
        </w:tblCellMar>
      </w:tblPr>
      <w:tblGrid>
        <w:gridCol w:w="946"/>
        <w:gridCol w:w="109"/>
        <w:gridCol w:w="976"/>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$326,618</w:t>
            </w:r>
          </w:p>
        </w:tc>
      </w:tr>
      <w:tr>
        <w:trPr/>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312,877</w:t>
            </w:r>
          </w:p>
        </w:tc>
      </w:tr>
      <w:tr>
        <w:trPr/>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301,072</w:t>
            </w:r>
          </w:p>
        </w:tc>
      </w:tr>
      <w:tr>
        <w:trPr/>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277,456</w:t>
            </w:r>
          </w:p>
        </w:tc>
      </w:tr>
      <w:tr>
        <w:trPr/>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264,741</w:t>
            </w:r>
          </w:p>
        </w:tc>
      </w:tr>
      <w:tr>
        <w:trPr/>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Thereafter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1,312,151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9. </w:t>
      </w:r>
      <w:r>
        <w:rPr>
          <w:rFonts w:ascii="Times New Roman;serif" w:hAnsi="Times New Roman;serif"/>
          <w:b/>
          <w:i w:val="false"/>
          <w:caps w:val="false"/>
          <w:smallCaps w:val="false"/>
          <w:strike w:val="false"/>
          <w:dstrike w:val="false"/>
          <w:sz w:val="20"/>
          <w:u w:val="none"/>
          <w:effect w:val="none"/>
        </w:rPr>
        <w:t>Property and Equipment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Property and equipment, net consisted of the following at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thousands):</w:t>
      </w:r>
    </w:p>
    <w:tbl>
      <w:tblPr>
        <w:tblW w:w="6061" w:type="dxa"/>
        <w:jc w:val="left"/>
        <w:tblInd w:w="0" w:type="dxa"/>
        <w:tblLayout w:type="fixed"/>
        <w:tblCellMar>
          <w:top w:w="28" w:type="dxa"/>
          <w:left w:w="28" w:type="dxa"/>
          <w:bottom w:w="28" w:type="dxa"/>
          <w:right w:w="28" w:type="dxa"/>
        </w:tblCellMar>
      </w:tblPr>
      <w:tblGrid>
        <w:gridCol w:w="2776"/>
        <w:gridCol w:w="109"/>
        <w:gridCol w:w="976"/>
        <w:gridCol w:w="109"/>
        <w:gridCol w:w="1036"/>
        <w:gridCol w:w="109"/>
        <w:gridCol w:w="946"/>
      </w:tblGrid>
      <w:tr>
        <w:trPr/>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Estimated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Useful Lives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Years)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27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Computer hardware and software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w:t>
            </w:r>
            <w:r>
              <w:rPr>
                <w:caps w:val="false"/>
                <w:smallCaps w:val="false"/>
                <w:sz w:val="24"/>
              </w:rPr>
              <w:t> </w:t>
            </w:r>
            <w:r>
              <w:rPr>
                <w:rFonts w:ascii="Times New Roman;serif" w:hAnsi="Times New Roman;serif"/>
                <w:b w:val="false"/>
                <w:i w:val="false"/>
                <w:caps w:val="false"/>
                <w:smallCaps w:val="false"/>
                <w:sz w:val="20"/>
              </w:rPr>
              <w:t>to </w:t>
            </w:r>
            <w:r>
              <w:rPr>
                <w:rFonts w:ascii="Times New Roman;serif" w:hAnsi="Times New Roman;serif"/>
                <w:b w:val="false"/>
                <w:i w:val="false"/>
                <w:caps w:val="false"/>
                <w:smallCaps w:val="false"/>
                <w:strike w:val="false"/>
                <w:dstrike w:val="false"/>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$1,058,568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$839,250</w:t>
            </w:r>
          </w:p>
        </w:tc>
      </w:tr>
      <w:tr>
        <w:trPr/>
        <w:tc>
          <w:tcPr>
            <w:tcW w:w="27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Card-reading equipment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55,384</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53,820</w:t>
            </w:r>
          </w:p>
        </w:tc>
      </w:tr>
      <w:tr>
        <w:trPr/>
        <w:tc>
          <w:tcPr>
            <w:tcW w:w="27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Furniture, fixtures and vehicles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20,696</w:t>
            </w:r>
          </w:p>
        </w:tc>
      </w:tr>
      <w:tr>
        <w:trPr/>
        <w:tc>
          <w:tcPr>
            <w:tcW w:w="27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Buildings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50</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48,101</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40,242</w:t>
            </w:r>
          </w:p>
        </w:tc>
      </w:tr>
      <w:tr>
        <w:trPr/>
        <w:tc>
          <w:tcPr>
            <w:tcW w:w="27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and equipment,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1,184,356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954,008</w:t>
            </w:r>
          </w:p>
        </w:tc>
      </w:tr>
      <w:tr>
        <w:trPr/>
        <w:tc>
          <w:tcPr>
            <w:tcW w:w="27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(712,046)</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(576,303)</w:t>
            </w:r>
          </w:p>
        </w:tc>
      </w:tr>
      <w:tr>
        <w:trPr/>
        <w:tc>
          <w:tcPr>
            <w:tcW w:w="27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$472,310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$377,705</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Deprec</w:t>
      </w:r>
      <w:r>
        <w:rPr>
          <w:rFonts w:ascii="Times New Roman;serif" w:hAnsi="Times New Roman;serif"/>
          <w:b w:val="false"/>
          <w:i w:val="false"/>
          <w:caps w:val="false"/>
          <w:smallCaps w:val="false"/>
          <w:strike w:val="false"/>
          <w:dstrike w:val="false"/>
          <w:sz w:val="20"/>
          <w:u w:val="none"/>
          <w:effect w:val="none"/>
          <w:shd w:fill="FFFFFF" w:val="clear"/>
        </w:rPr>
        <w:t>iation expense related to property and equipment for the years ended December 31, 2025,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w:t>
      </w:r>
      <w:r>
        <w:rPr>
          <w:rFonts w:ascii="Times New Roman;serif" w:hAnsi="Times New Roman;serif"/>
          <w:b w:val="false"/>
          <w:i w:val="false"/>
          <w:caps w:val="false"/>
          <w:smallCaps w:val="false"/>
          <w:strike w:val="false"/>
          <w:dstrike w:val="false"/>
          <w:sz w:val="20"/>
          <w:u w:val="none"/>
          <w:effect w:val="none"/>
        </w:rPr>
        <w:t>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$131.2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 $120.1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$110.0 million, respectively. Amor</w:t>
      </w:r>
      <w:r>
        <w:rPr>
          <w:rFonts w:ascii="Times New Roman;serif" w:hAnsi="Times New Roman;serif"/>
          <w:b w:val="false"/>
          <w:i w:val="false"/>
          <w:caps w:val="false"/>
          <w:smallCaps w:val="false"/>
          <w:strike w:val="false"/>
          <w:dstrike w:val="false"/>
          <w:sz w:val="20"/>
          <w:u w:val="none"/>
          <w:effect w:val="none"/>
        </w:rPr>
        <w:t>tization expense includes $102.9 million, $78.8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$77.5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capitalized computer software costs for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2023, respectively.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the Company had unamortized computer software costs of $401.0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$315.7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Write-offs of property and equipment were immaterial for each of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10. </w:t>
      </w:r>
      <w:r>
        <w:rPr>
          <w:rFonts w:ascii="Times New Roman;serif" w:hAnsi="Times New Roman;serif"/>
          <w:b/>
          <w:i w:val="false"/>
          <w:caps w:val="false"/>
          <w:smallCaps w:val="false"/>
          <w:strike w:val="false"/>
          <w:dstrike w:val="false"/>
          <w:sz w:val="20"/>
          <w:u w:val="none"/>
          <w:effect w:val="none"/>
        </w:rPr>
        <w:t>Accrued Expenses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Accrued expenses consisted of the following at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thousands):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4646" w:type="dxa"/>
        <w:jc w:val="left"/>
        <w:tblInd w:w="0" w:type="dxa"/>
        <w:tblLayout w:type="fixed"/>
        <w:tblCellMar>
          <w:top w:w="28" w:type="dxa"/>
          <w:left w:w="28" w:type="dxa"/>
          <w:bottom w:w="28" w:type="dxa"/>
          <w:right w:w="28" w:type="dxa"/>
        </w:tblCellMar>
      </w:tblPr>
      <w:tblGrid>
        <w:gridCol w:w="2611"/>
        <w:gridCol w:w="109"/>
        <w:gridCol w:w="886"/>
        <w:gridCol w:w="109"/>
        <w:gridCol w:w="931"/>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26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Accrued bonuses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$21,581</w:t>
            </w:r>
          </w:p>
        </w:tc>
      </w:tr>
      <w:tr>
        <w:trPr/>
        <w:tc>
          <w:tcPr>
            <w:tcW w:w="26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Accrued payroll and severance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69,511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54,493</w:t>
            </w:r>
          </w:p>
        </w:tc>
      </w:tr>
      <w:tr>
        <w:trPr/>
        <w:tc>
          <w:tcPr>
            <w:tcW w:w="26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Accrued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239,496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129,314</w:t>
            </w:r>
          </w:p>
        </w:tc>
      </w:tr>
      <w:tr>
        <w:trPr/>
        <w:tc>
          <w:tcPr>
            <w:tcW w:w="26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Accrued commissions/rebates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155,354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126,932</w:t>
            </w:r>
          </w:p>
        </w:tc>
      </w:tr>
      <w:tr>
        <w:trPr/>
        <w:tc>
          <w:tcPr>
            <w:tcW w:w="26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w:t>
            </w:r>
            <w:r>
              <w:rPr>
                <w:rFonts w:ascii="Times New Roman;serif" w:hAnsi="Times New Roman;serif"/>
                <w:b w:val="false"/>
                <w:i w:val="false"/>
                <w:caps w:val="false"/>
                <w:smallCaps w:val="false"/>
                <w:sz w:val="13"/>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107,087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112,618</w:t>
            </w:r>
          </w:p>
        </w:tc>
      </w:tr>
      <w:tr>
        <w:trPr/>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$606,600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$444,938</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3"/>
          <w:u w:val="none"/>
          <w:effect w:val="none"/>
        </w:rPr>
        <w:t>1</w:t>
      </w:r>
      <w:r>
        <w:rPr>
          <w:rFonts w:ascii="Times New Roman;serif" w:hAnsi="Times New Roman;serif"/>
          <w:b w:val="false"/>
          <w:i w:val="false"/>
          <w:caps w:val="false"/>
          <w:smallCaps w:val="false"/>
          <w:strike w:val="false"/>
          <w:dstrike w:val="false"/>
          <w:sz w:val="20"/>
          <w:u w:val="none"/>
          <w:effect w:val="none"/>
        </w:rPr>
        <w:t>Other accrued expenses include several types of amounts due to our merchants, vendors and other third parties.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11. Debt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Credit Agreement and Securitization Facility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debt instruments at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consist primarily of term notes, revolving lines of credit and a Securitization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Facility as follows (in thousands):</w:t>
      </w:r>
    </w:p>
    <w:tbl>
      <w:tblPr>
        <w:tblW w:w="7466" w:type="dxa"/>
        <w:jc w:val="left"/>
        <w:tblInd w:w="0" w:type="dxa"/>
        <w:tblLayout w:type="fixed"/>
        <w:tblCellMar>
          <w:top w:w="28" w:type="dxa"/>
          <w:left w:w="28" w:type="dxa"/>
          <w:bottom w:w="28" w:type="dxa"/>
          <w:right w:w="28" w:type="dxa"/>
        </w:tblCellMar>
      </w:tblPr>
      <w:tblGrid>
        <w:gridCol w:w="5026"/>
        <w:gridCol w:w="109"/>
        <w:gridCol w:w="1141"/>
        <w:gridCol w:w="109"/>
        <w:gridCol w:w="1081"/>
      </w:tblGrid>
      <w:tr>
        <w:trPr/>
        <w:tc>
          <w:tcPr>
            <w:tcW w:w="5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5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Term Loan A note payable (a), net of discounts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$2,918,787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$3,083,037</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Term Loan B note payable (a), net of discounts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3,934,403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2,327,174</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Revolving line of credit facilities (a)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1,262,000</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obligations (c)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869</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notes payable, credit agreements and other obligations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8,178,687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6,673,080</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Securitization Facility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1,823,000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1,323,000</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$10,001,687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$7,996,080</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Current portion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$3,345,530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$2,769,974</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6,656,157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5,226,106</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$10,001,687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$7,996,080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(a)The Company is party to a $10.15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Credit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Agreement (the "Credit Agreement"), with Bank of America,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N.A., as administrative agent, swing line lender and letter of credit issuer and a syndicate of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institutions (the "Lenders"), which has been amended multiple times. The Credit Agreement provides for senior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secured credit facilities (collectively, the "Credit Facility") consisting of a revolving credit facility in the amount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$2.8 billion, a Term Loan A facility in the amount of $3.3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a Term Loan B facility in the amount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$4.1 billion, consisting of a $3.15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Term Loan B-5 and a $0.9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Term Loan B-6,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31, 2025. The revolving credit facility consists of (a) a revolving A credit facility in the amount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with sublimits for letters of credit and swing line loans and (b) a revolving B facility in the amount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$1.5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with borrowings in U.S. dollars, euros, British pounds, Japanese yen or other currency as agreed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advance and sublimits for swing line loans. The Credit Agreement also includes an accordion feature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borrowing an additional $750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Term Loan A, Term Loan B, revolving A or revolving B facility debt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an unlimited amount when the leverage ratio on a pro-forma basis is less than 3.75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1.00. Proceeds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credit facilities may be used for working capital purposes, acquisitions and other general corporate purposes.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maturity date for the Term Loan A and revolving credit facilities A and B is June 24, 2027. The Term Loan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B-5 has a maturity date of April 30, 2028, and the Term Loan B-6 has a maturity date of November 5, 2032.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May 3, 2023, the Company entered into the thirteenth amendment to the Credit Facility. The amendment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replaced LIBOR on the Term Loan B with the Secured Overnight Financing Rate (SOFR), plus a SOFR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adjustment of 0.10%.</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January 31, 2024, the Company entered into the fourteenth amendment to its Credit Agreement.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amendment a) increased the capacity on the revolving credit facility by $275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b) increased the Term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Loan A commitments by $325 million. The Company used the Term Loan A proceeds to pay down existing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borrowings under the revolving credit facility. As a result, the transaction was leverage neutral and resulted in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$600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increase in the Company’s availability under the revolving credit facility. The interest rates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maturity terms remained consistent with the existing credit facilities.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September 26, 2024, the Company entered into the fifteenth amendment to the Credit Agreement.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amendment a) increased the Term Loan B commitments by $500 million, and b) removed the SOFR adjustment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margin of 0.10%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the calculation of interest on Term Loan B borrowings. The Company used the Term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Loan B proceeds to pay down existing borrowings under the revolving credit facility. The maturity dates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interest rates for the revolving credit facility and Term Loan A commitments were unchanged by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amendment.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February 20, 2025, the Company entered into the sixteenth amendment to the Credit Agreement.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amendment increased the Term Loan B commitments by $750 million. The Company primarily used the Term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Loan B proceeds to pay down existing borrowings under the revolving credit facility. The maturity dates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interest rates for the revolving credit facility, Term Loan A commitments and Term Loan B commitments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were unchanged by this amendment.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November 5, 2025, the Company entered into the seventeenth amendment to the Credit Agreement.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amendment, among other things, (i) increased the aggregate commitments under the revolving credit facility by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new total Revolver B commitments of $1.5 billion, and (ii) added a new seven-year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Term Loan B-6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$900 million. The Company used the Term Loan B-6 and revolving credit facility proceeds to fund the Alpha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acquisition.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on amounts outstanding under the Credit Agreement accrues as follows: For all loans denominated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U.S. dollars with the exception of Term Loan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 borrowings, based on SOFR plus a SOFR adjustment of 0.10%;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all loans denominated in British pounds, based on the SONIA plus a SONIA adjustment of 0.0326%; for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loans denominated in euros, based on the Euro Interbank Offered Rate (EURIBOR); or for all loans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denominated in Japanese yen, at the Tokyo Interbank Offer Rate (TIBOR) plus a margin based on a leverage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ratio (as defined in the agreement); or our option (for U.S. dollar borrowings only), the Base Rate (defined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rate equal to the highest of (a) the Federal Funds Rate plus 0.50%, (b) the prime rate announced by Bank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America, N.A., or (c) SOFR plus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plus a margin based on a leverage ratio). </w:t>
      </w:r>
      <w:r>
        <w:rPr>
          <w:rFonts w:ascii="Times New Roman;serif" w:hAnsi="Times New Roman;serif"/>
          <w:b w:val="false"/>
          <w:i w:val="false"/>
          <w:caps w:val="false"/>
          <w:smallCaps w:val="false"/>
          <w:strike w:val="false"/>
          <w:dstrike w:val="false"/>
          <w:sz w:val="20"/>
          <w:u w:val="none"/>
          <w:effect w:val="none"/>
          <w:shd w:fill="FFFFFF" w:val="clear"/>
        </w:rPr>
        <w:t xml:space="preserve">Interest on Term Loan B-5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and Term Loan B-6 borrowings is based on SOFR plus a margin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of 1.75%. </w:t>
      </w:r>
      <w:r>
        <w:rPr>
          <w:rFonts w:ascii="Times New Roman;serif" w:hAnsi="Times New Roman;serif"/>
          <w:b w:val="false"/>
          <w:i w:val="false"/>
          <w:caps w:val="false"/>
          <w:smallCaps w:val="false"/>
          <w:strike w:val="false"/>
          <w:dstrike w:val="false"/>
          <w:sz w:val="20"/>
          <w:u w:val="none"/>
          <w:effect w:val="none"/>
        </w:rPr>
        <w:t xml:space="preserve">In addition, the Company pays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quarterly commitment fee at a rate per annum ranging from 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0.30%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daily unused portion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credit facility based on a leverage ratio.</w:t>
      </w:r>
    </w:p>
    <w:p>
      <w:pPr>
        <w:pStyle w:val="TextBody"/>
        <w:bidi w:val="0"/>
        <w:spacing w:lineRule="atLeast" w:line="240" w:before="0" w:after="0"/>
        <w:jc w:val="left"/>
        <w:rPr>
          <w:sz w:val="24"/>
        </w:rPr>
      </w:pPr>
      <w:r>
        <w:rPr>
          <w:rFonts w:ascii="Times New Roman;serif" w:hAnsi="Times New Roman;serif"/>
          <w:b w:val="false"/>
          <w:i w:val="false"/>
          <w:caps w:val="false"/>
          <w:smallCaps w:val="false"/>
          <w:strike w:val="false"/>
          <w:dstrike w:val="false"/>
          <w:sz w:val="20"/>
          <w:u w:val="none"/>
          <w:effect w:val="none"/>
        </w:rPr>
        <w:t>The interest rates 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as follows:</w:t>
      </w:r>
      <w:r>
        <w:rPr>
          <w:caps w:val="false"/>
          <w:smallCaps w:val="false"/>
          <w:strike w:val="false"/>
          <w:dstrike w:val="false"/>
          <w:sz w:val="24"/>
          <w:u w:val="none"/>
          <w:effect w:val="none"/>
        </w:rPr>
        <w:t> </w:t>
      </w:r>
    </w:p>
    <w:tbl>
      <w:tblPr>
        <w:tblW w:w="4582" w:type="dxa"/>
        <w:jc w:val="left"/>
        <w:tblInd w:w="0" w:type="dxa"/>
        <w:tblLayout w:type="fixed"/>
        <w:tblCellMar>
          <w:top w:w="28" w:type="dxa"/>
          <w:left w:w="28" w:type="dxa"/>
          <w:bottom w:w="28" w:type="dxa"/>
          <w:right w:w="28" w:type="dxa"/>
        </w:tblCellMar>
      </w:tblPr>
      <w:tblGrid>
        <w:gridCol w:w="3166"/>
        <w:gridCol w:w="631"/>
        <w:gridCol w:w="109"/>
        <w:gridCol w:w="676"/>
      </w:tblGrid>
      <w:tr>
        <w:trPr/>
        <w:tc>
          <w:tcPr>
            <w:tcW w:w="3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Term loan A</w:t>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5.83%</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Term loan B</w:t>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6.11%</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Revolving line of credit A &amp; B (USD)</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5.83%</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Revolving line of credit B (GBP)</w:t>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6.11%</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Unused credit facility fee</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0.25%</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term loans are payable in quarterly installments due on the last business day of each March, June,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September and December with the final principal payment due on the respective maturity date. Borrowings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revolving line of credit are repayable at the maturity of the facility. Borrowings on the domestic swing line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credit are due on demand, and borrowings on the foreign swing lines of credit are due no later than twenty</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business days after such loan is made.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has unamortized debt discounts and debt issuance costs of $26.5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$16.6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related to the term loans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2024, respectively, recorded in notes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payable and other obligations, net of current portion within the Consolidated Balance Sheets.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has unamortized debt issuance costs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$5.6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the revolving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credit facility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2024, respectively, recorded in other assets within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Balance Sheets.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a result of the amortization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debt discounts and debt issuance costs, the effective interest rate incurred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term loans was approximately 5.97%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during 2025. Principal payments of $197.1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made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term loans during 2025.</w:t>
      </w:r>
      <w:r>
        <w:rPr>
          <w:caps w:val="false"/>
          <w:smallCaps w:val="false"/>
          <w:strike w:val="false"/>
          <w:dstrike w:val="false"/>
          <w:sz w:val="24"/>
          <w:u w:val="none"/>
          <w:effect w:val="none"/>
        </w:rPr>
        <w: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(b)The Company, through Corpay Technologies Operating Company, LLC and certain of its other subsidiaries, is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party to a $2.3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receivables purchase agreement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December 31, 2025. There is a program fee equal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SOFR plus 0.91%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the Commercial Paper Rate plus 0.71%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 and SOFR plus 0.10%</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adjustment plus 0.95%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the Commercial Paper Rate plus 0.85%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at December 31, 2024. The program fee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3.73%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plus 0.87%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 and 4.42%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plus 0.94%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December 31, 2024. The unused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facility fee is payable at a rate of between 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0.40%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based on utilization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between 0.30%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0.40%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based on utilization as of December 31, 2024. The Company has unamortized debt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issuance cos</w:t>
      </w:r>
      <w:r>
        <w:rPr>
          <w:rFonts w:ascii="Times New Roman;serif" w:hAnsi="Times New Roman;serif"/>
          <w:b w:val="false"/>
          <w:i w:val="false"/>
          <w:caps w:val="false"/>
          <w:smallCaps w:val="false"/>
          <w:strike w:val="false"/>
          <w:dstrike w:val="false"/>
          <w:sz w:val="20"/>
          <w:u w:val="none"/>
          <w:effect w:val="none"/>
          <w:shd w:fill="FFFFFF" w:val="clear"/>
        </w:rPr>
        <w:t>ts of $5.7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rPr>
        <w:t>and $0.8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the revolving Securitization Facility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2024, respectively, recorded in other assets within the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Balance Sheets.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Securitization Facility provides for certain termination events, which includes nonpayment, upon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occurrence of which the administrator may declare the facility termination date to have occurred, may exercise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enforcement rights with respect to the receivables and may appoint a successor servicer, among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(c)Other obligations includes a credit facility assumed as part of a business acquisition in 2022.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Bridge Term Loan Credit Agreement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23, 2025, in connection with the announced acquisition of Alpha, the Company entered into a bridge term loan credit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agreement with BOFA Securities, Inc., Barclays Bank PLC and JPMorgan Chase Bank, N.A., along with other syndicates,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pursuant to which, among other things, those lenders committed to provide debt financing, consisting of a £1.875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bridge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facility (the “Bridge Facility”), to fund the cash consideration payable pursuant to the acquisition of Alpha and to fund related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costs and expenses should the Company decide to utilize the Bridge Facility for such purposes. The Company did not utilize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Bridge Facility for the financing of the acquisition. The Company incurred approximately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commitment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arrangement fees related to the Bridge Facility during the year ended December 31, 2025, which were classified within interest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 net. The Bridge Facility expired on November 7, 2025.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Debt Covenants and Contractual Maturities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was in compliance with all financial and non-financial covenants at December 31, 2025. The Company has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entered into interest rate swap cash flow contracts with U.S. dollar notional amounts in order to reduce the variability of 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flows in the previously unhedged interest payments associated with $4.5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unspecified variable rate debt. See Note 16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further information.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contractual maturities of the Company’s total notes payable, credit agreements and other obligations at December 31, 2025</w:t>
      </w:r>
      <w:r>
        <w:rPr>
          <w:caps w:val="false"/>
          <w:smallCaps w:val="false"/>
          <w:strike w:val="false"/>
          <w:dstrike w:val="false"/>
          <w:sz w:val="24"/>
          <w:u w:val="none"/>
          <w:effect w:val="none"/>
        </w:rPr>
        <w:t xml:space="preserve"> </w:t>
      </w:r>
    </w:p>
    <w:p>
      <w:pPr>
        <w:pStyle w:val="TextBody"/>
        <w:bidi w:val="0"/>
        <w:spacing w:lineRule="atLeast" w:line="240" w:before="0" w:after="0"/>
        <w:jc w:val="left"/>
        <w:rPr>
          <w:sz w:val="24"/>
        </w:rPr>
      </w:pPr>
      <w:r>
        <w:rPr>
          <w:rFonts w:ascii="Times New Roman;serif" w:hAnsi="Times New Roman;serif"/>
          <w:b w:val="false"/>
          <w:i w:val="false"/>
          <w:caps w:val="false"/>
          <w:smallCaps w:val="false"/>
          <w:strike w:val="false"/>
          <w:dstrike w:val="false"/>
          <w:sz w:val="20"/>
          <w:u w:val="none"/>
          <w:effect w:val="none"/>
        </w:rPr>
        <w:t>were as follows (in thousands):</w:t>
      </w:r>
      <w:r>
        <w:rPr>
          <w:caps w:val="false"/>
          <w:smallCaps w:val="false"/>
          <w:strike w:val="false"/>
          <w:dstrike w:val="false"/>
          <w:sz w:val="24"/>
          <w:u w:val="none"/>
          <w:effect w:val="none"/>
        </w:rPr>
        <w:t> </w:t>
      </w:r>
    </w:p>
    <w:tbl>
      <w:tblPr>
        <w:tblW w:w="5871" w:type="dxa"/>
        <w:jc w:val="left"/>
        <w:tblInd w:w="0" w:type="dxa"/>
        <w:tblLayout w:type="fixed"/>
        <w:tblCellMar>
          <w:top w:w="28" w:type="dxa"/>
          <w:left w:w="28" w:type="dxa"/>
          <w:bottom w:w="28" w:type="dxa"/>
          <w:right w:w="28" w:type="dxa"/>
        </w:tblCellMar>
      </w:tblPr>
      <w:tblGrid>
        <w:gridCol w:w="4681"/>
        <w:gridCol w:w="109"/>
        <w:gridCol w:w="1081"/>
      </w:tblGrid>
      <w:tr>
        <w:trPr/>
        <w:tc>
          <w:tcPr>
            <w:tcW w:w="4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$1,531,637</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2,795,203</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3,005,342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9,000</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Thereafter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855,000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principal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8,205,182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Less: debt discounts and issuance costs included in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(26,495)</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$8,178,687</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12. </w:t>
      </w:r>
      <w:r>
        <w:rPr>
          <w:rFonts w:ascii="Times New Roman;serif" w:hAnsi="Times New Roman;serif"/>
          <w:b/>
          <w:i w:val="false"/>
          <w:caps w:val="false"/>
          <w:smallCaps w:val="false"/>
          <w:strike w:val="false"/>
          <w:dstrike w:val="false"/>
          <w:sz w:val="20"/>
          <w:u w:val="none"/>
          <w:effect w:val="none"/>
        </w:rPr>
        <w:t>Accumulated Other Comprehensive Loss (AOCL)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changes in the components of AOCL, net of tax and noncontrolling interest, for the years ended December 31, 2025, 2024</w:t>
      </w:r>
      <w:r>
        <w:rPr>
          <w:caps w:val="false"/>
          <w:smallCaps w:val="false"/>
          <w:strike w:val="false"/>
          <w:dstrike w:val="false"/>
          <w:sz w:val="24"/>
          <w:u w:val="none"/>
          <w:effect w:val="none"/>
        </w:rPr>
        <w:t xml:space="preserve"> </w:t>
      </w:r>
    </w:p>
    <w:p>
      <w:pPr>
        <w:pStyle w:val="TextBody"/>
        <w:bidi w:val="0"/>
        <w:spacing w:lineRule="atLeast" w:line="240" w:before="0" w:after="0"/>
        <w:jc w:val="left"/>
        <w:rPr>
          <w:sz w:val="24"/>
        </w:rPr>
      </w:pP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as follows (in thousands):</w:t>
      </w:r>
      <w:r>
        <w:rPr>
          <w:caps w:val="false"/>
          <w:smallCaps w:val="false"/>
          <w:strike w:val="false"/>
          <w:dstrike w:val="false"/>
          <w:sz w:val="24"/>
          <w:u w:val="none"/>
          <w:effect w:val="none"/>
        </w:rPr>
        <w:t> </w:t>
      </w:r>
    </w:p>
    <w:tbl>
      <w:tblPr>
        <w:tblW w:w="9410" w:type="dxa"/>
        <w:jc w:val="left"/>
        <w:tblInd w:w="0" w:type="dxa"/>
        <w:tblLayout w:type="fixed"/>
        <w:tblCellMar>
          <w:top w:w="28" w:type="dxa"/>
          <w:left w:w="28" w:type="dxa"/>
          <w:bottom w:w="28" w:type="dxa"/>
          <w:right w:w="28" w:type="dxa"/>
        </w:tblCellMar>
      </w:tblPr>
      <w:tblGrid>
        <w:gridCol w:w="4876"/>
        <w:gridCol w:w="109"/>
        <w:gridCol w:w="1156"/>
        <w:gridCol w:w="109"/>
        <w:gridCol w:w="1276"/>
        <w:gridCol w:w="109"/>
        <w:gridCol w:w="1621"/>
        <w:gridCol w:w="154"/>
      </w:tblGrid>
      <w:tr>
        <w:trPr/>
        <w:tc>
          <w:tcPr>
            <w:tcW w:w="4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985" w:type="dxa"/>
            <w:gridSpan w:val="2"/>
            <w:vMerge w:val="restart"/>
            <w:tcBorders/>
            <w:vAlign w:val="center"/>
          </w:tcPr>
          <w:p>
            <w:pPr>
              <w:pStyle w:val="TableContents"/>
              <w:bidi w:val="0"/>
              <w:spacing w:before="0" w:after="283"/>
              <w:jc w:val="left"/>
              <w:rPr>
                <w:sz w:val="4"/>
                <w:szCs w:val="4"/>
              </w:rPr>
            </w:pPr>
            <w:r>
              <w:rPr>
                <w:sz w:val="4"/>
                <w:szCs w:val="4"/>
              </w:rPr>
            </w:r>
          </w:p>
        </w:tc>
        <w:tc>
          <w:tcPr>
            <w:tcW w:w="1156" w:type="dxa"/>
            <w:vMerge w:val="restart"/>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Cumulative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Foreign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Currency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Translation</w:t>
            </w:r>
          </w:p>
        </w:tc>
        <w:tc>
          <w:tcPr>
            <w:tcW w:w="109" w:type="dxa"/>
            <w:vMerge w:val="restart"/>
            <w:tcBorders/>
            <w:shd w:fill="FFFFFF" w:val="clear"/>
            <w:vAlign w:val="center"/>
          </w:tcPr>
          <w:p>
            <w:pPr>
              <w:pStyle w:val="TableContents"/>
              <w:bidi w:val="0"/>
              <w:spacing w:before="0" w:after="283"/>
              <w:jc w:val="left"/>
              <w:rPr>
                <w:sz w:val="4"/>
                <w:szCs w:val="4"/>
              </w:rPr>
            </w:pPr>
            <w:r>
              <w:rPr>
                <w:sz w:val="4"/>
                <w:szCs w:val="4"/>
              </w:rPr>
            </w:r>
          </w:p>
        </w:tc>
        <w:tc>
          <w:tcPr>
            <w:tcW w:w="1276" w:type="dxa"/>
            <w:vMerge w:val="restart"/>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Unrealized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(Losses) Gains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on Derivative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Instruments</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1621" w:type="dxa"/>
            <w:vMerge w:val="restart"/>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Total Accumulated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Other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Comprehensive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(Loss) Income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Attributable to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Corpay</w:t>
            </w:r>
          </w:p>
        </w:tc>
        <w:tc>
          <w:tcPr>
            <w:tcW w:w="154" w:type="dxa"/>
            <w:tcBorders/>
          </w:tcPr>
          <w:p>
            <w:pPr>
              <w:pStyle w:val="TableContents"/>
              <w:bidi w:val="0"/>
              <w:spacing w:before="0" w:after="283"/>
              <w:jc w:val="left"/>
              <w:rPr>
                <w:sz w:val="4"/>
                <w:szCs w:val="4"/>
              </w:rPr>
            </w:pPr>
            <w:r>
              <w:rPr>
                <w:sz w:val="4"/>
                <w:szCs w:val="4"/>
              </w:rPr>
            </w:r>
          </w:p>
        </w:tc>
      </w:tr>
      <w:tr>
        <w:trPr/>
        <w:tc>
          <w:tcPr>
            <w:tcW w:w="4985" w:type="dxa"/>
            <w:gridSpan w:val="2"/>
            <w:vMerge w:val="continue"/>
            <w:tcBorders/>
            <w:vAlign w:val="center"/>
          </w:tcPr>
          <w:p>
            <w:pPr>
              <w:pStyle w:val="Normal"/>
              <w:bidi w:val="0"/>
              <w:jc w:val="left"/>
              <w:rPr/>
            </w:pPr>
            <w:r>
              <w:rPr/>
            </w:r>
          </w:p>
        </w:tc>
        <w:tc>
          <w:tcPr>
            <w:tcW w:w="1156" w:type="dxa"/>
            <w:vMerge w:val="continue"/>
            <w:tcBorders/>
            <w:shd w:fill="FFFFFF" w:val="clear"/>
            <w:vAlign w:val="center"/>
          </w:tcPr>
          <w:p>
            <w:pPr>
              <w:pStyle w:val="Normal"/>
              <w:bidi w:val="0"/>
              <w:jc w:val="left"/>
              <w:rPr/>
            </w:pPr>
            <w:r>
              <w:rPr/>
            </w:r>
          </w:p>
        </w:tc>
        <w:tc>
          <w:tcPr>
            <w:tcW w:w="109" w:type="dxa"/>
            <w:vMerge w:val="continue"/>
            <w:tcBorders>
              <w:bottom w:val="single" w:sz="8" w:space="0" w:color="000000"/>
            </w:tcBorders>
            <w:shd w:fill="FFFFFF" w:val="clear"/>
            <w:tcMar>
              <w:top w:w="0" w:type="dxa"/>
              <w:left w:w="0" w:type="dxa"/>
              <w:right w:w="0" w:type="dxa"/>
            </w:tcMar>
            <w:vAlign w:val="center"/>
          </w:tcPr>
          <w:p>
            <w:pPr>
              <w:pStyle w:val="Normal"/>
              <w:bidi w:val="0"/>
              <w:jc w:val="left"/>
              <w:rPr/>
            </w:pPr>
            <w:r>
              <w:rPr/>
            </w:r>
          </w:p>
        </w:tc>
        <w:tc>
          <w:tcPr>
            <w:tcW w:w="1276" w:type="dxa"/>
            <w:vMerge w:val="continue"/>
            <w:tcBorders/>
            <w:vAlign w:val="center"/>
          </w:tcPr>
          <w:p>
            <w:pPr>
              <w:pStyle w:val="Normal"/>
              <w:bidi w:val="0"/>
              <w:jc w:val="left"/>
              <w:rPr/>
            </w:pPr>
            <w:r>
              <w:rPr/>
            </w:r>
          </w:p>
        </w:tc>
        <w:tc>
          <w:tcPr>
            <w:tcW w:w="109"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62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at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$(1,518,640)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$(1,509,650)</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 (loss) before reclassifications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140,089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125,105</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Amounts reclassified from AOCL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80,868</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 effect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14,578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14,578</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 (loss),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260,358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(39,807)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220,551</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at December 31,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(1,258,282)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(1,289,099)</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(loss) income before reclassifications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(490,758)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(358,318)</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Amounts reclassified from AOCL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(46,276)</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 effect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(20,303)</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(loss) income, net of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(490,758)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65,861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(424,897)</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at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(1,749,040)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35,044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(1,713,996)</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 (loss) before reclassifications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453,459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(166,975)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286,484</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Amounts reclassified from AOCL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(13,225)</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 effect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48,583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48,583</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 (loss),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453,459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(131,617)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321,842</w:t>
            </w:r>
          </w:p>
        </w:tc>
        <w:tc>
          <w:tcPr>
            <w:tcW w:w="154" w:type="dxa"/>
            <w:tcBorders/>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at 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$(1,295,581)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$(96,573)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$(1,392,154)</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Amounts reclassified from AOCL that relate to foreign currency translation during the year ended December 31, 2023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to the Company's Russia business disposed of during the third quarter of 2023. See Note 19 for further information.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Income tax effects are released from accumulated other comprehensive loss to retained earnings, when applicable, on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individual item basis as those items are reclassified into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comprehensive loss attributable to the Company's noncontrolling interest, which are not included in the table above,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years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foreign currency translation gains of $7.7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losses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$5.8 million, respectively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13. Income Taxes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Income before the p</w:t>
      </w:r>
      <w:r>
        <w:rPr>
          <w:rFonts w:ascii="Times New Roman;serif" w:hAnsi="Times New Roman;serif"/>
          <w:b w:val="false"/>
          <w:i w:val="false"/>
          <w:caps w:val="false"/>
          <w:smallCaps w:val="false"/>
          <w:strike w:val="false"/>
          <w:dstrike w:val="false"/>
          <w:sz w:val="20"/>
          <w:u w:val="none"/>
          <w:effect w:val="none"/>
        </w:rPr>
        <w:t>rovision for income taxes is attributable to the following jurisdictions for years ended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thousands):</w:t>
      </w:r>
    </w:p>
    <w:tbl>
      <w:tblPr>
        <w:tblW w:w="4681" w:type="dxa"/>
        <w:jc w:val="left"/>
        <w:tblInd w:w="0" w:type="dxa"/>
        <w:tblLayout w:type="fixed"/>
        <w:tblCellMar>
          <w:top w:w="28" w:type="dxa"/>
          <w:left w:w="28" w:type="dxa"/>
          <w:bottom w:w="28" w:type="dxa"/>
          <w:right w:w="28" w:type="dxa"/>
        </w:tblCellMar>
      </w:tblPr>
      <w:tblGrid>
        <w:gridCol w:w="1201"/>
        <w:gridCol w:w="109"/>
        <w:gridCol w:w="1036"/>
        <w:gridCol w:w="109"/>
        <w:gridCol w:w="1036"/>
        <w:gridCol w:w="109"/>
        <w:gridCol w:w="1081"/>
      </w:tblGrid>
      <w:tr>
        <w:trPr/>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1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$289,052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$278,330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$322,856</w:t>
            </w:r>
          </w:p>
        </w:tc>
      </w:tr>
      <w:tr>
        <w:trPr/>
        <w:tc>
          <w:tcPr>
            <w:tcW w:w="1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1,252,627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1,106,783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1,002,149</w:t>
            </w:r>
          </w:p>
        </w:tc>
      </w:tr>
      <w:tr>
        <w:trPr/>
        <w:tc>
          <w:tcPr>
            <w:tcW w:w="1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$1,541,679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$1,385,113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$1,325,005</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provision for income taxes for the years ended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consists of the following (in thousands):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4411" w:type="dxa"/>
        <w:jc w:val="left"/>
        <w:tblInd w:w="0" w:type="dxa"/>
        <w:tblLayout w:type="fixed"/>
        <w:tblCellMar>
          <w:top w:w="28" w:type="dxa"/>
          <w:left w:w="28" w:type="dxa"/>
          <w:bottom w:w="28" w:type="dxa"/>
          <w:right w:w="28" w:type="dxa"/>
        </w:tblCellMar>
      </w:tblPr>
      <w:tblGrid>
        <w:gridCol w:w="1381"/>
        <w:gridCol w:w="109"/>
        <w:gridCol w:w="886"/>
        <w:gridCol w:w="109"/>
        <w:gridCol w:w="886"/>
        <w:gridCol w:w="109"/>
        <w:gridCol w:w="931"/>
      </w:tblGrid>
      <w:tr>
        <w:trPr/>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13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Federal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$102,328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$168,982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$155,647</w:t>
            </w:r>
          </w:p>
        </w:tc>
      </w:tr>
      <w:tr>
        <w:trPr/>
        <w:tc>
          <w:tcPr>
            <w:tcW w:w="13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25,614</w:t>
            </w:r>
          </w:p>
        </w:tc>
      </w:tr>
      <w:tr>
        <w:trPr/>
        <w:tc>
          <w:tcPr>
            <w:tcW w:w="13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373,062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269,588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208,532</w:t>
            </w:r>
          </w:p>
        </w:tc>
      </w:tr>
      <w:tr>
        <w:trPr/>
        <w:tc>
          <w:tcPr>
            <w:tcW w:w="13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497,635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446,098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389,793</w:t>
            </w:r>
          </w:p>
        </w:tc>
      </w:tr>
      <w:tr>
        <w:trPr/>
        <w:tc>
          <w:tcPr>
            <w:tcW w:w="13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13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Federal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(40,323)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(46,676)</w:t>
            </w:r>
          </w:p>
        </w:tc>
      </w:tr>
      <w:tr>
        <w:trPr/>
        <w:tc>
          <w:tcPr>
            <w:tcW w:w="13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(19,080)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(8,088)</w:t>
            </w:r>
          </w:p>
        </w:tc>
      </w:tr>
      <w:tr>
        <w:trPr/>
        <w:tc>
          <w:tcPr>
            <w:tcW w:w="13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8,086</w:t>
            </w:r>
          </w:p>
        </w:tc>
      </w:tr>
      <w:tr>
        <w:trPr/>
        <w:tc>
          <w:tcPr>
            <w:tcW w:w="13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deferred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(27,904)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(64,717)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(46,678)</w:t>
            </w:r>
          </w:p>
        </w:tc>
      </w:tr>
      <w:tr>
        <w:trPr/>
        <w:tc>
          <w:tcPr>
            <w:tcW w:w="13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$469,731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$381,381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$343,115</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year ended December 31, 2025, the Company adopted ASU 2023-09 on a prospective basis. In preparing the tabular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 reconciliation, the Company presented the effects of cross-border tax laws net of U.S. tax credits. The tax effects for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jurisdictions of changes in judgment related to tax positions taken in prior annual reporting periods, and associated interest,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reported in the changes in unrecognized tax benefits category.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provision for income taxes differs from amounts computed by applying the U.S. federal statutory rate of 21%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before income taxes for the year ended December 31, 2025, in accordance with guidance after the adoption of ASU 2023-09,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due to the following (in thousands, except percentages*):</w:t>
      </w:r>
    </w:p>
    <w:tbl>
      <w:tblPr>
        <w:tblW w:w="6806" w:type="dxa"/>
        <w:jc w:val="left"/>
        <w:tblInd w:w="0" w:type="dxa"/>
        <w:tblLayout w:type="fixed"/>
        <w:tblCellMar>
          <w:top w:w="28" w:type="dxa"/>
          <w:left w:w="28" w:type="dxa"/>
          <w:bottom w:w="28" w:type="dxa"/>
          <w:right w:w="28" w:type="dxa"/>
        </w:tblCellMar>
      </w:tblPr>
      <w:tblGrid>
        <w:gridCol w:w="5026"/>
        <w:gridCol w:w="109"/>
        <w:gridCol w:w="886"/>
        <w:gridCol w:w="109"/>
        <w:gridCol w:w="676"/>
      </w:tblGrid>
      <w:tr>
        <w:trPr/>
        <w:tc>
          <w:tcPr>
            <w:tcW w:w="5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5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federal tax at statutory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$323,753</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and local income taxes, net of federal income tax effect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tax effects: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(loss) on sale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Brazil: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Statutory tax rate difference between Brazil and U.S.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47,143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Withholding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(24,700)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Canada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foreign jurisdictions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cross-border tax laws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in unrecognized tax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19,776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r>
      <w:tr>
        <w:trPr/>
        <w:tc>
          <w:tcPr>
            <w:tcW w:w="5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5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Effective tax rate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$469,731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30.5%</w:t>
            </w:r>
          </w:p>
        </w:tc>
      </w:tr>
      <w:tr>
        <w:trPr/>
        <w:tc>
          <w:tcPr>
            <w:tcW w:w="5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*Columns may not calculate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provision for income taxes differs from amounts computed by applying the U.S. federal tax rate of 21%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both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2023, to income before income taxes for the years ended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2023, in accordance with guidance prior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adoption of ASU 2023-09, due to the following (in thousands, except percentages):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6456" w:type="dxa"/>
        <w:jc w:val="left"/>
        <w:tblInd w:w="0" w:type="dxa"/>
        <w:tblLayout w:type="fixed"/>
        <w:tblCellMar>
          <w:top w:w="28" w:type="dxa"/>
          <w:left w:w="28" w:type="dxa"/>
          <w:bottom w:w="28" w:type="dxa"/>
          <w:right w:w="28" w:type="dxa"/>
        </w:tblCellMar>
      </w:tblPr>
      <w:tblGrid>
        <w:gridCol w:w="2941"/>
        <w:gridCol w:w="109"/>
        <w:gridCol w:w="886"/>
        <w:gridCol w:w="109"/>
        <w:gridCol w:w="631"/>
        <w:gridCol w:w="109"/>
        <w:gridCol w:w="886"/>
        <w:gridCol w:w="109"/>
        <w:gridCol w:w="676"/>
      </w:tblGrid>
      <w:tr>
        <w:trPr/>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67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Computed “expected” tax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$290,877</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$278,251</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Changes resulting from:</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in valuation allowance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(64,289)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22,447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tax credits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income tax differential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31,743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 taxes net of federal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Increase in tax expense due to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uncertain tax positions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withholding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30,785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Sub-part F Income/GILTI</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87,252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94,594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Brazil tourism tax benefit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on net equity deduction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Impairment of 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$381,381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$343,115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w:t>
            </w:r>
          </w:p>
        </w:tc>
      </w:tr>
      <w:tr>
        <w:trPr/>
        <w:tc>
          <w:tcPr>
            <w:tcW w:w="29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More than half of the Company's state tax expense derive from the following states (from largest composition to least):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California, Virginia, Minnesota, Pennsylvania, Tennessee, Illinois.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tax effects of temporary differences that give rise to significant portions of the deferred tax assets and liabilities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as follows (in thousands*):</w:t>
      </w:r>
    </w:p>
    <w:tbl>
      <w:tblPr>
        <w:tblW w:w="9298" w:type="dxa"/>
        <w:jc w:val="left"/>
        <w:tblInd w:w="0" w:type="dxa"/>
        <w:tblLayout w:type="fixed"/>
        <w:tblCellMar>
          <w:top w:w="28" w:type="dxa"/>
          <w:left w:w="28" w:type="dxa"/>
          <w:bottom w:w="28" w:type="dxa"/>
          <w:right w:w="28" w:type="dxa"/>
        </w:tblCellMar>
      </w:tblPr>
      <w:tblGrid>
        <w:gridCol w:w="6677"/>
        <w:gridCol w:w="125"/>
        <w:gridCol w:w="1160"/>
        <w:gridCol w:w="125"/>
        <w:gridCol w:w="1211"/>
      </w:tblGrid>
      <w:tr>
        <w:trPr/>
        <w:tc>
          <w:tcPr>
            <w:tcW w:w="66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66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5" w:type="dxa"/>
            <w:tcBorders/>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assets: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Accounts receivable, principally due to the allowance for credit losses</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$34,419</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$16,756</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Accrued expenses not currently deductible for tax</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20,552</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13,263</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Lease deferral</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15,108</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15,423</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rate swap</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39,895</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29,300</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29,425</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operating loss carry forwards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174,478</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159,603</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Accrued escheat</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3,656</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3,897</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163(j) interest limitation</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139,056</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88,139</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28,579</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22,665</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assets before valuation allowance</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485,042</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349,171</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Valuation allowance</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(127,150)</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(113,223)</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assets, net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357,892</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235,948</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liabilities:</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Intangibles—including goodwill</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(849,943)</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(548,802)</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Basis difference in investment in subsidiaries</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(43,815)</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(42,206)</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rate swap</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(8,695)</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Lease deferral</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(13,507)</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(13,536)</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Accrued expense liability</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(722)</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(690)</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Withholding taxes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(7,837)</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(18,472)</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Property and equipment and other</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(51,130)</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(38,646)</w:t>
            </w:r>
          </w:p>
        </w:tc>
      </w:tr>
      <w:tr>
        <w:trPr/>
        <w:tc>
          <w:tcPr>
            <w:tcW w:w="66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liabilities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(967,584)</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(672,251)</w:t>
            </w:r>
          </w:p>
        </w:tc>
      </w:tr>
      <w:tr>
        <w:trPr/>
        <w:tc>
          <w:tcPr>
            <w:tcW w:w="66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deferred tax liabilities</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$(609,692)</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$(436,303)</w:t>
            </w:r>
          </w:p>
        </w:tc>
      </w:tr>
      <w:tr>
        <w:trPr/>
        <w:tc>
          <w:tcPr>
            <w:tcW w:w="6677" w:type="dxa"/>
            <w:tcBorders/>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8" w:type="dxa"/>
            <w:gridSpan w:val="5"/>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*Columns may not calculate due to rounding. Disclosure has been conformed in all periods to align with current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presentation.</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deferred tax balances are classified in its balance sheets as of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follows (in thousands):</w:t>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5981" w:type="dxa"/>
        <w:jc w:val="left"/>
        <w:tblInd w:w="0" w:type="dxa"/>
        <w:tblLayout w:type="fixed"/>
        <w:tblCellMar>
          <w:top w:w="28" w:type="dxa"/>
          <w:left w:w="28" w:type="dxa"/>
          <w:bottom w:w="28" w:type="dxa"/>
          <w:right w:w="28" w:type="dxa"/>
        </w:tblCellMar>
      </w:tblPr>
      <w:tblGrid>
        <w:gridCol w:w="3706"/>
        <w:gridCol w:w="109"/>
        <w:gridCol w:w="1006"/>
        <w:gridCol w:w="109"/>
        <w:gridCol w:w="1051"/>
      </w:tblGrid>
      <w:tr>
        <w:trPr/>
        <w:tc>
          <w:tcPr>
            <w:tcW w:w="3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3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 term deferred tax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 term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$4,653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$2,873</w:t>
            </w:r>
          </w:p>
        </w:tc>
      </w:tr>
      <w:tr>
        <w:trPr/>
        <w:tc>
          <w:tcPr>
            <w:tcW w:w="3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 term deferred tax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(614,345)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(439,176)</w:t>
            </w:r>
          </w:p>
        </w:tc>
      </w:tr>
      <w:tr>
        <w:trPr/>
        <w:tc>
          <w:tcPr>
            <w:tcW w:w="37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deferred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$(609,692)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$(436,303)</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valuation allowances relate to foreign net operating loss carryforwards, state net operating loss carryforwards and state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163(j) limitations on business interest carryforward. The net change in the total valuation allowance for the year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 was an increase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$13.9 million. The valuation allowance increase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primarily due to an increase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net operating losses where significant negative evidence on future utilization was considered.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the Company had a net operating loss carryforward for state income tax purposes of approximately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$57.9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that is available to offset future state tax expense, either indefinitely or in some cases subject to expiration in 15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or 20 years. Additionally, the Company had $116.5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net op</w:t>
      </w:r>
      <w:r>
        <w:rPr>
          <w:rFonts w:ascii="Times New Roman;serif" w:hAnsi="Times New Roman;serif"/>
          <w:b w:val="false"/>
          <w:i w:val="false"/>
          <w:caps w:val="false"/>
          <w:smallCaps w:val="false"/>
          <w:strike w:val="false"/>
          <w:dstrike w:val="false"/>
          <w:sz w:val="20"/>
          <w:u w:val="none"/>
          <w:effect w:val="none"/>
          <w:shd w:fill="FFFFFF" w:val="clear"/>
        </w:rPr>
        <w:t xml:space="preserve">erating loss carryforwards for foreign income tax purposes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that are available to offset future foreign tax expense. M</w:t>
      </w:r>
      <w:r>
        <w:rPr>
          <w:rFonts w:ascii="Times New Roman;serif" w:hAnsi="Times New Roman;serif"/>
          <w:b w:val="false"/>
          <w:i w:val="false"/>
          <w:caps w:val="false"/>
          <w:smallCaps w:val="false"/>
          <w:strike w:val="false"/>
          <w:dstrike w:val="false"/>
          <w:sz w:val="20"/>
          <w:u w:val="none"/>
          <w:effect w:val="none"/>
        </w:rPr>
        <w:t xml:space="preserve">ost foreign net operating loss carryforwards will not expire in future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years. The Company has provided a valuation allowance against $113.0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its deferred tax asset related to the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operating losses as it does not anticipate utilizing the losses in the foreseeable future.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During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2024, the Company had recorded accrued interest and penalties related to the unrecogniz</w:t>
      </w:r>
      <w:r>
        <w:rPr>
          <w:rFonts w:ascii="Times New Roman;serif" w:hAnsi="Times New Roman;serif"/>
          <w:b w:val="false"/>
          <w:i w:val="false"/>
          <w:caps w:val="false"/>
          <w:smallCaps w:val="false"/>
          <w:strike w:val="false"/>
          <w:dstrike w:val="false"/>
          <w:sz w:val="20"/>
          <w:u w:val="none"/>
          <w:effect w:val="none"/>
        </w:rPr>
        <w:t xml:space="preserve">ed tax benefits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w:t>
      </w:r>
      <w:r>
        <w:rPr>
          <w:rFonts w:ascii="Times New Roman;serif" w:hAnsi="Times New Roman;serif"/>
          <w:b w:val="false"/>
          <w:i w:val="false"/>
          <w:caps w:val="false"/>
          <w:smallCaps w:val="false"/>
          <w:strike w:val="false"/>
          <w:dstrike w:val="false"/>
          <w:sz w:val="20"/>
          <w:u w:val="none"/>
          <w:effect w:val="none"/>
          <w:shd w:fill="FFFFFF" w:val="clear"/>
        </w:rPr>
        <w:t>nd $6.1 million, respectively. Accumulated interest and pe</w:t>
      </w:r>
      <w:r>
        <w:rPr>
          <w:rFonts w:ascii="Times New Roman;serif" w:hAnsi="Times New Roman;serif"/>
          <w:b w:val="false"/>
          <w:i w:val="false"/>
          <w:caps w:val="false"/>
          <w:smallCaps w:val="false"/>
          <w:strike w:val="false"/>
          <w:dstrike w:val="false"/>
          <w:sz w:val="20"/>
          <w:u w:val="none"/>
          <w:effect w:val="none"/>
        </w:rPr>
        <w:t>nalties were $44.7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$36.8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Consolidated Balance Sheets at December 31,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2024, respectively. In accordance with the Company's accounting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policy, interest and penalties related to unrecognized tax benefits are included as a component of income tax 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 reconciliation of the beginning and ending balances of the total amounts of gross unrecognized tax benefits excluding interest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and penalties for the years ended December 31, 2025,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2023</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is as follows (in thousands):</w:t>
      </w:r>
    </w:p>
    <w:tbl>
      <w:tblPr>
        <w:tblW w:w="7056" w:type="dxa"/>
        <w:jc w:val="left"/>
        <w:tblInd w:w="0" w:type="dxa"/>
        <w:tblLayout w:type="fixed"/>
        <w:tblCellMar>
          <w:top w:w="28" w:type="dxa"/>
          <w:left w:w="28" w:type="dxa"/>
          <w:bottom w:w="28" w:type="dxa"/>
          <w:right w:w="28" w:type="dxa"/>
        </w:tblCellMar>
      </w:tblPr>
      <w:tblGrid>
        <w:gridCol w:w="6016"/>
        <w:gridCol w:w="109"/>
        <w:gridCol w:w="931"/>
      </w:tblGrid>
      <w:tr>
        <w:trPr/>
        <w:tc>
          <w:tcPr>
            <w:tcW w:w="6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Unrecognized tax benefits at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$60,669</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Additions based on tax positions related to the current year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8,821</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Additions based on tax positions related to the prior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(1,913)</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Deductions based on settlement of prior year tax positions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Addition for cumulative federal benefit of state tax deductions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(4,235)</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due to OCI</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Unrecognized tax benefits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63,106</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Additions based on tax provisions related to the current year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21,689</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Deductions based on tax positions related to the prior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14,206</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Deductions based on settlements of prior year tax positions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Deductions based on expiration of prior year tax positions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(3,362)</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due to OCI</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Unrecognized tax benefits at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95,460</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Additions based on tax provisions related to the current year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40,799</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Additions and deductions based on tax positions related to the prior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9,846</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Deductions based on expiration of prior year tax positions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(11,187)</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due to OCI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Unrecognized tax benefits at 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$134,919</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the Company had total unrecognized tax benefits of $134.9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all of which, if recognized,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would affect its effective tax rate. It is not anticipated that there are any unrecognized tax benefits that will significantly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increase or decrease within the next twelve months.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files numerous consolidated and separate income tax returns in the U.S. federal jurisdiction and various state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jurisdictions. The statute of limitations for the Company’s U.S. federal income tax returns has expired for years prior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2016. With few exceptions, the Company is no longer subject to U.S. federal, state and local, or non-U.S. income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examinations by tax authorities for years before 2016.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cash paid (refunds received) for income taxes in accordance with ASU 2023-09 consisted of the following for the year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thousands):</w:t>
      </w:r>
    </w:p>
    <w:tbl>
      <w:tblPr>
        <w:tblW w:w="5136" w:type="dxa"/>
        <w:jc w:val="left"/>
        <w:tblInd w:w="0" w:type="dxa"/>
        <w:tblLayout w:type="fixed"/>
        <w:tblCellMar>
          <w:top w:w="28" w:type="dxa"/>
          <w:left w:w="28" w:type="dxa"/>
          <w:bottom w:w="28" w:type="dxa"/>
          <w:right w:w="28" w:type="dxa"/>
        </w:tblCellMar>
      </w:tblPr>
      <w:tblGrid>
        <w:gridCol w:w="4096"/>
        <w:gridCol w:w="109"/>
        <w:gridCol w:w="931"/>
      </w:tblGrid>
      <w:tr>
        <w:trPr/>
        <w:tc>
          <w:tcPr>
            <w:tcW w:w="4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4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$180,393</w:t>
            </w:r>
          </w:p>
        </w:tc>
      </w:tr>
      <w:tr>
        <w:trPr/>
        <w:tc>
          <w:tcPr>
            <w:tcW w:w="4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Aggregated state and local jurisdictions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27,971</w:t>
            </w:r>
          </w:p>
        </w:tc>
      </w:tr>
      <w:tr>
        <w:trPr/>
        <w:tc>
          <w:tcPr>
            <w:tcW w:w="4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302,369</w:t>
            </w:r>
          </w:p>
        </w:tc>
      </w:tr>
      <w:tr>
        <w:trPr/>
        <w:tc>
          <w:tcPr>
            <w:tcW w:w="4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paid (refunds received) for income taxes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$510,733</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Income taxes paid (net of refunds) exceeded 5 percent of total income taxes paid (net of refunds) in accordance with ASU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2023-09 in the following jurisdictions for the year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thousands):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w:t>
      </w:r>
    </w:p>
    <w:tbl>
      <w:tblPr>
        <w:tblW w:w="2526" w:type="dxa"/>
        <w:jc w:val="left"/>
        <w:tblInd w:w="0" w:type="dxa"/>
        <w:tblLayout w:type="fixed"/>
        <w:tblCellMar>
          <w:top w:w="28" w:type="dxa"/>
          <w:left w:w="28" w:type="dxa"/>
          <w:bottom w:w="28" w:type="dxa"/>
          <w:right w:w="28" w:type="dxa"/>
        </w:tblCellMar>
      </w:tblPr>
      <w:tblGrid>
        <w:gridCol w:w="1486"/>
        <w:gridCol w:w="109"/>
        <w:gridCol w:w="931"/>
      </w:tblGrid>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14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$180,393</w:t>
            </w:r>
          </w:p>
        </w:tc>
      </w:tr>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14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Foreign: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36,947</w:t>
            </w:r>
          </w:p>
        </w:tc>
      </w:tr>
      <w:tr>
        <w:trPr/>
        <w:tc>
          <w:tcPr>
            <w:tcW w:w="14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Brazil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75,642</w:t>
            </w:r>
          </w:p>
        </w:tc>
      </w:tr>
      <w:tr>
        <w:trPr/>
        <w:tc>
          <w:tcPr>
            <w:tcW w:w="14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Canada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39,742</w:t>
            </w:r>
          </w:p>
        </w:tc>
      </w:tr>
      <w:tr>
        <w:trPr/>
        <w:tc>
          <w:tcPr>
            <w:tcW w:w="14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Kingdom</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$96,054</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determined that outside basis differences associated with our investments in foreign subsidiaries would not result in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material deferred tax liability, and, consistent with our assertion that these amounts continue to be indefinitely invested,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not recorded incremental income taxes for the additional outside basis differences.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Organization for Economic Co-operation and Development (OECD), continues to put forth various initiatives,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Pillar Two rules which introduce a global minimum tax at a rate of 15%. European Union member states agreed to implement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OECD’s Pillar Two rules with effective dates of January 1, 2024 and January 1, 2025 for different aspects of the directive,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most have already enacted legislation. A number of other countries are also implementing similar legislation.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31, 2025, based on the countries in which we do business that have enacted legislation effective January 1, 2024,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impact of these rules to our financial statements was not material. This may change as other countries enact similar legislation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further guidance is released. The Company continues to closely monitor regulatory developments to assess potential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14. </w:t>
      </w:r>
      <w:r>
        <w:rPr>
          <w:rFonts w:ascii="Times New Roman;serif" w:hAnsi="Times New Roman;serif"/>
          <w:b/>
          <w:i w:val="false"/>
          <w:caps w:val="false"/>
          <w:smallCaps w:val="false"/>
          <w:strike w:val="false"/>
          <w:dstrike w:val="false"/>
          <w:sz w:val="20"/>
          <w:u w:val="none"/>
          <w:effect w:val="none"/>
        </w:rPr>
        <w:t>Leases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primarily leases office space, data centers, vehicles and equipment. Some of the Company's leases contain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variable lease payments, typically payments based on an index. The Company’s leases have remaining lease terms of one year</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thirty years, some of which include options to extend from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more. The exercise of lease renewal options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typically at the Company's sole discretion; therefore, the majority of renewals to extend the lease terms are not reasonably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to exercise and are not included in Right of Use (ROU) assets and lease liabilities. Variable lease payments based on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index or rate are initially measured using the index or rate in effect at lease commencement. Additional payments based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change in an index or rate are recorded as a period expense when incurred. Lease modifications result in remeasurement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 liability as of the modification 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assets include ROU assets, other current liabilities include short-term operating lease liabilities and other non-current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liabilities include long-term lease liabilities 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follows (in thousands): </w:t>
      </w:r>
    </w:p>
    <w:tbl>
      <w:tblPr>
        <w:tblW w:w="4061" w:type="dxa"/>
        <w:jc w:val="left"/>
        <w:tblInd w:w="0" w:type="dxa"/>
        <w:tblLayout w:type="fixed"/>
        <w:tblCellMar>
          <w:top w:w="28" w:type="dxa"/>
          <w:left w:w="28" w:type="dxa"/>
          <w:bottom w:w="28" w:type="dxa"/>
          <w:right w:w="28" w:type="dxa"/>
        </w:tblCellMar>
      </w:tblPr>
      <w:tblGrid>
        <w:gridCol w:w="2236"/>
        <w:gridCol w:w="109"/>
        <w:gridCol w:w="781"/>
        <w:gridCol w:w="109"/>
        <w:gridCol w:w="826"/>
      </w:tblGrid>
      <w:tr>
        <w:trPr/>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ROU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$77,998</w:t>
            </w:r>
          </w:p>
        </w:tc>
      </w:tr>
      <w:tr>
        <w:trPr/>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Short term lease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$29,237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$24,340</w:t>
            </w:r>
          </w:p>
        </w:tc>
      </w:tr>
      <w:tr>
        <w:trPr/>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 term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$85,288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$64,718</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does not recognize ROU assets and lease liabilities for short-term leases that have a term of twelve months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less. The effect of short-term leases were not material to the ROU assets and lease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ASC 842, the Company discounts future lease obligations by the rate implicit in the contract, unless the rate cannot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readily determined. As most of our leases do not provide an implicit rate, the Company uses its incremental borrowing 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based on the information available at the lease commencement date in determining the present value of the lease payments.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determining the borrowing rate, the Company considers the applicable lease terms, the Company's cost of borrowing and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leases denominated in a foreign currency, the collateralized borrowing rate that the Company would obtain to borrow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same currency in which the lease is denominated.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Total lease costs for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were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$28.0 million, $26.9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$29.7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 Variable lease costs and short-term lease costs were immaterial for all periods presented.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supplementary cash and non-cash disclosures for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are as follows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thousands):</w:t>
      </w:r>
    </w:p>
    <w:tbl>
      <w:tblPr>
        <w:tblW w:w="8491" w:type="dxa"/>
        <w:jc w:val="left"/>
        <w:tblInd w:w="0" w:type="dxa"/>
        <w:tblLayout w:type="fixed"/>
        <w:tblCellMar>
          <w:top w:w="28" w:type="dxa"/>
          <w:left w:w="28" w:type="dxa"/>
          <w:bottom w:w="28" w:type="dxa"/>
          <w:right w:w="28" w:type="dxa"/>
        </w:tblCellMar>
      </w:tblPr>
      <w:tblGrid>
        <w:gridCol w:w="5776"/>
        <w:gridCol w:w="109"/>
        <w:gridCol w:w="781"/>
        <w:gridCol w:w="109"/>
        <w:gridCol w:w="781"/>
        <w:gridCol w:w="109"/>
        <w:gridCol w:w="826"/>
      </w:tblGrid>
      <w:tr>
        <w:trPr/>
        <w:tc>
          <w:tcPr>
            <w:tcW w:w="5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57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paid for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$29,913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$31,388</w:t>
            </w:r>
          </w:p>
        </w:tc>
      </w:tr>
      <w:tr>
        <w:trPr/>
        <w:tc>
          <w:tcPr>
            <w:tcW w:w="57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ROU assets obtained in exchange for new operating lease obligations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$30,430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$22,764</w:t>
            </w:r>
          </w:p>
        </w:tc>
      </w:tr>
      <w:tr>
        <w:trPr/>
        <w:tc>
          <w:tcPr>
            <w:tcW w:w="57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Weighted-average remaining lease term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5.62</w:t>
            </w:r>
          </w:p>
        </w:tc>
      </w:tr>
      <w:tr>
        <w:trPr/>
        <w:tc>
          <w:tcPr>
            <w:tcW w:w="57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Weighted-average discount rate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5.19%</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Maturities of lease liabilities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were as follows (in thousands):</w:t>
      </w:r>
    </w:p>
    <w:tbl>
      <w:tblPr>
        <w:tblW w:w="3726" w:type="dxa"/>
        <w:jc w:val="left"/>
        <w:tblInd w:w="0" w:type="dxa"/>
        <w:tblLayout w:type="fixed"/>
        <w:tblCellMar>
          <w:top w:w="28" w:type="dxa"/>
          <w:left w:w="28" w:type="dxa"/>
          <w:bottom w:w="28" w:type="dxa"/>
          <w:right w:w="28" w:type="dxa"/>
        </w:tblCellMar>
      </w:tblPr>
      <w:tblGrid>
        <w:gridCol w:w="2686"/>
        <w:gridCol w:w="109"/>
        <w:gridCol w:w="931"/>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$30,076</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26,965</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18,002</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14,459</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11,659</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Thereafter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28,702</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Total lease payments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129,863</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Less imputed interest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15,338</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Present value of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$114,525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15. Commitments and Contingencies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ordinary course of business, the Company and its subsidiaries (collectively, the "Company") is involved in various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pending or threatened legal actions, arbitration proceedings, claims, subpoenas and matters relating to compliance with laws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regulations (collectively, "legal proceedings"). Based on our current knowledge, management presently does not believe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the liabilities arising from these legal proceedings will have a material adverse effect on our consolidated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condition, results of operations or cash flows. However, it is possible that the ultimate resolution of these legal proceedings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could have a material adverse effect on our results of operations and financial condition for any particular period.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FTC Matter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October 2017, the Federal Trade Commission (FTC) issued a Notice of Civil Investigative Demand to the Company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production of documentation and a request for responses to written interrogatories. After discussions with the Company,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FTC proposed in October 2019 to resolve potential claims relating to the Company’s advertising and marketing practices,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principally in its U.S. direct fuel card business within its North American fuel card business. The parties reached impasse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related to what the Company believed were unreasonable demands for redress made by the FTC.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December 20, 2019, the FTC filed a lawsuit in the Northern District of Georgia against the Company and Ron Clarke. See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FTC v. FleetCor Technologies, Inc.</w:t>
      </w:r>
      <w:r>
        <w:rPr>
          <w:rFonts w:ascii="Times New Roman;serif" w:hAnsi="Times New Roman;serif"/>
          <w:b w:val="false"/>
          <w:i w:val="false"/>
          <w:caps w:val="false"/>
          <w:smallCaps w:val="false"/>
          <w:strike w:val="false"/>
          <w:dstrike w:val="false"/>
          <w:sz w:val="20"/>
          <w:u w:val="none"/>
          <w:effect w:val="none"/>
        </w:rPr>
        <w:t xml:space="preserve">, No. 19-cv-05727 (N.D. Ga.). The complaint alleged the Company and Ron Clarke violated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FTC Act’s prohibitions on unfair and deceptive acts and practices. The complaint sought among other things injunctive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relief, consumer redress and costs of suit. On April 17, 2021, the FTC filed a motion for summary judgment. On April 22, 2021,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United States Supreme Court held unanimously in AMG Capital Management v. FTC that the FTC does not have authority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current law to seek monetary redress by means of Section 13(b) of the FTC Act, which is the means by which the FTC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has sought such redress in this case. The Company cross-moved for summary judgment regarding the FTC’s ability to seek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monetary or injunctive relief on May 17, 2021. On August 13, 2021, the FTC filed a motion to stay or to voluntarily dismiss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without prejudice the case pending in the Northern District of Georgia in favor of a parallel administrative action under Section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5 of the FTC Act that it filed on August 11, 2021 in the FTC’s administrative process. Apart from the jurisdiction and statutory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change, the FTC’s administrative complaint made the same factual allegations as the FTC’s original complaint filed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2019. The FTC's administrative action was stayed pending resolution of the case in federal court. On August 9, 2022,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District Court for the Northern District of Georgia granted the FTC's motion for summary judgment as to liability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and Ron Clarke, but granted the Company's motion for summary judgment as to the FTC's claim for monetary relief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to both the Company and Ron Clarke.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June 8, 2023, the Court issued an Order for Permanent Injunction and Other Relief. The Company filed its notice of appeal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the United States Court of Appeals for the Eleventh Circuit on August 3, 2023. On August 17, 2023, the FTC Commission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ordered that the stay of the parallel Section 5 administration action will remain in place during the pendency of the Eleventh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Circuit appeal. On January 6, 2026, the Eleventh Circuit affirmed the judgment against the Company and affirmed the judgment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against Ron Clarke except for one count, which was vacated and remanded. The Company intends to seek an </w:t>
      </w:r>
      <w:r>
        <w:rPr>
          <w:rFonts w:ascii="Times New Roman;serif" w:hAnsi="Times New Roman;serif"/>
          <w:b w:val="false"/>
          <w:i/>
          <w:strike w:val="false"/>
          <w:dstrike w:val="false"/>
          <w:sz w:val="20"/>
          <w:u w:val="none"/>
          <w:effect w:val="none"/>
        </w:rPr>
        <w:t>en banc</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review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full Eleventh Circuit.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continues to believe that the FTC’s claims are without merit and these matters are not and will not be material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financial performance.The Company has incurred and continues to incur legal and other fees related to this FTC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complaint. Any settlement of this matter, or defense against the lawsuit, could involve costs to the Company, including legal </w:t>
      </w:r>
    </w:p>
    <w:p>
      <w:pPr>
        <w:pStyle w:val="TextBody"/>
        <w:bidi w:val="0"/>
        <w:spacing w:lineRule="atLeast" w:line="240" w:before="0" w:after="0"/>
        <w:jc w:val="left"/>
        <w:rPr>
          <w:sz w:val="24"/>
        </w:rPr>
      </w:pPr>
      <w:r>
        <w:rPr>
          <w:rFonts w:ascii="Times New Roman;serif" w:hAnsi="Times New Roman;serif"/>
          <w:b w:val="false"/>
          <w:i w:val="false"/>
          <w:caps w:val="false"/>
          <w:smallCaps w:val="false"/>
          <w:strike w:val="false"/>
          <w:dstrike w:val="false"/>
          <w:sz w:val="20"/>
          <w:u w:val="none"/>
          <w:effect w:val="none"/>
        </w:rPr>
        <w:t>fees, redress, penalties and remediation expenses.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Estimating an amount or range of possible losses resulting from litigation proceedings is inherently difficult and requires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extensive degree of judgment, particularly where, as here, the matters involve indeterminate claims for monetary damages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in the stages of the proceedings where key factual and legal issues have not been resolved. For these reasons,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currently unable to predict the ultimate timing or outcome of, or reasonably estimate the possible losses or a range of possible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losses resulting from, the matters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16. </w:t>
      </w:r>
      <w:r>
        <w:rPr>
          <w:rFonts w:ascii="Times New Roman;serif" w:hAnsi="Times New Roman;serif"/>
          <w:b/>
          <w:i w:val="false"/>
          <w:caps w:val="false"/>
          <w:smallCaps w:val="false"/>
          <w:strike w:val="false"/>
          <w:dstrike w:val="false"/>
          <w:sz w:val="20"/>
          <w:u w:val="none"/>
          <w:effect w:val="none"/>
        </w:rPr>
        <w:t>Derivative Financial Instruments and Hedging Activities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Foreign Currency Derivatives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uses derivatives to facilitate cross-currency corporate payments by writing derivatives to customers within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cross-border solution. The Company also offers interest rate and commodity contracts. Derivative transactions associated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Company's cross-border solution primarily include: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strike w:val="false"/>
          <w:dstrike w:val="false"/>
          <w:sz w:val="20"/>
          <w:u w:val="none"/>
          <w:effect w:val="none"/>
        </w:rPr>
        <w:t>Foreign currency forward contracts</w:t>
      </w:r>
      <w:r>
        <w:rPr>
          <w:rFonts w:ascii="Times New Roman;serif" w:hAnsi="Times New Roman;serif"/>
          <w:b w:val="false"/>
          <w:i w:val="false"/>
          <w:caps w:val="false"/>
          <w:smallCaps w:val="false"/>
          <w:strike w:val="false"/>
          <w:dstrike w:val="false"/>
          <w:sz w:val="20"/>
          <w:u w:val="none"/>
          <w:effect w:val="none"/>
        </w:rPr>
        <w:t xml:space="preserve">, which are commitments to buy or sell at a future date a currency at a contract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price and will be settled in cash.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strike w:val="false"/>
          <w:dstrike w:val="false"/>
          <w:sz w:val="20"/>
          <w:u w:val="none"/>
          <w:effect w:val="none"/>
        </w:rPr>
        <w:t>Foreign currency option contracts,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which gives the purchaser the right, but not the obligation, to buy or sell within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specified time a currency at a contracted price that may be settled in cash.</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strike w:val="false"/>
          <w:dstrike w:val="false"/>
          <w:sz w:val="20"/>
          <w:u w:val="none"/>
          <w:effect w:val="none"/>
        </w:rPr>
        <w:t>Foreign currency swap contracts,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which are commitments to settlement in cash at a future date or dates, usually on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overnight basis.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credit risk inherent in derivative agreements represents the possibility that a loss may occur from the nonperformance of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counterparty to the agreements. Concentrations of credit and performance risk may exist with counterparties, which includes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and banking partners, as we are engaged in similar activities with similar economic characteristics related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fluctuations in foreign currency rates. The Company performs a review of the credit risk of these counterparties at the inception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contract and on an ongoing basis. The Company also monitors the concentration of its contracts with any individual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counterparty against limits at the individual counterparty level. The Company anticipates that the counterparties will be able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fully satisfy their obligations under the agreements, but takes action when doubt arises about the counterparties' ability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 These actions may include requiring customers to post or increase collateral, and for all counterparties, if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counterparty does not perform under the term of the contract, the contract may be terminated. The Company does not designate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any of its foreign exchange derivatives as hedging instruments in accordance with ASC 815, "Derivatives and Hedging".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aggregate equivalent U.S. dollar notional amount of foreign exchange derivative customer contracts held by the Company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$123.9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$93.0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2024, respectively. The majority of customer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exchange contracts are written in currencies such as the U.S. dollar, Canadian dollar, British pound, euro and Australian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dollar.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fair value of derivatives reported in the Consolidated Balance Sheets as of December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millions):</w:t>
      </w:r>
    </w:p>
    <w:tbl>
      <w:tblPr>
        <w:tblW w:w="8717" w:type="dxa"/>
        <w:jc w:val="left"/>
        <w:tblInd w:w="0" w:type="dxa"/>
        <w:tblLayout w:type="fixed"/>
        <w:tblCellMar>
          <w:top w:w="28" w:type="dxa"/>
          <w:left w:w="28" w:type="dxa"/>
          <w:bottom w:w="28" w:type="dxa"/>
          <w:right w:w="28" w:type="dxa"/>
        </w:tblCellMar>
      </w:tblPr>
      <w:tblGrid>
        <w:gridCol w:w="4711"/>
        <w:gridCol w:w="886"/>
        <w:gridCol w:w="109"/>
        <w:gridCol w:w="931"/>
        <w:gridCol w:w="109"/>
        <w:gridCol w:w="886"/>
        <w:gridCol w:w="109"/>
        <w:gridCol w:w="976"/>
      </w:tblGrid>
      <w:tr>
        <w:trPr/>
        <w:tc>
          <w:tcPr>
            <w:tcW w:w="47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283"/>
              <w:jc w:val="left"/>
              <w:rPr>
                <w:sz w:val="4"/>
                <w:szCs w:val="4"/>
              </w:rPr>
            </w:pPr>
            <w:r>
              <w:rPr>
                <w:sz w:val="4"/>
                <w:szCs w:val="4"/>
              </w:rPr>
            </w:r>
          </w:p>
        </w:tc>
        <w:tc>
          <w:tcPr>
            <w:tcW w:w="400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2025</w:t>
            </w:r>
          </w:p>
        </w:tc>
      </w:tr>
      <w:tr>
        <w:trPr/>
        <w:tc>
          <w:tcPr>
            <w:tcW w:w="4711" w:type="dxa"/>
            <w:tcBorders/>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Fair Value, Gross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Fair Value, Net</w:t>
            </w:r>
          </w:p>
        </w:tc>
      </w:tr>
      <w:tr>
        <w:trPr/>
        <w:tc>
          <w:tcPr>
            <w:tcW w:w="4711"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Derivative</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Derivative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Derivative</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Derivative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Liabilities</w:t>
            </w:r>
          </w:p>
        </w:tc>
      </w:tr>
      <w:tr>
        <w:trPr/>
        <w:tc>
          <w:tcPr>
            <w:tcW w:w="47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Derivatives - undesignated:</w:t>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exchange, interest rate and commodity contracts</w:t>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$655.0</w:t>
            </w:r>
          </w:p>
        </w:tc>
      </w:tr>
    </w:tbl>
    <w:tbl>
      <w:tblPr>
        <w:tblW w:w="6362" w:type="dxa"/>
        <w:jc w:val="left"/>
        <w:tblInd w:w="0" w:type="dxa"/>
        <w:tblLayout w:type="fixed"/>
        <w:tblCellMar>
          <w:top w:w="28" w:type="dxa"/>
          <w:left w:w="28" w:type="dxa"/>
          <w:bottom w:w="28" w:type="dxa"/>
          <w:right w:w="28" w:type="dxa"/>
        </w:tblCellMar>
      </w:tblPr>
      <w:tblGrid>
        <w:gridCol w:w="2356"/>
        <w:gridCol w:w="886"/>
        <w:gridCol w:w="109"/>
        <w:gridCol w:w="931"/>
        <w:gridCol w:w="109"/>
        <w:gridCol w:w="886"/>
        <w:gridCol w:w="109"/>
        <w:gridCol w:w="976"/>
      </w:tblGrid>
      <w:tr>
        <w:trPr/>
        <w:tc>
          <w:tcPr>
            <w:tcW w:w="235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283"/>
              <w:jc w:val="left"/>
              <w:rPr>
                <w:sz w:val="4"/>
                <w:szCs w:val="4"/>
              </w:rPr>
            </w:pPr>
            <w:r>
              <w:rPr>
                <w:sz w:val="4"/>
                <w:szCs w:val="4"/>
              </w:rPr>
            </w:r>
          </w:p>
        </w:tc>
        <w:tc>
          <w:tcPr>
            <w:tcW w:w="400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2024</w:t>
            </w:r>
          </w:p>
        </w:tc>
      </w:tr>
      <w:tr>
        <w:trPr/>
        <w:tc>
          <w:tcPr>
            <w:tcW w:w="2356" w:type="dxa"/>
            <w:tcBorders/>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Fair Value, Gross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Fair Value, Net</w:t>
            </w:r>
          </w:p>
        </w:tc>
      </w:tr>
      <w:tr>
        <w:trPr/>
        <w:tc>
          <w:tcPr>
            <w:tcW w:w="2356"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Derivative</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Derivative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Derivative</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Derivative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Liabilities</w:t>
            </w:r>
          </w:p>
        </w:tc>
      </w:tr>
      <w:tr>
        <w:trPr/>
        <w:tc>
          <w:tcPr>
            <w:tcW w:w="23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Derivatives - undesignated:</w:t>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exchange contracts</w:t>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$724.3</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values of derivative assets and liabilities associated with contracts, which include netting terms that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believes to be enforceable, have been recorded net within prepaid expenses and other current assets, other assets, other current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and other noncurrent liabilities in the Consolidated Balance Sheets. The Company receives cash from customers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collateral for trade exposures, which is recorded within cash and cash equivalents, restricted cash and customer deposits liability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Consolidated Balance Sheets. 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2024, the Company had received collateral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$175.2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respectively. The customer has the right to recall their collateral in the event exposures move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their favor or below the collateral posting thresholds, they perform on all outstanding contracts and have no outstanding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amounts due to the Company, or they cease to do business with the Company. The Company has trading lines with several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banks, most of which require collateral to be posted if certain mark-to-market (MTM) thresholds are exceeded. Cash collateral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posted with banks is recorded within restricted cash and can be recalled in the event that exposures move in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favor or move below the collateral posting thresholds. The Company does not offset fair value amounts recognized for the right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reclaim cash collateral or the obligation to return cash collateral. 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2024,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had posted collateral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$356.7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$718.1 million, respectively, which was not offset against the fair value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its derivatives. Cash flows from the Company's foreign currency derivatives are classified as operating activities within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Cash Flows. The following table presents the fair value of the Company’s derivative assets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liabilities, as well as their classification on the accompanying Consolidated Balance Sheets,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millions):</w:t>
      </w:r>
    </w:p>
    <w:tbl>
      <w:tblPr>
        <w:tblW w:w="7021" w:type="dxa"/>
        <w:jc w:val="left"/>
        <w:tblInd w:w="0" w:type="dxa"/>
        <w:tblLayout w:type="fixed"/>
        <w:tblCellMar>
          <w:top w:w="28" w:type="dxa"/>
          <w:left w:w="28" w:type="dxa"/>
          <w:bottom w:w="28" w:type="dxa"/>
          <w:right w:w="28" w:type="dxa"/>
        </w:tblCellMar>
      </w:tblPr>
      <w:tblGrid>
        <w:gridCol w:w="1861"/>
        <w:gridCol w:w="109"/>
        <w:gridCol w:w="3436"/>
        <w:gridCol w:w="109"/>
        <w:gridCol w:w="676"/>
        <w:gridCol w:w="109"/>
        <w:gridCol w:w="721"/>
      </w:tblGrid>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18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Balance Sheet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Fair Value </w:t>
            </w:r>
          </w:p>
        </w:tc>
      </w:tr>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Derivative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$630.2</w:t>
            </w:r>
          </w:p>
        </w:tc>
      </w:tr>
      <w:tr>
        <w:trPr/>
        <w:tc>
          <w:tcPr>
            <w:tcW w:w="18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Derivative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$203.5</w:t>
            </w:r>
          </w:p>
        </w:tc>
      </w:tr>
      <w:tr>
        <w:trPr/>
        <w:tc>
          <w:tcPr>
            <w:tcW w:w="18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Derivative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$538.6</w:t>
            </w:r>
          </w:p>
        </w:tc>
      </w:tr>
      <w:tr>
        <w:trPr/>
        <w:tc>
          <w:tcPr>
            <w:tcW w:w="18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Derivative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noncurrent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$185.7</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Cash Flow Hedges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the Company had the following outstanding interest rate swap derivatives that qualify as hedging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instruments within designated cash flow hedges of variable interest rate risk (in millions):</w:t>
      </w:r>
    </w:p>
    <w:tbl>
      <w:tblPr>
        <w:tblW w:w="4541" w:type="dxa"/>
        <w:jc w:val="left"/>
        <w:tblInd w:w="0" w:type="dxa"/>
        <w:tblLayout w:type="fixed"/>
        <w:tblCellMar>
          <w:top w:w="28" w:type="dxa"/>
          <w:left w:w="28" w:type="dxa"/>
          <w:bottom w:w="28" w:type="dxa"/>
          <w:right w:w="28" w:type="dxa"/>
        </w:tblCellMar>
      </w:tblPr>
      <w:tblGrid>
        <w:gridCol w:w="1516"/>
        <w:gridCol w:w="109"/>
        <w:gridCol w:w="1561"/>
        <w:gridCol w:w="109"/>
        <w:gridCol w:w="1246"/>
      </w:tblGrid>
      <w:tr>
        <w:trPr/>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Notional Amount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Weighted Average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Fixed Rate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Maturity Date</w:t>
            </w:r>
          </w:p>
        </w:tc>
      </w:tr>
      <w:tr>
        <w:trPr/>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1/31/2026</w:t>
            </w:r>
          </w:p>
        </w:tc>
      </w:tr>
      <w:tr>
        <w:trPr/>
        <w:tc>
          <w:tcPr>
            <w:tcW w:w="15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7/31/2026</w:t>
            </w:r>
          </w:p>
        </w:tc>
      </w:tr>
      <w:tr>
        <w:trPr/>
        <w:tc>
          <w:tcPr>
            <w:tcW w:w="15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1/31/2027</w:t>
            </w:r>
          </w:p>
        </w:tc>
      </w:tr>
      <w:tr>
        <w:trPr/>
        <w:tc>
          <w:tcPr>
            <w:tcW w:w="15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7/31/2027</w:t>
            </w:r>
          </w:p>
        </w:tc>
      </w:tr>
      <w:tr>
        <w:trPr/>
        <w:tc>
          <w:tcPr>
            <w:tcW w:w="15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1/31/2028</w:t>
            </w:r>
          </w:p>
        </w:tc>
      </w:tr>
      <w:tr>
        <w:trPr/>
        <w:tc>
          <w:tcPr>
            <w:tcW w:w="15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7/31/2028</w:t>
            </w:r>
          </w:p>
        </w:tc>
      </w:tr>
      <w:tr>
        <w:trPr/>
        <w:tc>
          <w:tcPr>
            <w:tcW w:w="15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1/31/2029</w:t>
            </w:r>
          </w:p>
        </w:tc>
      </w:tr>
      <w:tr>
        <w:trPr/>
        <w:tc>
          <w:tcPr>
            <w:tcW w:w="15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7/31/2029</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purpose of these contracts is to reduce the variability of cash flows in interest payments associated with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unspecified variable rate debt, the sole source of which is due to changes in the SOFR benchmark interest rate.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has designated these derivative instruments as cash flow hedging instruments, which are expected to be highly effective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offsetting changes in cash flows of the related underlying exposure. As a result, changes in fair value of the interest rate swaps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recorded in accumulated other comprehensive loss. For each of these swap contracts, the Company pays a fixed monthly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rate and receives one month SOFR. The Company reclassified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$46.3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accumulated 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comprehensive loss resulting in a benefit to interest expense, net for the years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to these interest rate swap contracts. Cash flows related to the Company's interest rate swap derivatives are classified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activities within the Consolidated Statements of Cash Flows, as such cash flows relate to hedged interest payments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recorded in operating activities.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derivatives accounted for as hedging instruments, the Company formally designates and documents, at inception,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instrument as a hedge of a specific underlying exposure, the risk management objective and the strategy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undertaking the hedge transaction. The Company formally assesses, both at the inception and at least quarterly thereafter,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whether the financial instruments used in hedging transactions are highly effective at offsetting changes in cash flows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underlying exposures.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table below presents the fair value of the Company’s interest rate swap contracts, as well as their classification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Balance Sheets,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millions). See Note 4 for further information.</w:t>
      </w:r>
    </w:p>
    <w:tbl>
      <w:tblPr>
        <w:tblW w:w="7335" w:type="dxa"/>
        <w:jc w:val="left"/>
        <w:tblInd w:w="0" w:type="dxa"/>
        <w:tblLayout w:type="fixed"/>
        <w:tblCellMar>
          <w:top w:w="28" w:type="dxa"/>
          <w:left w:w="28" w:type="dxa"/>
          <w:bottom w:w="28" w:type="dxa"/>
          <w:right w:w="28" w:type="dxa"/>
        </w:tblCellMar>
      </w:tblPr>
      <w:tblGrid>
        <w:gridCol w:w="2311"/>
        <w:gridCol w:w="146"/>
        <w:gridCol w:w="3436"/>
        <w:gridCol w:w="146"/>
        <w:gridCol w:w="571"/>
        <w:gridCol w:w="109"/>
        <w:gridCol w:w="6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Balance Sheet Classification</w:t>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2311" w:type="dxa"/>
            <w:tcBorders/>
            <w:shd w:fill="FFFF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Derivatives designated as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cash flow hedges: </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4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5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Swap contracts</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r>
      <w:tr>
        <w:trPr/>
        <w:tc>
          <w:tcPr>
            <w:tcW w:w="23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Swap contracts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assets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r>
      <w:tr>
        <w:trPr/>
        <w:tc>
          <w:tcPr>
            <w:tcW w:w="23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Times New Roman;serif" w:hAnsi="Times New Roman;serif"/>
                <w:b w:val="false"/>
                <w:i w:val="false"/>
                <w:caps w:val="false"/>
                <w:smallCaps w:val="false"/>
                <w:strike w:val="false"/>
                <w:dstrike w:val="false"/>
                <w:color w:val="000000"/>
                <w:sz w:val="20"/>
                <w:u w:val="none"/>
                <w:effect w:val="none"/>
              </w:rPr>
              <w:t>Swap contracts</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r>
      <w:tr>
        <w:trPr/>
        <w:tc>
          <w:tcPr>
            <w:tcW w:w="23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Swap contracts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noncurrent liabilities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the estimated amount of net losses recognized in accumulated other comprehensive loss that 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expected to be reclassified into earnings as an increase to interest expense within the next 12 months is approximately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$16.1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Net Investment Hedges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enters into cross-currency interest rate swaps that are designated as net investment hedges of our investments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foreign-denominated operations. Such contracts effectively convert the U.S. dollar equivalent notional amounts to obligations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denominated in the respective foreign currency and partially offset the impact of changes in currency rates on such foreign-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denominated net investments. These contracts also create a positive interest differential on the U.S. dollar-denominated portion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swaps, resulting in interest rate savings on the USD notional.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 December 31, 2025, the Company had the following cross-currency interest rate swaps designated as net investment hedges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our investments in foreign-denominated operations:</w:t>
      </w:r>
    </w:p>
    <w:tbl>
      <w:tblPr>
        <w:tblW w:w="6421" w:type="dxa"/>
        <w:jc w:val="left"/>
        <w:tblInd w:w="0" w:type="dxa"/>
        <w:tblLayout w:type="fixed"/>
        <w:tblCellMar>
          <w:top w:w="28" w:type="dxa"/>
          <w:left w:w="28" w:type="dxa"/>
          <w:bottom w:w="28" w:type="dxa"/>
          <w:right w:w="28" w:type="dxa"/>
        </w:tblCellMar>
      </w:tblPr>
      <w:tblGrid>
        <w:gridCol w:w="2026"/>
        <w:gridCol w:w="109"/>
        <w:gridCol w:w="1816"/>
        <w:gridCol w:w="109"/>
        <w:gridCol w:w="1006"/>
        <w:gridCol w:w="109"/>
        <w:gridCol w:w="1246"/>
      </w:tblGrid>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U.S. dollar equivalent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notional (in millions)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Fixed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Maturity Date</w:t>
            </w:r>
          </w:p>
        </w:tc>
      </w:tr>
      <w:tr>
        <w:trPr/>
        <w:tc>
          <w:tcPr>
            <w:tcW w:w="2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Euro (EUR)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5/26/2026</w:t>
            </w:r>
          </w:p>
        </w:tc>
      </w:tr>
      <w:tr>
        <w:trPr/>
        <w:tc>
          <w:tcPr>
            <w:tcW w:w="20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Canadian Dollar (CAD)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1/24/2028</w:t>
            </w:r>
          </w:p>
        </w:tc>
      </w:tr>
      <w:tr>
        <w:trPr/>
        <w:tc>
          <w:tcPr>
            <w:tcW w:w="20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British Pound (GBP)</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5/8/2028</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Hedge effectiveness is tested based on changes in the fair value of the cross-currency swaps due to changes in the USD/foreign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currency spot rates. The Company anticipates perfect effectiveness of the designated hedging relationships and records changes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fair value of the cross-currency interest rate swaps associated with changes in the spot rate through accumulated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comprehensive loss. Excluded components associated with the forward differential are recognized directly in earnings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interest expense, net. The Company recognized a benefit of $24.2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$13.9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interest expense, net for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years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respectively, related to these excluded components. Upon settlement, cash flows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attributable to derivatives designated as net investment hedges are classified as investing activities in the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Statements of Cash Flows.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presents the fair value of the Compa</w:t>
      </w:r>
      <w:r>
        <w:rPr>
          <w:rFonts w:ascii="Times New Roman;serif" w:hAnsi="Times New Roman;serif"/>
          <w:b w:val="false"/>
          <w:i w:val="false"/>
          <w:caps w:val="false"/>
          <w:smallCaps w:val="false"/>
          <w:strike w:val="false"/>
          <w:dstrike w:val="false"/>
          <w:sz w:val="20"/>
          <w:u w:val="none"/>
          <w:effect w:val="none"/>
          <w:shd w:fill="FFFFFF" w:val="clear"/>
        </w:rPr>
        <w:t xml:space="preserve">ny’s cross-currency interest rate swaps designated as net investment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hedges, as well as their classification on the accompanying Consolidated Balance Sheets, as of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millions). </w:t>
      </w:r>
    </w:p>
    <w:tbl>
      <w:tblPr>
        <w:tblW w:w="7212" w:type="dxa"/>
        <w:jc w:val="left"/>
        <w:tblInd w:w="0" w:type="dxa"/>
        <w:tblLayout w:type="fixed"/>
        <w:tblCellMar>
          <w:top w:w="28" w:type="dxa"/>
          <w:left w:w="28" w:type="dxa"/>
          <w:bottom w:w="28" w:type="dxa"/>
          <w:right w:w="28" w:type="dxa"/>
        </w:tblCellMar>
      </w:tblPr>
      <w:tblGrid>
        <w:gridCol w:w="2371"/>
        <w:gridCol w:w="3436"/>
        <w:gridCol w:w="109"/>
        <w:gridCol w:w="571"/>
        <w:gridCol w:w="109"/>
        <w:gridCol w:w="616"/>
      </w:tblGrid>
      <w:tr>
        <w:trPr/>
        <w:tc>
          <w:tcPr>
            <w:tcW w:w="237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237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343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Balance Sheet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Fair Value </w:t>
            </w:r>
          </w:p>
        </w:tc>
      </w:tr>
      <w:tr>
        <w:trPr/>
        <w:tc>
          <w:tcPr>
            <w:tcW w:w="23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Cross-currency interest rate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swaps designated as net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hedges: </w:t>
            </w:r>
          </w:p>
        </w:tc>
        <w:tc>
          <w:tcPr>
            <w:tcW w:w="34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investment hedge</w:t>
            </w:r>
          </w:p>
        </w:tc>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$22.6</w:t>
            </w:r>
          </w:p>
        </w:tc>
      </w:tr>
      <w:tr>
        <w:trPr/>
        <w:tc>
          <w:tcPr>
            <w:tcW w:w="23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investment hedge</w:t>
            </w:r>
          </w:p>
        </w:tc>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w:t>
            </w:r>
          </w:p>
        </w:tc>
      </w:tr>
      <w:tr>
        <w:trPr/>
        <w:tc>
          <w:tcPr>
            <w:tcW w:w="23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investment hedge</w:t>
            </w:r>
          </w:p>
        </w:tc>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23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investment hedge</w:t>
            </w:r>
          </w:p>
        </w:tc>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noncurrent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the estimated net amount of the existing benefit related to the Company's cross-currency interest 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swaps designed as net investment hedges that is expected to be reclassified into earnings as a reduction to interest expense, net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within the next 12 months is approximately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$17.7 million.</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17. </w:t>
      </w:r>
      <w:r>
        <w:rPr>
          <w:rFonts w:ascii="Times New Roman;serif" w:hAnsi="Times New Roman;serif"/>
          <w:b/>
          <w:i w:val="false"/>
          <w:caps w:val="false"/>
          <w:smallCaps w:val="false"/>
          <w:strike w:val="false"/>
          <w:dstrike w:val="false"/>
          <w:sz w:val="20"/>
          <w:u w:val="none"/>
          <w:effect w:val="none"/>
        </w:rPr>
        <w:t>Earnings Per Share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reports basic and diluted earnings per share using the two-class method, which is an earnings allocation method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determines EPS for common shares and participating securities. Basic earnings per share is computed by dividing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income attributable to shareholders of the Company by the weighted average number of common shares outstanding during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reported period, further adjusted by the redeemable noncontrolling interest redemption value adjustment associated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Mastercard investment. Diluted earnings per share reflect the potential dilution related to equity-based incentives using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treasury stock method.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calculation and reconciliation of basic and diluted earnings per share for the years ended December 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thousands,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except per share data) follows:</w:t>
      </w:r>
    </w:p>
    <w:tbl>
      <w:tblPr>
        <w:tblW w:w="7741" w:type="dxa"/>
        <w:jc w:val="left"/>
        <w:tblInd w:w="0" w:type="dxa"/>
        <w:tblLayout w:type="fixed"/>
        <w:tblCellMar>
          <w:top w:w="28" w:type="dxa"/>
          <w:left w:w="28" w:type="dxa"/>
          <w:bottom w:w="28" w:type="dxa"/>
          <w:right w:w="28" w:type="dxa"/>
        </w:tblCellMar>
      </w:tblPr>
      <w:tblGrid>
        <w:gridCol w:w="4411"/>
        <w:gridCol w:w="109"/>
        <w:gridCol w:w="1036"/>
        <w:gridCol w:w="109"/>
        <w:gridCol w:w="1036"/>
        <w:gridCol w:w="109"/>
        <w:gridCol w:w="931"/>
      </w:tblGrid>
      <w:tr>
        <w:trPr/>
        <w:tc>
          <w:tcPr>
            <w:tcW w:w="4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4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attributable to Corpay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$1,069,826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$981,890</w:t>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Adjustment to redemption value of redeemable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noncontrolling 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income attributable to Corpay shareholders after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adjustment to redemption value of redeemable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noncontrolling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$1,068,346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$1,003,746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$981,890</w:t>
            </w:r>
          </w:p>
        </w:tc>
      </w:tr>
      <w:tr>
        <w:trPr/>
        <w:tc>
          <w:tcPr>
            <w:tcW w:w="4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Denominator for basic earnings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73,155</w:t>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Dilutive securities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1,232</w:t>
            </w:r>
          </w:p>
        </w:tc>
      </w:tr>
      <w:tr>
        <w:trPr/>
        <w:tc>
          <w:tcPr>
            <w:tcW w:w="4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Denominator for diluted earnings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74,387</w:t>
            </w:r>
          </w:p>
        </w:tc>
      </w:tr>
      <w:tr>
        <w:trPr/>
        <w:tc>
          <w:tcPr>
            <w:tcW w:w="4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 earnings per share attributable to Corpay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$13.42</w:t>
            </w:r>
          </w:p>
        </w:tc>
      </w:tr>
      <w:tr>
        <w:trPr/>
        <w:tc>
          <w:tcPr>
            <w:tcW w:w="4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 earnings per share attributable to Corpay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Diluted earnings per share for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excludes t</w:t>
      </w:r>
      <w:r>
        <w:rPr>
          <w:rFonts w:ascii="Times New Roman;serif" w:hAnsi="Times New Roman;serif"/>
          <w:b w:val="false"/>
          <w:i w:val="false"/>
          <w:caps w:val="false"/>
          <w:smallCaps w:val="false"/>
          <w:strike w:val="false"/>
          <w:dstrike w:val="false"/>
          <w:sz w:val="20"/>
          <w:u w:val="none"/>
          <w:effect w:val="none"/>
          <w:shd w:fill="FFFFFF" w:val="clear"/>
        </w:rPr>
        <w:t>h</w:t>
      </w:r>
      <w:r>
        <w:rPr>
          <w:rFonts w:ascii="Times New Roman;serif" w:hAnsi="Times New Roman;serif"/>
          <w:b w:val="false"/>
          <w:i w:val="false"/>
          <w:caps w:val="false"/>
          <w:smallCaps w:val="false"/>
          <w:strike w:val="false"/>
          <w:dstrike w:val="false"/>
          <w:sz w:val="20"/>
          <w:u w:val="none"/>
          <w:effect w:val="none"/>
        </w:rPr>
        <w:t>e effect of 0.7 million, 0.1 million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and 2.0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shares, respectively, of common stock that may be issued upon the exercise of employee stock options because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such effect would be antidilutive. Diluted earnings per share also excludes the effect of performance-based restricted stock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which the performance criteria have not yet been achieved, which was immaterial</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for 2025,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2023.</w:t>
      </w:r>
      <w:r>
        <w:rPr>
          <w:caps w:val="false"/>
          <w:smallCaps w:val="false"/>
          <w:strike w:val="false"/>
          <w:dstrike w:val="false"/>
          <w:sz w:val="24"/>
          <w:u w:val="none"/>
          <w:effect w:val="none"/>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18. Segments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reports information about its operating segments in accordance with the authoritative guidance related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segments. We manage and report our operating results through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reportable segments: Vehicle Payments, Corporate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(includes aggregation with cross-border operating segment), Lodging Payments and an Other category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combines Gift and Payroll Card operating segments). These reportable segments align with how the Company's Chief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Executive Officer, who is the Chief Operating Decision Maker (CODM), allocates resources, assesses performance and reviews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information. The CODM uses segment operating income to make decisions regarding the allocation of resources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financial resources and capital spending) to each segment primarily in the annual budget and forecasting process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reviews budget to actual variances for segment operating income on a monthly, quarterly and annual basis to assess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 of each segment.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segment results, including significant segment expenses regularly provided to the CODM, are as follows for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thousands)*: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w:t>
      </w:r>
    </w:p>
    <w:tbl>
      <w:tblPr>
        <w:tblW w:w="7901" w:type="dxa"/>
        <w:jc w:val="left"/>
        <w:tblInd w:w="0" w:type="dxa"/>
        <w:tblLayout w:type="fixed"/>
        <w:tblCellMar>
          <w:top w:w="28" w:type="dxa"/>
          <w:left w:w="28" w:type="dxa"/>
          <w:bottom w:w="28" w:type="dxa"/>
          <w:right w:w="28" w:type="dxa"/>
        </w:tblCellMar>
      </w:tblPr>
      <w:tblGrid>
        <w:gridCol w:w="2386"/>
        <w:gridCol w:w="109"/>
        <w:gridCol w:w="1036"/>
        <w:gridCol w:w="109"/>
        <w:gridCol w:w="1036"/>
        <w:gridCol w:w="109"/>
        <w:gridCol w:w="931"/>
        <w:gridCol w:w="109"/>
        <w:gridCol w:w="886"/>
        <w:gridCol w:w="109"/>
        <w:gridCol w:w="1081"/>
      </w:tblGrid>
      <w:tr>
        <w:trPr/>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6"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Year ended </w:t>
            </w:r>
            <w:r>
              <w:rPr>
                <w:rFonts w:ascii="Times New Roman;serif" w:hAnsi="Times New Roman;serif"/>
                <w:b/>
                <w:i w:val="false"/>
                <w:caps w:val="false"/>
                <w:smallCaps w:val="false"/>
                <w:strike w:val="false"/>
                <w:dstrike w:val="false"/>
                <w:sz w:val="20"/>
                <w:u w:val="none"/>
                <w:effect w:val="none"/>
              </w:rPr>
              <w:t>December 31, 2025</w:t>
            </w:r>
          </w:p>
        </w:tc>
      </w:tr>
      <w:tr>
        <w:trPr/>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Vehicle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Corporate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Lodging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Other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$2,138,675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$1,635,065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$469,540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$4,528,403</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Processing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382,777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322,878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123,785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969,177</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Selling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198,032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240,678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30,653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478,988</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General and administrative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329,482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289,563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70,793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733,028</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79,203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30,442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15,884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131,164</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114,854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262,139</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operating,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2,060</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disposition,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(42,261)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(42,261)</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income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$1,074,706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$639,793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$194,697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$84,912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1,994,108</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46,985</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403,848</w:t>
            </w:r>
          </w:p>
        </w:tc>
      </w:tr>
      <w:tr>
        <w:trPr/>
        <w:tc>
          <w:tcPr>
            <w:tcW w:w="3531" w:type="dxa"/>
            <w:gridSpan w:val="3"/>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Loss on extinguishment of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1,596</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452,429</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$1,541,679</w:t>
            </w:r>
          </w:p>
        </w:tc>
      </w:tr>
    </w:tbl>
    <w:tbl>
      <w:tblPr>
        <w:tblW w:w="7676" w:type="dxa"/>
        <w:jc w:val="left"/>
        <w:tblInd w:w="0" w:type="dxa"/>
        <w:tblLayout w:type="fixed"/>
        <w:tblCellMar>
          <w:top w:w="28" w:type="dxa"/>
          <w:left w:w="28" w:type="dxa"/>
          <w:bottom w:w="28" w:type="dxa"/>
          <w:right w:w="28" w:type="dxa"/>
        </w:tblCellMar>
      </w:tblPr>
      <w:tblGrid>
        <w:gridCol w:w="2521"/>
        <w:gridCol w:w="109"/>
        <w:gridCol w:w="931"/>
        <w:gridCol w:w="109"/>
        <w:gridCol w:w="1036"/>
        <w:gridCol w:w="109"/>
        <w:gridCol w:w="931"/>
        <w:gridCol w:w="109"/>
        <w:gridCol w:w="781"/>
        <w:gridCol w:w="109"/>
        <w:gridCol w:w="931"/>
      </w:tblGrid>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6"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Year ended </w:t>
            </w:r>
            <w:r>
              <w:rPr>
                <w:rFonts w:ascii="Times New Roman;serif" w:hAnsi="Times New Roman;serif"/>
                <w:b/>
                <w:i w:val="false"/>
                <w:caps w:val="false"/>
                <w:smallCaps w:val="false"/>
                <w:strike w:val="false"/>
                <w:dstrike w:val="false"/>
                <w:sz w:val="20"/>
                <w:u w:val="none"/>
                <w:effect w:val="none"/>
              </w:rPr>
              <w:t>December 31, 2025</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Vehicle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Corporate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Lodging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25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segment disclosures: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expenditures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$129,434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$40,859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$200,756</w:t>
            </w:r>
          </w:p>
        </w:tc>
      </w:tr>
      <w:tr>
        <w:trPr/>
        <w:tc>
          <w:tcPr>
            <w:tcW w:w="25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Long-lived assets (excluding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and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$308,546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$99,199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$45,376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$472,310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w:t>
      </w:r>
    </w:p>
    <w:tbl>
      <w:tblPr>
        <w:tblW w:w="8216" w:type="dxa"/>
        <w:jc w:val="left"/>
        <w:tblInd w:w="0" w:type="dxa"/>
        <w:tblLayout w:type="fixed"/>
        <w:tblCellMar>
          <w:top w:w="28" w:type="dxa"/>
          <w:left w:w="28" w:type="dxa"/>
          <w:bottom w:w="28" w:type="dxa"/>
          <w:right w:w="28" w:type="dxa"/>
        </w:tblCellMar>
      </w:tblPr>
      <w:tblGrid>
        <w:gridCol w:w="2686"/>
        <w:gridCol w:w="109"/>
        <w:gridCol w:w="1036"/>
        <w:gridCol w:w="109"/>
        <w:gridCol w:w="1036"/>
        <w:gridCol w:w="109"/>
        <w:gridCol w:w="931"/>
        <w:gridCol w:w="109"/>
        <w:gridCol w:w="901"/>
        <w:gridCol w:w="109"/>
        <w:gridCol w:w="1081"/>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1"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Year Ended </w:t>
            </w:r>
            <w:r>
              <w:rPr>
                <w:rFonts w:ascii="Times New Roman;serif" w:hAnsi="Times New Roman;serif"/>
                <w:b/>
                <w:i w:val="false"/>
                <w:caps w:val="false"/>
                <w:smallCaps w:val="false"/>
                <w:strike w:val="false"/>
                <w:dstrike w:val="false"/>
                <w:sz w:val="20"/>
                <w:u w:val="none"/>
                <w:effect w:val="none"/>
              </w:rPr>
              <w:t>December 31, 2024</w:t>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Vehicle </w:t>
            </w:r>
          </w:p>
          <w:p>
            <w:pPr>
              <w:pStyle w:val="TableContents"/>
              <w:bidi w:val="0"/>
              <w:spacing w:lineRule="atLeast" w:line="200" w:before="0" w:after="0"/>
              <w:jc w:val="left"/>
              <w:rPr/>
            </w:pPr>
            <w:r>
              <w:rPr>
                <w:rFonts w:ascii="Times New Roman;serif" w:hAnsi="Times New Roman;serif"/>
                <w:b/>
                <w:i w:val="false"/>
                <w:caps w:val="false"/>
                <w:smallCaps w:val="false"/>
                <w:sz w:val="20"/>
              </w:rPr>
              <w:t>Payments</w:t>
            </w:r>
            <w:r>
              <w:rPr>
                <w:rFonts w:ascii="Times New Roman;serif" w:hAnsi="Times New Roman;serif"/>
                <w:b/>
                <w:i w:val="false"/>
                <w:caps w:val="false"/>
                <w:smallCaps w:val="false"/>
                <w:sz w:val="13"/>
              </w:rPr>
              <w:t>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Corporate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Lodging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Other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$2,008,799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$1,221,915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$255,286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$3,974,589</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Processing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365,457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119,645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119,685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869,085</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Selling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175,750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172,365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380,906</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General and administrative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192,853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616,874</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70,178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29,949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120,106</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129,988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230,982</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impairment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90,000</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operating,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789</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disposition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(121,310)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(121,310)</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$1,076,870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$498,397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$223,388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1,787,157</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13,961</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383,043</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Loss on extinguishment of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5,040</w:t>
            </w:r>
          </w:p>
        </w:tc>
      </w:tr>
      <w:tr>
        <w:trPr/>
        <w:tc>
          <w:tcPr>
            <w:tcW w:w="26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402,044</w:t>
            </w:r>
          </w:p>
        </w:tc>
      </w:tr>
      <w:tr>
        <w:trPr/>
        <w:tc>
          <w:tcPr>
            <w:tcW w:w="26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$1,385,113</w:t>
            </w:r>
          </w:p>
        </w:tc>
      </w:tr>
    </w:tbl>
    <w:tbl>
      <w:tblPr>
        <w:tblW w:w="7676" w:type="dxa"/>
        <w:jc w:val="left"/>
        <w:tblInd w:w="0" w:type="dxa"/>
        <w:tblLayout w:type="fixed"/>
        <w:tblCellMar>
          <w:top w:w="28" w:type="dxa"/>
          <w:left w:w="28" w:type="dxa"/>
          <w:bottom w:w="28" w:type="dxa"/>
          <w:right w:w="28" w:type="dxa"/>
        </w:tblCellMar>
      </w:tblPr>
      <w:tblGrid>
        <w:gridCol w:w="2521"/>
        <w:gridCol w:w="109"/>
        <w:gridCol w:w="931"/>
        <w:gridCol w:w="109"/>
        <w:gridCol w:w="1036"/>
        <w:gridCol w:w="109"/>
        <w:gridCol w:w="931"/>
        <w:gridCol w:w="109"/>
        <w:gridCol w:w="781"/>
        <w:gridCol w:w="109"/>
        <w:gridCol w:w="931"/>
      </w:tblGrid>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6"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Year ended </w:t>
            </w:r>
            <w:r>
              <w:rPr>
                <w:rFonts w:ascii="Times New Roman;serif" w:hAnsi="Times New Roman;serif"/>
                <w:b/>
                <w:i w:val="false"/>
                <w:caps w:val="false"/>
                <w:smallCaps w:val="false"/>
                <w:strike w:val="false"/>
                <w:dstrike w:val="false"/>
                <w:sz w:val="20"/>
                <w:u w:val="none"/>
                <w:effect w:val="none"/>
              </w:rPr>
              <w:t>December 31, 2024</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Vehicle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Corporate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Lodging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25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segment disclosures: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expenditures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$117,410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$32,587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$19,622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$175,176</w:t>
            </w:r>
          </w:p>
        </w:tc>
      </w:tr>
      <w:tr>
        <w:trPr/>
        <w:tc>
          <w:tcPr>
            <w:tcW w:w="25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Long-lived assets (excluding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and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$258,942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$67,379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$377,705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w:t>
      </w:r>
    </w:p>
    <w:tbl>
      <w:tblPr>
        <w:tblW w:w="7976" w:type="dxa"/>
        <w:jc w:val="left"/>
        <w:tblInd w:w="0" w:type="dxa"/>
        <w:tblLayout w:type="fixed"/>
        <w:tblCellMar>
          <w:top w:w="28" w:type="dxa"/>
          <w:left w:w="28" w:type="dxa"/>
          <w:bottom w:w="28" w:type="dxa"/>
          <w:right w:w="28" w:type="dxa"/>
        </w:tblCellMar>
      </w:tblPr>
      <w:tblGrid>
        <w:gridCol w:w="2386"/>
        <w:gridCol w:w="109"/>
        <w:gridCol w:w="1111"/>
        <w:gridCol w:w="109"/>
        <w:gridCol w:w="1036"/>
        <w:gridCol w:w="109"/>
        <w:gridCol w:w="931"/>
        <w:gridCol w:w="109"/>
        <w:gridCol w:w="886"/>
        <w:gridCol w:w="109"/>
        <w:gridCol w:w="1081"/>
      </w:tblGrid>
      <w:tr>
        <w:trPr/>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1"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Year ended </w:t>
            </w:r>
            <w:r>
              <w:rPr>
                <w:rFonts w:ascii="Times New Roman;serif" w:hAnsi="Times New Roman;serif"/>
                <w:b/>
                <w:i w:val="false"/>
                <w:caps w:val="false"/>
                <w:smallCaps w:val="false"/>
                <w:strike w:val="false"/>
                <w:dstrike w:val="false"/>
                <w:sz w:val="20"/>
                <w:u w:val="none"/>
                <w:effect w:val="none"/>
              </w:rPr>
              <w:t>December 31, 2023</w:t>
            </w:r>
          </w:p>
        </w:tc>
      </w:tr>
      <w:tr>
        <w:trPr/>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Vehicle </w:t>
            </w:r>
          </w:p>
          <w:p>
            <w:pPr>
              <w:pStyle w:val="TableContents"/>
              <w:bidi w:val="0"/>
              <w:spacing w:lineRule="atLeast" w:line="200" w:before="0" w:after="0"/>
              <w:jc w:val="left"/>
              <w:rPr/>
            </w:pPr>
            <w:r>
              <w:rPr>
                <w:rFonts w:ascii="Times New Roman;serif" w:hAnsi="Times New Roman;serif"/>
                <w:b/>
                <w:i w:val="false"/>
                <w:caps w:val="false"/>
                <w:smallCaps w:val="false"/>
                <w:sz w:val="20"/>
              </w:rPr>
              <w:t>Payments</w:t>
            </w:r>
            <w:r>
              <w:rPr>
                <w:rFonts w:ascii="Times New Roman;serif" w:hAnsi="Times New Roman;serif"/>
                <w:b/>
                <w:i w:val="false"/>
                <w:caps w:val="false"/>
                <w:smallCaps w:val="false"/>
                <w:sz w:val="13"/>
              </w:rPr>
              <w:t>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Corporate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Lodging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Other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$2,005,510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$520,216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$3,757,719</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Processing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377,603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212,144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112,958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819,908</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167,614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137,512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24,597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340,157</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General and administrative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314,892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603,424</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69,886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22,356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109,983</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56,323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35,833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226,621</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operating,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753</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$943,399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$382,085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$77,119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1,656,873</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(16,739)</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348,607</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331,868</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$1,325,005</w:t>
            </w:r>
          </w:p>
        </w:tc>
      </w:tr>
    </w:tbl>
    <w:tbl>
      <w:tblPr>
        <w:tblW w:w="7676" w:type="dxa"/>
        <w:jc w:val="left"/>
        <w:tblInd w:w="0" w:type="dxa"/>
        <w:tblLayout w:type="fixed"/>
        <w:tblCellMar>
          <w:top w:w="28" w:type="dxa"/>
          <w:left w:w="28" w:type="dxa"/>
          <w:bottom w:w="28" w:type="dxa"/>
          <w:right w:w="28" w:type="dxa"/>
        </w:tblCellMar>
      </w:tblPr>
      <w:tblGrid>
        <w:gridCol w:w="2521"/>
        <w:gridCol w:w="109"/>
        <w:gridCol w:w="931"/>
        <w:gridCol w:w="109"/>
        <w:gridCol w:w="1036"/>
        <w:gridCol w:w="109"/>
        <w:gridCol w:w="931"/>
        <w:gridCol w:w="109"/>
        <w:gridCol w:w="781"/>
        <w:gridCol w:w="109"/>
        <w:gridCol w:w="931"/>
      </w:tblGrid>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6"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Year ended </w:t>
            </w:r>
            <w:r>
              <w:rPr>
                <w:rFonts w:ascii="Times New Roman;serif" w:hAnsi="Times New Roman;serif"/>
                <w:b/>
                <w:i w:val="false"/>
                <w:caps w:val="false"/>
                <w:smallCaps w:val="false"/>
                <w:strike w:val="false"/>
                <w:dstrike w:val="false"/>
                <w:sz w:val="20"/>
                <w:u w:val="none"/>
                <w:effect w:val="none"/>
              </w:rPr>
              <w:t>December 31, 2023</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Vehicle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Corporate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Lodging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25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segment disclosures: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expenditures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$108,592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$153,822</w:t>
            </w:r>
          </w:p>
        </w:tc>
      </w:tr>
      <w:tr>
        <w:trPr/>
        <w:tc>
          <w:tcPr>
            <w:tcW w:w="25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Long-lived assets (excluding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and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$252,499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$24,697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$343,154</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*Columns may not calculate due to rounding.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2"/>
          <w:u w:val="none"/>
          <w:effect w:val="none"/>
        </w:rPr>
        <w:t xml:space="preserve">1 </w:t>
      </w:r>
      <w:r>
        <w:rPr>
          <w:rFonts w:ascii="Times New Roman;serif" w:hAnsi="Times New Roman;serif"/>
          <w:b w:val="false"/>
          <w:i w:val="false"/>
          <w:caps w:val="false"/>
          <w:smallCaps w:val="false"/>
          <w:strike w:val="false"/>
          <w:dstrike w:val="false"/>
          <w:sz w:val="20"/>
          <w:u w:val="none"/>
          <w:effect w:val="none"/>
        </w:rPr>
        <w:t xml:space="preserve">Results from Gringo acquired in the first quarter of 2025, are reported in the Vehicle Payments segment from the date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acquisition. Results from Alpha acquired in the fourth quarter of 2025 are included in the Corporate Payments segment from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date of acquisition.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3"/>
          <w:u w:val="none"/>
          <w:effect w:val="none"/>
        </w:rPr>
        <w:t xml:space="preserve">2 </w:t>
      </w:r>
      <w:r>
        <w:rPr>
          <w:rFonts w:ascii="Times New Roman;serif" w:hAnsi="Times New Roman;serif"/>
          <w:b w:val="false"/>
          <w:i w:val="false"/>
          <w:caps w:val="false"/>
          <w:smallCaps w:val="false"/>
          <w:strike w:val="false"/>
          <w:dstrike w:val="false"/>
          <w:sz w:val="20"/>
          <w:u w:val="none"/>
          <w:effect w:val="none"/>
        </w:rPr>
        <w:t xml:space="preserve">Results of our merchant solutions business disposed of in December 2024, are included in the Vehicle Payments segment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all periods prior to disposition.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3"/>
          <w:u w:val="none"/>
          <w:effect w:val="none"/>
        </w:rPr>
        <w:t xml:space="preserve">3 </w:t>
      </w:r>
      <w:r>
        <w:rPr>
          <w:rFonts w:ascii="Times New Roman;serif" w:hAnsi="Times New Roman;serif"/>
          <w:b w:val="false"/>
          <w:i w:val="false"/>
          <w:caps w:val="false"/>
          <w:smallCaps w:val="false"/>
          <w:strike w:val="false"/>
          <w:dstrike w:val="false"/>
          <w:sz w:val="20"/>
          <w:u w:val="none"/>
          <w:effect w:val="none"/>
        </w:rPr>
        <w:t xml:space="preserve">Results of the Company's Russian business disposed of in August 2023, are included in the Vehicle Payments segment for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periods prior to disposition.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Total assets for each reportable segment are not presented, as the CODM does not evaluate performance or allocate resources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based on segment assets. The following table presents the Company's long-lived assets by major geography (excluding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goodwill, other intangible assets and investments) at December 31 (in thousands):</w:t>
      </w:r>
    </w:p>
    <w:tbl>
      <w:tblPr>
        <w:tblW w:w="5846" w:type="dxa"/>
        <w:jc w:val="left"/>
        <w:tblInd w:w="0" w:type="dxa"/>
        <w:tblLayout w:type="fixed"/>
        <w:tblCellMar>
          <w:top w:w="28" w:type="dxa"/>
          <w:left w:w="28" w:type="dxa"/>
          <w:bottom w:w="28" w:type="dxa"/>
          <w:right w:w="28" w:type="dxa"/>
        </w:tblCellMar>
      </w:tblPr>
      <w:tblGrid>
        <w:gridCol w:w="3811"/>
        <w:gridCol w:w="109"/>
        <w:gridCol w:w="886"/>
        <w:gridCol w:w="109"/>
        <w:gridCol w:w="931"/>
      </w:tblGrid>
      <w:tr>
        <w:trPr/>
        <w:tc>
          <w:tcPr>
            <w:tcW w:w="3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Long-lived assets (excluding goodwill, other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assets and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 (country of domicile)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$263,479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$228,233</w:t>
            </w:r>
          </w:p>
        </w:tc>
      </w:tr>
      <w:tr>
        <w:trPr/>
        <w:tc>
          <w:tcPr>
            <w:tcW w:w="38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Brazil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$80,634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$64,912</w:t>
            </w:r>
          </w:p>
        </w:tc>
      </w:tr>
      <w:tr>
        <w:trPr/>
        <w:tc>
          <w:tcPr>
            <w:tcW w:w="38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Kingdom</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$53,206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$46,174</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More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than 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w:t>
      </w:r>
      <w:r>
        <w:rPr>
          <w:rFonts w:ascii="Times New Roman;serif" w:hAnsi="Times New Roman;serif"/>
          <w:b w:val="false"/>
          <w:i w:val="false"/>
          <w:caps w:val="false"/>
          <w:smallCaps w:val="false"/>
          <w:strike w:val="false"/>
          <w:dstrike w:val="false"/>
          <w:sz w:val="20"/>
          <w:u w:val="none"/>
          <w:effect w:val="none"/>
          <w:shd w:fill="FFFFFF" w:val="clear"/>
        </w:rPr>
        <w:t>r consolidated revenues in 2025,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2023</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were derived through our relationship with our open-loop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network partner in our Vehicle Payments and Corporate Payments segments.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19. </w:t>
      </w:r>
      <w:r>
        <w:rPr>
          <w:rFonts w:ascii="Times New Roman;serif" w:hAnsi="Times New Roman;serif"/>
          <w:b/>
          <w:i w:val="false"/>
          <w:caps w:val="false"/>
          <w:smallCaps w:val="false"/>
          <w:strike w:val="false"/>
          <w:dstrike w:val="false"/>
          <w:sz w:val="20"/>
          <w:u w:val="none"/>
          <w:effect w:val="none"/>
        </w:rPr>
        <w:t>Dispositions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BP Portfolio</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2025, the Company signed a definitive agreement to sell its BP private label fuel card portfolio to a third party.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Revenues generated from the BP portfolio are included in the Company's Vehicle Payments segment. The transaction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completed during October 2025. In connection with the sale, the Company recorded a pre-tax gain on disposal of $53.4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year ended December 31, 2025, which is included with the gain on disposition, net financial statement line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accompanying Consolidated Statements of Income.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Comdata Merchant Solutions</w:t>
      </w:r>
      <w:r>
        <w:rPr>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May 2024, the Company signed a definitive agreement to sell its merchant solutions business, a business within the 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division of its Vehicle Payments segment (the "disposal group") to a third party. The transaction was completed during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2024. The Company determined that the disposal group met all of the required criteria to be classified as held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sale during the second quarter of 2024.</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disposal group's fair value, based upon the estimated sales price less anticipated costs to sell, exceeded its carrying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such, the related assets and liabilities were recorded at their carrying value and classified as held for sale prior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completion of the transaction. In determining the carrying value of the disposal group, which represents a portion of one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reporting units, goodwill of approximately $58.2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allocated to the disposal group based on a relative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analysis.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received total proceeds of $185.5 million, which have been recorded within investing activities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accompanying Consolidated Statements of Cash Flows. In connection with the sale, the Company recorded a pre-tax net gain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disposal of $121.3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during the year ended December 31, 2024, which primarily represents the proceeds received less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derecognition of the related net assets. During the year ended December 31, 2025, the Company recognized a loss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connection with the sale due to a working capital adjustment. The pre-tax net gain is included within the gain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disposition,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financial statement line in the accompanying Consolidated Statements of Income.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Russia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second quarter of 2023, the Company signed definitive documents to sell its Russia business to a third party. At June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30, 2023, the Company concluded that the sale was not considered probable due to continued uncertainty regarding regulatory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approvals and ongoing discussions regarding the nature and timing of deal completion. As such, the assets and liabilities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associated with the Company's Russian business were not classified as held for sale prior to the completion of the transaction.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Russia business was historically reported within the Company's Vehicle Payments segment and did not meet the criteria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 presented as discontinued operations. The Company completed the sale of its Russia business on August 15, 2023.</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sale included the entirety of the Company's operations in Russia and resulted in a complete exit from the Russia market.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received total proceeds, net of cash disposed and net of a $5.6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foreign exchange loss upon conversion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ruble-denominated proceeds to U.S. dollars, of $197.0 million, which have been recorded within investing activities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accompanying Consolidated Statements of Cash Flows. In connection with the sale, the Company recorded a net gain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disposal of $13.7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during the year ended December 31, 2023, which represents the proceeds received less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derecognition of the related net assets, the reclassification of accumulated foreign currency translation losses and the foreign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exchange loss upon conversion of the ruble-denominated proceeds to U.S. dollars. The net gain is included within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expense (income), net in the accompanying Consolidated Statements of Income.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Exclusive of the impact of disposition, the business in Russia accounted for approximately $62.0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Company's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income before income taxes for the 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ended December 31, 2023.</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20. </w:t>
      </w:r>
      <w:r>
        <w:rPr>
          <w:rFonts w:ascii="Times New Roman;serif" w:hAnsi="Times New Roman;serif"/>
          <w:b/>
          <w:i w:val="false"/>
          <w:caps w:val="false"/>
          <w:smallCaps w:val="false"/>
          <w:strike w:val="false"/>
          <w:dstrike w:val="false"/>
          <w:sz w:val="20"/>
          <w:u w:val="none"/>
          <w:effect w:val="none"/>
        </w:rPr>
        <w:t>Subsequent Events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PayByPhone Disposition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February 2026, the Company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signed a definitive agreement to sell PayByPhone, a mobile parking payments business within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its Vehicle Payments segment (the "disposal group") to a third party for $450 million. The transaction is expected to close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first half of 2026, subject to certain customary closing conditions. The Company determined that the disposal group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met all of the required criteria to be classified as held for sale during the first quarter of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disposal group's fair value, based upon the estimated sales price less anticipated costs to sell, exceeds its carrying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is in the process of estimating the impact this transaction will have on its financial results, but expects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recognize a pre-tax gain on disposal.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ITEM 9. CHANGES IN AND DISAGREEMENTS WITH ACCOUNTANTS ON ACCOUNTING AND FINANCIAL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DISCLOSURE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9A. CONTROLS AND PROCEDURES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Evaluation of Disclosure Controls and Procedures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management carried out, under the supervision and with the participation of our Chief Executive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Officer and Chief Financial Officer, an evaluation of the effectiveness of the design and operation of our disclosure controls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procedures (as defined in Rules 13a-15(e) and 15d-15(e) under the Securities Exchange Act of 1934). Based on this evaluation,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Chief Executive Officer and Chief Financial Officer concluded that,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our disclosure controls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procedures were effective in ensuring that information required to be disclosed by us in the reports that we file or submit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Securities Exchange Act of 1934, as amended (the "Exchange Act"), is recorded, processed, summarized and reported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within the time periods specified in applicable rules and forms and are designed to ensure that information required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disclosed in those reports is accumulated and communicated to management, including our Chief Executive Officer and Chief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Officer, as appropriate to allow timely decisions regarding required disclosure.</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 xml:space="preserve">Management Report </w:t>
      </w:r>
      <w:r>
        <w:rPr>
          <w:rFonts w:ascii="Times New Roman;serif" w:hAnsi="Times New Roman;serif"/>
          <w:b/>
          <w:i w:val="false"/>
          <w:caps w:val="false"/>
          <w:smallCaps w:val="false"/>
          <w:sz w:val="20"/>
        </w:rPr>
        <w:t>on Internal Control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management is responsible for establishing and maintaining an adequate system of internal control over financial reporting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defined in Rules 13a-15(f) and 15d-15(f) under the Exchange Act), pursuant to Rule 13a-15(c) of the Exchange Act.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internal control over financial reporting is designed to provide reasonable assurance regarding the reliability of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and the preparation of financial statements for external purposes in accordance with GAAP. Our management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assessed the effectiveness of our internal control over financial reporting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In making this assessment,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management used the criteria set forth by the Committee of Sponsoring Organizations of the Treadway Commission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(COSO) in 2013, </w:t>
      </w:r>
      <w:r>
        <w:rPr>
          <w:rFonts w:ascii="Times New Roman;serif" w:hAnsi="Times New Roman;serif"/>
          <w:b w:val="false"/>
          <w:i/>
          <w:sz w:val="20"/>
        </w:rPr>
        <w:t>Internal Control-Integrated Framework.</w:t>
      </w:r>
      <w:r>
        <w:rPr>
          <w:caps w:val="false"/>
          <w:smallCaps w:val="false"/>
          <w:sz w:val="24"/>
        </w:rPr>
        <w:t xml:space="preserve"> </w:t>
      </w: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management believes that the Company’s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internal control over financial reporting is effective based on those criteria. Our independent registered public accounting firm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has issued an audit report on our internal control over financial reporting, which is included in this annual report.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connection with management's evaluation, our management team excluded from its assessment of the effectiveness of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internal control over financial reporting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the internal controls related to two subsidiaries that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acquired during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and for which financial results are included in our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2025, the Company acquired Gringo, a leading Brazil-based vehicle registration and compliance payment company;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Alpha, a leading provider of B2B cross-border foreign exchange solutions to corporations and investment funds in the UK.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Collectively, we refer to these transactions as the 2025 Acquisitions. In the evaluation of internal control over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management excluded the operations of acquired entities in the 2025 Acquisitions from the assessment of internal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 over financial reporting as of December 31, 2025. These operations were excluded in accordance with the SEC’s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general guidance because they and the related entities were acquired in purchase business combinations in 2025. </w:t>
      </w:r>
      <w:r>
        <w:rPr>
          <w:rFonts w:ascii="Times New Roman;serif" w:hAnsi="Times New Roman;serif"/>
          <w:b w:val="false"/>
          <w:i w:val="false"/>
          <w:caps w:val="false"/>
          <w:smallCaps w:val="false"/>
          <w:strike w:val="false"/>
          <w:dstrike w:val="false"/>
          <w:sz w:val="20"/>
          <w:u w:val="none"/>
          <w:effect w:val="none"/>
        </w:rPr>
        <w:t xml:space="preserve">These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Acquisitions constituted 23.8% of total assets at December 31, 2025, and 2.0% of revenues, net for the year then ended</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Because of its inherent limitations, internal control over financial reporting may not prevent or detect misstatements.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Projections of any evaluation of effectiveness for future periods are subject to the risk that controls may become inadequate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because of changes in conditions, or that the degree of compliance with the policies or procedures may deteriorate.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Remediation of Previously Reported Material Weakness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previously disclosed in Part II-Item 9A "Controls and Procedures" in our Annual Report on Form 10-K for the year ended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December 31, 2024, we identified a material weakness in our internal control over financial reporting related to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technology general controls (ITGCs) in the area of user access management over certain information technology systems used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execution of controls that support the Company’s financial reporting processes. Our business process application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manual controls that are dependent on the affected ITGCs were also deemed ineffective because they could have been adversely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impacted.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respect to the material weakness above, management, under the oversight of the Audit Committee, implemented measures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designed to ensure that control deficiencies contributing to the material weakness was remediated, and that these controls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designed, implemented and operating effectively. The remediation actions included: (i) enhancement of the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technology compliance oversight function; (ii) development of a training program addressing ITGCs and other policies,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educating control owners concerning the principles and requirements of internal controls, with a focus on those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to user access over information technology systems impacting financial reporting; (iii) documentation of underlying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ITGCs to enhance the information evidencing the performance of ITGCs; (iv) development of enhanced integration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functionality and controls related to the ongoing implementation of user access information technology system; and (v)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enhancement of the information technology management review and testing plan to monitor ITGCs, with a specific focus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systems supporting our financial reporting processes.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During the quarter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completed our testing of the operating effectiveness of internal controls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impacted by these remediation efforts and determined the material weakness had been fully remediated as of </w:t>
      </w:r>
      <w:r>
        <w:rPr>
          <w:rFonts w:ascii="Times New Roman;serif" w:hAnsi="Times New Roman;serif"/>
          <w:b w:val="false"/>
          <w:i w:val="false"/>
          <w:caps w:val="false"/>
          <w:smallCaps w:val="false"/>
          <w:strike w:val="false"/>
          <w:dstrike w:val="false"/>
          <w:sz w:val="20"/>
          <w:u w:val="none"/>
          <w:effect w:val="none"/>
        </w:rPr>
        <w:t xml:space="preserve">December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Except for the actions taken to remediate the material weakness described above, there have been no other changes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internal control over financial reporting (as defined in Rules 13a-15(f) or 15d-15(f) of the Exchange Act) during our fourth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quarter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that have materially affected, or are reasonably likely to materially affect, our internal control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Report of Independent Registered Public Accounting Firm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the Stockholders and the Board of Directors of Corpay, Inc.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Opinion on Internal Control over Financial Reporting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We have audited Corpay, Inc. and subsidiaries’ internal control over financial reporting as of December 31, 2025, based on</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criteria established in Internal Control—Integrated Framework issued by the Committee of Sponsoring Organizations of the</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Treadway Commission (2013 framework) (the COSO criteria). In our opinion, Corpay, Inc. and subsidiaries (the Company)</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maintained, in all material respects, effective internal control over financial reporting as of December 31, 2025, based on the</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COSO criteria.</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As indicated in the accompanying Management Report on Internal Control over Financial Reporting, management’s assessment</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of and conclusion on the effectiveness of internal control over financial reporting did not include the internal controls of Gringo</w:t>
      </w:r>
      <w:r>
        <w:rPr>
          <w:caps w:val="false"/>
          <w:smallCaps w:val="false"/>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and Alpha (the 2025 Acquisitions), which are included in the 2025 consolidated financial statements of the Company and</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constituted 23.8% of total assets as of December 31, 2025 and 2.0% of revenues, n</w:t>
      </w:r>
      <w:r>
        <w:rPr>
          <w:rFonts w:ascii="Times New Roman;serif" w:hAnsi="Times New Roman;serif"/>
          <w:b w:val="false"/>
          <w:i w:val="false"/>
          <w:caps w:val="false"/>
          <w:smallCaps w:val="false"/>
          <w:sz w:val="20"/>
          <w:u w:val="single"/>
        </w:rPr>
        <w:t>et for the year then ended. Our audit of</w:t>
      </w:r>
      <w:r>
        <w:rPr>
          <w:caps w:val="false"/>
          <w:smallCaps w:val="false"/>
          <w:sz w:val="24"/>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internal control over financial reporting of the Company also did not include an evaluation of the internal control over financial</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reporting of the 2025 Acquisitions.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We also have audited, in accordance with the standards of the Public Company Accounting Oversight Board (United States)</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(PCAOB), the consolidated balance sheets of the Company as of December 31, 2025 and 2024, the related consolidated</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statements of income, comprehensive income, equity and cash flows for each of the three years in the period ended December</w:t>
      </w:r>
      <w:r>
        <w:rPr>
          <w:caps w:val="false"/>
          <w:smallCaps w:val="false"/>
          <w:u w:val="singl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z w:val="20"/>
          <w:u w:val="single"/>
        </w:rPr>
        <w:t>31, 2025, and the related notes and our report dated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February 26,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z w:val="20"/>
          <w:u w:val="single"/>
        </w:rPr>
        <w:t>expressed an unqualified opinion thereon.</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Basis for Opinion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management is responsible for maintaining effective internal control over financial reporting and for its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assessment of the effectiveness of internal control over financial reporting included in the accompanying Management Report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Internal Control over Financial Reporting. Our responsibility is to express an opinion on the Company’s internal control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over financial reporting based on our audit. We are a public accounting firm registered with the PCAOB and are required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independent with respect to the Company in accordance with the U.S. federal securities laws and the applicable rules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regulations of the Securities and Exchange Commission and the PCAOB.</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conducted our audit in accordance with the standards of the PCAOB. Those standards require that we plan and perform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audit to obtain reasonable assurance about whether effective internal control over financial reporting was maintained in 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material respects.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audit included obtaining an understanding of internal control over financial reporting, assessing the risk that a material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weakness exists, testing and evaluating the design and operating effectiveness of internal control based on the assessed risk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performing such other procedures as we considered necessary in the circumstances. We believe that our audit provides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reasonable basis for our opinion.</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Definition and Limitations of Internal Control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company’s internal control over financial reporting is a process designed to provide reasonable assurance regarding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reliability of financial reporting and the preparation of financial statements for external purposes in accordance with generally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accepted accounting principles. A company’s internal control over financial reporting includes those policies and procedures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(1) pertain to the maintenance of records that, in reasonable detail, accurately and fairly reflect the transactions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dispositions of the assets of the company; (2) provide reasonable assurance that transactions are recorded as necessary to permit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preparation of financial statements in accordance with generally accepted accounting principles, and that receipts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expenditures of the company are being made only in accordance with authorizations of management and directors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and (3) provide reasonable assurance regarding prevention or timely detection of unauthorized acquisition, use,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disposition of the company’s assets that could have a material effect on the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Because of its inherent limitations, internal control over financial reporting may not prevent or detect misstatements. Also,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projections of any evaluation of effectiveness to future periods are subject to the risk that controls may become inadequate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because of changes in conditions, or that the degree of compliance with the policies or procedures may deteriorate.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Ernst &amp; Young LLP</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Atlanta, Georgia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February 26,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9B. OTHER INFORMATION</w:t>
      </w:r>
    </w:p>
    <w:p>
      <w:pPr>
        <w:pStyle w:val="TextBody"/>
        <w:bidi w:val="0"/>
        <w:spacing w:lineRule="atLeast" w:line="200" w:before="0" w:after="0"/>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Rule 10b5-1 Trading Plans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During the three months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no director or executive officer of the Company </w:t>
      </w:r>
      <w:r>
        <w:rPr>
          <w:rFonts w:ascii="Times New Roman;serif" w:hAnsi="Times New Roman;serif"/>
          <w:b w:val="false"/>
          <w:i w:val="false"/>
          <w:caps w:val="false"/>
          <w:smallCaps w:val="false"/>
          <w:strike w:val="false"/>
          <w:dstrike w:val="false"/>
          <w:sz w:val="20"/>
          <w:u w:val="none"/>
          <w:effect w:val="none"/>
        </w:rPr>
        <w:t>adopted</w:t>
      </w:r>
      <w:r>
        <w:rPr>
          <w:rFonts w:ascii="Times New Roman;serif" w:hAnsi="Times New Roman;serif"/>
          <w:b w:val="false"/>
          <w:i w:val="false"/>
          <w:caps w:val="false"/>
          <w:smallCaps w:val="false"/>
          <w:sz w:val="20"/>
        </w:rPr>
        <w:t xml:space="preserve">, modified 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terminated</w:t>
      </w:r>
      <w:r>
        <w:rPr>
          <w:caps w:val="false"/>
          <w:smallCaps w:val="false"/>
          <w:sz w:val="24"/>
        </w:rPr>
        <w:t xml:space="preserve"> </w:t>
      </w:r>
      <w:r>
        <w:rPr>
          <w:rFonts w:ascii="Times New Roman;serif" w:hAnsi="Times New Roman;serif"/>
          <w:b w:val="false"/>
          <w:i w:val="false"/>
          <w:caps w:val="false"/>
          <w:smallCaps w:val="false"/>
          <w:sz w:val="20"/>
        </w:rPr>
        <w:t xml:space="preserve">any contract, instruction or written plan for the purchase or sale of Company securities that was intended to satisfy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9C. DISCLOSURE REGARDING FOREIGN JURISDICTIONS THAT PREVENT INSPECTION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10. DIRECTORS, EXECUTIVE OFFICERS AND CORPORATE GOVERNANCE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list of our executive officers and biographical information appears in Part I of this Form 10-K. Information about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directors may be found under the caption “Director Nominees” and “Continuing Directors” in our Proxy Statement for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Annual Meeting of Shareholders to be held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May 7,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z w:val="20"/>
        </w:rPr>
        <w:t xml:space="preserve">(the “Proxy Statement”). Information about our Audit Committee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found under the caption “Board Meetings and Committees” in the Proxy Statement. The foregoing information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herein by reference.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information in the Proxy Statement set forth under the caption “Delinquent Section 16(a) Reports” is incorporated herein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 reference.</w:t>
      </w:r>
    </w:p>
    <w:p>
      <w:pPr>
        <w:pStyle w:val="TextBody"/>
        <w:bidi w:val="0"/>
        <w:spacing w:lineRule="atLeast" w:line="200" w:before="0" w:after="0"/>
        <w:jc w:val="left"/>
        <w:rPr/>
      </w:pPr>
      <w:r>
        <w:rPr>
          <w:rFonts w:ascii="Times New Roman;serif" w:hAnsi="Times New Roman;serif"/>
          <w:b w:val="false"/>
          <w:i w:val="false"/>
          <w:caps w:val="false"/>
          <w:smallCaps w:val="false"/>
          <w:sz w:val="20"/>
        </w:rPr>
        <w:t>We have ado</w:t>
      </w:r>
      <w:r>
        <w:rPr>
          <w:rFonts w:ascii="Times New Roman;serif" w:hAnsi="Times New Roman;serif"/>
          <w:b w:val="false"/>
          <w:i w:val="false"/>
          <w:caps w:val="false"/>
          <w:smallCaps w:val="false"/>
          <w:strike w:val="false"/>
          <w:dstrike w:val="false"/>
          <w:sz w:val="20"/>
          <w:u w:val="none"/>
          <w:effect w:val="none"/>
          <w:shd w:fill="FFFFFF" w:val="clear"/>
        </w:rPr>
        <w:t xml:space="preserve">pted the Corpay Code of Business Conduct and Ethics (the “code of ethics”), which applies to our Chief Executive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Officer, Chief Financial Officer, Chief Accounting Officer, C</w:t>
      </w:r>
      <w:r>
        <w:rPr>
          <w:rFonts w:ascii="Times New Roman;serif" w:hAnsi="Times New Roman;serif"/>
          <w:b w:val="false"/>
          <w:i w:val="false"/>
          <w:caps w:val="false"/>
          <w:smallCaps w:val="false"/>
          <w:sz w:val="20"/>
        </w:rPr>
        <w:t xml:space="preserve">orporate Controller and other finance organization employees.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code of ethics is publicly available on our website at www.corpay.com under Investor Relations. If we make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substantive amendments to the code of ethics or grant any waiver, including any implicit waiver, from a provision of the code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ethics to our Chief Executive Officer, Chief Financial Officer, or Chief Accounting Officer, we will disclose the nature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amendment or waiver on that website or in a report on Form 8-K.</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We have adopted an </w:t>
      </w:r>
      <w:r>
        <w:rPr>
          <w:rFonts w:ascii="Times New Roman;serif" w:hAnsi="Times New Roman;serif"/>
          <w:b w:val="false"/>
          <w:i w:val="false"/>
          <w:caps w:val="false"/>
          <w:smallCaps w:val="false"/>
          <w:strike w:val="false"/>
          <w:dstrike w:val="false"/>
          <w:sz w:val="20"/>
          <w:u w:val="none"/>
          <w:effect w:val="none"/>
        </w:rPr>
        <w:t>Insider Trading Policy</w:t>
      </w:r>
      <w:r>
        <w:rPr>
          <w:caps w:val="false"/>
          <w:smallCaps w:val="false"/>
          <w:sz w:val="24"/>
        </w:rPr>
        <w:t xml:space="preserve"> </w:t>
      </w:r>
      <w:r>
        <w:rPr>
          <w:rFonts w:ascii="Times New Roman;serif" w:hAnsi="Times New Roman;serif"/>
          <w:b w:val="false"/>
          <w:i w:val="false"/>
          <w:caps w:val="false"/>
          <w:smallCaps w:val="false"/>
          <w:sz w:val="20"/>
        </w:rPr>
        <w:t xml:space="preserve">governing the purchase, sale and other dispositions of its securities by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directors, officers, managers and employees that is reasonably designed to promote compliance with insider trading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laws, rules and regulations and NYSE listing standards. The Insider Trading Policy is filed with this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11. EXECUTIVE COMPENSATION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The information in the Proxy Statement set forth under the captions “Director Compensation,”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Named Executive Officer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Compensation,” “Compensation Committee Report,” and “Compensation Committee Interlocks and Insider Participation”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12. SECURITY OWNERSHIP OF CERTAIN BENEFICIAL OWNERS AND MANAGEMENT</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AND RELATED STOCKHOLDER MATTERS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information in the Proxy Statement set forth under the captions “Information Regarding Beneficial Ownership of Principal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Shareholders, Directors, and Management” and “Equity Compensation Plan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13. CERTAIN RELATIONSHIPS AND RELATED TRANSACTIONS, AND DIRECTOR</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INDEPENDENCE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information set forth in the Proxy Statement under the captions “Director Independence” and “Certain Relationships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Related-Party Transactions”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14. PRINCIPAL ACCOUNTANT FEES AND SERVICES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concerning principal accountant fees and services appears in the Proxy Statement under the headings “Fees Billed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Ernst &amp; Young LLP” and “Policy on Audit Committee Pre-Approval of Audit and Permissible Non-Audit Services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Independent Auditor” and is incorporated herein by reference.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15. EXHIBITS AND FINANCIAL STATEMENT SCHEDULES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 Financial Statements and Schedules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financial statements are set forth under Item 8 of this Form 10-K, as indexed below. Financial statement schedules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been omitted since they either are not required, not applicable, or the information is otherwise included.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Index to Financial </w:t>
      </w:r>
    </w:p>
    <w:p>
      <w:pPr>
        <w:pStyle w:val="TextBody"/>
        <w:bidi w:val="0"/>
        <w:spacing w:lineRule="atLeast" w:line="200" w:before="0" w:after="0"/>
        <w:jc w:val="left"/>
        <w:rPr/>
      </w:pPr>
      <w:r>
        <w:rPr>
          <w:rFonts w:ascii="Times New Roman;serif" w:hAnsi="Times New Roman;serif"/>
          <w:b/>
          <w:i w:val="false"/>
          <w:caps w:val="false"/>
          <w:smallCaps w:val="false"/>
          <w:sz w:val="20"/>
        </w:rPr>
        <w:t>Statements</w:t>
      </w:r>
      <w:r>
        <w:rPr>
          <w:caps w:val="false"/>
          <w:smallCaps w:val="false"/>
        </w:rPr>
        <w:t> </w:t>
      </w:r>
    </w:p>
    <w:tbl>
      <w:tblPr>
        <w:tblW w:w="9482" w:type="dxa"/>
        <w:jc w:val="left"/>
        <w:tblInd w:w="0" w:type="dxa"/>
        <w:tblLayout w:type="fixed"/>
        <w:tblCellMar>
          <w:top w:w="28" w:type="dxa"/>
          <w:left w:w="28" w:type="dxa"/>
          <w:bottom w:w="28" w:type="dxa"/>
          <w:right w:w="28" w:type="dxa"/>
        </w:tblCellMar>
      </w:tblPr>
      <w:tblGrid>
        <w:gridCol w:w="8911"/>
        <w:gridCol w:w="571"/>
      </w:tblGrid>
      <w:tr>
        <w:trPr/>
        <w:tc>
          <w:tcPr>
            <w:tcW w:w="89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9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9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571" w:type="dxa"/>
            <w:tcBorders/>
            <w:vAlign w:val="center"/>
          </w:tcPr>
          <w:p>
            <w:pPr>
              <w:pStyle w:val="TableContents"/>
              <w:bidi w:val="0"/>
              <w:spacing w:lineRule="atLeast" w:line="200"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Page</w:t>
            </w:r>
          </w:p>
        </w:tc>
      </w:tr>
      <w:tr>
        <w:trPr/>
        <w:tc>
          <w:tcPr>
            <w:tcW w:w="8911" w:type="dxa"/>
            <w:tcBorders/>
            <w:vAlign w:val="center"/>
          </w:tcPr>
          <w:p>
            <w:pPr>
              <w:pStyle w:val="TableContents"/>
              <w:bidi w:val="0"/>
              <w:spacing w:lineRule="atLeast" w:line="200" w:before="0" w:after="0"/>
              <w:jc w:val="left"/>
              <w:rPr/>
            </w:pPr>
            <w:hyperlink w:anchor="i27d5f920da3f4d0c86f822f7ff119dbf_67">
              <w:r>
                <w:rPr>
                  <w:rStyle w:val="InternetLink"/>
                  <w:rFonts w:ascii="Times New Roman;serif" w:hAnsi="Times New Roman;serif"/>
                  <w:b w:val="false"/>
                  <w:i w:val="false"/>
                  <w:caps w:val="false"/>
                  <w:smallCaps w:val="false"/>
                  <w:color w:val="3051F2"/>
                  <w:sz w:val="20"/>
                  <w:u w:val="single"/>
                </w:rPr>
                <w:t>Report of Independent Registered Public Accounting Firm</w:t>
              </w:r>
            </w:hyperlink>
          </w:p>
        </w:tc>
        <w:tc>
          <w:tcPr>
            <w:tcW w:w="571" w:type="dxa"/>
            <w:tcBorders/>
            <w:vAlign w:val="center"/>
          </w:tcPr>
          <w:p>
            <w:pPr>
              <w:pStyle w:val="TableContents"/>
              <w:bidi w:val="0"/>
              <w:spacing w:lineRule="atLeast" w:line="200" w:before="0" w:after="0"/>
              <w:jc w:val="left"/>
              <w:rPr/>
            </w:pPr>
            <w:hyperlink w:anchor="i27d5f920da3f4d0c86f822f7ff119dbf_67">
              <w:r>
                <w:rPr>
                  <w:rStyle w:val="InternetLink"/>
                  <w:rFonts w:ascii="Times New Roman;serif" w:hAnsi="Times New Roman;serif"/>
                  <w:b w:val="false"/>
                  <w:i w:val="false"/>
                  <w:caps w:val="false"/>
                  <w:smallCaps w:val="false"/>
                  <w:strike w:val="false"/>
                  <w:dstrike w:val="false"/>
                  <w:color w:val="000000"/>
                  <w:sz w:val="20"/>
                  <w:u w:val="none"/>
                  <w:effect w:val="none"/>
                </w:rPr>
                <w:t>61</w:t>
              </w:r>
            </w:hyperlink>
          </w:p>
        </w:tc>
      </w:tr>
      <w:tr>
        <w:trPr/>
        <w:tc>
          <w:tcPr>
            <w:tcW w:w="8911" w:type="dxa"/>
            <w:tcBorders/>
            <w:vAlign w:val="center"/>
          </w:tcPr>
          <w:p>
            <w:pPr>
              <w:pStyle w:val="TableContents"/>
              <w:bidi w:val="0"/>
              <w:spacing w:lineRule="atLeast" w:line="200" w:before="0" w:after="0"/>
              <w:jc w:val="left"/>
              <w:rPr/>
            </w:pPr>
            <w:hyperlink w:anchor="i27d5f920da3f4d0c86f822f7ff119dbf_70">
              <w:r>
                <w:rPr>
                  <w:rStyle w:val="InternetLink"/>
                  <w:rFonts w:ascii="Times New Roman;serif" w:hAnsi="Times New Roman;serif"/>
                  <w:b w:val="false"/>
                  <w:i w:val="false"/>
                  <w:caps w:val="false"/>
                  <w:smallCaps w:val="false"/>
                  <w:color w:val="000080"/>
                  <w:sz w:val="20"/>
                  <w:u w:val="single"/>
                </w:rPr>
                <w:t xml:space="preserve">Consolidated Balance Sheets at </w:t>
              </w:r>
            </w:hyperlink>
            <w:r>
              <w:rPr>
                <w:rFonts w:ascii="Times New Roman;serif" w:hAnsi="Times New Roman;serif"/>
                <w:b w:val="false"/>
                <w:i w:val="false"/>
                <w:caps w:val="false"/>
                <w:smallCaps w:val="false"/>
                <w:color w:val="3051F2"/>
                <w:sz w:val="20"/>
                <w:u w:val="single"/>
              </w:rPr>
              <w:t>December 31, 2025</w:t>
            </w:r>
            <w:hyperlink w:anchor="i27d5f920da3f4d0c86f822f7ff119dbf_70">
              <w:r>
                <w:rPr>
                  <w:rStyle w:val="InternetLink"/>
                  <w:caps w:val="false"/>
                  <w:smallCaps w:val="false"/>
                  <w:color w:val="3051F2"/>
                  <w:sz w:val="24"/>
                  <w:u w:val="single"/>
                </w:rPr>
                <w:t xml:space="preserve"> </w:t>
              </w:r>
            </w:hyperlink>
            <w:hyperlink w:anchor="i27d5f920da3f4d0c86f822f7ff119dbf_70">
              <w:r>
                <w:rPr>
                  <w:rStyle w:val="InternetLink"/>
                  <w:rFonts w:ascii="Times New Roman;serif" w:hAnsi="Times New Roman;serif"/>
                  <w:b w:val="false"/>
                  <w:i w:val="false"/>
                  <w:caps w:val="false"/>
                  <w:smallCaps w:val="false"/>
                  <w:color w:val="3051F2"/>
                  <w:sz w:val="20"/>
                  <w:u w:val="single"/>
                </w:rPr>
                <w:t xml:space="preserve">and </w:t>
              </w:r>
            </w:hyperlink>
            <w:r>
              <w:rPr>
                <w:rFonts w:ascii="Times New Roman;serif" w:hAnsi="Times New Roman;serif"/>
                <w:b w:val="false"/>
                <w:i w:val="false"/>
                <w:caps w:val="false"/>
                <w:smallCaps w:val="false"/>
                <w:color w:val="3051F2"/>
                <w:sz w:val="20"/>
                <w:u w:val="single"/>
              </w:rPr>
              <w:t>2024</w:t>
            </w:r>
          </w:p>
        </w:tc>
        <w:tc>
          <w:tcPr>
            <w:tcW w:w="571" w:type="dxa"/>
            <w:tcBorders/>
            <w:vAlign w:val="center"/>
          </w:tcPr>
          <w:p>
            <w:pPr>
              <w:pStyle w:val="TableContents"/>
              <w:bidi w:val="0"/>
              <w:spacing w:lineRule="atLeast" w:line="200" w:before="0" w:after="0"/>
              <w:jc w:val="left"/>
              <w:rPr/>
            </w:pPr>
            <w:hyperlink w:anchor="i27d5f920da3f4d0c86f822f7ff119dbf_70">
              <w:r>
                <w:rPr>
                  <w:rStyle w:val="InternetLink"/>
                  <w:rFonts w:ascii="Times New Roman;serif" w:hAnsi="Times New Roman;serif"/>
                  <w:b w:val="false"/>
                  <w:i w:val="false"/>
                  <w:caps w:val="false"/>
                  <w:smallCaps w:val="false"/>
                  <w:strike w:val="false"/>
                  <w:dstrike w:val="false"/>
                  <w:color w:val="000000"/>
                  <w:sz w:val="20"/>
                  <w:u w:val="none"/>
                  <w:effect w:val="none"/>
                </w:rPr>
                <w:t>63</w:t>
              </w:r>
            </w:hyperlink>
          </w:p>
        </w:tc>
      </w:tr>
      <w:tr>
        <w:trPr/>
        <w:tc>
          <w:tcPr>
            <w:tcW w:w="8911" w:type="dxa"/>
            <w:tcBorders/>
            <w:vAlign w:val="center"/>
          </w:tcPr>
          <w:p>
            <w:pPr>
              <w:pStyle w:val="TableContents"/>
              <w:bidi w:val="0"/>
              <w:spacing w:lineRule="atLeast" w:line="200" w:before="0" w:after="0"/>
              <w:jc w:val="left"/>
              <w:rPr/>
            </w:pPr>
            <w:hyperlink w:anchor="i27d5f920da3f4d0c86f822f7ff119dbf_73">
              <w:r>
                <w:rPr>
                  <w:rStyle w:val="InternetLink"/>
                  <w:rFonts w:ascii="Times New Roman;serif" w:hAnsi="Times New Roman;serif"/>
                  <w:b w:val="false"/>
                  <w:i w:val="false"/>
                  <w:caps w:val="false"/>
                  <w:smallCaps w:val="false"/>
                  <w:color w:val="000080"/>
                  <w:sz w:val="20"/>
                  <w:u w:val="single"/>
                </w:rPr>
                <w:t xml:space="preserve">Consolidated Statements of Income for the Years Ended </w:t>
              </w:r>
            </w:hyperlink>
            <w:r>
              <w:rPr>
                <w:rFonts w:ascii="Times New Roman;serif" w:hAnsi="Times New Roman;serif"/>
                <w:b w:val="false"/>
                <w:i w:val="false"/>
                <w:caps w:val="false"/>
                <w:smallCaps w:val="false"/>
                <w:color w:val="3051F2"/>
                <w:sz w:val="20"/>
                <w:u w:val="single"/>
              </w:rPr>
              <w:t>December 31, 2025</w:t>
            </w:r>
            <w:hyperlink w:anchor="i27d5f920da3f4d0c86f822f7ff119dbf_73">
              <w:r>
                <w:rPr>
                  <w:rStyle w:val="InternetLink"/>
                  <w:rFonts w:ascii="Times New Roman;serif" w:hAnsi="Times New Roman;serif"/>
                  <w:b w:val="false"/>
                  <w:i w:val="false"/>
                  <w:caps w:val="false"/>
                  <w:smallCaps w:val="false"/>
                  <w:color w:val="000080"/>
                  <w:sz w:val="20"/>
                  <w:u w:val="single"/>
                </w:rPr>
                <w:t xml:space="preserve">, </w:t>
              </w:r>
            </w:hyperlink>
            <w:r>
              <w:rPr>
                <w:rFonts w:ascii="Times New Roman;serif" w:hAnsi="Times New Roman;serif"/>
                <w:b w:val="false"/>
                <w:i w:val="false"/>
                <w:caps w:val="false"/>
                <w:smallCaps w:val="false"/>
                <w:color w:val="3051F2"/>
                <w:sz w:val="20"/>
                <w:u w:val="single"/>
              </w:rPr>
              <w:t>2024</w:t>
            </w:r>
            <w:hyperlink w:anchor="i27d5f920da3f4d0c86f822f7ff119dbf_73">
              <w:r>
                <w:rPr>
                  <w:rStyle w:val="InternetLink"/>
                  <w:caps w:val="false"/>
                  <w:smallCaps w:val="false"/>
                  <w:color w:val="3051F2"/>
                  <w:sz w:val="24"/>
                  <w:u w:val="single"/>
                </w:rPr>
                <w:t xml:space="preserve"> </w:t>
              </w:r>
            </w:hyperlink>
            <w:hyperlink w:anchor="i27d5f920da3f4d0c86f822f7ff119dbf_73">
              <w:r>
                <w:rPr>
                  <w:rStyle w:val="InternetLink"/>
                  <w:rFonts w:ascii="Times New Roman;serif" w:hAnsi="Times New Roman;serif"/>
                  <w:b w:val="false"/>
                  <w:i w:val="false"/>
                  <w:caps w:val="false"/>
                  <w:smallCaps w:val="false"/>
                  <w:color w:val="3051F2"/>
                  <w:sz w:val="20"/>
                  <w:u w:val="single"/>
                </w:rPr>
                <w:t xml:space="preserve">and </w:t>
              </w:r>
            </w:hyperlink>
            <w:r>
              <w:rPr>
                <w:rFonts w:ascii="Times New Roman;serif" w:hAnsi="Times New Roman;serif"/>
                <w:b w:val="false"/>
                <w:i w:val="false"/>
                <w:caps w:val="false"/>
                <w:smallCaps w:val="false"/>
                <w:color w:val="3051F2"/>
                <w:sz w:val="20"/>
                <w:u w:val="single"/>
              </w:rPr>
              <w:t>2023</w:t>
            </w:r>
          </w:p>
        </w:tc>
        <w:tc>
          <w:tcPr>
            <w:tcW w:w="571" w:type="dxa"/>
            <w:tcBorders/>
            <w:vAlign w:val="center"/>
          </w:tcPr>
          <w:p>
            <w:pPr>
              <w:pStyle w:val="TableContents"/>
              <w:bidi w:val="0"/>
              <w:spacing w:lineRule="atLeast" w:line="200" w:before="0" w:after="0"/>
              <w:jc w:val="left"/>
              <w:rPr/>
            </w:pPr>
            <w:hyperlink w:anchor="i27d5f920da3f4d0c86f822f7ff119dbf_73">
              <w:r>
                <w:rPr>
                  <w:rStyle w:val="InternetLink"/>
                  <w:rFonts w:ascii="Times New Roman;serif" w:hAnsi="Times New Roman;serif"/>
                  <w:b w:val="false"/>
                  <w:i w:val="false"/>
                  <w:caps w:val="false"/>
                  <w:smallCaps w:val="false"/>
                  <w:strike w:val="false"/>
                  <w:dstrike w:val="false"/>
                  <w:color w:val="000000"/>
                  <w:sz w:val="20"/>
                  <w:u w:val="none"/>
                  <w:effect w:val="none"/>
                </w:rPr>
                <w:t>64</w:t>
              </w:r>
            </w:hyperlink>
          </w:p>
        </w:tc>
      </w:tr>
      <w:tr>
        <w:trPr/>
        <w:tc>
          <w:tcPr>
            <w:tcW w:w="8911" w:type="dxa"/>
            <w:tcBorders/>
            <w:vAlign w:val="center"/>
          </w:tcPr>
          <w:p>
            <w:pPr>
              <w:pStyle w:val="TableContents"/>
              <w:bidi w:val="0"/>
              <w:spacing w:lineRule="atLeast" w:line="200" w:before="0" w:after="0"/>
              <w:jc w:val="left"/>
              <w:rPr/>
            </w:pPr>
            <w:hyperlink w:anchor="i27d5f920da3f4d0c86f822f7ff119dbf_76">
              <w:r>
                <w:rPr>
                  <w:rStyle w:val="InternetLink"/>
                  <w:rFonts w:ascii="Times New Roman;serif" w:hAnsi="Times New Roman;serif"/>
                  <w:b w:val="false"/>
                  <w:i w:val="false"/>
                  <w:caps w:val="false"/>
                  <w:smallCaps w:val="false"/>
                  <w:color w:val="000080"/>
                  <w:sz w:val="20"/>
                  <w:u w:val="single"/>
                </w:rPr>
                <w:t xml:space="preserve">Consolidated Statements of Comprehensive Income for the Years Ended </w:t>
              </w:r>
            </w:hyperlink>
            <w:r>
              <w:rPr>
                <w:rFonts w:ascii="Times New Roman;serif" w:hAnsi="Times New Roman;serif"/>
                <w:b w:val="false"/>
                <w:i w:val="false"/>
                <w:caps w:val="false"/>
                <w:smallCaps w:val="false"/>
                <w:color w:val="3051F2"/>
                <w:sz w:val="20"/>
                <w:u w:val="single"/>
              </w:rPr>
              <w:t>December 31, 2025</w:t>
            </w:r>
            <w:hyperlink w:anchor="i27d5f920da3f4d0c86f822f7ff119dbf_76">
              <w:r>
                <w:rPr>
                  <w:rStyle w:val="InternetLink"/>
                  <w:rFonts w:ascii="Times New Roman;serif" w:hAnsi="Times New Roman;serif"/>
                  <w:b w:val="false"/>
                  <w:i w:val="false"/>
                  <w:caps w:val="false"/>
                  <w:smallCaps w:val="false"/>
                  <w:color w:val="000080"/>
                  <w:sz w:val="20"/>
                  <w:u w:val="single"/>
                </w:rPr>
                <w:t xml:space="preserve">, </w:t>
              </w:r>
            </w:hyperlink>
            <w:r>
              <w:rPr>
                <w:rFonts w:ascii="Times New Roman;serif" w:hAnsi="Times New Roman;serif"/>
                <w:b w:val="false"/>
                <w:i w:val="false"/>
                <w:caps w:val="false"/>
                <w:smallCaps w:val="false"/>
                <w:color w:val="3051F2"/>
                <w:sz w:val="20"/>
                <w:u w:val="single"/>
              </w:rPr>
              <w:t>2024</w:t>
            </w:r>
            <w:hyperlink w:anchor="i27d5f920da3f4d0c86f822f7ff119dbf_76">
              <w:r>
                <w:rPr>
                  <w:rStyle w:val="InternetLink"/>
                  <w:caps w:val="false"/>
                  <w:smallCaps w:val="false"/>
                  <w:color w:val="3051F2"/>
                  <w:sz w:val="24"/>
                  <w:u w:val="single"/>
                </w:rPr>
                <w:t xml:space="preserve"> </w:t>
              </w:r>
            </w:hyperlink>
            <w:hyperlink w:anchor="i27d5f920da3f4d0c86f822f7ff119dbf_76">
              <w:r>
                <w:rPr>
                  <w:rStyle w:val="InternetLink"/>
                  <w:rFonts w:ascii="Times New Roman;serif" w:hAnsi="Times New Roman;serif"/>
                  <w:b w:val="false"/>
                  <w:i w:val="false"/>
                  <w:caps w:val="false"/>
                  <w:smallCaps w:val="false"/>
                  <w:color w:val="3051F2"/>
                  <w:sz w:val="20"/>
                  <w:u w:val="single"/>
                </w:rPr>
                <w:t xml:space="preserve">and </w:t>
              </w:r>
            </w:hyperlink>
            <w:r>
              <w:rPr>
                <w:rFonts w:ascii="Times New Roman;serif" w:hAnsi="Times New Roman;serif"/>
                <w:b w:val="false"/>
                <w:i w:val="false"/>
                <w:caps w:val="false"/>
                <w:smallCaps w:val="false"/>
                <w:color w:val="3051F2"/>
                <w:sz w:val="20"/>
                <w:u w:val="single"/>
              </w:rPr>
              <w:t>2023</w:t>
            </w:r>
          </w:p>
        </w:tc>
        <w:tc>
          <w:tcPr>
            <w:tcW w:w="571" w:type="dxa"/>
            <w:tcBorders/>
            <w:vAlign w:val="center"/>
          </w:tcPr>
          <w:p>
            <w:pPr>
              <w:pStyle w:val="TableContents"/>
              <w:bidi w:val="0"/>
              <w:spacing w:lineRule="atLeast" w:line="200" w:before="0" w:after="0"/>
              <w:jc w:val="left"/>
              <w:rPr/>
            </w:pPr>
            <w:hyperlink w:anchor="i27d5f920da3f4d0c86f822f7ff119dbf_76">
              <w:r>
                <w:rPr>
                  <w:rStyle w:val="InternetLink"/>
                  <w:rFonts w:ascii="Times New Roman;serif" w:hAnsi="Times New Roman;serif"/>
                  <w:b w:val="false"/>
                  <w:i w:val="false"/>
                  <w:caps w:val="false"/>
                  <w:smallCaps w:val="false"/>
                  <w:strike w:val="false"/>
                  <w:dstrike w:val="false"/>
                  <w:color w:val="000000"/>
                  <w:sz w:val="20"/>
                  <w:u w:val="none"/>
                  <w:effect w:val="none"/>
                </w:rPr>
                <w:t>65</w:t>
              </w:r>
            </w:hyperlink>
          </w:p>
        </w:tc>
      </w:tr>
      <w:tr>
        <w:trPr/>
        <w:tc>
          <w:tcPr>
            <w:tcW w:w="8911" w:type="dxa"/>
            <w:tcBorders/>
            <w:vAlign w:val="center"/>
          </w:tcPr>
          <w:p>
            <w:pPr>
              <w:pStyle w:val="TableContents"/>
              <w:bidi w:val="0"/>
              <w:spacing w:lineRule="atLeast" w:line="200" w:before="0" w:after="0"/>
              <w:jc w:val="left"/>
              <w:rPr/>
            </w:pPr>
            <w:hyperlink w:anchor="i27d5f920da3f4d0c86f822f7ff119dbf_79">
              <w:r>
                <w:rPr>
                  <w:rStyle w:val="InternetLink"/>
                  <w:rFonts w:ascii="Times New Roman;serif" w:hAnsi="Times New Roman;serif"/>
                  <w:b w:val="false"/>
                  <w:i w:val="false"/>
                  <w:caps w:val="false"/>
                  <w:smallCaps w:val="false"/>
                  <w:color w:val="000080"/>
                  <w:sz w:val="20"/>
                  <w:u w:val="single"/>
                </w:rPr>
                <w:t xml:space="preserve">Consolidated Statements of Equity for the Years Ended </w:t>
              </w:r>
            </w:hyperlink>
            <w:r>
              <w:rPr>
                <w:rFonts w:ascii="Times New Roman;serif" w:hAnsi="Times New Roman;serif"/>
                <w:b w:val="false"/>
                <w:i w:val="false"/>
                <w:caps w:val="false"/>
                <w:smallCaps w:val="false"/>
                <w:color w:val="3051F2"/>
                <w:sz w:val="20"/>
                <w:u w:val="single"/>
              </w:rPr>
              <w:t>December 31, 2025</w:t>
            </w:r>
            <w:hyperlink w:anchor="i27d5f920da3f4d0c86f822f7ff119dbf_79">
              <w:r>
                <w:rPr>
                  <w:rStyle w:val="InternetLink"/>
                  <w:rFonts w:ascii="Times New Roman;serif" w:hAnsi="Times New Roman;serif"/>
                  <w:b w:val="false"/>
                  <w:i w:val="false"/>
                  <w:caps w:val="false"/>
                  <w:smallCaps w:val="false"/>
                  <w:color w:val="000080"/>
                  <w:sz w:val="20"/>
                  <w:u w:val="single"/>
                </w:rPr>
                <w:t xml:space="preserve">, </w:t>
              </w:r>
            </w:hyperlink>
            <w:r>
              <w:rPr>
                <w:rFonts w:ascii="Times New Roman;serif" w:hAnsi="Times New Roman;serif"/>
                <w:b w:val="false"/>
                <w:i w:val="false"/>
                <w:caps w:val="false"/>
                <w:smallCaps w:val="false"/>
                <w:color w:val="3051F2"/>
                <w:sz w:val="20"/>
                <w:u w:val="single"/>
              </w:rPr>
              <w:t>2024</w:t>
            </w:r>
            <w:r>
              <w:rPr>
                <w:caps w:val="false"/>
                <w:smallCaps w:val="false"/>
                <w:color w:val="3051F2"/>
                <w:sz w:val="24"/>
                <w:u w:val="single"/>
              </w:rPr>
              <w:t xml:space="preserve"> </w:t>
            </w:r>
            <w:hyperlink w:anchor="i27d5f920da3f4d0c86f822f7ff119dbf_79">
              <w:r>
                <w:rPr>
                  <w:rStyle w:val="InternetLink"/>
                  <w:rFonts w:ascii="Times New Roman;serif" w:hAnsi="Times New Roman;serif"/>
                  <w:b w:val="false"/>
                  <w:i w:val="false"/>
                  <w:caps w:val="false"/>
                  <w:smallCaps w:val="false"/>
                  <w:color w:val="000080"/>
                  <w:sz w:val="20"/>
                  <w:u w:val="single"/>
                </w:rPr>
                <w:t xml:space="preserve">and </w:t>
              </w:r>
            </w:hyperlink>
            <w:r>
              <w:rPr>
                <w:rFonts w:ascii="Times New Roman;serif" w:hAnsi="Times New Roman;serif"/>
                <w:b w:val="false"/>
                <w:i w:val="false"/>
                <w:caps w:val="false"/>
                <w:smallCaps w:val="false"/>
                <w:color w:val="3051F2"/>
                <w:sz w:val="20"/>
                <w:u w:val="single"/>
              </w:rPr>
              <w:t>2023</w:t>
            </w:r>
          </w:p>
        </w:tc>
        <w:tc>
          <w:tcPr>
            <w:tcW w:w="571" w:type="dxa"/>
            <w:tcBorders/>
            <w:vAlign w:val="center"/>
          </w:tcPr>
          <w:p>
            <w:pPr>
              <w:pStyle w:val="TableContents"/>
              <w:bidi w:val="0"/>
              <w:spacing w:lineRule="atLeast" w:line="200" w:before="0" w:after="0"/>
              <w:jc w:val="left"/>
              <w:rPr/>
            </w:pPr>
            <w:hyperlink w:anchor="i27d5f920da3f4d0c86f822f7ff119dbf_79">
              <w:r>
                <w:rPr>
                  <w:rStyle w:val="InternetLink"/>
                  <w:rFonts w:ascii="Times New Roman;serif" w:hAnsi="Times New Roman;serif"/>
                  <w:b w:val="false"/>
                  <w:i w:val="false"/>
                  <w:caps w:val="false"/>
                  <w:smallCaps w:val="false"/>
                  <w:strike w:val="false"/>
                  <w:dstrike w:val="false"/>
                  <w:color w:val="000000"/>
                  <w:sz w:val="20"/>
                  <w:u w:val="none"/>
                  <w:effect w:val="none"/>
                </w:rPr>
                <w:t>66</w:t>
              </w:r>
            </w:hyperlink>
          </w:p>
        </w:tc>
      </w:tr>
      <w:tr>
        <w:trPr/>
        <w:tc>
          <w:tcPr>
            <w:tcW w:w="8911" w:type="dxa"/>
            <w:tcBorders/>
            <w:vAlign w:val="center"/>
          </w:tcPr>
          <w:p>
            <w:pPr>
              <w:pStyle w:val="TableContents"/>
              <w:bidi w:val="0"/>
              <w:spacing w:lineRule="atLeast" w:line="200" w:before="0" w:after="0"/>
              <w:jc w:val="left"/>
              <w:rPr/>
            </w:pPr>
            <w:hyperlink w:anchor="i27d5f920da3f4d0c86f822f7ff119dbf_82">
              <w:r>
                <w:rPr>
                  <w:rStyle w:val="InternetLink"/>
                  <w:rFonts w:ascii="Times New Roman;serif" w:hAnsi="Times New Roman;serif"/>
                  <w:b w:val="false"/>
                  <w:i w:val="false"/>
                  <w:caps w:val="false"/>
                  <w:smallCaps w:val="false"/>
                  <w:color w:val="000080"/>
                  <w:sz w:val="20"/>
                  <w:u w:val="single"/>
                </w:rPr>
                <w:t xml:space="preserve">Consolidated Statements of Cash Flows for the Years Ended </w:t>
              </w:r>
            </w:hyperlink>
            <w:r>
              <w:rPr>
                <w:rFonts w:ascii="Times New Roman;serif" w:hAnsi="Times New Roman;serif"/>
                <w:b w:val="false"/>
                <w:i w:val="false"/>
                <w:caps w:val="false"/>
                <w:smallCaps w:val="false"/>
                <w:color w:val="3051F2"/>
                <w:sz w:val="20"/>
                <w:u w:val="single"/>
              </w:rPr>
              <w:t>December 31, 2025</w:t>
            </w:r>
            <w:hyperlink w:anchor="i27d5f920da3f4d0c86f822f7ff119dbf_82">
              <w:r>
                <w:rPr>
                  <w:rStyle w:val="InternetLink"/>
                  <w:rFonts w:ascii="Times New Roman;serif" w:hAnsi="Times New Roman;serif"/>
                  <w:b w:val="false"/>
                  <w:i w:val="false"/>
                  <w:caps w:val="false"/>
                  <w:smallCaps w:val="false"/>
                  <w:color w:val="000080"/>
                  <w:sz w:val="20"/>
                  <w:u w:val="single"/>
                </w:rPr>
                <w:t xml:space="preserve">, </w:t>
              </w:r>
            </w:hyperlink>
            <w:r>
              <w:rPr>
                <w:rFonts w:ascii="Times New Roman;serif" w:hAnsi="Times New Roman;serif"/>
                <w:b w:val="false"/>
                <w:i w:val="false"/>
                <w:caps w:val="false"/>
                <w:smallCaps w:val="false"/>
                <w:color w:val="3051F2"/>
                <w:sz w:val="20"/>
                <w:u w:val="single"/>
              </w:rPr>
              <w:t>2024</w:t>
            </w:r>
            <w:hyperlink w:anchor="i27d5f920da3f4d0c86f822f7ff119dbf_82">
              <w:r>
                <w:rPr>
                  <w:rStyle w:val="InternetLink"/>
                  <w:caps w:val="false"/>
                  <w:smallCaps w:val="false"/>
                  <w:color w:val="3051F2"/>
                  <w:sz w:val="24"/>
                  <w:u w:val="single"/>
                </w:rPr>
                <w:t xml:space="preserve"> </w:t>
              </w:r>
            </w:hyperlink>
            <w:hyperlink w:anchor="i27d5f920da3f4d0c86f822f7ff119dbf_82">
              <w:r>
                <w:rPr>
                  <w:rStyle w:val="InternetLink"/>
                  <w:rFonts w:ascii="Times New Roman;serif" w:hAnsi="Times New Roman;serif"/>
                  <w:b w:val="false"/>
                  <w:i w:val="false"/>
                  <w:caps w:val="false"/>
                  <w:smallCaps w:val="false"/>
                  <w:color w:val="3051F2"/>
                  <w:sz w:val="20"/>
                  <w:u w:val="single"/>
                </w:rPr>
                <w:t xml:space="preserve">and </w:t>
              </w:r>
            </w:hyperlink>
            <w:r>
              <w:rPr>
                <w:rFonts w:ascii="Times New Roman;serif" w:hAnsi="Times New Roman;serif"/>
                <w:b w:val="false"/>
                <w:i w:val="false"/>
                <w:caps w:val="false"/>
                <w:smallCaps w:val="false"/>
                <w:color w:val="3051F2"/>
                <w:sz w:val="20"/>
                <w:u w:val="single"/>
              </w:rPr>
              <w:t>2023</w:t>
            </w:r>
          </w:p>
        </w:tc>
        <w:tc>
          <w:tcPr>
            <w:tcW w:w="571" w:type="dxa"/>
            <w:tcBorders/>
            <w:vAlign w:val="center"/>
          </w:tcPr>
          <w:p>
            <w:pPr>
              <w:pStyle w:val="TableContents"/>
              <w:bidi w:val="0"/>
              <w:spacing w:lineRule="atLeast" w:line="200" w:before="0" w:after="0"/>
              <w:jc w:val="left"/>
              <w:rPr/>
            </w:pPr>
            <w:hyperlink w:anchor="i27d5f920da3f4d0c86f822f7ff119dbf_82">
              <w:r>
                <w:rPr>
                  <w:rStyle w:val="InternetLink"/>
                  <w:rFonts w:ascii="Times New Roman;serif" w:hAnsi="Times New Roman;serif"/>
                  <w:b w:val="false"/>
                  <w:i w:val="false"/>
                  <w:caps w:val="false"/>
                  <w:smallCaps w:val="false"/>
                  <w:strike w:val="false"/>
                  <w:dstrike w:val="false"/>
                  <w:color w:val="000000"/>
                  <w:sz w:val="20"/>
                  <w:u w:val="none"/>
                  <w:effect w:val="none"/>
                </w:rPr>
                <w:t>67</w:t>
              </w:r>
            </w:hyperlink>
          </w:p>
        </w:tc>
      </w:tr>
      <w:tr>
        <w:trPr/>
        <w:tc>
          <w:tcPr>
            <w:tcW w:w="8911" w:type="dxa"/>
            <w:tcBorders/>
            <w:vAlign w:val="center"/>
          </w:tcPr>
          <w:p>
            <w:pPr>
              <w:pStyle w:val="TableContents"/>
              <w:bidi w:val="0"/>
              <w:spacing w:lineRule="atLeast" w:line="200" w:before="0" w:after="0"/>
              <w:jc w:val="left"/>
              <w:rPr/>
            </w:pPr>
            <w:hyperlink w:anchor="i27d5f920da3f4d0c86f822f7ff119dbf_85">
              <w:r>
                <w:rPr>
                  <w:rStyle w:val="InternetLink"/>
                  <w:rFonts w:ascii="Times New Roman;serif" w:hAnsi="Times New Roman;serif"/>
                  <w:b w:val="false"/>
                  <w:i w:val="false"/>
                  <w:caps w:val="false"/>
                  <w:smallCaps w:val="false"/>
                  <w:color w:val="3051F2"/>
                  <w:sz w:val="20"/>
                  <w:u w:val="single"/>
                </w:rPr>
                <w:t>Notes to Consolidated Financial Statements</w:t>
              </w:r>
            </w:hyperlink>
          </w:p>
        </w:tc>
        <w:tc>
          <w:tcPr>
            <w:tcW w:w="571" w:type="dxa"/>
            <w:tcBorders/>
            <w:vAlign w:val="center"/>
          </w:tcPr>
          <w:p>
            <w:pPr>
              <w:pStyle w:val="TableContents"/>
              <w:bidi w:val="0"/>
              <w:spacing w:lineRule="atLeast" w:line="200" w:before="0" w:after="0"/>
              <w:jc w:val="left"/>
              <w:rPr/>
            </w:pPr>
            <w:hyperlink w:anchor="i27d5f920da3f4d0c86f822f7ff119dbf_85">
              <w:r>
                <w:rPr>
                  <w:rStyle w:val="InternetLink"/>
                  <w:rFonts w:ascii="Times New Roman;serif" w:hAnsi="Times New Roman;serif"/>
                  <w:b w:val="false"/>
                  <w:i w:val="false"/>
                  <w:caps w:val="false"/>
                  <w:smallCaps w:val="false"/>
                  <w:strike w:val="false"/>
                  <w:dstrike w:val="false"/>
                  <w:color w:val="000000"/>
                  <w:sz w:val="20"/>
                  <w:u w:val="none"/>
                  <w:effect w:val="none"/>
                </w:rPr>
                <w:t>68</w:t>
              </w:r>
            </w:hyperlink>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(b) Exhibit </w:t>
      </w:r>
      <w:r>
        <w:rPr>
          <w:rFonts w:ascii="Times New Roman;serif" w:hAnsi="Times New Roman;serif"/>
          <w:b/>
          <w:i w:val="false"/>
          <w:caps w:val="false"/>
          <w:smallCaps w:val="false"/>
          <w:strike w:val="false"/>
          <w:dstrike w:val="false"/>
          <w:sz w:val="20"/>
          <w:u w:val="none"/>
          <w:effect w:val="none"/>
        </w:rPr>
        <w:t>Listing</w:t>
      </w:r>
    </w:p>
    <w:tbl>
      <w:tblPr>
        <w:tblW w:w="10187" w:type="dxa"/>
        <w:jc w:val="left"/>
        <w:tblInd w:w="0" w:type="dxa"/>
        <w:tblLayout w:type="fixed"/>
        <w:tblCellMar>
          <w:top w:w="28" w:type="dxa"/>
          <w:left w:w="28" w:type="dxa"/>
          <w:bottom w:w="28" w:type="dxa"/>
          <w:right w:w="28" w:type="dxa"/>
        </w:tblCellMar>
      </w:tblPr>
      <w:tblGrid>
        <w:gridCol w:w="796"/>
        <w:gridCol w:w="9391"/>
      </w:tblGrid>
      <w:tr>
        <w:trPr/>
        <w:tc>
          <w:tcPr>
            <w:tcW w:w="796"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7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Exhibit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no.</w:t>
            </w:r>
          </w:p>
        </w:tc>
        <w:tc>
          <w:tcPr>
            <w:tcW w:w="939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hyperlink r:id="rId3">
              <w:r>
                <w:rPr>
                  <w:rStyle w:val="InternetLink"/>
                  <w:rFonts w:ascii="Times New Roman;serif" w:hAnsi="Times New Roman;serif"/>
                  <w:b w:val="false"/>
                  <w:i w:val="false"/>
                  <w:caps w:val="false"/>
                  <w:smallCaps w:val="false"/>
                  <w:color w:val="0000FF"/>
                  <w:sz w:val="20"/>
                  <w:u w:val="single"/>
                </w:rPr>
                <w:t>3.1</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Amended and Restated Certificate of Incorporation of FLEETCOR Technologies, Inc., now known as Corpay,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 conformed to reflect amendments through June 9, 2022 (incorporated by reference to Exhibit 3.1 to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registrant’s Annual Report on Form 10-K, File No. 001-35004, filed with the SEC on February 28, 2023) </w:t>
            </w:r>
          </w:p>
        </w:tc>
      </w:tr>
      <w:tr>
        <w:trPr/>
        <w:tc>
          <w:tcPr>
            <w:tcW w:w="796"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pPr>
            <w:hyperlink r:id="rId4">
              <w:r>
                <w:rPr>
                  <w:rStyle w:val="InternetLink"/>
                  <w:rFonts w:ascii="Times New Roman;serif" w:hAnsi="Times New Roman;serif"/>
                  <w:b w:val="false"/>
                  <w:i w:val="false"/>
                  <w:caps w:val="false"/>
                  <w:smallCaps w:val="false"/>
                  <w:color w:val="0000FF"/>
                  <w:sz w:val="20"/>
                  <w:u w:val="single"/>
                </w:rPr>
                <w:t>3.2</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Certificate of Ownership and Merger Merging CPAY Merger Sub, Inc. into FLEETCOR Technologies, Inc.,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 on March 24, 2024 (incorporated by reference to Exhibit 3.1 to the registrant’s Current Report on Form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8-K, File No. 001-35004, filed with the SEC on March 12, 2024)</w:t>
            </w:r>
          </w:p>
        </w:tc>
      </w:tr>
      <w:tr>
        <w:trPr/>
        <w:tc>
          <w:tcPr>
            <w:tcW w:w="796"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pPr>
            <w:hyperlink r:id="rId5">
              <w:r>
                <w:rPr>
                  <w:rStyle w:val="InternetLink"/>
                  <w:rFonts w:ascii="Times New Roman;serif" w:hAnsi="Times New Roman;serif"/>
                  <w:b w:val="false"/>
                  <w:i w:val="false"/>
                  <w:caps w:val="false"/>
                  <w:smallCaps w:val="false"/>
                  <w:color w:val="0000FF"/>
                  <w:sz w:val="20"/>
                  <w:u w:val="single"/>
                </w:rPr>
                <w:t>3.3</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 Inc. Amended and Restated Bylaws, effective as of March 24, 2024 (incorporated by reference to Exhibit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 to the registrant's Form 8-K, File No. 001-35004, filed with the SEC on March 12, 2024)</w:t>
            </w:r>
          </w:p>
        </w:tc>
      </w:tr>
      <w:tr>
        <w:trPr/>
        <w:tc>
          <w:tcPr>
            <w:tcW w:w="796"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pPr>
            <w:hyperlink r:id="rId6">
              <w:r>
                <w:rPr>
                  <w:rStyle w:val="InternetLink"/>
                  <w:rFonts w:ascii="Times New Roman;serif" w:hAnsi="Times New Roman;serif"/>
                  <w:b w:val="false"/>
                  <w:i w:val="false"/>
                  <w:caps w:val="false"/>
                  <w:smallCaps w:val="false"/>
                  <w:color w:val="3051F2"/>
                  <w:sz w:val="20"/>
                  <w:u w:val="single"/>
                </w:rPr>
                <w:t>4.1</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Form of Stock Certificate for Common Stock (incorporated by reference to Exhibit 4.1 to Amendment No. 3 to the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registrant’s Registration Statement on Form S-1, File No. 333-166092, filed with the SEC on June 29, 2010)</w:t>
            </w:r>
          </w:p>
        </w:tc>
      </w:tr>
      <w:tr>
        <w:trPr/>
        <w:tc>
          <w:tcPr>
            <w:tcW w:w="796"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pPr>
            <w:hyperlink r:id="rId7">
              <w:r>
                <w:rPr>
                  <w:rStyle w:val="InternetLink"/>
                  <w:rFonts w:ascii="Times New Roman;serif" w:hAnsi="Times New Roman;serif"/>
                  <w:b w:val="false"/>
                  <w:i w:val="false"/>
                  <w:caps w:val="false"/>
                  <w:smallCaps w:val="false"/>
                  <w:color w:val="3051F2"/>
                  <w:sz w:val="20"/>
                  <w:u w:val="single"/>
                </w:rPr>
                <w:t>4.2</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Description of FLEETCOR Technologies, Inc. Common Stock Registered under Section 12 of the Securities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Exchange Act (incorporated by reference to Exhibit 4.2 to the registrant’s Form 10-K, File No. 001-35004, filed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the SEC on March 2, 2020)</w:t>
            </w:r>
          </w:p>
        </w:tc>
      </w:tr>
      <w:tr>
        <w:trPr/>
        <w:tc>
          <w:tcPr>
            <w:tcW w:w="796"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pPr>
            <w:hyperlink r:id="rId8">
              <w:r>
                <w:rPr>
                  <w:rStyle w:val="InternetLink"/>
                  <w:rFonts w:ascii="Times New Roman;serif" w:hAnsi="Times New Roman;serif"/>
                  <w:b w:val="false"/>
                  <w:i w:val="false"/>
                  <w:caps w:val="false"/>
                  <w:smallCaps w:val="false"/>
                  <w:color w:val="3051F2"/>
                  <w:sz w:val="20"/>
                  <w:u w:val="single"/>
                </w:rPr>
                <w:t>10.1*</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Indemnity Agreement entered into between Corpay and its directors and executive officers (incorporated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reference to Exhibit 10.1 to Amendment No. 3 to the registrant’s Registration Statement on Form S-1,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333-166092, filed with the SEC on June 29, 2010)</w:t>
            </w:r>
          </w:p>
        </w:tc>
      </w:tr>
      <w:tr>
        <w:trPr/>
        <w:tc>
          <w:tcPr>
            <w:tcW w:w="10187" w:type="dxa"/>
            <w:gridSpan w:val="2"/>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pPr>
            <w:hyperlink r:id="rId9">
              <w:r>
                <w:rPr>
                  <w:rStyle w:val="InternetLink"/>
                  <w:rFonts w:ascii="Times New Roman;serif" w:hAnsi="Times New Roman;serif"/>
                  <w:b w:val="false"/>
                  <w:i w:val="false"/>
                  <w:caps w:val="false"/>
                  <w:smallCaps w:val="false"/>
                  <w:color w:val="0000FF"/>
                  <w:sz w:val="20"/>
                  <w:u w:val="single"/>
                </w:rPr>
                <w:t>10.2*</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Incentive Stock Option Award Agreement pursuant to the FLEETCOR Technologies, Inc. Amended and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Restated Stock Incentive Plan (incorporated by reference to Exhibit 10.7 to Amendment No. 1 to the registrant’s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Registration Statement on Form S-1, File No. 333-166092, filed with the SEC on May 20, 2010)</w:t>
            </w:r>
          </w:p>
        </w:tc>
      </w:tr>
      <w:tr>
        <w:trPr/>
        <w:tc>
          <w:tcPr>
            <w:tcW w:w="10187" w:type="dxa"/>
            <w:gridSpan w:val="2"/>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pPr>
            <w:hyperlink r:id="rId10">
              <w:r>
                <w:rPr>
                  <w:rStyle w:val="InternetLink"/>
                  <w:rFonts w:ascii="Times New Roman;serif" w:hAnsi="Times New Roman;serif"/>
                  <w:b w:val="false"/>
                  <w:i w:val="false"/>
                  <w:caps w:val="false"/>
                  <w:smallCaps w:val="false"/>
                  <w:color w:val="0000FF"/>
                  <w:sz w:val="20"/>
                  <w:u w:val="single"/>
                </w:rPr>
                <w:t>10.3*</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Non-Qualified Stock Option Award Agreement pursuant to the FLEETCOR Technologies, Inc. Amended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Restated Stock Incentive Plan (incorporated by reference to Exhibit 10.8 to Amendment No. 1 to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Registration Statement on Form S-1, File No. 333-166092, filed with the SEC on May 20, 2010)</w:t>
            </w:r>
          </w:p>
        </w:tc>
      </w:tr>
      <w:tr>
        <w:trPr/>
        <w:tc>
          <w:tcPr>
            <w:tcW w:w="10187" w:type="dxa"/>
            <w:gridSpan w:val="2"/>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pPr>
            <w:hyperlink r:id="rId11">
              <w:r>
                <w:rPr>
                  <w:rStyle w:val="InternetLink"/>
                  <w:rFonts w:ascii="Times New Roman;serif" w:hAnsi="Times New Roman;serif"/>
                  <w:b w:val="false"/>
                  <w:i w:val="false"/>
                  <w:caps w:val="false"/>
                  <w:smallCaps w:val="false"/>
                  <w:color w:val="0000FF"/>
                  <w:sz w:val="20"/>
                  <w:u w:val="single"/>
                </w:rPr>
                <w:t>10.4*</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Performance Share Restricted Stock Agreement pursuant to the FLEETCOR Technologies, Inc. Amended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Restated Stock Incentive Plan (incorporated by reference to Exhibit 10.9 to Amendment No. 1 to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Registration Statement on Form S-1, File No. 333-166092, filed with the SEC on May 20, 2010)</w:t>
            </w:r>
          </w:p>
        </w:tc>
      </w:tr>
      <w:tr>
        <w:trPr/>
        <w:tc>
          <w:tcPr>
            <w:tcW w:w="10187" w:type="dxa"/>
            <w:gridSpan w:val="2"/>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pPr>
            <w:hyperlink r:id="rId12">
              <w:r>
                <w:rPr>
                  <w:rStyle w:val="InternetLink"/>
                  <w:rFonts w:ascii="Times New Roman;serif" w:hAnsi="Times New Roman;serif"/>
                  <w:b w:val="false"/>
                  <w:i w:val="false"/>
                  <w:caps w:val="false"/>
                  <w:smallCaps w:val="false"/>
                  <w:color w:val="0000FF"/>
                  <w:sz w:val="20"/>
                  <w:u w:val="single"/>
                </w:rPr>
                <w:t>10.5*</w:t>
              </w:r>
            </w:hyperlink>
          </w:p>
        </w:tc>
        <w:tc>
          <w:tcPr>
            <w:tcW w:w="93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FLEETCOR Technologies, Inc. Annual Executive Bonus Program (incorporated by reference to Exhibit 10.11 to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Amendment No. 2 to the registrant’s Registration Statement on Form S-1, File No. 333-166092,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June 8, 2010)</w:t>
            </w:r>
          </w:p>
        </w:tc>
      </w:tr>
      <w:tr>
        <w:trPr/>
        <w:tc>
          <w:tcPr>
            <w:tcW w:w="10187"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w:t>
      </w:r>
    </w:p>
    <w:tbl>
      <w:tblPr>
        <w:tblW w:w="10022" w:type="dxa"/>
        <w:jc w:val="left"/>
        <w:tblInd w:w="0" w:type="dxa"/>
        <w:tblLayout w:type="fixed"/>
        <w:tblCellMar>
          <w:top w:w="28" w:type="dxa"/>
          <w:left w:w="28" w:type="dxa"/>
          <w:bottom w:w="28" w:type="dxa"/>
          <w:right w:w="28" w:type="dxa"/>
        </w:tblCellMar>
      </w:tblPr>
      <w:tblGrid>
        <w:gridCol w:w="691"/>
        <w:gridCol w:w="9331"/>
      </w:tblGrid>
      <w:tr>
        <w:trPr/>
        <w:tc>
          <w:tcPr>
            <w:tcW w:w="691" w:type="dxa"/>
            <w:tcBorders/>
            <w:vAlign w:val="center"/>
          </w:tcPr>
          <w:p>
            <w:pPr>
              <w:pStyle w:val="TableContents"/>
              <w:bidi w:val="0"/>
              <w:spacing w:before="0" w:after="283"/>
              <w:jc w:val="left"/>
              <w:rPr>
                <w:sz w:val="4"/>
                <w:szCs w:val="4"/>
              </w:rPr>
            </w:pPr>
            <w:r>
              <w:rPr>
                <w:sz w:val="4"/>
                <w:szCs w:val="4"/>
              </w:rPr>
            </w:r>
          </w:p>
        </w:tc>
        <w:tc>
          <w:tcPr>
            <w:tcW w:w="933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13">
              <w:r>
                <w:rPr>
                  <w:rStyle w:val="InternetLink"/>
                  <w:rFonts w:ascii="Times New Roman;serif" w:hAnsi="Times New Roman;serif"/>
                  <w:b w:val="false"/>
                  <w:i w:val="false"/>
                  <w:caps w:val="false"/>
                  <w:smallCaps w:val="false"/>
                  <w:color w:val="0000FF"/>
                  <w:sz w:val="20"/>
                  <w:u w:val="single"/>
                </w:rPr>
                <w:t>10.6*</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Employee Noncompetition, Nondisclosure and Developments Agreement, dated September 25, 2000, between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Fleetman, Inc. and Ronald F. Clarke (incorporated by reference to Exhibit 10.12 to Amendment No. 2 to the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registrant’s Registration Statement on Form S-1, File No. 333-166092, filed with the SEC on June 8, 2010)</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14">
              <w:r>
                <w:rPr>
                  <w:rStyle w:val="InternetLink"/>
                  <w:rFonts w:ascii="Times New Roman;serif" w:hAnsi="Times New Roman;serif"/>
                  <w:b w:val="false"/>
                  <w:i w:val="false"/>
                  <w:caps w:val="false"/>
                  <w:smallCaps w:val="false"/>
                  <w:color w:val="0000FF"/>
                  <w:sz w:val="20"/>
                  <w:u w:val="single"/>
                </w:rPr>
                <w:t>10.7</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Indemnity Agreement to be entered into between Corpay and representatives of its major stockholders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(incorporated by reference to Exhibit 10.37 to Amendment No. 3 to the registrant’s Registration Statement on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 S-1, File No. 333-166092, filed with the SEC on June 29, 2010)</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15">
              <w:r>
                <w:rPr>
                  <w:rStyle w:val="InternetLink"/>
                  <w:rFonts w:ascii="Times New Roman;serif" w:hAnsi="Times New Roman;serif"/>
                  <w:b w:val="false"/>
                  <w:i w:val="false"/>
                  <w:caps w:val="false"/>
                  <w:smallCaps w:val="false"/>
                  <w:color w:val="0000FF"/>
                  <w:sz w:val="20"/>
                  <w:u w:val="single"/>
                </w:rPr>
                <w:t>10.8</w:t>
              </w:r>
            </w:hyperlink>
            <w:r>
              <w:rPr>
                <w:rFonts w:ascii="Times New Roman;serif" w:hAnsi="Times New Roman;serif"/>
                <w:b w:val="false"/>
                <w:i w:val="false"/>
                <w:caps w:val="false"/>
                <w:smallCaps w:val="false"/>
                <w:sz w:val="20"/>
              </w:rPr>
              <w:t>*</w:t>
            </w:r>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Director Restricted Stock Grant Agreement pursuant to the FLEETCOR Technologies, Inc. 2010 Equity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Compensation Plan (incorporated by reference to Exhibit 10.38 to Amendment No. 6 to the registrant’s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Registration Statement on Form S-1, File No. 333-166092, filed with the SEC on November 30, 2010)</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16">
              <w:r>
                <w:rPr>
                  <w:rStyle w:val="InternetLink"/>
                  <w:rFonts w:ascii="Times New Roman;serif" w:hAnsi="Times New Roman;serif"/>
                  <w:b w:val="false"/>
                  <w:i w:val="false"/>
                  <w:caps w:val="false"/>
                  <w:smallCaps w:val="false"/>
                  <w:color w:val="0000FF"/>
                  <w:sz w:val="20"/>
                  <w:u w:val="single"/>
                </w:rPr>
                <w:t>10.9*</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Employee Performance Share Restricted Stock Agreement pursuant to the FLEETCOR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 2010 Equity Compensation Plan (incorporated by reference to Exhibit 10.39 to Amendment No. 6 to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Registration Statement on Form S-1, File No. 333-166092, filed with the SEC on November 30, 2010)</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17">
              <w:r>
                <w:rPr>
                  <w:rStyle w:val="InternetLink"/>
                  <w:rFonts w:ascii="Times New Roman;serif" w:hAnsi="Times New Roman;serif"/>
                  <w:b w:val="false"/>
                  <w:i w:val="false"/>
                  <w:caps w:val="false"/>
                  <w:smallCaps w:val="false"/>
                  <w:color w:val="0000FF"/>
                  <w:sz w:val="20"/>
                  <w:u w:val="single"/>
                </w:rPr>
                <w:t>10.10*</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Employee Incentive Stock Option Award Agreement pursuant to the FLEETCOR Technologies, Inc.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2010 Equity Compensation Plan (incorporated by reference to Exhibit 10.40 to Amendment No. 6 to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Registration Statement on Form S-1, File No. 333-166092, filed with the SEC on November 30, 2010)</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18">
              <w:r>
                <w:rPr>
                  <w:rStyle w:val="InternetLink"/>
                  <w:rFonts w:ascii="Times New Roman;serif" w:hAnsi="Times New Roman;serif"/>
                  <w:b w:val="false"/>
                  <w:i w:val="false"/>
                  <w:caps w:val="false"/>
                  <w:smallCaps w:val="false"/>
                  <w:color w:val="0000FF"/>
                  <w:sz w:val="20"/>
                  <w:u w:val="single"/>
                </w:rPr>
                <w:t>10.11*</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Employee Non-Qualified Stock Option Award Agreement pursuant to the FLEETCOR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 2010 Equity Compensation Plan (incorporated by reference to Exhibit 10.41 to Amendment No. 6 to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Registration Statement on Form S-1, File No. 333-166092, filed with the SEC on November 30, 2010)</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19">
              <w:r>
                <w:rPr>
                  <w:rStyle w:val="InternetLink"/>
                  <w:rFonts w:ascii="Times New Roman;serif" w:hAnsi="Times New Roman;serif"/>
                  <w:b w:val="false"/>
                  <w:i w:val="false"/>
                  <w:caps w:val="false"/>
                  <w:smallCaps w:val="false"/>
                  <w:color w:val="0000FF"/>
                  <w:sz w:val="20"/>
                  <w:u w:val="single"/>
                </w:rPr>
                <w:t>10.12</w:t>
              </w:r>
            </w:hyperlink>
            <w:r>
              <w:rPr>
                <w:rFonts w:ascii="Times New Roman;serif" w:hAnsi="Times New Roman;serif"/>
                <w:b w:val="false"/>
                <w:i w:val="false"/>
                <w:caps w:val="false"/>
                <w:smallCaps w:val="false"/>
                <w:sz w:val="20"/>
              </w:rPr>
              <w:t>*</w:t>
            </w:r>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of Director Non-Qualified Stock Option Award Agreement pursuant to the FLEETCOR Technologies, Inc.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2010 Equity Compensation Plan (incorporated by reference to Exhibit 10.42 to Amendment No. 6 to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Registration Statement on Form S-1, File No. 333-166092, filed with the SEC on November 30, 2010)</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0">
              <w:r>
                <w:rPr>
                  <w:rStyle w:val="InternetLink"/>
                  <w:rFonts w:ascii="Times New Roman;serif" w:hAnsi="Times New Roman;serif"/>
                  <w:b w:val="false"/>
                  <w:i w:val="false"/>
                  <w:caps w:val="false"/>
                  <w:smallCaps w:val="false"/>
                  <w:color w:val="0000FF"/>
                  <w:sz w:val="20"/>
                  <w:u w:val="single"/>
                </w:rPr>
                <w:t>10.13*</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Amended and Restated Employee Noncompetition, Nondisclosure and Developments Agreement, dated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November 29, 2010, between FLEETCOR Technologies, Inc. and Ronald F. Clarke (incorporated by reference to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Exhibit No. 10.43 to Amendment No. 6 to the registrant’s Registration Statement on Form S-1,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333-166092, filed with the SEC on November 30, 2010)</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1">
              <w:r>
                <w:rPr>
                  <w:rStyle w:val="InternetLink"/>
                  <w:rFonts w:ascii="Times New Roman;serif" w:hAnsi="Times New Roman;serif"/>
                  <w:b w:val="false"/>
                  <w:i w:val="false"/>
                  <w:caps w:val="false"/>
                  <w:smallCaps w:val="false"/>
                  <w:color w:val="0000FF"/>
                  <w:sz w:val="20"/>
                  <w:u w:val="single"/>
                </w:rPr>
                <w:t>10.14</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Arrangement Agreement Among FLEETCOR Luxembourg Holdings2 S.À.R.L, FLEETCOR Technologies, Inc.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CTF Technologies, Inc. (incorporated by reference to Exhibit 10.1 to the registrant’s Form 10-Q,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001-35004, filed with the SEC on May 10, 2012)</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2">
              <w:r>
                <w:rPr>
                  <w:rStyle w:val="InternetLink"/>
                  <w:rFonts w:ascii="Times New Roman;serif" w:hAnsi="Times New Roman;serif"/>
                  <w:b w:val="false"/>
                  <w:i w:val="false"/>
                  <w:caps w:val="false"/>
                  <w:smallCaps w:val="false"/>
                  <w:color w:val="0000FF"/>
                  <w:sz w:val="20"/>
                  <w:u w:val="single"/>
                </w:rPr>
                <w:t>10.15</w:t>
              </w:r>
            </w:hyperlink>
            <w:r>
              <w:rPr>
                <w:rFonts w:ascii="Times New Roman;serif" w:hAnsi="Times New Roman;serif"/>
                <w:b w:val="false"/>
                <w:i w:val="false"/>
                <w:caps w:val="false"/>
                <w:smallCaps w:val="false"/>
                <w:sz w:val="20"/>
              </w:rPr>
              <w:t>*</w:t>
            </w:r>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Corpay 2010 Equity Compensation Plan, as amended and restated effective April 13, 2022 (incorporated by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reference to Exhibit No. 10.17 to the registrant's Form 10-K, File No. 001-35004, filed with the SEC on February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28, 2023)</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erif" w:hAnsi="Times New Roman;serif"/>
                <w:color w:val="0000FF"/>
              </w:rPr>
              <w:instrText xml:space="preserve"> HYPERLINK "https://www.sec.gov/Archives/edgar/data/1175454/000119312514147981/d634148ddef14a.htm" \l "toc634148_19"</w:instrText>
            </w:r>
            <w:r>
              <w:rPr>
                <w:rStyle w:val="InternetLink"/>
                <w:smallCaps w:val="false"/>
                <w:caps w:val="false"/>
                <w:sz w:val="20"/>
                <w:i w:val="false"/>
                <w:u w:val="single"/>
                <w:b w:val="false"/>
                <w:rFonts w:ascii="Times New Roman;serif" w:hAnsi="Times New Roman;serif"/>
                <w:color w:val="0000FF"/>
              </w:rPr>
              <w:fldChar w:fldCharType="separate"/>
            </w:r>
            <w:r>
              <w:rPr>
                <w:rStyle w:val="InternetLink"/>
                <w:rFonts w:ascii="Times New Roman;serif" w:hAnsi="Times New Roman;serif"/>
                <w:b w:val="false"/>
                <w:i w:val="false"/>
                <w:caps w:val="false"/>
                <w:smallCaps w:val="false"/>
                <w:color w:val="0000FF"/>
                <w:sz w:val="20"/>
                <w:u w:val="single"/>
              </w:rPr>
              <w:t>10.16</w:t>
            </w:r>
            <w:r>
              <w:rPr>
                <w:rStyle w:val="InternetLink"/>
                <w:smallCaps w:val="false"/>
                <w:caps w:val="false"/>
                <w:sz w:val="20"/>
                <w:i w:val="false"/>
                <w:u w:val="single"/>
                <w:b w:val="false"/>
                <w:rFonts w:ascii="Times New Roman;serif" w:hAnsi="Times New Roman;serif"/>
                <w:color w:val="0000FF"/>
              </w:rPr>
              <w:fldChar w:fldCharType="end"/>
            </w:r>
            <w:r>
              <w:rPr>
                <w:rFonts w:ascii="Times New Roman;serif" w:hAnsi="Times New Roman;serif"/>
                <w:b w:val="false"/>
                <w:i w:val="false"/>
                <w:caps w:val="false"/>
                <w:smallCaps w:val="false"/>
                <w:sz w:val="20"/>
              </w:rPr>
              <w:t>*</w:t>
            </w:r>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FLEETCOR Technologies, Inc. Section 162(M) Performance—Based Program (incorporated by reference to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Annex A to the registrant’s Proxy Statement, File No. 001-35004, filed with the SEC on April 18, 2014)</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3">
              <w:r>
                <w:rPr>
                  <w:rStyle w:val="InternetLink"/>
                  <w:rFonts w:ascii="Times New Roman;serif" w:hAnsi="Times New Roman;serif"/>
                  <w:b w:val="false"/>
                  <w:i w:val="false"/>
                  <w:caps w:val="false"/>
                  <w:smallCaps w:val="false"/>
                  <w:color w:val="0000FF"/>
                  <w:sz w:val="20"/>
                  <w:u w:val="single"/>
                </w:rPr>
                <w:t>10.17*</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FLEETCOR Technologies, Inc. Amended and Restated 2010 Equity Compensation Plan, Key Employee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Performance-Based Stock Option Certification to Ronald F. Clarke, dated September 30, 2021(incorporated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to Exhibit 10.4 to the registrant's Form 10-Q, File No. 001-35004, filed with the SEC on November 9,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33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4">
              <w:r>
                <w:rPr>
                  <w:rStyle w:val="InternetLink"/>
                  <w:rFonts w:ascii="Times New Roman;serif" w:hAnsi="Times New Roman;serif"/>
                  <w:b w:val="false"/>
                  <w:i w:val="false"/>
                  <w:caps w:val="false"/>
                  <w:smallCaps w:val="false"/>
                  <w:color w:val="0000FF"/>
                  <w:sz w:val="20"/>
                  <w:u w:val="single"/>
                </w:rPr>
                <w:t>10.18</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 Agreement, dated October 24, 2014, among FLEETCOR Technologies Operating Company, LLC, as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Borrower, FLEETCOR Technologies, Inc., as Parent, FLEETCOR Technologies Operating Company, LLC, as a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borrower and guarantor, certain of the our foreign subsidiaries as borrowers, Bank of America, N.A., as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administrative agent, swing line lender and L/C issuer and a syndicate of financial institutions (incorporated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to Exhibit No. 10.4 to the registrant’s Form 10-Q, File No. 001-35004, filed with the SEC on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November 10, 2014)</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5">
              <w:r>
                <w:rPr>
                  <w:rStyle w:val="InternetLink"/>
                  <w:rFonts w:ascii="Times New Roman;serif" w:hAnsi="Times New Roman;serif"/>
                  <w:b w:val="false"/>
                  <w:i w:val="false"/>
                  <w:caps w:val="false"/>
                  <w:smallCaps w:val="false"/>
                  <w:color w:val="0000FF"/>
                  <w:sz w:val="20"/>
                  <w:u w:val="single"/>
                </w:rPr>
                <w:t>10.19</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Fifth Amended and Restated Receivables Purchase Agreement, dated November 14, 2014, by and among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FLEETCOR Technologies, Inc. and PNC Bank, National Association, as administrator for a group of purchasers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purchaser agents, and certain other parties (incorporated by reference to Exhibit No. 10.1 to the registrant’s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 8-K, File No. 001-35004, filed with the SEC on November 17, 2014)</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6">
              <w:r>
                <w:rPr>
                  <w:rStyle w:val="InternetLink"/>
                  <w:rFonts w:ascii="Times New Roman;serif" w:hAnsi="Times New Roman;serif"/>
                  <w:b w:val="false"/>
                  <w:i w:val="false"/>
                  <w:caps w:val="false"/>
                  <w:smallCaps w:val="false"/>
                  <w:color w:val="0000FF"/>
                  <w:sz w:val="20"/>
                  <w:u w:val="single"/>
                </w:rPr>
                <w:t>10.20</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Amended and Restated Performance Guaranty dated as of November 14, 2014 made by FLEETCOR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Technologies, Inc. and FLEETCOR Technologies Operating Company, LLC, in favor of PNC Bank, National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Association, as administrator under the Fifth Amended and Restated Receivables Purchase Agreement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(incorporated by reference to Exhibit 10.32 to the registrant’s Form 10-K, File No. 001-35004, filed with the SEC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March 2, 2015)</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7">
              <w:r>
                <w:rPr>
                  <w:rStyle w:val="InternetLink"/>
                  <w:rFonts w:ascii="Times New Roman;serif" w:hAnsi="Times New Roman;serif"/>
                  <w:b w:val="false"/>
                  <w:i w:val="false"/>
                  <w:caps w:val="false"/>
                  <w:smallCaps w:val="false"/>
                  <w:color w:val="0000FF"/>
                  <w:sz w:val="20"/>
                  <w:u w:val="single"/>
                </w:rPr>
                <w:t>10.21</w:t>
              </w:r>
            </w:hyperlink>
          </w:p>
        </w:tc>
        <w:tc>
          <w:tcPr>
            <w:tcW w:w="9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Amended and Restated Purchase and Sale Agreement dated as of November 14, 2014, among various entities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listed on Schedule I thereto, as originators, and FLEETCOR Funding LLC (incorporated by reference to Exhibit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10.33 to the registrant’s Form 10-K, File No. 001-35004, filed with the SEC on March 2, 2015)</w:t>
            </w:r>
          </w:p>
        </w:tc>
      </w:tr>
      <w:tr>
        <w:trPr/>
        <w:tc>
          <w:tcPr>
            <w:tcW w:w="10022"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w:t>
      </w:r>
    </w:p>
    <w:tbl>
      <w:tblPr>
        <w:tblW w:w="10097" w:type="dxa"/>
        <w:jc w:val="left"/>
        <w:tblInd w:w="0" w:type="dxa"/>
        <w:tblLayout w:type="fixed"/>
        <w:tblCellMar>
          <w:top w:w="28" w:type="dxa"/>
          <w:left w:w="28" w:type="dxa"/>
          <w:bottom w:w="28" w:type="dxa"/>
          <w:right w:w="28" w:type="dxa"/>
        </w:tblCellMar>
      </w:tblPr>
      <w:tblGrid>
        <w:gridCol w:w="691"/>
        <w:gridCol w:w="9406"/>
      </w:tblGrid>
      <w:tr>
        <w:trPr/>
        <w:tc>
          <w:tcPr>
            <w:tcW w:w="69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8">
              <w:r>
                <w:rPr>
                  <w:rStyle w:val="InternetLink"/>
                  <w:rFonts w:ascii="Times New Roman;serif" w:hAnsi="Times New Roman;serif"/>
                  <w:b w:val="false"/>
                  <w:i w:val="false"/>
                  <w:caps w:val="false"/>
                  <w:smallCaps w:val="false"/>
                  <w:color w:val="0000FF"/>
                  <w:sz w:val="20"/>
                  <w:u w:val="single"/>
                </w:rPr>
                <w:t>10.22</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Receivables Purchase and Sale Agreement dated as of November 14, 2014, among Comdata TN, Inc.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Comdata Network, Inc. of California, as the sellers, and Comdata Inc., as the buyer (incorporated by reference to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Exhibit 10.34 to the registrant’s Form 10-K, File No. 001-35004, filed with the SEC on March 2, 2015)</w:t>
            </w:r>
          </w:p>
        </w:tc>
      </w:tr>
      <w:tr>
        <w:trPr/>
        <w:tc>
          <w:tcPr>
            <w:tcW w:w="10097"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29">
              <w:r>
                <w:rPr>
                  <w:rStyle w:val="InternetLink"/>
                  <w:rFonts w:ascii="Times New Roman;serif" w:hAnsi="Times New Roman;serif"/>
                  <w:b w:val="false"/>
                  <w:i w:val="false"/>
                  <w:caps w:val="false"/>
                  <w:smallCaps w:val="false"/>
                  <w:color w:val="0000FF"/>
                  <w:sz w:val="20"/>
                  <w:u w:val="single"/>
                </w:rPr>
                <w:t>10.24*</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Offer Letter, dated July 29, 2014, between FLEETCOR Technologies, Inc. and Armando Lins Netto (incorporated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reference to Exhibit 10.1 to the registrant’s Form 10-Q, File No. 001-35004, filed with the SEC on May 11,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2015)</w:t>
            </w:r>
          </w:p>
        </w:tc>
      </w:tr>
      <w:tr>
        <w:trPr/>
        <w:tc>
          <w:tcPr>
            <w:tcW w:w="10097"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0">
              <w:r>
                <w:rPr>
                  <w:rStyle w:val="InternetLink"/>
                  <w:rFonts w:ascii="Times New Roman;serif" w:hAnsi="Times New Roman;serif"/>
                  <w:b w:val="false"/>
                  <w:i w:val="false"/>
                  <w:caps w:val="false"/>
                  <w:smallCaps w:val="false"/>
                  <w:color w:val="0000FF"/>
                  <w:sz w:val="20"/>
                  <w:u w:val="single"/>
                </w:rPr>
                <w:t>10.25</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First Amendment to the Fifth Amended and Restated Receivables Purchase Agreement, dated as of November 5,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2015, by and among FLEETCOR Funding LLC, FLEETCOR Technologies Operating Company, LLC and PNC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Bank, National Association, as administrator for a group of purchasers and purchaser agents, and certain other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parties (incorporated by reference to Exhibit 10.2 to the registrant’s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November 9, 2015)</w:t>
            </w:r>
          </w:p>
        </w:tc>
      </w:tr>
      <w:tr>
        <w:trPr/>
        <w:tc>
          <w:tcPr>
            <w:tcW w:w="10097"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1">
              <w:r>
                <w:rPr>
                  <w:rStyle w:val="InternetLink"/>
                  <w:rFonts w:ascii="Times New Roman;serif" w:hAnsi="Times New Roman;serif"/>
                  <w:b w:val="false"/>
                  <w:i w:val="false"/>
                  <w:caps w:val="false"/>
                  <w:smallCaps w:val="false"/>
                  <w:color w:val="0000FF"/>
                  <w:sz w:val="20"/>
                  <w:u w:val="single"/>
                </w:rPr>
                <w:t>10.26*</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Employee agreement on confidentiality, work product, non-competition, and non-solicitation (incorporated by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reference to Exhibit 10.38 to the registrant's Form 10-K, File No. 001-35004, filed with the SEC on February 29,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2016)</w:t>
            </w:r>
          </w:p>
        </w:tc>
      </w:tr>
      <w:tr>
        <w:trPr/>
        <w:tc>
          <w:tcPr>
            <w:tcW w:w="10097"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2">
              <w:r>
                <w:rPr>
                  <w:rStyle w:val="InternetLink"/>
                  <w:rFonts w:ascii="Times New Roman;serif" w:hAnsi="Times New Roman;serif"/>
                  <w:b w:val="false"/>
                  <w:i w:val="false"/>
                  <w:caps w:val="false"/>
                  <w:smallCaps w:val="false"/>
                  <w:color w:val="0000FF"/>
                  <w:sz w:val="20"/>
                  <w:u w:val="single"/>
                </w:rPr>
                <w:t>10.27</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Second Amendment to the Fifth Amended and Restated Receivables Purchase Agreement, dated as of December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 2015, by and among FLEETCOR Funding LLC, FLEETCOR Technologies Operating Company, LLC and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PNC Bank, National Association, as administrator for a group of purchasers and purchaser agents, and certain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parties (incorporated by reference to Exhibit 10.39 to the registrant's Form 10-K, File No. 001-35004, filed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the SEC on February 29, 2016)</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3">
              <w:r>
                <w:rPr>
                  <w:rStyle w:val="InternetLink"/>
                  <w:rFonts w:ascii="Times New Roman;serif" w:hAnsi="Times New Roman;serif"/>
                  <w:b w:val="false"/>
                  <w:i w:val="false"/>
                  <w:caps w:val="false"/>
                  <w:smallCaps w:val="false"/>
                  <w:color w:val="0000FF"/>
                  <w:sz w:val="20"/>
                  <w:u w:val="single"/>
                </w:rPr>
                <w:t>10.28</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First Amendment to Credit Agreement and Lender Joinder Agreement, dated as of August 22, 2016, by and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among FLEETCOR Funding LLC, FLEETCOR Technologies Operating Company, LLC and PNC Bank, National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Association, as administrator for a group of purchasers and purchaser agents, and certain other parties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(incorporated by reference to Exhibit 10.1 to the registrant’s Form 10-Q, File No. 001-35004, filed with the SEC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November 9, 2016)</w:t>
            </w:r>
          </w:p>
        </w:tc>
      </w:tr>
      <w:tr>
        <w:trPr/>
        <w:tc>
          <w:tcPr>
            <w:tcW w:w="10097"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4">
              <w:r>
                <w:rPr>
                  <w:rStyle w:val="InternetLink"/>
                  <w:rFonts w:ascii="Times New Roman;serif" w:hAnsi="Times New Roman;serif"/>
                  <w:b w:val="false"/>
                  <w:i w:val="false"/>
                  <w:caps w:val="false"/>
                  <w:smallCaps w:val="false"/>
                  <w:color w:val="0000FF"/>
                  <w:sz w:val="20"/>
                  <w:u w:val="single"/>
                </w:rPr>
                <w:t>10.29</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Second Amendment to Credit Agreement, dated as of January 2017, among FLEETCOR Technologies Operating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LLC, as the Company, FLEETCOR Technologies, Inc., as the Parent, the designated borrowers party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hereto, the other guarantors party hereto, Bank of America, N.A., as administrative agent, swing line lender and l/c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issuer, and the other lenders party hereto and Merrill Lynch, Pierce, Fenner &amp; Smith Incorporated, as sole lead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arranger and sole bookrunner (incorporated by reference to Exhibit 10.41 to the registrant's Form 10-K,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001-35004, filed with the SEC on March 1, 2017)</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5">
              <w:r>
                <w:rPr>
                  <w:rStyle w:val="InternetLink"/>
                  <w:rFonts w:ascii="Times New Roman;serif" w:hAnsi="Times New Roman;serif"/>
                  <w:b w:val="false"/>
                  <w:i w:val="false"/>
                  <w:caps w:val="false"/>
                  <w:smallCaps w:val="false"/>
                  <w:color w:val="0000FF"/>
                  <w:sz w:val="20"/>
                  <w:u w:val="single"/>
                </w:rPr>
                <w:t>10.30</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 Amendment to Credit Agreement, dated as of August 2, 2017, among FLEETCOR Technologies Operating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LLC, as the Company, FLEETCOR Technologies, Inc., as the Parent, the designated borrowers party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hereto, the other guarantors party hereto, Bank of America, N.A., as administrative agent, swing line lender and l/c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issuer, and the other lenders party hereto, and Merrill Lynch, Pierce, Fenner &amp; Smith Incorporated, as sole lead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arranger and sole bookrunner (incorporated by reference to Exhibit 10.1 to the registrant’s Form 10-Q,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001-35004, filed with the SEC on August 8, 2017)</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6">
              <w:r>
                <w:rPr>
                  <w:rStyle w:val="InternetLink"/>
                  <w:rFonts w:ascii="Times New Roman;serif" w:hAnsi="Times New Roman;serif"/>
                  <w:b w:val="false"/>
                  <w:i w:val="false"/>
                  <w:caps w:val="false"/>
                  <w:smallCaps w:val="false"/>
                  <w:color w:val="0000FF"/>
                  <w:sz w:val="20"/>
                  <w:u w:val="single"/>
                </w:rPr>
                <w:t>10.31</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 Amendment to Fifth Amended and Restated Receivables Purchase Agreement, dated as of November 14,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2017, by and among FLEETCOR Funding LLC, FLEETCOR Technologies Operating Company, LLC, PNC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Bank, National Association, as administrator for a group of purchasers and purchase agents, and certain other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parties (incorporated by reference to Exhibit 10.43 to the registrant's Form 10-K, File No. 001-35004, filed with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SEC on March 1, 2018) </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7">
              <w:r>
                <w:rPr>
                  <w:rStyle w:val="InternetLink"/>
                  <w:rFonts w:ascii="Times New Roman;serif" w:hAnsi="Times New Roman;serif"/>
                  <w:b w:val="false"/>
                  <w:i w:val="false"/>
                  <w:caps w:val="false"/>
                  <w:smallCaps w:val="false"/>
                  <w:color w:val="0000FF"/>
                  <w:sz w:val="20"/>
                  <w:u w:val="single"/>
                </w:rPr>
                <w:t>10.32</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Fourth Amendment to Credit Agreement, dated August 30, 2018, among FLEETCOR Technologies Operating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LLC, FLEETCOR Technologies Operating Company, LLC, FleetCor Technologies, Inc.,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designated borrowers party thereto, Cambridge Mercantile Corp. (U.S.A.), the other guarantors party thereto,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Bank of America, N.A., as administrative agent, swing line lender and l/c issuer, and the other lenders party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thereto (incorporated by reference to Exhibit 10.2 to the registrant's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November 8, 2018)</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8">
              <w:r>
                <w:rPr>
                  <w:rStyle w:val="InternetLink"/>
                  <w:rFonts w:ascii="Times New Roman;serif" w:hAnsi="Times New Roman;serif"/>
                  <w:b w:val="false"/>
                  <w:i w:val="false"/>
                  <w:caps w:val="false"/>
                  <w:smallCaps w:val="false"/>
                  <w:color w:val="0000FF"/>
                  <w:sz w:val="20"/>
                  <w:u w:val="single"/>
                </w:rPr>
                <w:t>10.33</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Fourth Amendment to Fifth Amended and Restated Receivables Purchase Agreement, dated August 30, 2018,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among FLEETCOR Funding LLC, FLEETCOR Technologies Operating Company, LLC, PNC Bank,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National Association as administrator for a group of purchasers and purchaser agents, and certain other parties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thereto (incorporated by reference to exhibit 10.3 to the registrant's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November 8, 2018)</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39">
              <w:r>
                <w:rPr>
                  <w:rStyle w:val="InternetLink"/>
                  <w:rFonts w:ascii="Times New Roman;serif" w:hAnsi="Times New Roman;serif"/>
                  <w:b w:val="false"/>
                  <w:i w:val="false"/>
                  <w:caps w:val="false"/>
                  <w:smallCaps w:val="false"/>
                  <w:color w:val="0000FF"/>
                  <w:sz w:val="20"/>
                  <w:u w:val="single"/>
                </w:rPr>
                <w:t>10.34</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Fifth Amendment to Credit Agreement, dated as of December 19, 2018, among FLEETCOR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Company, LLC, as the Company, FLEETCOR Technologies, Inc., as the Parent, the designated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borrowers party hereto, Bank of America, N.A., as administrative agent, swing line lender and L/C issuer, and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lenders party hereto Merrill Lynch, Pierce, Fenner &amp; Smith Incorporated, as sole lead arranger and sole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bookrunner (incorporated by reference to exhibit 10.47 to the registrant's Form 10-K, File No. 001-35004, filed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the SEC on March 1, 2019)</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w:t>
      </w:r>
    </w:p>
    <w:tbl>
      <w:tblPr>
        <w:tblW w:w="9992" w:type="dxa"/>
        <w:jc w:val="left"/>
        <w:tblInd w:w="0" w:type="dxa"/>
        <w:tblLayout w:type="fixed"/>
        <w:tblCellMar>
          <w:top w:w="28" w:type="dxa"/>
          <w:left w:w="28" w:type="dxa"/>
          <w:bottom w:w="28" w:type="dxa"/>
          <w:right w:w="28" w:type="dxa"/>
        </w:tblCellMar>
      </w:tblPr>
      <w:tblGrid>
        <w:gridCol w:w="586"/>
        <w:gridCol w:w="9406"/>
      </w:tblGrid>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0">
              <w:r>
                <w:rPr>
                  <w:rStyle w:val="InternetLink"/>
                  <w:rFonts w:ascii="Times New Roman;serif" w:hAnsi="Times New Roman;serif"/>
                  <w:b w:val="false"/>
                  <w:i w:val="false"/>
                  <w:caps w:val="false"/>
                  <w:smallCaps w:val="false"/>
                  <w:color w:val="0000FF"/>
                  <w:sz w:val="20"/>
                  <w:u w:val="single"/>
                </w:rPr>
                <w:t>10.35</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Fifth Amendment to the Fifth Amended and Restated Receivables Purchase Agreement, dated December 19, 2018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and among FLEETCOR Funding LLC, FLEETCOR Technologies Operating Company, LLC, PNC Bank,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National Association as administrator for a group of purchasers and purchaser agents, and certain other parties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thereto (incorporated by reference to exhibit 10.3 to the registrant's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May 10, 2019)</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1">
              <w:r>
                <w:rPr>
                  <w:rStyle w:val="InternetLink"/>
                  <w:rFonts w:ascii="Times New Roman;serif" w:hAnsi="Times New Roman;serif"/>
                  <w:b w:val="false"/>
                  <w:i w:val="false"/>
                  <w:caps w:val="false"/>
                  <w:smallCaps w:val="false"/>
                  <w:color w:val="0000FF"/>
                  <w:sz w:val="20"/>
                  <w:u w:val="single"/>
                </w:rPr>
                <w:t>10.36</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Sixth Amendment to the Fifth Amended and Restated Receivables Purchase Agreement, dated February 8, 2019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and among FLEETCOR Funding LLC, FLEETCOR Technologies Operating Company, LLC, PNC Bank,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National Association as administrator for a group of purchasers and purchaser agents, and certain other parties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thereto (incorporated by reference to exhibit 10.4 to the registrant's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May 10, 2019)</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2">
              <w:r>
                <w:rPr>
                  <w:rStyle w:val="InternetLink"/>
                  <w:rFonts w:ascii="Times New Roman;serif" w:hAnsi="Times New Roman;serif"/>
                  <w:b w:val="false"/>
                  <w:i w:val="false"/>
                  <w:caps w:val="false"/>
                  <w:smallCaps w:val="false"/>
                  <w:color w:val="0000FF"/>
                  <w:sz w:val="20"/>
                  <w:u w:val="single"/>
                </w:rPr>
                <w:t>10.37</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Sixth Amendment to Credit Agreement, dated as of August 2, 2019, among FLEETCOR Technologies Operating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LLC, as the Company, FLEETCOR Technologies, Inc., as the Parent, the designated borrowers party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hereto, Bank of America, N.A., as administrative agent, swing line lender and L/C issuer, and the other lenders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party hereto Merrill Lynch, Pierce, Fenner &amp; Smith Incorporated, as sole lead arranger and sole bookrunner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(incorporated by reference to Exhibit 10.5 to the registrant's Form 10-Q, File No. 001-35004, filed with the SEC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August 9, 2019)</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3">
              <w:r>
                <w:rPr>
                  <w:rStyle w:val="InternetLink"/>
                  <w:rFonts w:ascii="Times New Roman;serif" w:hAnsi="Times New Roman;serif"/>
                  <w:b w:val="false"/>
                  <w:i w:val="false"/>
                  <w:caps w:val="false"/>
                  <w:smallCaps w:val="false"/>
                  <w:color w:val="0000FF"/>
                  <w:sz w:val="20"/>
                  <w:u w:val="single"/>
                </w:rPr>
                <w:t>10.38</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Seventh Amendment to Credit Agreement, dated as of November 14, 2019, among FLEETCOR Technologies</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Company, LLC, as the Company, FLEETCOR Technologies, Inc., as the Parent, the designated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borrowers party hereto, Bank of America, N.A., as administrative agent, swing line lender and L/C issuer, and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lenders party hereto Merrill Lynch, Pierce, Fenner &amp; Smith Incorporated, as sole lead arranger and sole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bookrunner (incorporated by reference to Exhibit 10.53 to the registrant's Form 10-k, File No. 001-35004, filed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the SEC on March 2, 2020)</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4">
              <w:r>
                <w:rPr>
                  <w:rStyle w:val="InternetLink"/>
                  <w:rFonts w:ascii="Times New Roman;serif" w:hAnsi="Times New Roman;serif"/>
                  <w:b w:val="false"/>
                  <w:i w:val="false"/>
                  <w:caps w:val="false"/>
                  <w:smallCaps w:val="false"/>
                  <w:color w:val="0000FF"/>
                  <w:sz w:val="20"/>
                  <w:u w:val="single"/>
                </w:rPr>
                <w:t>10.39</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Eighth Amendment to Credit Agreement, dated as of April 24, 2020, among FLEETCOR Technologies Operating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LLC, as the Company, FLEETCOR Technologies, Inc., as the Parent, the designated borrowers party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hereto, Bank of America, N.A., as administrative agent, swing line lender and L/C issuer, and the other borrowers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hereto Merrill Lynch, Pierce, Fenner &amp; Smith Incorporated, as sole lead arranger and sole bookrunner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(incorporated by reference to Exhibit 10.1 to the registrant's Form 10-Q, File No. 001-35004, filed with the SEC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May 11, 2020)</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5">
              <w:r>
                <w:rPr>
                  <w:rStyle w:val="InternetLink"/>
                  <w:rFonts w:ascii="Times New Roman;serif" w:hAnsi="Times New Roman;serif"/>
                  <w:b w:val="false"/>
                  <w:i w:val="false"/>
                  <w:caps w:val="false"/>
                  <w:smallCaps w:val="false"/>
                  <w:color w:val="0000FF"/>
                  <w:sz w:val="20"/>
                  <w:u w:val="single"/>
                </w:rPr>
                <w:t>10.40</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Seventh Amendment to the Fifth Amended and Restated Receivables Purchase Agreement, dated November 13,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2020 by and among FLEETCOR Funding LLC, FLEETCOR Technologies Operating Company, LLC, PNC Bank,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National Association as administrator for a group of purchasers and purchaser agents, and certain other parties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thereto (incorporated by reference to Exhibit 10.50 to the registrant's Form 10-k, File No. 001-35004, filed with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 on March 2, 2020)</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6">
              <w:r>
                <w:rPr>
                  <w:rStyle w:val="InternetLink"/>
                  <w:rFonts w:ascii="Times New Roman;serif" w:hAnsi="Times New Roman;serif"/>
                  <w:b w:val="false"/>
                  <w:i w:val="false"/>
                  <w:caps w:val="false"/>
                  <w:smallCaps w:val="false"/>
                  <w:color w:val="0000FF"/>
                  <w:sz w:val="20"/>
                  <w:u w:val="single"/>
                </w:rPr>
                <w:t>10.41</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Eighth Amendment to the Fifth Amended and Restated Receivables Purchase Agreement, dated March 29, 2021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and among FLEETCOR Funding LLC, FLEETCOR Technologies Operating Company, LLC, PNC Bank,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National Association as administrator for a group of purchasers and purchaser agents, and certain other parties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thereto (incorporated by reference to Exhibit 10.1 to the registrant's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May 10, 2021)</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7">
              <w:r>
                <w:rPr>
                  <w:rStyle w:val="InternetLink"/>
                  <w:rFonts w:ascii="Times New Roman;serif" w:hAnsi="Times New Roman;serif"/>
                  <w:b w:val="false"/>
                  <w:i w:val="false"/>
                  <w:caps w:val="false"/>
                  <w:smallCaps w:val="false"/>
                  <w:color w:val="0000FF"/>
                  <w:sz w:val="20"/>
                  <w:u w:val="single"/>
                </w:rPr>
                <w:t>10.42</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Ninth Amendment to Credit Agreement, dated as of April 30, 2021 among FLEETCOR Technologies Operating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LLC, as the Company, FLEETCOR Technologies, Inc., as the Parent, the designated borrowers party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hereto, Bank of America, N.A., as administrative agent, swing line lender and L/C issuer, and the other borrowers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hereto (incorporated by reference to Exhibit 10.2 to the registrant's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May 10, 2021)</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8">
              <w:r>
                <w:rPr>
                  <w:rStyle w:val="InternetLink"/>
                  <w:rFonts w:ascii="Times New Roman;serif" w:hAnsi="Times New Roman;serif"/>
                  <w:b w:val="false"/>
                  <w:i w:val="false"/>
                  <w:caps w:val="false"/>
                  <w:smallCaps w:val="false"/>
                  <w:color w:val="0000FF"/>
                  <w:sz w:val="20"/>
                  <w:u w:val="single"/>
                </w:rPr>
                <w:t>10.43</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Ninth Amendment to the Fifth Amended and Restated Receivables Purchase Agreement, dated September 15,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2021 by and among FLEETCOR Funding LLC, FLEETCOR Technologies Operating Company, LLC, PNC Bank,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National Association as administrator for a group of purchasers and purchaser agents, and certain other parties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thereto (incorporated by reference to Exhibit 10.3 to the registrant's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November 9, 2021)</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49">
              <w:r>
                <w:rPr>
                  <w:rStyle w:val="InternetLink"/>
                  <w:rFonts w:ascii="Times New Roman;serif" w:hAnsi="Times New Roman;serif"/>
                  <w:b w:val="false"/>
                  <w:i w:val="false"/>
                  <w:caps w:val="false"/>
                  <w:smallCaps w:val="false"/>
                  <w:color w:val="0000FF"/>
                  <w:sz w:val="20"/>
                  <w:u w:val="single"/>
                </w:rPr>
                <w:t>10.44</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Tenth Amendment to Credit Agreement, dated as of November 16, 2021 among FLEETCOR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Company, LLC, as the Company, FLEETCOR Technologies, Inc., as the Parent, the designated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borrowers party hereto, Bank of America, N.A., as administrative agent, swing line lender and L/C issuer, and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borrowers hereto (incorporated by reference to Exhibit 10.54 to the registrant's on Form 10-K,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001-35004, filed with the SEC on March 1, 2022)</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pPr>
            <w:hyperlink r:id="rId50">
              <w:r>
                <w:rPr>
                  <w:rStyle w:val="InternetLink"/>
                  <w:rFonts w:ascii="Times New Roman;serif" w:hAnsi="Times New Roman;serif"/>
                  <w:b w:val="false"/>
                  <w:i w:val="false"/>
                  <w:caps w:val="false"/>
                  <w:smallCaps w:val="false"/>
                  <w:color w:val="0000FF"/>
                  <w:sz w:val="20"/>
                  <w:u w:val="single"/>
                </w:rPr>
                <w:t>10.45</w:t>
              </w:r>
            </w:hyperlink>
          </w:p>
        </w:tc>
        <w:tc>
          <w:tcPr>
            <w:tcW w:w="9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Eleventh Amendment to Credit Agreement, dated as of December 22, 2021 among FLEETCOR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Company, LLC, as the Company, FLEETCOR Technologies, Inc., as the Parent, the designated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borrowers party hereto, Bank of America, N.A., as administrative agent, swing line lender and L/C issuer, and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borrowers hereto (incorporated by reference to Exhibit 10.55 to the registrant's Form 10-K,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001-35004, filed with the SEC on March 1, 2022)</w:t>
            </w:r>
          </w:p>
        </w:tc>
      </w:tr>
      <w:tr>
        <w:trPr/>
        <w:tc>
          <w:tcPr>
            <w:tcW w:w="58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w:t>
      </w:r>
    </w:p>
    <w:tbl>
      <w:tblPr>
        <w:tblW w:w="10127" w:type="dxa"/>
        <w:jc w:val="left"/>
        <w:tblInd w:w="0" w:type="dxa"/>
        <w:tblLayout w:type="fixed"/>
        <w:tblCellMar>
          <w:top w:w="28" w:type="dxa"/>
          <w:left w:w="28" w:type="dxa"/>
          <w:bottom w:w="28" w:type="dxa"/>
          <w:right w:w="28" w:type="dxa"/>
        </w:tblCellMar>
      </w:tblPr>
      <w:tblGrid>
        <w:gridCol w:w="691"/>
        <w:gridCol w:w="9436"/>
      </w:tblGrid>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51">
              <w:r>
                <w:rPr>
                  <w:rStyle w:val="InternetLink"/>
                  <w:rFonts w:ascii="Times New Roman;serif" w:hAnsi="Times New Roman;serif"/>
                  <w:b w:val="false"/>
                  <w:i w:val="false"/>
                  <w:caps w:val="false"/>
                  <w:smallCaps w:val="false"/>
                  <w:color w:val="0000FF"/>
                  <w:sz w:val="20"/>
                  <w:u w:val="single"/>
                </w:rPr>
                <w:t>10.46</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Tenth Amendment to the Fifth Amended and Restated Receivables Purchase Agreement, dated March 23, 2022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among by and among FLEETCOR Funding LLC, FLEETCOR Technologies Operating Company, LLC, PNC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Bank, National Association as administrator for a group of purchasers and purchaser agents, and certain other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parties thereto (incorporated by reference to Exhibit 10.1 to the registrant's Form 10-Q, File No. 001-35004, filed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the SEC on May 9, 2022)</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52">
              <w:r>
                <w:rPr>
                  <w:rStyle w:val="InternetLink"/>
                  <w:rFonts w:ascii="Times New Roman;serif" w:hAnsi="Times New Roman;serif"/>
                  <w:b w:val="false"/>
                  <w:i w:val="false"/>
                  <w:caps w:val="false"/>
                  <w:smallCaps w:val="false"/>
                  <w:color w:val="0000FF"/>
                  <w:sz w:val="20"/>
                  <w:u w:val="single"/>
                </w:rPr>
                <w:t>10.47</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Twelfth Amendment to the Credit Agreement, dated as of June 24, 2022 among FLEETCOR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Company, LLC, as the Company, FLEETCOR Technologies, Inc., as the Parent, Cambridge Mercantile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 (USA) as the additional borrower, Bank of America, N.A., as administrative agent, a domestic swing line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lender, the foreign swing line lender and the L/C issuer, and the other lenders party hereto (incorporated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to Exhibit 10.2 to the Registrant's Quarterly Report on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August 9, 2022)</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53">
              <w:r>
                <w:rPr>
                  <w:rStyle w:val="InternetLink"/>
                  <w:rFonts w:ascii="Times New Roman;serif" w:hAnsi="Times New Roman;serif"/>
                  <w:b w:val="false"/>
                  <w:i w:val="false"/>
                  <w:caps w:val="false"/>
                  <w:smallCaps w:val="false"/>
                  <w:color w:val="0000FF"/>
                  <w:sz w:val="20"/>
                  <w:u w:val="single"/>
                </w:rPr>
                <w:t>10.48</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Thirteenth Amendment to the Credit Agreement, dated as of May 3, 2023 among FLEETCOR Technologies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Operating Company, LLC, as the Company, FLEETCOR Technologies, Inc., as the Parent, Cambridge Mercantile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Corp. (USA) as the additional borrower, Bank of America, N.A., as administrative agent, a domestic swing line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lender, the foreign swing line lender and the L/C issuer, and the other lenders party hereto (incorporated by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reference to Exhibit 10.3 to the Registrant's Quarterly Report on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 on November 9, 2023)</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54">
              <w:r>
                <w:rPr>
                  <w:rStyle w:val="InternetLink"/>
                  <w:rFonts w:ascii="Times New Roman;serif" w:hAnsi="Times New Roman;serif"/>
                  <w:b w:val="false"/>
                  <w:i w:val="false"/>
                  <w:caps w:val="false"/>
                  <w:smallCaps w:val="false"/>
                  <w:color w:val="0000FF"/>
                  <w:sz w:val="20"/>
                  <w:u w:val="single"/>
                </w:rPr>
                <w:t>10.49</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Fourteenth Amendment to the Credit Agreement, dated as of January 31, 2024 among FLEETCOR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Company, LLC, as the Company, FLEETCOR Technologies, Inc., as the Parent, Cambridge Mercantile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 (USA) as the additional borrower, Bank of America, N.A., as administrative agent, a domestic swing line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lender, the foreign swing line lender and the L/C issuer, and the other lenders party hereto (incorporated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to Exhibit 10.1 to the Registrant's Quarterly Report on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May 9, 2024)</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55">
              <w:r>
                <w:rPr>
                  <w:rStyle w:val="InternetLink"/>
                  <w:rFonts w:ascii="Times New Roman;serif" w:hAnsi="Times New Roman;serif"/>
                  <w:b w:val="false"/>
                  <w:i w:val="false"/>
                  <w:caps w:val="false"/>
                  <w:smallCaps w:val="false"/>
                  <w:color w:val="0000FF"/>
                  <w:sz w:val="20"/>
                  <w:u w:val="single"/>
                </w:rPr>
                <w:t>10.50</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Fifteenth Amendment to the Credit Agreement, dated as of September 26, 2024 among FLEETCOR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Company, LLC, as the Company, FLEETCOR Technologies, Inc., as the Parent, Cambridge Mercantile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 (USA) as the additional borrower, Bank of America, N.A., as administrative agent, a domestic swing line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lender, the foreign swing line lender and the L/C issuer, and the other lenders party hereto (incorporated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to Exhibit 10.1 to the Registrant's Quarterly Report on Form 10-Q, File No. 001-35004, filed with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on November 8, 2024)</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56">
              <w:r>
                <w:rPr>
                  <w:rStyle w:val="InternetLink"/>
                  <w:rFonts w:ascii="Times New Roman;serif" w:hAnsi="Times New Roman;serif"/>
                  <w:b w:val="false"/>
                  <w:i w:val="false"/>
                  <w:caps w:val="false"/>
                  <w:smallCaps w:val="false"/>
                  <w:color w:val="0000FF"/>
                  <w:sz w:val="20"/>
                  <w:u w:val="single"/>
                </w:rPr>
                <w:t>10.51</w:t>
              </w:r>
            </w:hyperlink>
            <w:r>
              <w:rPr>
                <w:rFonts w:ascii="Times New Roman;serif" w:hAnsi="Times New Roman;serif"/>
                <w:b w:val="false"/>
                <w:i w:val="false"/>
                <w:caps w:val="false"/>
                <w:smallCaps w:val="false"/>
                <w:sz w:val="20"/>
              </w:rPr>
              <w:t>*</w:t>
            </w:r>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Offer letter, dated May 23, 2022, between FLEETCOR Technologies, Inc. and Alan King (incorporated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to Exhibit 10.3 to the registrant's Form 10-Q, File No. 001-35004, filed with the SEC on August 9,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57">
              <w:r>
                <w:rPr>
                  <w:rStyle w:val="InternetLink"/>
                  <w:rFonts w:ascii="Times New Roman;serif" w:hAnsi="Times New Roman;serif"/>
                  <w:b w:val="false"/>
                  <w:i w:val="false"/>
                  <w:caps w:val="false"/>
                  <w:smallCaps w:val="false"/>
                  <w:color w:val="0000FF"/>
                  <w:sz w:val="20"/>
                  <w:u w:val="single"/>
                </w:rPr>
                <w:t>10.52</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Eleventh Amendment to the Fifth Amended and Restated Receivables Purchase Agreement, dated August 18,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2022 by and among by and among FLEETCOR Funding LLC, FLEETCOR Technologies Operating Company,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LLC, PNC Bank, National Association as administrator for a group of purchasers and purchaser agents, and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other parties thereto (incorporated by reference to Exhibit 10.4 to the registrant's Form 10-Q,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001-35004, filed with the SEC on November 8, 2022)</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58">
              <w:r>
                <w:rPr>
                  <w:rStyle w:val="InternetLink"/>
                  <w:rFonts w:ascii="Times New Roman;serif" w:hAnsi="Times New Roman;serif"/>
                  <w:b w:val="false"/>
                  <w:i w:val="false"/>
                  <w:caps w:val="false"/>
                  <w:smallCaps w:val="false"/>
                  <w:color w:val="0000FF"/>
                  <w:sz w:val="20"/>
                  <w:u w:val="single"/>
                </w:rPr>
                <w:t>10.53</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Cooperation Agreement, dated as of March 15, 2023, by and among FLEETCOR Technologies, Inc., D.E. Shaw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Oculus Portfolios, L.L.C. and D.E. Shaw Valence Portfolios, L.L.C. (incorporated by reference to Exhibit 10.1 to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Registrant’s Current Report on Form 8-K, File No. 001-35004, filed with the SEC on March 20, 2023)</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59">
              <w:r>
                <w:rPr>
                  <w:rStyle w:val="InternetLink"/>
                  <w:rFonts w:ascii="Times New Roman;serif" w:hAnsi="Times New Roman;serif"/>
                  <w:b w:val="false"/>
                  <w:i w:val="false"/>
                  <w:caps w:val="false"/>
                  <w:smallCaps w:val="false"/>
                  <w:color w:val="0000FF"/>
                  <w:sz w:val="20"/>
                  <w:u w:val="single"/>
                </w:rPr>
                <w:t>10.54</w:t>
              </w:r>
            </w:hyperlink>
            <w:r>
              <w:rPr>
                <w:rFonts w:ascii="Times New Roman;serif" w:hAnsi="Times New Roman;serif"/>
                <w:b w:val="false"/>
                <w:i w:val="false"/>
                <w:caps w:val="false"/>
                <w:smallCaps w:val="false"/>
                <w:sz w:val="20"/>
              </w:rPr>
              <w:t>*</w:t>
            </w:r>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Offer letter, dated February 24, 2023, between FLEETCOR Technologies, Inc. and Tom Panther (incorporated by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reference to Exhibit 10.2 to the registrant's Form 10-Q, File No. 001-35004, filed with the SEC on May 10, 2023)</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0">
              <w:r>
                <w:rPr>
                  <w:rStyle w:val="InternetLink"/>
                  <w:rFonts w:ascii="Times New Roman;serif" w:hAnsi="Times New Roman;serif"/>
                  <w:b w:val="false"/>
                  <w:i w:val="false"/>
                  <w:caps w:val="false"/>
                  <w:smallCaps w:val="false"/>
                  <w:color w:val="0000FF"/>
                  <w:sz w:val="20"/>
                  <w:u w:val="single"/>
                </w:rPr>
                <w:t>10.55</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Twelfth Amendment to the Fifth Amended and Restated Receivables Purchase Agreement, dated December 20,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2023 by and among by and among FLEETCOR Funding LLC, FLEETCOR Technologies Operating Company,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LLC, PNC Bank, National Association as administrator for a group of purchasers and purchaser agents, and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other parties hereto (incorporated by reference to Exhibit 10.63 to the Registrant's Form 10-K,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001-35004, filed with the SEC on February 29, 2024)</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1">
              <w:r>
                <w:rPr>
                  <w:rStyle w:val="InternetLink"/>
                  <w:rFonts w:ascii="Times New Roman;serif" w:hAnsi="Times New Roman;serif"/>
                  <w:b w:val="false"/>
                  <w:i w:val="false"/>
                  <w:caps w:val="false"/>
                  <w:smallCaps w:val="false"/>
                  <w:color w:val="0000FF"/>
                  <w:sz w:val="20"/>
                  <w:u w:val="single"/>
                </w:rPr>
                <w:t>10.56</w:t>
              </w:r>
            </w:hyperlink>
            <w:r>
              <w:rPr>
                <w:rFonts w:ascii="Times New Roman;serif" w:hAnsi="Times New Roman;serif"/>
                <w:b w:val="false"/>
                <w:i w:val="false"/>
                <w:caps w:val="false"/>
                <w:smallCaps w:val="false"/>
                <w:sz w:val="20"/>
              </w:rPr>
              <w:t>*</w:t>
            </w:r>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Corpay, Inc. Amended and Restated 2010 Equity Compensation Plan, Key Employee Performance-Based Stock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Option Amended Certification to Ronald F. Clarke, dated October 23, 2024 (incorporated by reference to Exhibit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 to the Registrant's Form 10-Q, File No. 001-35004, filed with the SEC on November 8, 2024)</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2">
              <w:r>
                <w:rPr>
                  <w:rStyle w:val="InternetLink"/>
                  <w:rFonts w:ascii="Times New Roman;serif" w:hAnsi="Times New Roman;serif"/>
                  <w:b w:val="false"/>
                  <w:i w:val="false"/>
                  <w:caps w:val="false"/>
                  <w:smallCaps w:val="false"/>
                  <w:color w:val="0000FF"/>
                  <w:sz w:val="20"/>
                  <w:u w:val="single"/>
                </w:rPr>
                <w:t>10.57</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Thirteenth Amendment to the Fifth Amended and Restated Receivables Purchase Agreement, dated January 24,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2025 by and among by and among FleetCor Funding LLC, Corpay Technologies Operating Company, LLC,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Corpay, Inc., PNC Bank, National Association as administrator for a group of purchasers and purchaser agents,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certain other parties hereto (incorporated by reference to Exhibit 10.67 to the Registrant's Form 10-K,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001-35004, filed with the SEC on February 27, 2025)</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3">
              <w:r>
                <w:rPr>
                  <w:rStyle w:val="InternetLink"/>
                  <w:rFonts w:ascii="Times New Roman;serif" w:hAnsi="Times New Roman;serif"/>
                  <w:b w:val="false"/>
                  <w:i w:val="false"/>
                  <w:caps w:val="false"/>
                  <w:smallCaps w:val="false"/>
                  <w:color w:val="0000FF"/>
                  <w:sz w:val="20"/>
                  <w:u w:val="single"/>
                </w:rPr>
                <w:t>10.58</w:t>
              </w:r>
            </w:hyperlink>
          </w:p>
        </w:tc>
        <w:tc>
          <w:tcPr>
            <w:tcW w:w="9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Sixteenth Amendment to the Credit Agreement, dated as of February 20, 2025 among Corpay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Company, LLC, as the Company, Corpay, Inc., as the Parent, Cambridge Mercantile Corp. (U.S.A.) as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additional borrower, Bank of America, N.A., as administrative agent and the foreign swing line lender, and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lenders party hereto (incorporated by reference to Exhibit 10.68 to the Registrant's Form 10-K, File No.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001-35004, filed with the SEC on February 27, 2025)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w:t>
      </w:r>
    </w:p>
    <w:tbl>
      <w:tblPr>
        <w:tblW w:w="10142" w:type="dxa"/>
        <w:jc w:val="left"/>
        <w:tblInd w:w="0" w:type="dxa"/>
        <w:tblLayout w:type="fixed"/>
        <w:tblCellMar>
          <w:top w:w="28" w:type="dxa"/>
          <w:left w:w="28" w:type="dxa"/>
          <w:bottom w:w="28" w:type="dxa"/>
          <w:right w:w="28" w:type="dxa"/>
        </w:tblCellMar>
      </w:tblPr>
      <w:tblGrid>
        <w:gridCol w:w="691"/>
        <w:gridCol w:w="9451"/>
      </w:tblGrid>
      <w:tr>
        <w:trPr/>
        <w:tc>
          <w:tcPr>
            <w:tcW w:w="691"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4">
              <w:r>
                <w:rPr>
                  <w:rStyle w:val="InternetLink"/>
                  <w:rFonts w:ascii="Times New Roman;serif" w:hAnsi="Times New Roman;serif"/>
                  <w:b w:val="false"/>
                  <w:i w:val="false"/>
                  <w:caps w:val="false"/>
                  <w:smallCaps w:val="false"/>
                  <w:color w:val="0000FF"/>
                  <w:sz w:val="20"/>
                  <w:u w:val="single"/>
                </w:rPr>
                <w:t>10.59</w:t>
              </w:r>
            </w:hyperlink>
            <w:r>
              <w:rPr>
                <w:rFonts w:ascii="Times New Roman;serif" w:hAnsi="Times New Roman;serif"/>
                <w:b w:val="false"/>
                <w:i w:val="false"/>
                <w:caps w:val="false"/>
                <w:smallCaps w:val="false"/>
                <w:sz w:val="20"/>
              </w:rPr>
              <w:t>*</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Offer letter dated June 2, 2025, between Corpay Technologies Operating Company, LLC and Peter Walker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(incorporated by reference to Exhibit 10.1 to the Registrant's Form 10-Q, File No. 001-35004, filed with the SEC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August 7, 2025) </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5">
              <w:r>
                <w:rPr>
                  <w:rStyle w:val="InternetLink"/>
                  <w:rFonts w:ascii="Times New Roman;serif" w:hAnsi="Times New Roman;serif"/>
                  <w:b w:val="false"/>
                  <w:i w:val="false"/>
                  <w:caps w:val="false"/>
                  <w:smallCaps w:val="false"/>
                  <w:color w:val="0000FF"/>
                  <w:sz w:val="20"/>
                  <w:u w:val="single"/>
                </w:rPr>
                <w:t>10.60</w:t>
              </w:r>
            </w:hyperlink>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Co-operation Agreement, dated July 23, 2025, by and between Corpay and Alpha (incorporated by</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reference to Exhibit 10.1 to the Registrant’s Current Report on Form 8-K, File No. 001-35004, filed with</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 on July 23, 2025)</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6">
              <w:r>
                <w:rPr>
                  <w:rStyle w:val="InternetLink"/>
                  <w:rFonts w:ascii="Times New Roman;serif" w:hAnsi="Times New Roman;serif"/>
                  <w:b w:val="false"/>
                  <w:i w:val="false"/>
                  <w:caps w:val="false"/>
                  <w:smallCaps w:val="false"/>
                  <w:color w:val="0000FF"/>
                  <w:sz w:val="20"/>
                  <w:u w:val="single"/>
                </w:rPr>
                <w:t>10.61</w:t>
              </w:r>
            </w:hyperlink>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Seventeenth Amendment to the Credit Agreement, dated as of November 5, 2025 among Corpay Technologies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Company, LLC, as the Company, Corpay, Inc., as the Parent, Cambridge Mercantile Corp. (U.S.A.) as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additional borrower, Bank of America, N.A., as administrative agent and the foreign swing line lender, and the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lenders party hereto (incorporated by reference to Exhibit 10.1 of Corpay’s Current Report on Form 8-K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filed with the SEC on November 5, 2025)</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7">
              <w:r>
                <w:rPr>
                  <w:rStyle w:val="InternetLink"/>
                  <w:rFonts w:ascii="Times New Roman;serif" w:hAnsi="Times New Roman;serif"/>
                  <w:b w:val="false"/>
                  <w:i w:val="false"/>
                  <w:caps w:val="false"/>
                  <w:smallCaps w:val="false"/>
                  <w:color w:val="0000FF"/>
                  <w:sz w:val="20"/>
                  <w:u w:val="single"/>
                </w:rPr>
                <w:t>10.62</w:t>
              </w:r>
            </w:hyperlink>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Sixth Amended and Restated Receivables Purchase Agreement, dated November 3, 2025, by and among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FLEETCOR FUNDING LLC and CORPAY FUNDING (UK) Limited and PNC Bank, National Association, as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administrator for a group of purchasers and purchaser agents, and certain other parties (incorporated by reference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Exhibit 10.3 of the Registrant's Form 10-Q, File No. 001-35004, filed with the SEC on November 10, 2025.</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8">
              <w:r>
                <w:rPr>
                  <w:rStyle w:val="InternetLink"/>
                  <w:rFonts w:ascii="Times New Roman;serif" w:hAnsi="Times New Roman;serif"/>
                  <w:b w:val="false"/>
                  <w:i w:val="false"/>
                  <w:caps w:val="false"/>
                  <w:smallCaps w:val="false"/>
                  <w:color w:val="0000FF"/>
                  <w:sz w:val="20"/>
                  <w:u w:val="single"/>
                </w:rPr>
                <w:t>19.1</w:t>
              </w:r>
            </w:hyperlink>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Insider Trading Policy</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w:anchor="ex211listofsubsidiaries123.htm">
              <w:r>
                <w:rPr>
                  <w:rStyle w:val="InternetLink"/>
                  <w:rFonts w:ascii="Times New Roman;serif" w:hAnsi="Times New Roman;serif"/>
                  <w:b w:val="false"/>
                  <w:i w:val="false"/>
                  <w:caps w:val="false"/>
                  <w:smallCaps w:val="false"/>
                  <w:color w:val="0000FF"/>
                  <w:sz w:val="20"/>
                  <w:u w:val="single"/>
                </w:rPr>
                <w:t>21.1</w:t>
              </w:r>
            </w:hyperlink>
            <w:r>
              <w:rPr>
                <w:rFonts w:ascii="Times New Roman;serif" w:hAnsi="Times New Roman;serif"/>
                <w:b w:val="false"/>
                <w:i w:val="false"/>
                <w:caps w:val="false"/>
                <w:smallCaps w:val="false"/>
                <w:sz w:val="20"/>
              </w:rPr>
              <w:t>**</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List of subsidiaries of Corpay, Inc.</w:t>
            </w:r>
          </w:p>
        </w:tc>
      </w:tr>
      <w:tr>
        <w:trPr/>
        <w:tc>
          <w:tcPr>
            <w:tcW w:w="1014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w:anchor="ex231eyconsentexhibit2025.htm">
              <w:r>
                <w:rPr>
                  <w:rStyle w:val="InternetLink"/>
                  <w:rFonts w:ascii="Times New Roman;serif" w:hAnsi="Times New Roman;serif"/>
                  <w:b w:val="false"/>
                  <w:i w:val="false"/>
                  <w:caps w:val="false"/>
                  <w:smallCaps w:val="false"/>
                  <w:color w:val="0000FF"/>
                  <w:sz w:val="20"/>
                  <w:u w:val="single"/>
                </w:rPr>
                <w:t>23.1</w:t>
              </w:r>
            </w:hyperlink>
            <w:r>
              <w:rPr>
                <w:rFonts w:ascii="Times New Roman;serif" w:hAnsi="Times New Roman;serif"/>
                <w:b w:val="false"/>
                <w:i w:val="false"/>
                <w:caps w:val="false"/>
                <w:smallCaps w:val="false"/>
                <w:sz w:val="20"/>
              </w:rPr>
              <w:t>**</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Consent of Independent Registered Public Accounting Firm</w:t>
            </w:r>
          </w:p>
        </w:tc>
      </w:tr>
      <w:tr>
        <w:trPr/>
        <w:tc>
          <w:tcPr>
            <w:tcW w:w="1014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w:anchor="ex311q42025.htm">
              <w:r>
                <w:rPr>
                  <w:rStyle w:val="InternetLink"/>
                  <w:rFonts w:ascii="Times New Roman;serif" w:hAnsi="Times New Roman;serif"/>
                  <w:b w:val="false"/>
                  <w:i w:val="false"/>
                  <w:caps w:val="false"/>
                  <w:smallCaps w:val="false"/>
                  <w:color w:val="000000"/>
                  <w:sz w:val="20"/>
                  <w:u w:val="single"/>
                </w:rPr>
                <w:t>31.1</w:t>
              </w:r>
            </w:hyperlink>
            <w:r>
              <w:rPr>
                <w:rFonts w:ascii="Times New Roman;serif" w:hAnsi="Times New Roman;serif"/>
                <w:b w:val="false"/>
                <w:i w:val="false"/>
                <w:caps w:val="false"/>
                <w:smallCaps w:val="false"/>
                <w:sz w:val="20"/>
              </w:rPr>
              <w:t>**</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Certification of Chief Executive Officer Pursuant to Section 302</w:t>
            </w:r>
          </w:p>
        </w:tc>
      </w:tr>
      <w:tr>
        <w:trPr/>
        <w:tc>
          <w:tcPr>
            <w:tcW w:w="1014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w:anchor="ex312q42025.htm">
              <w:r>
                <w:rPr>
                  <w:rStyle w:val="InternetLink"/>
                  <w:rFonts w:ascii="Times New Roman;serif" w:hAnsi="Times New Roman;serif"/>
                  <w:b w:val="false"/>
                  <w:i w:val="false"/>
                  <w:caps w:val="false"/>
                  <w:smallCaps w:val="false"/>
                  <w:color w:val="000000"/>
                  <w:sz w:val="20"/>
                  <w:u w:val="single"/>
                </w:rPr>
                <w:t>31.2</w:t>
              </w:r>
            </w:hyperlink>
            <w:r>
              <w:rPr>
                <w:rFonts w:ascii="Times New Roman;serif" w:hAnsi="Times New Roman;serif"/>
                <w:b w:val="false"/>
                <w:i w:val="false"/>
                <w:caps w:val="false"/>
                <w:smallCaps w:val="false"/>
                <w:sz w:val="20"/>
              </w:rPr>
              <w:t>**</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Certification of Chief Financial Officer Pursuant to Section 302</w:t>
            </w:r>
          </w:p>
        </w:tc>
      </w:tr>
      <w:tr>
        <w:trPr/>
        <w:tc>
          <w:tcPr>
            <w:tcW w:w="1014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w:anchor="ex321q42025.htm">
              <w:r>
                <w:rPr>
                  <w:rStyle w:val="InternetLink"/>
                  <w:rFonts w:ascii="Times New Roman;serif" w:hAnsi="Times New Roman;serif"/>
                  <w:b w:val="false"/>
                  <w:i w:val="false"/>
                  <w:caps w:val="false"/>
                  <w:smallCaps w:val="false"/>
                  <w:color w:val="000000"/>
                  <w:sz w:val="20"/>
                  <w:u w:val="single"/>
                </w:rPr>
                <w:t>32.1</w:t>
              </w:r>
            </w:hyperlink>
            <w:r>
              <w:rPr>
                <w:rFonts w:ascii="Times New Roman;serif" w:hAnsi="Times New Roman;serif"/>
                <w:b w:val="false"/>
                <w:i w:val="false"/>
                <w:caps w:val="false"/>
                <w:smallCaps w:val="false"/>
                <w:sz w:val="20"/>
              </w:rPr>
              <w:t>**</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Certification of Chief Executive Officer Pursuant to Section 906</w:t>
            </w:r>
          </w:p>
        </w:tc>
      </w:tr>
      <w:tr>
        <w:trPr/>
        <w:tc>
          <w:tcPr>
            <w:tcW w:w="1014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w:anchor="ex322q42025.htm">
              <w:r>
                <w:rPr>
                  <w:rStyle w:val="InternetLink"/>
                  <w:rFonts w:ascii="Times New Roman;serif" w:hAnsi="Times New Roman;serif"/>
                  <w:b w:val="false"/>
                  <w:i w:val="false"/>
                  <w:caps w:val="false"/>
                  <w:smallCaps w:val="false"/>
                  <w:color w:val="000000"/>
                  <w:sz w:val="20"/>
                  <w:u w:val="single"/>
                </w:rPr>
                <w:t>32.2</w:t>
              </w:r>
            </w:hyperlink>
            <w:r>
              <w:rPr>
                <w:rFonts w:ascii="Times New Roman;serif" w:hAnsi="Times New Roman;serif"/>
                <w:b w:val="false"/>
                <w:i w:val="false"/>
                <w:caps w:val="false"/>
                <w:smallCaps w:val="false"/>
                <w:sz w:val="20"/>
              </w:rPr>
              <w:t>**</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Certification of Chief Financial Officer Pursuant to Section 906</w:t>
            </w:r>
          </w:p>
        </w:tc>
      </w:tr>
      <w:tr>
        <w:trPr/>
        <w:tc>
          <w:tcPr>
            <w:tcW w:w="691"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pPr>
            <w:hyperlink r:id="rId69">
              <w:r>
                <w:rPr>
                  <w:rStyle w:val="InternetLink"/>
                  <w:rFonts w:ascii="Times New Roman;serif" w:hAnsi="Times New Roman;serif"/>
                  <w:b w:val="false"/>
                  <w:i w:val="false"/>
                  <w:caps w:val="false"/>
                  <w:smallCaps w:val="false"/>
                  <w:color w:val="000000"/>
                  <w:sz w:val="20"/>
                  <w:u w:val="single"/>
                </w:rPr>
                <w:t>97.1</w:t>
              </w:r>
            </w:hyperlink>
            <w:r>
              <w:rPr>
                <w:rFonts w:ascii="Times New Roman;serif" w:hAnsi="Times New Roman;serif"/>
                <w:b w:val="false"/>
                <w:i w:val="false"/>
                <w:caps w:val="false"/>
                <w:smallCaps w:val="false"/>
                <w:sz w:val="20"/>
              </w:rPr>
              <w:t>*</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FLEETCOR Technologies, Inc. Compensation Recoupment Policy, effective as of October 23, 2023 (incorporated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by reference to Exhibit 97.1 to the Registrant's Form 10-K, File No. 001-35004, filed with the SEC on February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29, 2024)</w:t>
            </w:r>
          </w:p>
        </w:tc>
      </w:tr>
      <w:tr>
        <w:trPr/>
        <w:tc>
          <w:tcPr>
            <w:tcW w:w="10142"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financial information for the registrant formatted in XBRL (Extensible Business Reporting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Language): (i) the Consolidated Balance Sheets, (ii) the Consolidated Statements of Income, (iii) the Consolidated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of Comprehensive Income; (iv) the Consolidated Statements of Equity; (v) the Consolidated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Statements of Cash Flows and (vi) the Notes to Consolidated Financial Statements</w:t>
            </w:r>
          </w:p>
        </w:tc>
      </w:tr>
      <w:tr>
        <w:trPr/>
        <w:tc>
          <w:tcPr>
            <w:tcW w:w="6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94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Cover Page Interactive Data File (embedded within the Inline XBRL document and contained in Exhibit 101)</w:t>
            </w:r>
          </w:p>
        </w:tc>
      </w:tr>
    </w:tbl>
    <w:tbl>
      <w:tblPr>
        <w:tblW w:w="6137" w:type="dxa"/>
        <w:jc w:val="left"/>
        <w:tblInd w:w="0" w:type="dxa"/>
        <w:tblLayout w:type="fixed"/>
        <w:tblCellMar>
          <w:top w:w="28" w:type="dxa"/>
          <w:left w:w="28" w:type="dxa"/>
          <w:bottom w:w="28" w:type="dxa"/>
          <w:right w:w="28" w:type="dxa"/>
        </w:tblCellMar>
      </w:tblPr>
      <w:tblGrid>
        <w:gridCol w:w="331"/>
        <w:gridCol w:w="5806"/>
      </w:tblGrid>
      <w:tr>
        <w:trPr/>
        <w:tc>
          <w:tcPr>
            <w:tcW w:w="331"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58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Identifies management contract or compensatory plan or arrangement.</w:t>
            </w:r>
          </w:p>
        </w:tc>
      </w:tr>
      <w:tr>
        <w:trPr/>
        <w:tc>
          <w:tcPr>
            <w:tcW w:w="3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16. FORM 10-K SUMMARY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Section 13 or 15(d) of the Securities Exchange Act of 1934, the registrant has duly caused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 to be signed on its behalf by the undersigned; thereunto duly authorized, in the City of Atlanta, State of Georgia,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February 26, 2026</w:t>
      </w:r>
      <w:r>
        <w:rPr>
          <w:rFonts w:ascii="Times New Roman;serif" w:hAnsi="Times New Roman;serif"/>
          <w:b w:val="false"/>
          <w:i w:val="false"/>
          <w:caps w:val="false"/>
          <w:smallCaps w:val="false"/>
          <w:sz w:val="20"/>
        </w:rPr>
        <w:t>.</w:t>
      </w:r>
    </w:p>
    <w:tbl>
      <w:tblPr>
        <w:tblW w:w="3838" w:type="dxa"/>
        <w:jc w:val="left"/>
        <w:tblInd w:w="0" w:type="dxa"/>
        <w:tblLayout w:type="fixed"/>
        <w:tblCellMar>
          <w:top w:w="28" w:type="dxa"/>
          <w:left w:w="28" w:type="dxa"/>
          <w:bottom w:w="28" w:type="dxa"/>
          <w:right w:w="28" w:type="dxa"/>
        </w:tblCellMar>
      </w:tblPr>
      <w:tblGrid>
        <w:gridCol w:w="421"/>
        <w:gridCol w:w="146"/>
        <w:gridCol w:w="327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838" w:type="dxa"/>
            <w:gridSpan w:val="3"/>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Corpay, Inc.</w:t>
            </w:r>
          </w:p>
        </w:tc>
      </w:tr>
      <w:tr>
        <w:trPr/>
        <w:tc>
          <w:tcPr>
            <w:tcW w:w="421"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RONALD F. CLARKE</w:t>
            </w:r>
          </w:p>
        </w:tc>
      </w:tr>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7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Ronald F. Clarke</w:t>
            </w:r>
          </w:p>
        </w:tc>
      </w:tr>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71" w:type="dxa"/>
            <w:tcBorders/>
            <w:vAlign w:val="center"/>
          </w:tcPr>
          <w:p>
            <w:pPr>
              <w:pStyle w:val="TableContents"/>
              <w:bidi w:val="0"/>
              <w:spacing w:lineRule="atLeast" w:line="200" w:before="0" w:after="0"/>
              <w:jc w:val="left"/>
              <w:rPr>
                <w:rFonts w:ascii="Times New Roman;serif" w:hAnsi="Times New Roman;serif"/>
                <w:b/>
                <w:i/>
                <w:strike w:val="false"/>
                <w:dstrike w:val="false"/>
                <w:color w:val="000000"/>
                <w:sz w:val="20"/>
                <w:u w:val="none"/>
                <w:effect w:val="none"/>
              </w:rPr>
            </w:pPr>
            <w:r>
              <w:rPr>
                <w:rFonts w:ascii="Times New Roman;serif" w:hAnsi="Times New Roman;serif"/>
                <w:b/>
                <w:i/>
                <w:strike w:val="false"/>
                <w:dstrike w:val="false"/>
                <w:color w:val="000000"/>
                <w:sz w:val="20"/>
                <w:u w:val="none"/>
                <w:effect w:val="none"/>
              </w:rPr>
              <w:t>President and Chief Executive Officer</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this report has been signed below by the following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persons on behalf of registrant and in the capacities indicated on </w:t>
      </w:r>
      <w:r>
        <w:rPr>
          <w:rFonts w:ascii="Times New Roman;serif" w:hAnsi="Times New Roman;serif"/>
          <w:b w:val="false"/>
          <w:i w:val="false"/>
          <w:caps w:val="false"/>
          <w:smallCaps w:val="false"/>
          <w:strike w:val="false"/>
          <w:dstrike w:val="false"/>
          <w:sz w:val="20"/>
          <w:u w:val="none"/>
          <w:effect w:val="none"/>
        </w:rPr>
        <w:t>February 26, 2026</w:t>
      </w:r>
      <w:r>
        <w:rPr>
          <w:rFonts w:ascii="Times New Roman;serif" w:hAnsi="Times New Roman;serif"/>
          <w:b w:val="false"/>
          <w:i w:val="false"/>
          <w:caps w:val="false"/>
          <w:smallCaps w:val="false"/>
          <w:sz w:val="20"/>
        </w:rPr>
        <w:t>.</w:t>
      </w:r>
    </w:p>
    <w:tbl>
      <w:tblPr>
        <w:tblW w:w="8811" w:type="dxa"/>
        <w:jc w:val="left"/>
        <w:tblInd w:w="0" w:type="dxa"/>
        <w:tblLayout w:type="fixed"/>
        <w:tblCellMar>
          <w:top w:w="28" w:type="dxa"/>
          <w:left w:w="28" w:type="dxa"/>
          <w:bottom w:w="28" w:type="dxa"/>
          <w:right w:w="28" w:type="dxa"/>
        </w:tblCellMar>
      </w:tblPr>
      <w:tblGrid>
        <w:gridCol w:w="2566"/>
        <w:gridCol w:w="109"/>
        <w:gridCol w:w="6136"/>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Signature</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Title</w:t>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RONALD F. CLARKE</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President, Chief Executive Officer and Chairman of the Board of Directors</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(Principal Executive Officer)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Ronald F. Clarke</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PETER WALKER</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Chief Financial Officer</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(Principal Financial Officer)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Peter Walker</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ALISSA B. VICKERY</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Accounting Officer</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Accounting Officer)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Alissa B. Vickery</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ANNABELLE G. BEXIGA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Annabelle G. Bexiga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36" w:type="dxa"/>
            <w:tcBorders/>
            <w:shd w:fill="FFFFFF" w:val="clear"/>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DAVID L. BUNCH</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David L. Bunch</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JOSEPH W. FARRELLY</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Joseph W. Farrelly</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THOMAS M. HAGERTY</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Thomas M. Hagerty</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RAHUL GUPTA</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Rahul Gupta</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ARCHIE L. JONES, JR.</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Archie L. Jones, Jr.</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RICHARD MACCHIA</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Richard Macchia</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HALA G. MODDELMOG</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Hala G. Moddelmog</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JEFFREY S. SLOAN</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Jeffrey S. Sloan</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STEVEN T. STULL</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Steven T. Stull</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GERALD C. THROOP</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r>
      <w:tr>
        <w:trPr/>
        <w:tc>
          <w:tcPr>
            <w:tcW w:w="25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Gerald C. Throop</w:t>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Arial;sans-serif" w:hAnsi="Arial;sans-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2025 Subsidiaries of Corpay, Inc.</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2618"/>
        <w:gridCol w:w="2567"/>
        <w:gridCol w:w="2588"/>
        <w:gridCol w:w="674"/>
        <w:gridCol w:w="674"/>
        <w:gridCol w:w="960"/>
      </w:tblGrid>
      <w:tr>
        <w:trPr/>
        <w:tc>
          <w:tcPr>
            <w:tcW w:w="124"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Subsidiary</w:t>
            </w:r>
          </w:p>
        </w:tc>
        <w:tc>
          <w:tcPr>
            <w:tcW w:w="2308" w:type="dxa"/>
            <w:gridSpan w:val="3"/>
            <w:tcBorders>
              <w:top w:val="single" w:sz="8" w:space="0" w:color="000000"/>
              <w:left w:val="single" w:sz="8" w:space="0" w:color="000000"/>
              <w:right w:val="single" w:sz="8" w:space="0" w:color="000000"/>
            </w:tcBorders>
            <w:shd w:fill="DBE5F1" w:val="clear"/>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Jurisdiction of Organization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Inc. (fka: FleetCor Technologies, Inc.)</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Technologies Operating Company, LLC (fka: FleetCor Technologies Operating Company, LLC)</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Louisiana,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Funding, LLC</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Mannatec, Inc.</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Georgia,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Jersey Holding Limited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Jersey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CFN Holding Company</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Corporate Lodging Consultants, Inc.</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Kansas,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Commercial Card Management (Canada) Ltd (fka: Fleetcor Commercial Card Management (Canada) Ltd)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Technologies Operating Company-CFN Holding Co. S.E.N.C.</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Luxembourg Holding1 S.à.r.l.</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Luxembourg Holding2 S.à.r.l.</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Technologieën B.V.</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The Netherlands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UK Acquisition Limited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Europe Limited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CH Jones Limited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FleetCor UK International Management Limited </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The Fuelcard Company UK Limited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Fuel Cards, LLC</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Fuel Cards (Europe) LTD.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CCS Ceska spolecnost pro platebni karty sro</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Czech Republic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CCS Slovenska společnost pro platebne karty sro</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Slovakia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Lithuania UAB</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Lithuania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Technologies Mexico S. de R.L. de C.V.</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Efectivale, S. de R.L. de C.V.</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Efectivale Servicios, S. de R.L. de C.V.</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CTF Technologies (Canada), ULC</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CTF Technologies do Brasil Ltda.</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Allstar Business Solutions Limited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Business Fuel Cards Pty Limited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Technologies New Zealand LTD.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New Zealand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Cardlink Systems Limited</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New Zealand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VB – Serviços, Comércio e Administração Ltda.</w:t>
            </w:r>
          </w:p>
        </w:tc>
        <w:tc>
          <w:tcPr>
            <w:tcW w:w="23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Auto Expresso Technologia S.A.</w:t>
            </w:r>
          </w:p>
        </w:tc>
        <w:tc>
          <w:tcPr>
            <w:tcW w:w="230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bl>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2677"/>
        <w:gridCol w:w="2589"/>
        <w:gridCol w:w="2596"/>
        <w:gridCol w:w="708"/>
        <w:gridCol w:w="621"/>
        <w:gridCol w:w="890"/>
      </w:tblGrid>
      <w:tr>
        <w:trPr/>
        <w:tc>
          <w:tcPr>
            <w:tcW w:w="124"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Sem Parar Instituição de Pagamento Ltda. (fka: CGMP - Centro de Gestão De Meios de Pagamento Ltda.)</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Epyx Limited</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Epyx France SAS</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Pacific Pride Services, LLC</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Deutschland GmbH</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FCHC Holding Company, LLC</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Tankkarten GmbH</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Comdata, Inc.</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Comdata TN, INC.</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Tennessee,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Comdata Network, Inc. of California</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California,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Stored Value Solutions International B.V.</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The Netherlands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Stored Value Solutions GmbH</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Stored Value Solutions France SAS</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Stored Value Solutions Hong Kong Limited</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Hong Kong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Buyatab Online, Inc.</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Stored Value Solutions Canada, Ltd</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Shanghai Stored Value Solutions Information Technology Co., Ltd</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China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Stored Value Solutions UK Limited</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Venturo Technologien Swiss GmbH</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Switzerland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Belgium Société à Responsabilité Limitée</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Belgium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Poland Sp. z o.o.</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Poland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Hungary kft.</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Hungary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Venturo Technologies S.à.r.l.</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Czech Republic, s.r.o.</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Czech Republic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Slovakia, s.r.o.</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Slovakia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Creative Lodging Solutions, LLC</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Kentucky,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TravelCard B.V.</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The Netherlands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Cambridge Mercantile Corp (USA)</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Cambridge Mercantile Corp (Canada)</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Cambridge Mercantile Corp (UK) Ltd</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Cambridge Mercantile Corp Australia PTY Ltd</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Cambridge Mercantile Risk Management (UK) Ltd</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Brasil Servicos de Viagens Ltda. (fka: Travelliance Brasil Servicos de Viagens Ltda)</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Comdata LA, LLC</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Louisiana,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R2C Online Limited</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MN, LLC (fka: LJK Companies LLC)</w:t>
            </w:r>
          </w:p>
        </w:tc>
        <w:tc>
          <w:tcPr>
            <w:tcW w:w="22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Minnesota,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Roomstorm LLC</w:t>
            </w:r>
          </w:p>
        </w:tc>
        <w:tc>
          <w:tcPr>
            <w:tcW w:w="22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Illinois, United States</w:t>
            </w:r>
          </w:p>
        </w:tc>
      </w:tr>
    </w:tbl>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979" w:type="dxa"/>
        <w:jc w:val="left"/>
        <w:tblInd w:w="0" w:type="dxa"/>
        <w:tblLayout w:type="fixed"/>
        <w:tblCellMar>
          <w:top w:w="28" w:type="dxa"/>
          <w:left w:w="28" w:type="dxa"/>
          <w:bottom w:w="28" w:type="dxa"/>
          <w:right w:w="28" w:type="dxa"/>
        </w:tblCellMar>
      </w:tblPr>
      <w:tblGrid>
        <w:gridCol w:w="124"/>
        <w:gridCol w:w="2458"/>
        <w:gridCol w:w="2458"/>
        <w:gridCol w:w="2464"/>
        <w:gridCol w:w="723"/>
        <w:gridCol w:w="723"/>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MX, S. de R.L. de C.V. (fka: Travelliance S de RL de CV)</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UK Ltd. (fka: Travelliance Global Ltd)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Group Achamps Ltd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Texas,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Nvoicepay, Inc.</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Oregon,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Kiwi Fuel Cards Limited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New Zealand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Lynked Solutions Pty, Ltd. (fka: Cardlink Systems PTY, Ltd.)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AU Pty Ltd. (fka: Nationwide Hospitality Pty Ltd)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IL, LLC (fka: NHI-2, LLC)</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Illinois,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DE, LLC (fka: Airline Accommodations Solutions, LLC)</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PTE Ltd. (fka: Hotel Connections PTE Ltd.)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Singapore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MY SDN BHD (fka: Hotel Connections SDN BHD)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Malaysia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of Japan, GK (fka: Hotel Connections of Japan, GK)</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Japan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ALE Solutions, Inc. </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Illinois,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One, Inc. (fka Roger.ai, Inc.)</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One ApS (fka: Roger.ai, ApS)</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Denmark</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Red Fuel Cards Europe Spain SLU</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Spain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AFEX Offshore Limited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Jersey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Associated Foreign Exchange (Schweiz) AG</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Switzerland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Associated Foreign Exchange Australia Pty, Ltd.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Associated Foreign Exchange Limited </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Associated Foreign Exchange Holdings, Inc.</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California,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Associated Foreign Exchange, Inc.</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California,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PT. AFEX Indonesia</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Indonesia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AFEX Global Holdings Limited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United Kingdom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AFEX Markets Limited (fka: AFEX Markets PLC)</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AFEX Markets Europe Limited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Associated Foreign Exchange (Singapore) Pte. Ltd.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Singapore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Associated Foreign Exchange Ireland Limited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Mina Digital Limited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Abbey Euro Diesel Limited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UK Finance Holdings1 LLC</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Fuelcards UK Limited</w:t>
            </w:r>
          </w:p>
        </w:tc>
        <w:tc>
          <w:tcPr>
            <w:tcW w:w="24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Quadrum Investments Group Limited </w:t>
            </w:r>
          </w:p>
        </w:tc>
        <w:tc>
          <w:tcPr>
            <w:tcW w:w="24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United Kingdom </w:t>
            </w:r>
          </w:p>
        </w:tc>
      </w:tr>
    </w:tbl>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2451"/>
        <w:gridCol w:w="2430"/>
        <w:gridCol w:w="2436"/>
        <w:gridCol w:w="824"/>
        <w:gridCol w:w="800"/>
        <w:gridCol w:w="1140"/>
      </w:tblGrid>
      <w:tr>
        <w:trPr/>
        <w:tc>
          <w:tcPr>
            <w:tcW w:w="124"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Plugsurfing B.V. </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Netherlands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Plugsurfing GmbH</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Germany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Sem Parar Holding Participações Ltda</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Brazil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Sem Parar Corretora Digital E Consultoria de Seguros Ltda</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Sem Parar Sociedade de Crédito Direto S.A.</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Gehl Companies, Inc. </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Minnesota,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Levarti Ltd.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Levarti Australia Pty, Ltd. </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Levarti Services Australia Pty, Ltd. </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Accrualify Inc.</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California,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Technologies India Private Limited (fka: Accrualify India Private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India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Global Reach Group Holdings (Jersey)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Jersey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PayByPhone Technologies, Inc.</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1433967 B.C ULC</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PayByPhone SAS</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Business Gateway GmbH (fka: Business Gateway AG)</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PayByPhone Deutschland GmbH</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India Private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India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PayByPhone Italia S.r.l.</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Italy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Plugsurfing AB</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PayByPhone Suisse AG</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Switzerland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Global Reach Partners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Foreign Currency Exchange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Global Reach Markets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Project Galaxy MIDCO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Project Galaxy BIDCO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Global Reach Group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PayByPhone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Adaptis Solutions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PayByPhone US Inc.</w:t>
            </w:r>
          </w:p>
        </w:tc>
        <w:tc>
          <w:tcPr>
            <w:tcW w:w="276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Roomex, LLC</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Massachusetts,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Efectifintech SA de CV</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 Connections FZ, LLC (fka: Travelliance Global FZ LLE)</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Arab Emirates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Fleetcor Technologies Pty.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CTF Holdings, Inc.</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Barbados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CTF International, Inc.</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Barbados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Roomex Limited</w:t>
            </w:r>
          </w:p>
        </w:tc>
        <w:tc>
          <w:tcPr>
            <w:tcW w:w="2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Roomex Hotels Limited</w:t>
            </w:r>
          </w:p>
        </w:tc>
        <w:tc>
          <w:tcPr>
            <w:tcW w:w="27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Ireland</w:t>
            </w:r>
          </w:p>
        </w:tc>
      </w:tr>
    </w:tbl>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2556"/>
        <w:gridCol w:w="2548"/>
        <w:gridCol w:w="2553"/>
        <w:gridCol w:w="708"/>
        <w:gridCol w:w="707"/>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Roomex Deutschland GmBH</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Cambridge Mercantile Corp (Germany) UG</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AFEX Hong Kong Limited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Hong Kong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(NZ) Limited (fka: Associated Foreign Exchange New Zealand Limited)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New Zealand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Ace Fuelcards Limited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One UK Limited (fka: Oasis Global Systems Limited)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CLC Group, Inc.</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Crew Transportation Specialists, Inc.</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Kansas,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Achamps Corporation</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Texas,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Sypht Pty Ltd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GPS Capital Markets Australia PTY LTD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Zapay Instituição de Pagamento S.A.</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Zsoftware Desenvolvimento e Licencimentao de Software Ltda</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Trading Canada, Inc. (fka: Corpay FX Trading Canada, Inc.)</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GPS Capital Markets Europe, UAB</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Lithuania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R2C Online Holdings Ltd.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GPS Capital Markets Limited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Paymerang Holdings LLC</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Paymerang LLC</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Virginia,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Sypht Holdings, Inc.</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Plugsurfing USA, LLC</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GPS Capital Markets, LLC</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Utah,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Australia PTY, Ltd.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Alpha FX Australia PTY Ltd.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Gringo Brasil Ltda</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Gringo Correctora de Seguros Ltda</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Gringo O Melhor Amigo do Motorista Ltda</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Gringo Pay S.A.</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ONC Solucoes em Tecnologia da Informacao Ltda</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Alpha Foreign Exchange (Canada) Ltd.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1Link France SAS</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Cross-Border Holdco (Jersey) Ltd.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Jersey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Cross-Border Holdco 2 (Jersey) Ltd.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Jersey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Cambridge Mercantile Corp Holdings (Malta) Limited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Malta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Cambridge Mercantile Corp (Europe) Limited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Malta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Malta Holdings 3 Limited</w:t>
            </w:r>
          </w:p>
        </w:tc>
        <w:tc>
          <w:tcPr>
            <w:tcW w:w="24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Malta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Malta Holdings 4 Limited</w:t>
            </w:r>
          </w:p>
        </w:tc>
        <w:tc>
          <w:tcPr>
            <w:tcW w:w="24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Malta</w:t>
            </w:r>
          </w:p>
        </w:tc>
      </w:tr>
    </w:tbl>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687" w:type="dxa"/>
        <w:jc w:val="left"/>
        <w:tblInd w:w="0" w:type="dxa"/>
        <w:tblLayout w:type="fixed"/>
        <w:tblCellMar>
          <w:top w:w="28" w:type="dxa"/>
          <w:left w:w="28" w:type="dxa"/>
          <w:bottom w:w="28" w:type="dxa"/>
          <w:right w:w="28" w:type="dxa"/>
        </w:tblCellMar>
      </w:tblPr>
      <w:tblGrid>
        <w:gridCol w:w="124"/>
        <w:gridCol w:w="1268"/>
        <w:gridCol w:w="1268"/>
        <w:gridCol w:w="1273"/>
        <w:gridCol w:w="512"/>
        <w:gridCol w:w="512"/>
        <w:gridCol w:w="730"/>
      </w:tblGrid>
      <w:tr>
        <w:trPr/>
        <w:tc>
          <w:tcPr>
            <w:tcW w:w="12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Alpha FX Europe Ltd.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Malta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Transaction and Services BV</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AGI Financial PTE Ltd.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Singapore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Group 4 Holdco Ltd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UK Newco Ltd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Funding (UK) Limited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Alpha Group International PLC</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Alpha FX Limited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Alpha FX Institutional Limited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Alpha FX Netherlands Limited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Alpha Agency Solutions Limited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Abbey Funding, Ltd.</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Corpay Cross-Border Holdco, LLC</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Alpha Group International Inc.</w:t>
            </w:r>
          </w:p>
        </w:tc>
        <w:tc>
          <w:tcPr>
            <w:tcW w:w="17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United States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1"/>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xml:space="preserve">Exhibit 23.1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Registration Statement (Form S-8 No. 333-268238) pertaining to the FLEETCOR Technologies, Inc. Amended and Restated 2010 Equity Compensation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Registration Statement (Form S-8 No. 333-223378) pertaining to the FLEETCOR Technologies, Inc. Amended and Restated 2010 Equity Compensation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Registration Statement (Form S-8 No. 333-190483) pertaining to the FLEETCOR Technologies, Inc. 2010 Equity Compensation Plan,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Registration Statement (Form S-8 No. 333-171289) pertaining to the FLEETCOR Technologies, Inc. Amended and Restated Stock Incentive Plan and the FLEETCOR Technologies, Inc. 2010 Equity Compensation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20"/>
        </w:rPr>
        <w:t>of our reports dated February 26, 2026, with respect to the consolidated financial statements of Corpay, Inc. and Subsidiaries and the effectiveness of internal control over financial reporting of Corpay, Inc. and Subsidiaries included in this Annual Report (Form 10-K) of Corpay, Inc. and Subsidiaries for the year ended December 31, 2025</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Ernst &amp; Young LLP</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Atlanta, Georgia </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26,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283"/>
        <w:jc w:val="both"/>
        <w:rPr>
          <w:color w:val="000000"/>
          <w:shd w:fill="FFFFFF" w:val="clear"/>
        </w:rPr>
      </w:pPr>
      <w:r>
        <w:rPr>
          <w:color w:val="000000"/>
          <w:shd w:fill="FFFFFF" w:val="clear"/>
        </w:rPr>
        <w:t> </w:t>
      </w:r>
    </w:p>
    <w:p>
      <w:pPr>
        <w:pStyle w:val="TextBody"/>
        <w:bidi w:val="0"/>
        <w:spacing w:before="100" w:after="1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895"/>
                <wp:effectExtent l="0" t="0" r="0" b="0"/>
                <wp:wrapNone/>
                <wp:docPr id="8" name="Frame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 w:after="1"/>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Ronald F. Clarke,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Corpay,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084" w:type="dxa"/>
        <w:jc w:val="lef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F. Clarke</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Peter Walker,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Corpay,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024" w:type="dxa"/>
        <w:jc w:val="left"/>
        <w:tblInd w:w="0" w:type="dxa"/>
        <w:tblLayout w:type="fixed"/>
        <w:tblCellMar>
          <w:top w:w="28" w:type="dxa"/>
          <w:left w:w="28" w:type="dxa"/>
          <w:bottom w:w="28" w:type="dxa"/>
          <w:right w:w="28" w:type="dxa"/>
        </w:tblCellMar>
      </w:tblPr>
      <w:tblGrid>
        <w:gridCol w:w="647"/>
        <w:gridCol w:w="569"/>
        <w:gridCol w:w="808"/>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Walker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Walker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Corpay, Inc., a Delaware corporation (the “Company”), on Form 10-K for the year ended December 31, 2025, as filed with the Securities and Exchange Commission (the “Report”), Ronald F. Clarke, Chief Executive Officer of the Company, does hereby certify, pursuant to § 906 of the Sarbanes-Oxley Act of 2002 (18 U.S.C. § 1350), that to his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F. Clarke</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Corpay, Inc. and will be retained by Corpay,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Corpay, Inc., a Delaware corporation (the “Company”), on Form 10-K for the year ended December 31, 2025, as filed with the Securities and Exchange Commission (the “Report”), Peter Walker, Chief Financial Officer of the Company, does hereby certify, pursuant to § 906 of the Sarbanes-Oxley Act of 2002 (18 U.S.C. § 1350), that to his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9"/>
        <w:gridCol w:w="808"/>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Walker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Walker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Corpay, Inc. and will be retained by Corpay,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175454/000162828023005444/ex31certificateofincorpora.htm" TargetMode="External"/><Relationship Id="rId4" Type="http://schemas.openxmlformats.org/officeDocument/2006/relationships/hyperlink" Target="https://www.sec.gov/Archives/edgar/data/1175454/000162828024010593/exhibit31certificateofowne.htm" TargetMode="External"/><Relationship Id="rId5" Type="http://schemas.openxmlformats.org/officeDocument/2006/relationships/hyperlink" Target="https://www.sec.gov/Archives/edgar/data/1175454/000162828024010593/exhibit32amendedandrestate.htm" TargetMode="External"/><Relationship Id="rId6" Type="http://schemas.openxmlformats.org/officeDocument/2006/relationships/hyperlink" Target="https://www.sec.gov/Archives/edgar/data/1175454/000119312510149947/dex41.htm" TargetMode="External"/><Relationship Id="rId7" Type="http://schemas.openxmlformats.org/officeDocument/2006/relationships/hyperlink" Target="https://www.sec.gov/Archives/edgar/data/1175454/000117545420000008/descriptionoffleetcort.htm" TargetMode="External"/><Relationship Id="rId8" Type="http://schemas.openxmlformats.org/officeDocument/2006/relationships/hyperlink" Target="https://www.sec.gov/Archives/edgar/data/1175454/000119312510149947/dex101.htm" TargetMode="External"/><Relationship Id="rId9" Type="http://schemas.openxmlformats.org/officeDocument/2006/relationships/hyperlink" Target="https://www.sec.gov/Archives/edgar/data/1175454/000119312510124434/dex107.htm" TargetMode="External"/><Relationship Id="rId10" Type="http://schemas.openxmlformats.org/officeDocument/2006/relationships/hyperlink" Target="https://www.sec.gov/Archives/edgar/data/1175454/000119312510124434/dex108.htm" TargetMode="External"/><Relationship Id="rId11" Type="http://schemas.openxmlformats.org/officeDocument/2006/relationships/hyperlink" Target="https://www.sec.gov/Archives/edgar/data/1175454/000119312510124434/dex109.htm" TargetMode="External"/><Relationship Id="rId12" Type="http://schemas.openxmlformats.org/officeDocument/2006/relationships/hyperlink" Target="https://www.sec.gov/Archives/edgar/data/1175454/000119312510134183/dex1011.htm" TargetMode="External"/><Relationship Id="rId13" Type="http://schemas.openxmlformats.org/officeDocument/2006/relationships/hyperlink" Target="https://www.sec.gov/Archives/edgar/data/1175454/000119312510134183/dex1012.htm" TargetMode="External"/><Relationship Id="rId14" Type="http://schemas.openxmlformats.org/officeDocument/2006/relationships/hyperlink" Target="https://www.sec.gov/Archives/edgar/data/1175454/000119312510149947/dex1037.htm" TargetMode="External"/><Relationship Id="rId15" Type="http://schemas.openxmlformats.org/officeDocument/2006/relationships/hyperlink" Target="https://www.sec.gov/Archives/edgar/data/1175454/000119312510271283/dex1038.htm" TargetMode="External"/><Relationship Id="rId16" Type="http://schemas.openxmlformats.org/officeDocument/2006/relationships/hyperlink" Target="https://www.sec.gov/Archives/edgar/data/1175454/000119312510271283/dex1039.htm" TargetMode="External"/><Relationship Id="rId17" Type="http://schemas.openxmlformats.org/officeDocument/2006/relationships/hyperlink" Target="https://www.sec.gov/Archives/edgar/data/1175454/000119312510271283/dex1040.htm" TargetMode="External"/><Relationship Id="rId18" Type="http://schemas.openxmlformats.org/officeDocument/2006/relationships/hyperlink" Target="https://www.sec.gov/Archives/edgar/data/1175454/000119312510271283/dex1041.htm" TargetMode="External"/><Relationship Id="rId19" Type="http://schemas.openxmlformats.org/officeDocument/2006/relationships/hyperlink" Target="https://www.sec.gov/Archives/edgar/data/1175454/000119312510271283/dex1042.htm" TargetMode="External"/><Relationship Id="rId20" Type="http://schemas.openxmlformats.org/officeDocument/2006/relationships/hyperlink" Target="https://www.sec.gov/Archives/edgar/data/1175454/000119312510271283/dex1043.htm" TargetMode="External"/><Relationship Id="rId21" Type="http://schemas.openxmlformats.org/officeDocument/2006/relationships/hyperlink" Target="https://www.sec.gov/Archives/edgar/data/1175454/000119312512225964/d330922dex101.htm" TargetMode="External"/><Relationship Id="rId22" Type="http://schemas.openxmlformats.org/officeDocument/2006/relationships/hyperlink" Target="https://www.sec.gov/Archives/edgar/data/1175454/000162828023005444/ex1017equitycompensationpl.htm" TargetMode="External"/><Relationship Id="rId23" Type="http://schemas.openxmlformats.org/officeDocument/2006/relationships/hyperlink" Target="https://www.sec.gov/Archives/edgar/data/1175454/000117545421000047/exh104.htm" TargetMode="External"/><Relationship Id="rId24" Type="http://schemas.openxmlformats.org/officeDocument/2006/relationships/hyperlink" Target="https://www.sec.gov/Archives/edgar/data/1175454/000119312514406270/d783602dex104.htm" TargetMode="External"/><Relationship Id="rId25" Type="http://schemas.openxmlformats.org/officeDocument/2006/relationships/hyperlink" Target="https://www.sec.gov/Archives/edgar/data/1175454/000119312514414305/d822326dex101.htm" TargetMode="External"/><Relationship Id="rId26" Type="http://schemas.openxmlformats.org/officeDocument/2006/relationships/hyperlink" Target="https://www.sec.gov/Archives/edgar/data/1175454/000119312515073581/d831300dex1032.htm" TargetMode="External"/><Relationship Id="rId27" Type="http://schemas.openxmlformats.org/officeDocument/2006/relationships/hyperlink" Target="https://www.sec.gov/Archives/edgar/data/1175454/000119312515073581/d831300dex1033.htm" TargetMode="External"/><Relationship Id="rId28" Type="http://schemas.openxmlformats.org/officeDocument/2006/relationships/hyperlink" Target="https://www.sec.gov/Archives/edgar/data/1175454/000119312515073581/d831300dex1034.htm" TargetMode="External"/><Relationship Id="rId29" Type="http://schemas.openxmlformats.org/officeDocument/2006/relationships/hyperlink" Target="https://www.sec.gov/Archives/edgar/data/1175454/000119312515181886/d896506dex101.htm" TargetMode="External"/><Relationship Id="rId30" Type="http://schemas.openxmlformats.org/officeDocument/2006/relationships/hyperlink" Target="https://www.sec.gov/Archives/edgar/data/1175454/000119312515372089/d34595dex102.htm" TargetMode="External"/><Relationship Id="rId31" Type="http://schemas.openxmlformats.org/officeDocument/2006/relationships/hyperlink" Target="https://www.sec.gov/Archives/edgar/data/1175454/000119312516485752/d18451dex1038.htm" TargetMode="External"/><Relationship Id="rId32" Type="http://schemas.openxmlformats.org/officeDocument/2006/relationships/hyperlink" Target="https://www.sec.gov/Archives/edgar/data/1175454/000119312516485752/d18451dex1039.htm" TargetMode="External"/><Relationship Id="rId33" Type="http://schemas.openxmlformats.org/officeDocument/2006/relationships/hyperlink" Target="https://www.sec.gov/Archives/edgar/data/1175454/000117545416000015/ex101firstamendmenttocredi.htm" TargetMode="External"/><Relationship Id="rId34" Type="http://schemas.openxmlformats.org/officeDocument/2006/relationships/hyperlink" Target="https://www.sec.gov/Archives/edgar/data/1175454/000117545417000005/ex1041.htm" TargetMode="External"/><Relationship Id="rId35" Type="http://schemas.openxmlformats.org/officeDocument/2006/relationships/hyperlink" Target="https://www.sec.gov/Archives/edgar/data/1175454/000117545417000021/exhibitthirdamendmenttocre.htm" TargetMode="External"/><Relationship Id="rId36" Type="http://schemas.openxmlformats.org/officeDocument/2006/relationships/hyperlink" Target="https://www.sec.gov/Archives/edgar/data/1175454/000117545418000007/ex1043.htm" TargetMode="External"/><Relationship Id="rId37" Type="http://schemas.openxmlformats.org/officeDocument/2006/relationships/hyperlink" Target="https://www.sec.gov/Archives/edgar/data/1175454/000117545418000032/fourthamendmenttocreditagre.htm" TargetMode="External"/><Relationship Id="rId38" Type="http://schemas.openxmlformats.org/officeDocument/2006/relationships/hyperlink" Target="https://www.sec.gov/Archives/edgar/data/1175454/000117545418000032/fleetcorfourthamendmenttofi.htm" TargetMode="External"/><Relationship Id="rId39" Type="http://schemas.openxmlformats.org/officeDocument/2006/relationships/hyperlink" Target="https://www.sec.gov/Archives/edgar/data/1175454/000117545419000004/fifthamendment-flt2.htm" TargetMode="External"/><Relationship Id="rId40" Type="http://schemas.openxmlformats.org/officeDocument/2006/relationships/hyperlink" Target="https://www.sec.gov/Archives/edgar/data/1175454/000117545419000017/fleetcor_-xfifthxamendment.htm" TargetMode="External"/><Relationship Id="rId41" Type="http://schemas.openxmlformats.org/officeDocument/2006/relationships/hyperlink" Target="https://www.sec.gov/Archives/edgar/data/1175454/000117545419000017/fleetcor-sixthamendmenttof.htm" TargetMode="External"/><Relationship Id="rId42" Type="http://schemas.openxmlformats.org/officeDocument/2006/relationships/hyperlink" Target="https://www.sec.gov/Archives/edgar/data/1175454/000162828019010570/fleetcorbaml-execution.htm" TargetMode="External"/><Relationship Id="rId43" Type="http://schemas.openxmlformats.org/officeDocument/2006/relationships/hyperlink" Target="https://www.sec.gov/Archives/edgar/data/1175454/000117545420000008/char1-1688978v2xsevent.htm" TargetMode="External"/><Relationship Id="rId44" Type="http://schemas.openxmlformats.org/officeDocument/2006/relationships/hyperlink" Target="https://www.sec.gov/Archives/edgar/data/1175454/000117545420000020/exh101eighthamendment2.htm" TargetMode="External"/><Relationship Id="rId45" Type="http://schemas.openxmlformats.org/officeDocument/2006/relationships/hyperlink" Target="https://www.sec.gov/Archives/edgar/data/1175454/000117545421000022/seventhamendmenttofiftharr.htm" TargetMode="External"/><Relationship Id="rId46" Type="http://schemas.openxmlformats.org/officeDocument/2006/relationships/hyperlink" Target="https://www.sec.gov/Archives/edgar/data/0001175454/000117545421000028/fleetcor-eighthamendmentto.htm" TargetMode="External"/><Relationship Id="rId47" Type="http://schemas.openxmlformats.org/officeDocument/2006/relationships/hyperlink" Target="https://www.sec.gov/Archives/edgar/data/0001175454/000117545421000028/fleetcorboa-9thamendmentto.htm" TargetMode="External"/><Relationship Id="rId48" Type="http://schemas.openxmlformats.org/officeDocument/2006/relationships/hyperlink" Target="https://www.sec.gov/Archives/edgar/data/0001175454/000117545421000047/exh103.htm" TargetMode="External"/><Relationship Id="rId49" Type="http://schemas.openxmlformats.org/officeDocument/2006/relationships/hyperlink" Target="https://www.sec.gov/Archives/edgar/data/1175454/000162828022004531/exhibit1054executed10thame.htm" TargetMode="External"/><Relationship Id="rId50" Type="http://schemas.openxmlformats.org/officeDocument/2006/relationships/hyperlink" Target="https://www.sec.gov/Archives/edgar/data/1175454/000162828022004531/exhibit1055executed11thame.htm" TargetMode="External"/><Relationship Id="rId51" Type="http://schemas.openxmlformats.org/officeDocument/2006/relationships/hyperlink" Target="https://www.sec.gov/Archives/edgar/data/1175454/000162828022013388/ex101.htm" TargetMode="External"/><Relationship Id="rId52" Type="http://schemas.openxmlformats.org/officeDocument/2006/relationships/hyperlink" Target="https://www.sec.gov/Archives/edgar/data/1175454/000162828022022016/ex10212thcreditamendment.htm" TargetMode="External"/><Relationship Id="rId53" Type="http://schemas.openxmlformats.org/officeDocument/2006/relationships/hyperlink" Target="https://www.sec.gov/Archives/edgar/data/1175454/000162828023017203/ex10313thamendmenttothecre.htm" TargetMode="External"/><Relationship Id="rId54" Type="http://schemas.openxmlformats.org/officeDocument/2006/relationships/hyperlink" Target="https://www.sec.gov/Archives/edgar/data/1175454/000162828024008060/ex106414thamendmenttothecr.htm" TargetMode="External"/><Relationship Id="rId55" Type="http://schemas.openxmlformats.org/officeDocument/2006/relationships/hyperlink" Target="https://www.sec.gov/Archives/edgar/data/1175454/000162828024046515/ex10115thamendmenttothecre.htm" TargetMode="External"/><Relationship Id="rId56" Type="http://schemas.openxmlformats.org/officeDocument/2006/relationships/hyperlink" Target="https://www.sec.gov/Archives/edgar/data/1175454/000162828022022016/ex103alankingofferletter.htm" TargetMode="External"/><Relationship Id="rId57" Type="http://schemas.openxmlformats.org/officeDocument/2006/relationships/hyperlink" Target="https://www.sec.gov/Archives/edgar/data/1175454/000162828022028729/ex10411thamendmenttothe5th.htm" TargetMode="External"/><Relationship Id="rId58" Type="http://schemas.openxmlformats.org/officeDocument/2006/relationships/hyperlink" Target="https://www.sec.gov/Archives/edgar/data/1175454/000162828023008566/ex101cooperationagreement.htm" TargetMode="External"/><Relationship Id="rId59" Type="http://schemas.openxmlformats.org/officeDocument/2006/relationships/hyperlink" Target="https://www.sec.gov/Archives/edgar/data/1175454/000162828023017203/ex102tompantherofferletter.htm" TargetMode="External"/><Relationship Id="rId60" Type="http://schemas.openxmlformats.org/officeDocument/2006/relationships/hyperlink" Target="https://www.sec.gov/Archives/edgar/data/1175454/000162828024008060/ex106312thamendmentto5thar.htm" TargetMode="External"/><Relationship Id="rId61" Type="http://schemas.openxmlformats.org/officeDocument/2006/relationships/hyperlink" Target="https://www.sec.gov/Archives/edgar/data/1175454/000162828024046515/ex102amendmenttooptionagre.htm" TargetMode="External"/><Relationship Id="rId62" Type="http://schemas.openxmlformats.org/officeDocument/2006/relationships/hyperlink" Target="https://www.sec.gov/Archives/edgar/data/1175454/000162828025008746/ex1067thirteenthamendmentt.htm" TargetMode="External"/><Relationship Id="rId63" Type="http://schemas.openxmlformats.org/officeDocument/2006/relationships/hyperlink" Target="https://www.sec.gov/Archives/edgar/data/1175454/000162828025008746/ex1068sixteenthamendmentto.htm" TargetMode="External"/><Relationship Id="rId64" Type="http://schemas.openxmlformats.org/officeDocument/2006/relationships/hyperlink" Target="https://www.sec.gov/Archives/edgar/data/1175454/000117545425000018/exhibit101-offerletterwalk.htm" TargetMode="External"/><Relationship Id="rId65" Type="http://schemas.openxmlformats.org/officeDocument/2006/relationships/hyperlink" Target="https://www.sec.gov/Archives/edgar/data/1175454/000117545425000010/ex101cooperationagreement-.htm" TargetMode="External"/><Relationship Id="rId66" Type="http://schemas.openxmlformats.org/officeDocument/2006/relationships/hyperlink" Target="https://www.sec.gov/Archives/edgar/data/1175454/000117545425000025/ex101seventeenthamendmentt.htm" TargetMode="External"/><Relationship Id="rId67" Type="http://schemas.openxmlformats.org/officeDocument/2006/relationships/hyperlink" Target="https://www.sec.gov/Archives/edgar/data/1175454/000117545425000029/ex103sixthamendedandrestat.htm" TargetMode="External"/><Relationship Id="rId68" Type="http://schemas.openxmlformats.org/officeDocument/2006/relationships/hyperlink" Target="https://www.sec.gov/Archives/edgar/data/1175454/000162828025008746/ex191corpayinsidertradingp.htm" TargetMode="External"/><Relationship Id="rId69" Type="http://schemas.openxmlformats.org/officeDocument/2006/relationships/hyperlink" Target="https://www.sec.gov/Archives/edgar/data/1175454/000162828024008060/ex971fleetcortechnologiesi.htm" TargetMode="External"/><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77382</Words>
  <Characters>446967</Characters>
  <CharactersWithSpaces>519976</CharactersWithSpaces>
  <Paragraphs>8712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