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4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001-35004</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FleetCor Technologies, Inc.</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5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72-1074903</w:t>
            </w:r>
          </w:p>
        </w:tc>
      </w:tr>
      <w:tr>
        <w:trPr>
          <w:trHeight w:val="252"/>
        </w:trPr>
        <w:tc>
          <w:tcPr>
            <w:tcW w:w="50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(State or other jurisdiction of</w:t>
            </w:r>
          </w:p>
        </w:tc>
        <w:tc>
          <w:tcPr>
            <w:tcW w:w="31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0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392"/>
        </w:trPr>
        <w:tc>
          <w:tcPr>
            <w:tcW w:w="50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5445 Triangle Parkway, Norcross, Georgia</w:t>
            </w:r>
          </w:p>
        </w:tc>
        <w:tc>
          <w:tcPr>
            <w:tcW w:w="3160" w:type="dxa"/>
            <w:vAlign w:val="bottom"/>
          </w:tcPr>
          <w:p>
            <w:pPr>
              <w:jc w:val="right"/>
              <w:ind w:right="370"/>
              <w:spacing w:after="0"/>
              <w:rPr>
                <w:sz w:val="20"/>
                <w:szCs w:val="20"/>
                <w:color w:val="auto"/>
              </w:rPr>
            </w:pPr>
            <w:r>
              <w:rPr>
                <w:rFonts w:ascii="Arial" w:cs="Arial" w:eastAsia="Arial" w:hAnsi="Arial"/>
                <w:sz w:val="18"/>
                <w:szCs w:val="18"/>
                <w:b w:val="1"/>
                <w:bCs w:val="1"/>
                <w:color w:val="auto"/>
              </w:rPr>
              <w:t>30092</w:t>
            </w:r>
          </w:p>
        </w:tc>
      </w:tr>
      <w:tr>
        <w:trPr>
          <w:trHeight w:val="270"/>
        </w:trPr>
        <w:tc>
          <w:tcPr>
            <w:tcW w:w="50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(770) 449-0479</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0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ind w:right="1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4960" w:type="dxa"/>
            <w:vAlign w:val="bottom"/>
            <w:gridSpan w:val="2"/>
          </w:tcPr>
          <w:p>
            <w:pPr>
              <w:jc w:val="center"/>
              <w:ind w:right="4560"/>
              <w:spacing w:after="0"/>
              <w:rPr>
                <w:sz w:val="20"/>
                <w:szCs w:val="20"/>
                <w:color w:val="auto"/>
              </w:rPr>
            </w:pPr>
            <w:r>
              <w:rPr>
                <w:rFonts w:ascii="Arial" w:cs="Arial" w:eastAsia="Arial" w:hAnsi="Arial"/>
                <w:sz w:val="18"/>
                <w:szCs w:val="18"/>
                <w:b w:val="1"/>
                <w:bCs w:val="1"/>
                <w:color w:val="auto"/>
                <w:w w:val="83"/>
              </w:rPr>
              <w:t>Class</w:t>
            </w:r>
          </w:p>
        </w:tc>
        <w:tc>
          <w:tcPr>
            <w:tcW w:w="384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0"/>
              </w:rPr>
              <w:t>Outstanding at July 25, 2017</w:t>
            </w:r>
          </w:p>
        </w:tc>
      </w:tr>
      <w:tr>
        <w:trPr>
          <w:trHeight w:val="20"/>
        </w:trPr>
        <w:tc>
          <w:tcPr>
            <w:tcW w:w="2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91"/>
        </w:trPr>
        <w:tc>
          <w:tcPr>
            <w:tcW w:w="754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0"/>
              </w:rPr>
              <w:t>Common Stock, $0.001 par value</w:t>
            </w:r>
          </w:p>
        </w:tc>
        <w:tc>
          <w:tcPr>
            <w:tcW w:w="2200" w:type="dxa"/>
            <w:vAlign w:val="bottom"/>
          </w:tcPr>
          <w:p>
            <w:pPr>
              <w:jc w:val="right"/>
              <w:ind w:right="590"/>
              <w:spacing w:after="0"/>
              <w:rPr>
                <w:sz w:val="20"/>
                <w:szCs w:val="20"/>
                <w:color w:val="auto"/>
              </w:rPr>
            </w:pPr>
            <w:r>
              <w:rPr>
                <w:rFonts w:ascii="Arial" w:cs="Arial" w:eastAsia="Arial" w:hAnsi="Arial"/>
                <w:sz w:val="18"/>
                <w:szCs w:val="18"/>
                <w:b w:val="1"/>
                <w:bCs w:val="1"/>
                <w:color w:val="auto"/>
              </w:rPr>
              <w:t>91,878,784</w:t>
            </w:r>
          </w:p>
        </w:tc>
        <w:tc>
          <w:tcPr>
            <w:tcW w:w="1640" w:type="dxa"/>
            <w:vAlign w:val="bottom"/>
          </w:tcPr>
          <w:p>
            <w:pPr>
              <w:spacing w:after="0"/>
              <w:rPr>
                <w:sz w:val="24"/>
                <w:szCs w:val="24"/>
                <w:color w:val="auto"/>
              </w:rPr>
            </w:pPr>
          </w:p>
        </w:tc>
      </w:tr>
      <w:tr>
        <w:trPr>
          <w:trHeight w:val="162"/>
        </w:trPr>
        <w:tc>
          <w:tcPr>
            <w:tcW w:w="2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Three and Six Month Periods Ended June 30, 2017</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4"/>
          </w:tcPr>
          <w:p>
            <w:pPr>
              <w:ind w:left="520"/>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400" w:type="dxa"/>
            <w:vAlign w:val="bottom"/>
            <w:gridSpan w:val="19"/>
          </w:tcPr>
          <w:p>
            <w:pPr>
              <w:spacing w:after="0"/>
              <w:rPr>
                <w:sz w:val="20"/>
                <w:szCs w:val="20"/>
                <w:color w:val="auto"/>
              </w:rPr>
            </w:pPr>
            <w:r>
              <w:rPr>
                <w:rFonts w:ascii="Arial" w:cs="Arial" w:eastAsia="Arial" w:hAnsi="Arial"/>
                <w:sz w:val="18"/>
                <w:szCs w:val="18"/>
                <w:b w:val="1"/>
                <w:bCs w:val="1"/>
                <w:color w:val="auto"/>
              </w:rPr>
              <w:t>PART I—FINANCIAL INFORMATION</w:t>
            </w:r>
          </w:p>
        </w:tc>
        <w:tc>
          <w:tcPr>
            <w:tcW w:w="5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4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June 30, 2017 (unaudited) and December 31, 2016</w:t>
              </w:r>
            </w:hyperlink>
          </w:p>
        </w:tc>
        <w:tc>
          <w:tcPr>
            <w:tcW w:w="720" w:type="dxa"/>
            <w:vAlign w:val="bottom"/>
            <w:gridSpan w:val="3"/>
          </w:tcPr>
          <w:p>
            <w:pPr>
              <w:jc w:val="center"/>
              <w:ind w:left="531"/>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4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Income for the Three and Six Months Ended June 30, 2017 and 2016</w:t>
              </w:r>
            </w:hyperlink>
          </w:p>
        </w:tc>
        <w:tc>
          <w:tcPr>
            <w:tcW w:w="720" w:type="dxa"/>
            <w:vAlign w:val="bottom"/>
            <w:gridSpan w:val="3"/>
          </w:tcPr>
          <w:p>
            <w:pPr>
              <w:jc w:val="center"/>
              <w:ind w:left="531"/>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2</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480" w:type="dxa"/>
            <w:vAlign w:val="bottom"/>
            <w:gridSpan w:val="1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Unaudited Consolidated Statements of Comprehensive Income for the Three and Six Months Ended June 30, 2017 and 2016</w:t>
              </w:r>
            </w:hyperlink>
          </w:p>
        </w:tc>
        <w:tc>
          <w:tcPr>
            <w:tcW w:w="720" w:type="dxa"/>
            <w:vAlign w:val="bottom"/>
            <w:gridSpan w:val="3"/>
          </w:tcPr>
          <w:p>
            <w:pPr>
              <w:jc w:val="center"/>
              <w:ind w:left="531"/>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3</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6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Statements of Cash Flows for the Six Months Ended June 30, 2017 and 2016</w:t>
              </w:r>
            </w:hyperlink>
          </w:p>
        </w:tc>
        <w:tc>
          <w:tcPr>
            <w:tcW w:w="5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4</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2380" w:type="dxa"/>
            <w:vAlign w:val="bottom"/>
            <w:tcBorders>
              <w:top w:val="single" w:sz="8" w:color="0000EE"/>
            </w:tcBorders>
            <w:gridSpan w:val="4"/>
          </w:tcPr>
          <w:p>
            <w:pPr>
              <w:spacing w:after="0"/>
              <w:rPr>
                <w:sz w:val="24"/>
                <w:szCs w:val="24"/>
                <w:color w:val="auto"/>
              </w:rPr>
            </w:pPr>
          </w:p>
        </w:tc>
        <w:tc>
          <w:tcPr>
            <w:tcW w:w="3160" w:type="dxa"/>
            <w:vAlign w:val="bottom"/>
            <w:gridSpan w:val="4"/>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5</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451"/>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gridSpan w:val="13"/>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QUANTITATIVE AND QUALITATIVE DISCLOSURES ABOUT MARKET RISK</w:t>
              </w:r>
            </w:hyperlink>
          </w:p>
        </w:tc>
        <w:tc>
          <w:tcPr>
            <w:tcW w:w="2760" w:type="dxa"/>
            <w:vAlign w:val="bottom"/>
            <w:gridSpan w:val="3"/>
          </w:tcPr>
          <w:p>
            <w:pPr>
              <w:spacing w:after="0"/>
              <w:rPr>
                <w:sz w:val="24"/>
                <w:szCs w:val="24"/>
                <w:color w:val="auto"/>
              </w:rPr>
            </w:pPr>
          </w:p>
        </w:tc>
        <w:tc>
          <w:tcPr>
            <w:tcW w:w="580" w:type="dxa"/>
            <w:vAlign w:val="bottom"/>
            <w:gridSpan w:val="2"/>
          </w:tcPr>
          <w:p>
            <w:pPr>
              <w:spacing w:after="0"/>
              <w:rPr>
                <w:sz w:val="24"/>
                <w:szCs w:val="24"/>
                <w:color w:val="auto"/>
              </w:rPr>
            </w:pPr>
          </w:p>
        </w:tc>
        <w:tc>
          <w:tcPr>
            <w:tcW w:w="720" w:type="dxa"/>
            <w:vAlign w:val="bottom"/>
            <w:gridSpan w:val="3"/>
          </w:tcPr>
          <w:p>
            <w:pPr>
              <w:jc w:val="center"/>
              <w:ind w:left="45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CONTROLS AND PROCEDURES</w:t>
              </w:r>
            </w:hyperlink>
          </w:p>
        </w:tc>
        <w:tc>
          <w:tcPr>
            <w:tcW w:w="3540" w:type="dxa"/>
            <w:vAlign w:val="bottom"/>
            <w:gridSpan w:val="5"/>
          </w:tcPr>
          <w:p>
            <w:pPr>
              <w:spacing w:after="0"/>
              <w:rPr>
                <w:sz w:val="24"/>
                <w:szCs w:val="24"/>
                <w:color w:val="auto"/>
              </w:rPr>
            </w:pPr>
          </w:p>
        </w:tc>
        <w:tc>
          <w:tcPr>
            <w:tcW w:w="3340" w:type="dxa"/>
            <w:vAlign w:val="bottom"/>
            <w:gridSpan w:val="5"/>
          </w:tcPr>
          <w:p>
            <w:pPr>
              <w:spacing w:after="0"/>
              <w:rPr>
                <w:sz w:val="24"/>
                <w:szCs w:val="24"/>
                <w:color w:val="auto"/>
              </w:rPr>
            </w:pPr>
          </w:p>
        </w:tc>
        <w:tc>
          <w:tcPr>
            <w:tcW w:w="720" w:type="dxa"/>
            <w:vAlign w:val="bottom"/>
            <w:gridSpan w:val="3"/>
          </w:tcPr>
          <w:p>
            <w:pPr>
              <w:jc w:val="center"/>
              <w:ind w:left="45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0400" w:type="dxa"/>
            <w:vAlign w:val="bottom"/>
            <w:gridSpan w:val="19"/>
          </w:tcPr>
          <w:p>
            <w:pPr>
              <w:spacing w:after="0"/>
              <w:rPr>
                <w:sz w:val="20"/>
                <w:szCs w:val="20"/>
                <w:color w:val="auto"/>
              </w:rPr>
            </w:pPr>
            <w:r>
              <w:rPr>
                <w:rFonts w:ascii="Arial" w:cs="Arial" w:eastAsia="Arial" w:hAnsi="Arial"/>
                <w:sz w:val="18"/>
                <w:szCs w:val="18"/>
                <w:b w:val="1"/>
                <w:bCs w:val="1"/>
                <w:color w:val="auto"/>
              </w:rPr>
              <w:t>PART II—OTHER INFORMATION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720" w:type="dxa"/>
            <w:vAlign w:val="bottom"/>
            <w:gridSpan w:val="3"/>
          </w:tcPr>
          <w:p>
            <w:pPr>
              <w:jc w:val="center"/>
              <w:ind w:left="451"/>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86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7620" w:type="dxa"/>
            <w:vAlign w:val="bottom"/>
            <w:gridSpan w:val="14"/>
          </w:tcPr>
          <w:p>
            <w:pPr>
              <w:spacing w:after="0"/>
              <w:rPr>
                <w:sz w:val="24"/>
                <w:szCs w:val="24"/>
                <w:color w:val="auto"/>
              </w:rPr>
            </w:pPr>
          </w:p>
        </w:tc>
        <w:tc>
          <w:tcPr>
            <w:tcW w:w="720" w:type="dxa"/>
            <w:vAlign w:val="bottom"/>
            <w:gridSpan w:val="3"/>
          </w:tcPr>
          <w:p>
            <w:pPr>
              <w:jc w:val="center"/>
              <w:ind w:left="451"/>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720" w:type="dxa"/>
            <w:vAlign w:val="bottom"/>
            <w:gridSpan w:val="3"/>
          </w:tcPr>
          <w:p>
            <w:pPr>
              <w:jc w:val="center"/>
              <w:ind w:left="451"/>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180" w:type="dxa"/>
            <w:vAlign w:val="bottom"/>
            <w:gridSpan w:val="9"/>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DEFAULTS UPON SENIOR SECURITIES</w:t>
              </w:r>
            </w:hyperlink>
          </w:p>
        </w:tc>
        <w:tc>
          <w:tcPr>
            <w:tcW w:w="2880" w:type="dxa"/>
            <w:vAlign w:val="bottom"/>
            <w:gridSpan w:val="3"/>
          </w:tcPr>
          <w:p>
            <w:pPr>
              <w:spacing w:after="0"/>
              <w:rPr>
                <w:sz w:val="24"/>
                <w:szCs w:val="24"/>
                <w:color w:val="auto"/>
              </w:rPr>
            </w:pPr>
          </w:p>
        </w:tc>
        <w:tc>
          <w:tcPr>
            <w:tcW w:w="3420" w:type="dxa"/>
            <w:vAlign w:val="bottom"/>
            <w:gridSpan w:val="6"/>
          </w:tcPr>
          <w:p>
            <w:pPr>
              <w:spacing w:after="0"/>
              <w:rPr>
                <w:sz w:val="24"/>
                <w:szCs w:val="24"/>
                <w:color w:val="auto"/>
              </w:rPr>
            </w:pPr>
          </w:p>
        </w:tc>
        <w:tc>
          <w:tcPr>
            <w:tcW w:w="720" w:type="dxa"/>
            <w:vAlign w:val="bottom"/>
            <w:gridSpan w:val="3"/>
          </w:tcPr>
          <w:p>
            <w:pPr>
              <w:jc w:val="center"/>
              <w:ind w:left="451"/>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440" w:type="dxa"/>
            <w:vAlign w:val="bottom"/>
            <w:gridSpan w:val="7"/>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MINE SAFETY DISCLOSURES</w:t>
              </w:r>
            </w:hyperlink>
          </w:p>
        </w:tc>
        <w:tc>
          <w:tcPr>
            <w:tcW w:w="740" w:type="dxa"/>
            <w:vAlign w:val="bottom"/>
            <w:gridSpan w:val="2"/>
          </w:tcPr>
          <w:p>
            <w:pPr>
              <w:spacing w:after="0"/>
              <w:rPr>
                <w:sz w:val="24"/>
                <w:szCs w:val="24"/>
                <w:color w:val="auto"/>
              </w:rPr>
            </w:pPr>
          </w:p>
        </w:tc>
        <w:tc>
          <w:tcPr>
            <w:tcW w:w="6300" w:type="dxa"/>
            <w:vAlign w:val="bottom"/>
            <w:gridSpan w:val="9"/>
          </w:tcPr>
          <w:p>
            <w:pPr>
              <w:spacing w:after="0"/>
              <w:rPr>
                <w:sz w:val="24"/>
                <w:szCs w:val="24"/>
                <w:color w:val="auto"/>
              </w:rPr>
            </w:pPr>
          </w:p>
        </w:tc>
        <w:tc>
          <w:tcPr>
            <w:tcW w:w="720" w:type="dxa"/>
            <w:vAlign w:val="bottom"/>
            <w:gridSpan w:val="3"/>
          </w:tcPr>
          <w:p>
            <w:pPr>
              <w:jc w:val="center"/>
              <w:ind w:left="451"/>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880" w:type="dxa"/>
            <w:vAlign w:val="bottom"/>
            <w:gridSpan w:val="5"/>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OTHER INFORMATION</w:t>
              </w:r>
            </w:hyperlink>
          </w:p>
        </w:tc>
        <w:tc>
          <w:tcPr>
            <w:tcW w:w="560" w:type="dxa"/>
            <w:vAlign w:val="bottom"/>
            <w:gridSpan w:val="2"/>
          </w:tcPr>
          <w:p>
            <w:pPr>
              <w:spacing w:after="0"/>
              <w:rPr>
                <w:sz w:val="24"/>
                <w:szCs w:val="24"/>
                <w:color w:val="auto"/>
              </w:rPr>
            </w:pPr>
          </w:p>
        </w:tc>
        <w:tc>
          <w:tcPr>
            <w:tcW w:w="7040" w:type="dxa"/>
            <w:vAlign w:val="bottom"/>
            <w:gridSpan w:val="11"/>
          </w:tcPr>
          <w:p>
            <w:pPr>
              <w:spacing w:after="0"/>
              <w:rPr>
                <w:sz w:val="24"/>
                <w:szCs w:val="24"/>
                <w:color w:val="auto"/>
              </w:rPr>
            </w:pPr>
          </w:p>
        </w:tc>
        <w:tc>
          <w:tcPr>
            <w:tcW w:w="720" w:type="dxa"/>
            <w:vAlign w:val="bottom"/>
            <w:gridSpan w:val="3"/>
          </w:tcPr>
          <w:p>
            <w:pPr>
              <w:jc w:val="center"/>
              <w:ind w:left="451"/>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EXHIBITS</w:t>
              </w:r>
            </w:hyperlink>
          </w:p>
        </w:tc>
        <w:tc>
          <w:tcPr>
            <w:tcW w:w="1060" w:type="dxa"/>
            <w:vAlign w:val="bottom"/>
            <w:gridSpan w:val="3"/>
          </w:tcPr>
          <w:p>
            <w:pPr>
              <w:spacing w:after="0"/>
              <w:rPr>
                <w:sz w:val="24"/>
                <w:szCs w:val="24"/>
                <w:color w:val="auto"/>
              </w:rPr>
            </w:pPr>
          </w:p>
        </w:tc>
        <w:tc>
          <w:tcPr>
            <w:tcW w:w="7600" w:type="dxa"/>
            <w:vAlign w:val="bottom"/>
            <w:gridSpan w:val="13"/>
          </w:tcPr>
          <w:p>
            <w:pPr>
              <w:spacing w:after="0"/>
              <w:rPr>
                <w:sz w:val="24"/>
                <w:szCs w:val="24"/>
                <w:color w:val="auto"/>
              </w:rPr>
            </w:pPr>
          </w:p>
        </w:tc>
        <w:tc>
          <w:tcPr>
            <w:tcW w:w="720" w:type="dxa"/>
            <w:vAlign w:val="bottom"/>
            <w:gridSpan w:val="3"/>
          </w:tcPr>
          <w:p>
            <w:pPr>
              <w:jc w:val="center"/>
              <w:ind w:left="451"/>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60" w:type="dxa"/>
            <w:vAlign w:val="bottom"/>
            <w:gridSpan w:val="16"/>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1160" w:type="dxa"/>
            <w:vAlign w:val="bottom"/>
            <w:gridSpan w:val="2"/>
          </w:tcPr>
          <w:p>
            <w:pPr>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SIGNATURES</w:t>
              </w:r>
            </w:hyperlink>
          </w:p>
        </w:tc>
        <w:tc>
          <w:tcPr>
            <w:tcW w:w="9240" w:type="dxa"/>
            <w:vAlign w:val="bottom"/>
            <w:gridSpan w:val="17"/>
          </w:tcPr>
          <w:p>
            <w:pPr>
              <w:spacing w:after="0"/>
              <w:rPr>
                <w:sz w:val="24"/>
                <w:szCs w:val="24"/>
                <w:color w:val="auto"/>
              </w:rPr>
            </w:pPr>
          </w:p>
        </w:tc>
        <w:tc>
          <w:tcPr>
            <w:tcW w:w="720" w:type="dxa"/>
            <w:vAlign w:val="bottom"/>
            <w:gridSpan w:val="3"/>
          </w:tcPr>
          <w:p>
            <w:pPr>
              <w:jc w:val="center"/>
              <w:ind w:left="451"/>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100" w:type="dxa"/>
            <w:vAlign w:val="bottom"/>
          </w:tcPr>
          <w:p>
            <w:pPr>
              <w:spacing w:after="0"/>
              <w:rPr>
                <w:sz w:val="24"/>
                <w:szCs w:val="24"/>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60"/>
          </w:cols>
          <w:pgMar w:left="240" w:top="125"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4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Par Value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475,018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201,039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168,752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Accounts and other receivables (less allowance for doubtful accounts of $47,836 and $32,506 at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2017 and December 31, 2016,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1,429,563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1,202,009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Securitized accounts receivable—restricted for securitization investors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741,000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90,914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3,045,358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2,527,693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142,504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4,212,523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4,195,150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2,653,233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36,200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71,952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10,101,711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9,626,732</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1,151,432</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206,073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238,812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530,787</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Securitization facility</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741,000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notes payable and lines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745,506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38,781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3,619,026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3,296,318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Notes payable and other obligations, less current portion</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2,394,621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2,521,727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668,580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45,402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56,069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3,077,185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3,246,376</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2"/>
              </w:rPr>
              <w:t>Common stock, $0.001 par value; 475,000,000 shares authorized; 121,712,973 shares issued and</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3"/>
              </w:rPr>
              <w:t>91,878,784 shares outstanding at June 30, 2017; and 121,259,960 shares issued and 91,836,938</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shares outstanding at December 31, 2016</w:t>
            </w:r>
          </w:p>
        </w:tc>
        <w:tc>
          <w:tcPr>
            <w:tcW w:w="28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2,074,094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2,473,401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2,218,721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(666,403)</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Less treasury stock 29,834,189 shares at June 30, 2017 and 29,423,022 shares at December 31,</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(594,887)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(542,495)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3,405,500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3,084,038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10,101,711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9,626,732</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226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2016¹</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2016¹</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1,061,670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832,167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50,541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103,322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205,146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160,505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58,500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87,569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183,003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131,180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84,764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operating, net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216,043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347,123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Equity method investment loss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23,851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32,091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27,863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190,389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357,757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319,260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91,917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130,987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116,253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254,680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227,343</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Basic shares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92,013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92,591</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95,137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40" w:right="320" w:firstLine="7"/>
        <w:spacing w:after="0" w:line="226" w:lineRule="auto"/>
        <w:tabs>
          <w:tab w:leader="none" w:pos="548"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 xml:space="preserve">Reflects the impact of the Company's adoption of Accounting Standards Update 2016-09,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to simplify several aspects of the accounting for share-based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income tax consequences.</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125" w:right="7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280" w:type="dxa"/>
            <w:vAlign w:val="bottom"/>
            <w:gridSpan w:val="4"/>
          </w:tcPr>
          <w:p>
            <w:pPr>
              <w:jc w:val="right"/>
              <w:ind w:right="554"/>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254,680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227,343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 gains,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11,070</w:t>
            </w:r>
          </w:p>
        </w:tc>
      </w:tr>
      <w:tr>
        <w:trPr>
          <w:trHeight w:val="237"/>
        </w:trPr>
        <w:tc>
          <w:tcPr>
            <w:tcW w:w="6060" w:type="dxa"/>
            <w:vAlign w:val="bottom"/>
          </w:tcPr>
          <w:p>
            <w:pPr>
              <w:ind w:left="700"/>
              <w:spacing w:after="0"/>
              <w:rPr>
                <w:sz w:val="20"/>
                <w:szCs w:val="20"/>
                <w:color w:val="auto"/>
              </w:rPr>
            </w:pPr>
            <w:r>
              <w:rPr>
                <w:rFonts w:ascii="Arial" w:cs="Arial" w:eastAsia="Arial" w:hAnsi="Arial"/>
                <w:sz w:val="18"/>
                <w:szCs w:val="18"/>
                <w:color w:val="auto"/>
              </w:rPr>
              <w:t>Total other comprehensive (loss)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56,354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11,070</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93,727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311,034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238,413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2016¹</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254,680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227,343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16,311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32,620</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13,729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discounts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104,894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66,114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 on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method investment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 non-cash operating income</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13,555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and 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(392,545)</w:t>
            </w: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(9,362)</w:t>
            </w: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Accounts payable, accrued expenses and customer deposits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257,608</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212,042</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(24,757)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(7,868)</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(42,507)</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(37,924)</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7,964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(26,037)</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Borrowings on securitization facility, net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notes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Borrowings from revolver – A Facility</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140,000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on revolver – A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(290,000)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Borrowings on swing line of credit, net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(67,805)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(121,489)</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rates on cash</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89,560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45,933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447,152</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564,578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493,085</w:t>
            </w:r>
          </w:p>
        </w:tc>
      </w:tr>
      <w:tr>
        <w:trPr>
          <w:trHeight w:val="67"/>
        </w:trPr>
        <w:tc>
          <w:tcPr>
            <w:tcW w:w="83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68,431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30,361</w:t>
            </w:r>
          </w:p>
        </w:tc>
      </w:tr>
      <w:tr>
        <w:trPr>
          <w:trHeight w:val="67"/>
        </w:trPr>
        <w:tc>
          <w:tcPr>
            <w:tcW w:w="83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8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64,345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320" w:right="380" w:firstLine="5"/>
        <w:spacing w:after="0" w:line="226" w:lineRule="auto"/>
        <w:tabs>
          <w:tab w:leader="none" w:pos="428"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 xml:space="preserve">Reflects the impact of the Company's adoption of Accounting Standards Update 2016-09,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to simplify several aspects of the accounting for share-based compensation,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income tax consequences.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00"/>
          </w:cols>
          <w:pgMar w:left="240" w:top="125" w:right="259" w:bottom="813"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813"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207" w:lineRule="exact"/>
        <w:rPr>
          <w:sz w:val="20"/>
          <w:szCs w:val="20"/>
          <w:color w:val="auto"/>
        </w:rPr>
      </w:pPr>
    </w:p>
    <w:p>
      <w:pPr>
        <w:ind w:right="786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60"/>
        <w:spacing w:after="0" w:line="293" w:lineRule="auto"/>
        <w:rPr>
          <w:sz w:val="20"/>
          <w:szCs w:val="20"/>
          <w:color w:val="auto"/>
        </w:rPr>
      </w:pPr>
      <w:r>
        <w:rPr>
          <w:rFonts w:ascii="Arial" w:cs="Arial" w:eastAsia="Arial" w:hAnsi="Arial"/>
          <w:sz w:val="16"/>
          <w:szCs w:val="16"/>
          <w:color w:val="auto"/>
        </w:rPr>
        <w:t>Throughout this report, the terms “our,” “we,” “us,” and the “Company” refers to FleetCor Technologies, Inc. and its subsidiaries. The Company prepared the accompanying interim consolidated financial statements in accordance with Rule 10-01 of Regulation S-X. Accordingly, they do not include all of the information and footnotes required by accounting principles generally accepted in the United States (“GAAP”). The unaudited consolidated financial statements reflect all adjustments considered necessary for fair presentation. These adjustments consist primarily of normal recurring accruals and estimates that impact the carrying value of assets and liabilities. Actual results may differ from these estimates. Operating results for the three and six month periods ended June 30, 2017 are not necessarily indicative of the results that may be expected for the year ending December 31, 2017.</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period. Gains and losses from foreign currency transactions of these subsidiaries are included in net income. The Company recognized foreign exchange gains of $0.8 million and foreign exchange losses of $0.2 million for the three months ended June 30, 2017 and 2016, respectively, which are recorded within other expense, net in the Unaudited Consolidated Statements of Income. The Company recognized foreign exchange losses of $0.8 million for both the six month periods ended June 30, 2017 and 2016,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(Topic 606)." The core principle of ASU 2014-09 is that an entity should recognize revenue to depict the transfer of promised goods or services in an amount that reflects the consideration to which the entity expects to be entitled in exchange for those goods or services. ASU 2014-09 will replace most existing revenue recognition guidance in GAAP and permits the use of either the retrospective or modified retrospective transition method. The update requires significant additional disclosure about the nature, amount, timing and uncertainty of revenue and cash flows arising from customer contracts, including significant judgments and changes in judgments. ASU 2014-09, as amended by ASU 2015-14, "Revenue from Contracts with Customers (Topic 606): Deferral of the Effective Date," is effective for years beginning after December 15, 2017, including interim periods, with early adoption permitted for years beginning after December 15, 2016. Since the issuance of ASU 2014-09, the FASB has issued additional interpretive guidance, including new accounting standards updates, that clarifies certain points of the standard and modifies certain requirements.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has performed a review of the requirements of the new revenue standard and is monitoring the activity of the FASB and the transition resource group as it relates to specific interpretive guidance. The Company has established an implementation team to assess the effects of the new revenue standard in a multi-phase approach. In the first phase, the Company is analyzing customer contracts for its most significant contract categories, applied the five-step model of the new standard to each contract category and comparing the results to our current accounting practices. The Company has begun the second phase, which includes quantifying the potential effects identified during the first phase, assessing additional contract categories and principal versus agent considerations, revising accounting policies and considering the effects on related disclosures and/or internal control over financial reporting.</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new standard could change the amount and timing of revenue and expenses to be recognized under certain of our arrangement types. In addition, it could also increase the administrative burden on our operations to account for customer contracts and provide the more expansive required disclosures. More judgment and estimates may be required within the process of applying the requirements of the new standard than are required under existing GAAP, such as identifying performance obligations in contracts, estimating the amount of variable consideration to include in transaction price, allocating transaction price to each separate performance obligation and estimating expected customer lives. The Company has not completed its assessment or quantified the effect the new guidance will have on its consolidated financial statements, related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disclosures and/or its internal control over financial reporting. This assessment will occur over the remainder of the calendar year. However, the Company's preliminary view is that the expected amount and timing of revenue to be recognized under ASU 2014-09 for its most significant contract categories, fuel card payments, corporate payments, lodging payments and gift cards, will be similar to the amount and timing of revenue recognized under our current accounting practices. The Company also may be required to capitalize additional costs to obtain contracts with customers, and, in some cases, may be required to amortize these costs over a contractual time period. Finally, the Company expects disclosures about its revenues and related customer acquisition costs will be more extensive.</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plans to adopt ASU 2014-09, as well as other clarifications and technical guidance issued by the FASB related to this new revenue standard, on January 1, 2018. The Company will apply the modified retrospective transition method, which would result in an adjustment to retained earnings for the cumulative effect, if any, of applying the standard to contracts that are not completed at the date of initial application. Under this method, the Company would not restate the prior financial statements presented, therefore the new standard requires the Company to provide additional disclosures of the amount by which each financial statement line item is affected in the current reporting period during 2018, as compared to the guidance that was in effect before the change, and an explanation of the reasons for significant changes, if 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which requires lessees to recognize a right-of-use asset and a lease liability on the balance sheet for all leases with the exception of short-term leases. This ASU also requires disclosures to provide additional information about the amounts recorded in the financial statements. This ASU is effective for the Company for annual periods beginning after December 15, 2018 and interim periods therein. Early adoption is permitted. The new standard must be adopted using a modified retrospective transition and requires application of the new guidance for leases that exist or are entered into after the beginning of the earliest comparative period presented. The Company is currently evaluating the impact of ASU 2016-02 on our consolidated financial statements; however, we expect to recognize right of use assets and liabilities for our operating leases in the consolidated balance sheet upon adoption.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Employee Stock-Based Payment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2016, the FASB issued ASU 2016-09, "Compensation-Stock Compensation: Improvements to Employee Share-Based Payment Accounting", which requires excess tax benefits recognized on stock-based compensation expense be reflected in the consolidated statements of operations as a component of the provision for income taxes on a prospective basis. ASU 2016-09 also requires excess tax benefits recognized on stock-based compensation expense be classified as an operating activity in the consolidated statements of cash flows rather than a financing activity. Companies can elect to apply this provision retrospectively or prospectively. ASU 2016-09 also requires entities to elect whether to account for forfeitures as they occur or estimate expected forfeitures over the course of a vesting period. This ASU is effective for the Company for annual periods beginning after December 15, 2016. Early adoption was permitted.</w:t>
      </w:r>
    </w:p>
    <w:p>
      <w:pPr>
        <w:spacing w:after="0" w:line="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third quarter of 2016, the Company elected to early adopt ASU 2016-09. The adoption of this ASU resulted in excess tax benefits being recorded as a reduction of income tax expense prospectively for all periods during 2016, rather than additional paid in capital, and an increase in the number of dilutive shares outstanding at the end of each period. The adoption of ASU 2016-09 resulted in an increase to diluted earnings per share during the respective period. As required by ASU 2016-09, excess tax benefits recognized on stock-based compensation expense are classified as an operating activity in our consolidated statements of cash flows on a prospective basis within changes in accounts payable, accrued expenses and customer deposits. In accordance with ASU 2016-09, the classification of excess tax benefits in prior periods have not been adjusted in periods prior to 2016. The Company also elected to account for forfeitures as they occur, rather than estimate expected forfeitures over the course of a vesting period. As a result of the adoption of ASU 2016-09, the net cumulative effect of this change was not material to the results of operations, financial condition, or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shows the impact of retrospectively applying ASU 2016-09 to the previously issued consolidated statements of income for the three and six month periods ended June 30, 2016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3"/>
              </w:rPr>
              <w:t>Three Months Ended June 30, 2016</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jc w:val="right"/>
              <w:ind w:right="652"/>
              <w:spacing w:after="0"/>
              <w:rPr>
                <w:sz w:val="20"/>
                <w:szCs w:val="20"/>
                <w:color w:val="auto"/>
              </w:rPr>
            </w:pPr>
            <w:r>
              <w:rPr>
                <w:rFonts w:ascii="Arial" w:cs="Arial" w:eastAsia="Arial" w:hAnsi="Arial"/>
                <w:sz w:val="14"/>
                <w:szCs w:val="14"/>
                <w:b w:val="1"/>
                <w:bCs w:val="1"/>
                <w:color w:val="auto"/>
              </w:rPr>
              <w:t>Six Months Ended June 30, 2016</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As Previously Reported</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8"/>
              </w:rPr>
              <w:t>As Recast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3"/>
                <w:szCs w:val="13"/>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8"/>
              </w:rPr>
              <w:t>As Recast</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162,348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319,260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48,163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95,103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91,917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114,185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224,157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227,343</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92,665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92,665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92,591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92,591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94,549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95,279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94,437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95,137</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shows the impact of retrospectively applying this guidance to the Consolidated Statement of Cash flows for the six months ended June 30, 2016 (in thousands):</w:t>
      </w: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2016</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3"/>
                <w:szCs w:val="13"/>
                <w:color w:val="auto"/>
              </w:rPr>
            </w:pPr>
          </w:p>
        </w:tc>
        <w:tc>
          <w:tcPr>
            <w:tcW w:w="9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1"/>
              </w:rPr>
              <w:t>As Recast</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212,042</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(121,489)</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rates on cash</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Breakage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2016, the FASB issued ASU 2016-04, “Liabilities-Extinguishments of Liabilities: Recognition of Breakage for Certain Prepaid Stored-Value Products”, which requires entities that sell prepaid stored value products redeemable for goods, services or cash at third-party merchants to derecognize liabilities related to those products for breakage. This ASU is effective for the Company for reporting periods beginning after December 15, 2017. Early adoption is permitted. The ASU must be adopted using either a modified retrospective approach with a cumulative effect adjustment to retained earnings as of the beginning of the period of adoption or a full retrospective approach. The Company’s adoption of this ASU is not expected to have a material impact on the results of operations, financial condition,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Classification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amends the guidance in ASC 230, Statement of Cash Flows. This amended guidance reduces the diversity in practice that has resulted from the lack of consistent principles related to the classification of certain cash receipts and payments in the statement of cash flows. This ASU is effective for the Company for reporting periods beginning after December 15, 2017. Early adoption is permitted. Entities must apply the guidance retrospectively to all periods presented but may apply it prospectively from the earliest date practicable if retrospective application would be impracticable. The Company’s adoption of this ASU is not expected to have a material impact on the results of operations, financial condition, or cash flows.</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amends the guidance in ASC 230, Statement of Cash Flows, on the classification and presentation of restricted cash in the statement of cash flows. This ASU is effective for the Company for reporting periods beginning after December 15, 2017. Early adoption is permitted. If an entity early adopts the amendments in an interim period, any adjustments should be reflected as of the beginning of the fiscal year that includes that interim period. The amendments in this ASU should be applied using a retrospective transition method to each period presented. The Company’s adoption of this ASU is not expected to have a material impact on the results of operations, financial condition,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 Impairment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January 2017, the FASB issued ASU 2017-04, "Simplifying the Test for Goodwill Impairment, which eliminates the requirement to calculate the implied fair value of goodwill (i.e., Step 2 of the goodwill impairment test) to measure a goodwill</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impairment charge. Instead, entities will record an impairment charge based on the excess of a reporting unit’s carrying amount over its fair value (i.e., measure the charge based on Step 1). The standard has tiered effective dates, starting in 2020 for calendar-year public business entities that meet the definition of an SEC filer. Early adoption is permitted for interim and annual goodwill impairment testing dates after January 1, 2017. The Company’s adoption of this ASU is not expected to have a material impact on the results of operations, financial condition,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January 2017, the FASB issued ASU 2017-01, "Clarifying the Definition of a Business", which amends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business.The guidance also requires a business to include at least one substantive process and narrows the definition of outputs.The guidance is effective for the Company for reporting periods beginning after December 15, 2017, and interim periods within those years. Early adoption is permitted. The Company’s adoption of this ASU is not expected to have a material impact on the results of operations, financial condition,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Modifications to Stock-Based Compensation</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May 2017, the FASB issued ASU 2017-09, "Compensation—Stock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guidance is effective for the Company for reporting periods beginning after December 15, 2017, and interim periods within those years. Early adoption is permitted. The Company's adoption of this ASU is not expected to have a material impact on the results of operations, financial condition,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maintains a $950 million revolving trade accounts receivable Securitization Facility. Accounts receivable collateralized within our Securitization Facility relate to our U.S. trade receivables resulting from charge card activity. Pursuant to the terms of the Securitization Facility, the Company transfers certain of its domestic receivables, on a revolving basis, to FleetCor Funding LLC (Funding) a wholly-owned bankruptcy remote subsidiary. In turn, Funding sells, without recourse, on a revolving basis, up to $950 million of undivided ownership interests in this pool of accounts receivable to a multi-seller, asset-backed commercial paper conduit (Conduit). Funding maintains a subordinated interest, in the form of over-collateralization, in a portion of the receivables sold to the Conduit. Purchases by the Conduit are financed with the sale of highly-rated commercial paper.</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utilizes proceeds from the sale of its accounts receivable as an alternative to other forms of financing to reduce its overall borrowing costs. The Company has agreed to continue servicing the sold receivables for the financial institution at market rates, which approximates the Company’s cost of servicing. The Company retains a residual interest in the accounts receivable sold as a form of credit enhancement. The residual interest’s fair value approximates carrying value due to its short-term nature. Funding determines the level of funding achieved by the sale of trade accounts receivable, subject to a maximum amount.</w:t>
      </w:r>
    </w:p>
    <w:p>
      <w:pPr>
        <w:spacing w:after="0" w:line="188"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Company’s accounts receivable and securitized accounts receivable include the following at June 30, 2017 and December 31, 2016 (in thousands):</w:t>
      </w:r>
    </w:p>
    <w:p>
      <w:pPr>
        <w:spacing w:after="0" w:line="197" w:lineRule="exact"/>
        <w:rPr>
          <w:sz w:val="20"/>
          <w:szCs w:val="20"/>
          <w:color w:val="auto"/>
        </w:rPr>
      </w:pPr>
    </w:p>
    <w:tbl>
      <w:tblPr>
        <w:tblLayout w:type="fixed"/>
        <w:tblInd w:w="210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2017</w:t>
            </w: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domestic accounts receivable</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529,885</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w w:val="92"/>
              </w:rPr>
              <w:t>Gross domestic securitized accounts receivable</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foreign receivables</w:t>
            </w:r>
          </w:p>
        </w:tc>
        <w:tc>
          <w:tcPr>
            <w:tcW w:w="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765,718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704,630</w:t>
            </w: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Total gross receivables</w:t>
            </w:r>
          </w:p>
        </w:tc>
        <w:tc>
          <w:tcPr>
            <w:tcW w:w="9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2,218,399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1,825,515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(32,506)</w:t>
            </w: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w w:val="89"/>
              </w:rPr>
              <w:t>Net accounts and securitized accounts receivable</w:t>
            </w:r>
          </w:p>
        </w:tc>
        <w:tc>
          <w:tcPr>
            <w:tcW w:w="9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2,170,563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1,793,009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40" w:type="dxa"/>
            <w:vAlign w:val="bottom"/>
            <w:vMerge w:val="restart"/>
          </w:tcPr>
          <w:p>
            <w:pPr>
              <w:jc w:val="right"/>
              <w:ind w:right="750"/>
              <w:spacing w:after="0"/>
              <w:rPr>
                <w:sz w:val="20"/>
                <w:szCs w:val="20"/>
                <w:color w:val="auto"/>
              </w:rPr>
            </w:pPr>
            <w:r>
              <w:rPr>
                <w:rFonts w:ascii="Arial" w:cs="Arial" w:eastAsia="Arial" w:hAnsi="Arial"/>
                <w:sz w:val="18"/>
                <w:szCs w:val="18"/>
                <w:color w:val="auto"/>
                <w:w w:val="79"/>
              </w:rPr>
              <w:t>8</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the Company’s allowance for doubtful accounts related to accounts receivable for six months ended June 30 is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r>
      <w:tr>
        <w:trPr>
          <w:trHeight w:val="33"/>
        </w:trPr>
        <w:tc>
          <w:tcPr>
            <w:tcW w:w="50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beginning of period</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21,903</w:t>
            </w:r>
          </w:p>
        </w:tc>
      </w:tr>
      <w:tr>
        <w:trPr>
          <w:trHeight w:val="243"/>
        </w:trPr>
        <w:tc>
          <w:tcPr>
            <w:tcW w:w="5020" w:type="dxa"/>
            <w:vAlign w:val="bottom"/>
          </w:tcPr>
          <w:p>
            <w:pPr>
              <w:ind w:left="700"/>
              <w:spacing w:after="0"/>
              <w:rPr>
                <w:sz w:val="20"/>
                <w:szCs w:val="20"/>
                <w:color w:val="auto"/>
              </w:rPr>
            </w:pPr>
            <w:r>
              <w:rPr>
                <w:rFonts w:ascii="Arial" w:cs="Arial" w:eastAsia="Arial" w:hAnsi="Arial"/>
                <w:sz w:val="18"/>
                <w:szCs w:val="18"/>
                <w:color w:val="auto"/>
              </w:rPr>
              <w:t>Provision for bad debts</w:t>
            </w:r>
          </w:p>
        </w:tc>
        <w:tc>
          <w:tcPr>
            <w:tcW w:w="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27,648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13,729</w:t>
            </w:r>
          </w:p>
        </w:tc>
      </w:tr>
      <w:tr>
        <w:trPr>
          <w:trHeight w:val="27"/>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Write-offs</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(12,318)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Allowance for doubtful accounts end of period</w:t>
            </w:r>
          </w:p>
        </w:tc>
        <w:tc>
          <w:tcPr>
            <w:tcW w:w="980" w:type="dxa"/>
            <w:vAlign w:val="bottom"/>
            <w:tcBorders>
              <w:top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47,836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25,236</w:t>
            </w:r>
          </w:p>
        </w:tc>
      </w:tr>
      <w:tr>
        <w:trPr>
          <w:trHeight w:val="27"/>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color w:val="auto"/>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the basis for evaluating such inputs, a three-tier value hierarchy prioritizes the inputs used in measuring fair value as follows:</w:t>
      </w:r>
    </w:p>
    <w:p>
      <w:pPr>
        <w:spacing w:after="0" w:line="131"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rFonts w:ascii="Arial" w:cs="Arial" w:eastAsia="Arial" w:hAnsi="Arial"/>
          <w:sz w:val="18"/>
          <w:szCs w:val="18"/>
          <w:color w:val="auto"/>
        </w:rPr>
      </w:pPr>
    </w:p>
    <w:p>
      <w:pPr>
        <w:ind w:left="640" w:right="34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1" w:lineRule="exact"/>
        <w:rPr>
          <w:rFonts w:ascii="Arial" w:cs="Arial" w:eastAsia="Arial" w:hAnsi="Arial"/>
          <w:sz w:val="18"/>
          <w:szCs w:val="18"/>
          <w:color w:val="auto"/>
        </w:rPr>
      </w:pPr>
    </w:p>
    <w:p>
      <w:pPr>
        <w:ind w:left="640" w:right="140" w:hanging="321"/>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w:t>
      </w:r>
    </w:p>
    <w:p>
      <w:pPr>
        <w:spacing w:after="0" w:line="217" w:lineRule="exact"/>
        <w:rPr>
          <w:sz w:val="20"/>
          <w:szCs w:val="20"/>
          <w:color w:val="auto"/>
        </w:rPr>
      </w:pPr>
    </w:p>
    <w:p>
      <w:pPr>
        <w:ind w:right="360"/>
        <w:spacing w:after="0" w:line="340" w:lineRule="auto"/>
        <w:rPr>
          <w:sz w:val="20"/>
          <w:szCs w:val="20"/>
          <w:color w:val="auto"/>
        </w:rPr>
      </w:pPr>
      <w:r>
        <w:rPr>
          <w:rFonts w:ascii="Arial" w:cs="Arial" w:eastAsia="Arial" w:hAnsi="Arial"/>
          <w:sz w:val="18"/>
          <w:szCs w:val="18"/>
          <w:color w:val="auto"/>
        </w:rPr>
        <w:t>The following table presents the Company’s financial assets and liabilities which are measured at fair values on a recurring basis as of June 30, 2017 and December 31, 2016, (in thousands).</w:t>
      </w:r>
    </w:p>
    <w:p>
      <w:pPr>
        <w:spacing w:after="0" w:line="89"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33"/>
        </w:trPr>
        <w:tc>
          <w:tcPr>
            <w:tcW w:w="3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368,047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368,047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3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282,358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282,358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highly-liquid investments classified as cash equivalents, with original maturities of 90 days or less, included in our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on an overnight basis in repurchase agreements, money markets and certificates of deposit. The value of overnight repurchase agreements is determined based upon the quoted market prices for the treasury securities associated with the repurchase agreements. The value of money market instruments is the financial institutions' month-end statement, as these instruments are not tradeable and must be settled directly by us with the respective financial institution. Certificates of deposit are valued at cost, plus interest accrued. Given the short-term nature of these instruments, the carrying value approximates fair value.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2017 and 2016.</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assets that are measured at fair value on a nonrecurring basis and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 projections of cash flows upon disposition and discount rates. Accordingly, these fair value measurements are in Level 3 of the fair value hierarchy.</w:t>
      </w:r>
    </w:p>
    <w:p>
      <w:pPr>
        <w:spacing w:after="0" w:line="18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 based interest rates that reset on a quarterly basis. These are each Level 2 fair value measurements, except for cash, which is a Level 1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4, 2016, the Company's Board of Directors approved a stock repurchase program (the "Program") under which the Company may purchase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aggregate of $500 million of its common stock over the following 18 month period. On July 27, 2017, the Company's Board of Directors authorized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size of the Program by an additional $250 million and an extension of the Program by an additional 18 months. With the increase and giving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to the Company's $240 million of previous repurchases, the Company may repurchase up to $510 million in shares of its common stock at any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February 1, 2019. Any stock repurchases may be made at times and in such amounts as deemed appropriate. The timing and amount of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repurchases, if any, will depend on a variety of factors including the stock price, market conditions, corporate and regulatory requirements, and any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constraints related to material inside information the Company may possess. Any repurchases have been and are expected to be funded by a combination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cash flow from the business, working capital and debt. Since the beginning of the Program, 1,670,311 shares for an aggregate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$240.1 million have been repurchased. There were 411,166 shares totaling $52.4 million repurchased under the Program during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On August 3, 2017, as part of the Program, the Company entered an Accelerated Share Repurchase agreement ("ASR Agreement") with a third-party financial institution to repurchase $250 million of its common stock. Pursuant to the ASR Agreement, approximately 85% of the shares expected to be repurchased were received by the Company on August 8, 2017. The total number of shares ultimately repurchased under the Program will be determined upon final settlement and will be based on a discount to the volume-weighted average price of the Company's common stock during the ASR period. The Company anticipates that all repurchases under the ASR will be completed by the end of the third quarter of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48" w:lineRule="exact"/>
        <w:rPr>
          <w:sz w:val="20"/>
          <w:szCs w:val="20"/>
          <w:color w:val="auto"/>
        </w:rPr>
      </w:pPr>
    </w:p>
    <w:p>
      <w:pPr>
        <w:jc w:val="both"/>
        <w:ind w:right="520"/>
        <w:spacing w:after="0" w:line="318" w:lineRule="auto"/>
        <w:rPr>
          <w:sz w:val="20"/>
          <w:szCs w:val="20"/>
          <w:color w:val="auto"/>
        </w:rPr>
      </w:pPr>
      <w:r>
        <w:rPr>
          <w:rFonts w:ascii="Arial" w:cs="Arial" w:eastAsia="Arial" w:hAnsi="Arial"/>
          <w:sz w:val="18"/>
          <w:szCs w:val="18"/>
          <w:color w:val="auto"/>
        </w:rPr>
        <w:t>The Company has Stock Incentive Plans (the Plans) pursuant to which the Company’s Board of Directors may grant stock options or restricted stock to employees. The table below summarizes the expense recognized related to share-based payments recognized for the three and six month periods ended June 30 (in thousands):</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680" w:type="dxa"/>
            <w:vAlign w:val="bottom"/>
            <w:gridSpan w:val="4"/>
          </w:tcPr>
          <w:p>
            <w:pPr>
              <w:ind w:left="5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3"/>
          </w:tcPr>
          <w:p>
            <w:pPr>
              <w:ind w:left="880"/>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4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26,038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17,638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18,205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14,982</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44,243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32,620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tax benefits recorded on stock based compensation were $24.3 million and $14.2 million for the six month periods ended June 30, 2017 and 2016, respectively.</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summarizes the Company’s total unrecognized compensation cost related to stock-based compensation as of June 30, 2017 (cost in thousands):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8"/>
              </w:rPr>
              <w:t>Unrecognized</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Period of Expense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54"/>
              <w:spacing w:after="0"/>
              <w:rPr>
                <w:sz w:val="20"/>
                <w:szCs w:val="20"/>
                <w:color w:val="auto"/>
              </w:rPr>
            </w:pPr>
            <w:r>
              <w:rPr>
                <w:rFonts w:ascii="Arial" w:cs="Arial" w:eastAsia="Arial" w:hAnsi="Arial"/>
                <w:sz w:val="16"/>
                <w:szCs w:val="16"/>
                <w:b w:val="1"/>
                <w:bCs w:val="1"/>
                <w:color w:val="auto"/>
                <w:w w:val="89"/>
              </w:rPr>
              <w:t>Compensation</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Recognition</w:t>
            </w: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3"/>
              </w:rPr>
              <w:t>(in Years)</w:t>
            </w:r>
          </w:p>
        </w:tc>
      </w:tr>
      <w:tr>
        <w:trPr>
          <w:trHeight w:val="33"/>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108,831</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16,431</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125,262</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Stock options are granted with an exercise price estimated to be equal to the fair market value of the Company's stock on the date of grant as authorized by the Company’s Board of Directors. Options granted have vesting provisions ranging from one to five years and vesting of the options is generally based on the passage of time or performance. Stock option grants are subject to forfeiture if employment terminates prior to vesting.</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summarizes the changes in the number of shares of common stock under option for the six month period ended June 30, 2017 (shares and aggregate intrinsic value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8"/>
              </w:rPr>
              <w:t>Weighted</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Average Fair</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Options</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Value of</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Price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Options</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at End of</w:t>
            </w:r>
          </w:p>
        </w:tc>
        <w:tc>
          <w:tcPr>
            <w:tcW w:w="200" w:type="dxa"/>
            <w:vAlign w:val="bottom"/>
          </w:tcPr>
          <w:p>
            <w:pPr>
              <w:spacing w:after="0"/>
              <w:rPr>
                <w:sz w:val="17"/>
                <w:szCs w:val="17"/>
                <w:color w:val="auto"/>
              </w:rPr>
            </w:pPr>
          </w:p>
        </w:tc>
        <w:tc>
          <w:tcPr>
            <w:tcW w:w="1180" w:type="dxa"/>
            <w:vAlign w:val="bottom"/>
          </w:tcPr>
          <w:p>
            <w:pPr>
              <w:jc w:val="center"/>
              <w:ind w:right="137"/>
              <w:spacing w:after="0"/>
              <w:rPr>
                <w:sz w:val="20"/>
                <w:szCs w:val="20"/>
                <w:color w:val="auto"/>
              </w:rPr>
            </w:pPr>
            <w:r>
              <w:rPr>
                <w:rFonts w:ascii="Arial" w:cs="Arial" w:eastAsia="Arial" w:hAnsi="Arial"/>
                <w:sz w:val="16"/>
                <w:szCs w:val="16"/>
                <w:b w:val="1"/>
                <w:bCs w:val="1"/>
                <w:color w:val="auto"/>
                <w:w w:val="89"/>
              </w:rPr>
              <w:t>Exercisable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7"/>
              </w:rPr>
              <w:t>Granted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344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c>
          <w:tcPr>
            <w:tcW w:w="200" w:type="dxa"/>
            <w:vAlign w:val="bottom"/>
          </w:tcPr>
          <w:p>
            <w:pPr>
              <w:spacing w:after="0"/>
              <w:rPr>
                <w:sz w:val="18"/>
                <w:szCs w:val="18"/>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2"/>
              </w:rPr>
              <w:t>During the Period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91.20</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309,238</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2,550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144.44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22,047</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142.14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8,369</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108.00</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3,862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303,003</w:t>
            </w: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8"/>
                <w:szCs w:val="18"/>
                <w:color w:val="auto"/>
              </w:rPr>
              <w:t>Expected to vest as of June 30, 2017</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8,369</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aggregate intrinsic value of stock options exercisable at June 30, 2017 was $300.4 million. The weighted average remaining contractual term of options exercisable at June 30, 2017 was 5.2 years.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stock option awards granted was estimated using the Black-Scholes option pricing model during the six months ended June 30, 2017 and 2016, with the following weighted-average assumptions for grants or modifications during the period:</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2040" w:type="dxa"/>
            <w:vAlign w:val="bottom"/>
            <w:gridSpan w:val="3"/>
          </w:tcPr>
          <w:p>
            <w:pPr>
              <w:ind w:left="1320"/>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140" w:type="dxa"/>
            <w:vAlign w:val="bottom"/>
          </w:tcPr>
          <w:p>
            <w:pPr>
              <w:spacing w:after="0"/>
              <w:rPr>
                <w:sz w:val="20"/>
                <w:szCs w:val="20"/>
                <w:color w:val="auto"/>
              </w:rPr>
            </w:pPr>
          </w:p>
        </w:tc>
        <w:tc>
          <w:tcPr>
            <w:tcW w:w="14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572"/>
              <w:spacing w:after="0"/>
              <w:rPr>
                <w:sz w:val="20"/>
                <w:szCs w:val="20"/>
                <w:color w:val="auto"/>
              </w:rPr>
            </w:pPr>
            <w:r>
              <w:rPr>
                <w:rFonts w:ascii="Arial" w:cs="Arial" w:eastAsia="Arial" w:hAnsi="Arial"/>
                <w:sz w:val="16"/>
                <w:szCs w:val="16"/>
                <w:b w:val="1"/>
                <w:bCs w:val="1"/>
                <w:color w:val="auto"/>
              </w:rPr>
              <w:t>2016</w:t>
            </w:r>
          </w:p>
        </w:tc>
      </w:tr>
      <w:tr>
        <w:trPr>
          <w:trHeight w:val="33"/>
        </w:trPr>
        <w:tc>
          <w:tcPr>
            <w:tcW w:w="41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4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Awards of restricted stock and restricted stock units are independent of stock option grants and are subject to forfeiture if employment terminates prior to vesting. The vesting of shares granted is generally based on the passage of time or performance, or a combination of these. Shares vesting based on the passage of time have vesting provisions of one year.</w:t>
      </w:r>
    </w:p>
    <w:p>
      <w:pPr>
        <w:spacing w:after="0" w:line="208" w:lineRule="exact"/>
        <w:rPr>
          <w:sz w:val="20"/>
          <w:szCs w:val="20"/>
          <w:color w:val="auto"/>
        </w:rPr>
      </w:pPr>
    </w:p>
    <w:p>
      <w:pPr>
        <w:ind w:right="400"/>
        <w:spacing w:after="0" w:line="340" w:lineRule="auto"/>
        <w:rPr>
          <w:sz w:val="20"/>
          <w:szCs w:val="20"/>
          <w:color w:val="auto"/>
        </w:rPr>
      </w:pPr>
      <w:r>
        <w:rPr>
          <w:rFonts w:ascii="Arial" w:cs="Arial" w:eastAsia="Arial" w:hAnsi="Arial"/>
          <w:sz w:val="18"/>
          <w:szCs w:val="18"/>
          <w:color w:val="auto"/>
        </w:rPr>
        <w:t>The following table summarizes the changes in the number of shares of restricted stock and restricted stock units for the six months ended June 30, 2017 (shares in thousands):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1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4240" w:type="dxa"/>
            <w:vAlign w:val="bottom"/>
          </w:tcPr>
          <w:p>
            <w:pPr>
              <w:spacing w:after="0"/>
              <w:rPr>
                <w:sz w:val="18"/>
                <w:szCs w:val="18"/>
                <w:color w:val="auto"/>
              </w:rPr>
            </w:pPr>
          </w:p>
        </w:tc>
        <w:tc>
          <w:tcPr>
            <w:tcW w:w="1300" w:type="dxa"/>
            <w:vAlign w:val="bottom"/>
          </w:tcPr>
          <w:p>
            <w:pPr>
              <w:ind w:left="700"/>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140.39</w:t>
            </w:r>
          </w:p>
        </w:tc>
      </w:tr>
      <w:tr>
        <w:trPr>
          <w:trHeight w:val="243"/>
        </w:trPr>
        <w:tc>
          <w:tcPr>
            <w:tcW w:w="554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149.94</w:t>
            </w:r>
          </w:p>
        </w:tc>
      </w:tr>
      <w:tr>
        <w:trPr>
          <w:trHeight w:val="27"/>
        </w:trPr>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w:t>
            </w:r>
          </w:p>
        </w:tc>
      </w:tr>
      <w:tr>
        <w:trPr>
          <w:trHeight w:val="243"/>
        </w:trPr>
        <w:tc>
          <w:tcPr>
            <w:tcW w:w="5540" w:type="dxa"/>
            <w:vAlign w:val="bottom"/>
            <w:gridSpan w:val="2"/>
          </w:tcPr>
          <w:p>
            <w:pPr>
              <w:ind w:left="380"/>
              <w:spacing w:after="0"/>
              <w:rPr>
                <w:sz w:val="20"/>
                <w:szCs w:val="20"/>
                <w:color w:val="auto"/>
              </w:rPr>
            </w:pPr>
            <w:r>
              <w:rPr>
                <w:rFonts w:ascii="Arial" w:cs="Arial" w:eastAsia="Arial" w:hAnsi="Arial"/>
                <w:sz w:val="18"/>
                <w:szCs w:val="18"/>
                <w:color w:val="auto"/>
              </w:rPr>
              <w:t>Cancelled</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155.55</w:t>
            </w:r>
          </w:p>
        </w:tc>
      </w:tr>
      <w:tr>
        <w:trPr>
          <w:trHeight w:val="27"/>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2017</w:t>
            </w:r>
          </w:p>
        </w:tc>
        <w:tc>
          <w:tcPr>
            <w:tcW w:w="1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April 28, 2017, the Company signed a definitive agreement to acquire Cambridge Global Payments (“Cambridge”), a leading business to business (B2B) international payments provider, for approximately $690 million in cash. Cambridge processes B2B cross-border payments, assisting business clients in making international payments to suppliers and employees. The purpose of this acquisition is to further expand the Company's corporate payments footprint. This acquisition is expected to be completed by September 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STP</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31, 2016, the Company acquired all of the outstanding stock of Serviços e Tecnologia de Pagamentos S.A. (“STP”), for approximately $1.23 billion, net of cash acquired of $40.2 million. STP is an electronic toll payments company in Brazil and provides cardless fuel payments at a number of Shell sites throughout Brazil. The purpose of this acquisition was to expand the Company's presence in the toll market in Brazil. The Company financed the acquisition using a combination of existing cash and borrowings under its existing credit facility. Results from the acquired business have been reported in the Company's international segment since the date of acquisition. The following table summarizes the preliminary acquisition accounting for STP (in thousands):</w:t>
      </w:r>
    </w:p>
    <w:p>
      <w:pPr>
        <w:spacing w:after="0" w:line="383"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243,157</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6,998</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38,732</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645,766</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and other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584,274</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(315,082)</w:t>
            </w:r>
          </w:p>
        </w:tc>
      </w:tr>
      <w:tr>
        <w:trPr>
          <w:trHeight w:val="27"/>
        </w:trPr>
        <w:tc>
          <w:tcPr>
            <w:tcW w:w="6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1,227,490</w:t>
            </w:r>
          </w:p>
        </w:tc>
      </w:tr>
      <w:tr>
        <w:trPr>
          <w:trHeight w:val="20"/>
        </w:trPr>
        <w:tc>
          <w:tcPr>
            <w:tcW w:w="6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8.5-17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349,310</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Trade names and trademarks - indefinite</w:t>
            </w:r>
          </w:p>
        </w:tc>
        <w:tc>
          <w:tcPr>
            <w:tcW w:w="1200" w:type="dxa"/>
            <w:vAlign w:val="bottom"/>
          </w:tcPr>
          <w:p>
            <w:pPr>
              <w:jc w:val="center"/>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189,547</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45,417</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584,274</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STP acquisition, the Company recorded contingent liabilities aggregating $13.5 million in the consolidated balance sheet, recorded within other noncurrent liabilities and accrued expenses in the consolidated balance sheet at the date of acquisition. A portion of these acquired liabilities have been indemnified by the respective sellers. As a result, an indemnification asset of $13.0 million was recorded within prepaid and other current assets and other long term assets in the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balance sheet. The contingent liabilities and the indemnification asset are included in the preliminary acquisition accounting for STP at the date of acquisition. The potential range of acquisition related contingent liabilities that the Company estimates could be incurred and ultimately expected to be recoverable is $13.5 million to $18.6 million. Along with the Company's acquisition of STP, the Company signed noncompete agreements with certain parties for approximately $21.6 million.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Acquisition accounting for STP is preliminary as the Company is still completing the valuation for intangible assets, income taxes, certain acquired contingencies and the working capital adjustment period remains open. Goodwill recognized is comprised primarily of expected synergies from combining the operations of the Company and STP, as well as assembled workforce. The goodwill and definite lived intangibles acquired with this business is expected to be deductible for tax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During 2016, the Company acquired additional fuel card portfolios in the U.S. and the United Kingdom, additional Shell fuel card markets in Europe and Travelcard in the Netherlands totaling approximately $76.7 million, net of cash acquired of $11.1 million. The following table summarizes the preliminary acquisition accounting for these acquisitions (in thousands):</w:t>
      </w:r>
    </w:p>
    <w:p>
      <w:pPr>
        <w:spacing w:after="0" w:line="371"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27,810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5,097</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28,540</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61,823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7"/>
        </w:trPr>
        <w:tc>
          <w:tcPr>
            <w:tcW w:w="65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purchase prices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76,735</w:t>
            </w:r>
          </w:p>
        </w:tc>
      </w:tr>
      <w:tr>
        <w:trPr>
          <w:trHeight w:val="20"/>
        </w:trPr>
        <w:tc>
          <w:tcPr>
            <w:tcW w:w="6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Useful Lives (in</w:t>
      </w:r>
    </w:p>
    <w:p>
      <w:pPr>
        <w:spacing w:after="0" w:line="26" w:lineRule="exact"/>
        <w:rPr>
          <w:sz w:val="20"/>
          <w:szCs w:val="20"/>
          <w:color w:val="auto"/>
        </w:rPr>
      </w:pPr>
    </w:p>
    <w:p>
      <w:pPr>
        <w:ind w:left="7720"/>
        <w:spacing w:after="0"/>
        <w:tabs>
          <w:tab w:leader="none" w:pos="9080" w:val="left"/>
        </w:tabs>
        <w:rPr>
          <w:sz w:val="20"/>
          <w:szCs w:val="20"/>
          <w:color w:val="auto"/>
        </w:rPr>
      </w:pPr>
      <w:r>
        <w:rPr>
          <w:rFonts w:ascii="Arial" w:cs="Arial" w:eastAsia="Arial" w:hAnsi="Arial"/>
          <w:sz w:val="16"/>
          <w:szCs w:val="16"/>
          <w:b w:val="1"/>
          <w:bCs w:val="1"/>
          <w:color w:val="auto"/>
        </w:rPr>
        <w:t>Years)</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33020</wp:posOffset>
            </wp:positionV>
            <wp:extent cx="548005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0050" cy="180340"/>
                    </a:xfrm>
                    <a:prstGeom prst="rect">
                      <a:avLst/>
                    </a:prstGeom>
                    <a:noFill/>
                  </pic:spPr>
                </pic:pic>
              </a:graphicData>
            </a:graphic>
          </wp:anchor>
        </w:drawing>
      </w:r>
    </w:p>
    <w:p>
      <w:pPr>
        <w:spacing w:after="0" w:line="58" w:lineRule="exact"/>
        <w:rPr>
          <w:sz w:val="20"/>
          <w:szCs w:val="20"/>
          <w:color w:val="auto"/>
        </w:rPr>
      </w:pPr>
    </w:p>
    <w:p>
      <w:pPr>
        <w:ind w:left="1420"/>
        <w:spacing w:after="0"/>
        <w:tabs>
          <w:tab w:leader="none" w:pos="7720" w:val="left"/>
          <w:tab w:leader="none" w:pos="8560" w:val="left"/>
          <w:tab w:leader="none" w:pos="9440" w:val="left"/>
        </w:tabs>
        <w:rPr>
          <w:sz w:val="20"/>
          <w:szCs w:val="20"/>
          <w:color w:val="auto"/>
        </w:rPr>
      </w:pPr>
      <w:r>
        <w:rPr>
          <w:rFonts w:ascii="Arial" w:cs="Arial" w:eastAsia="Arial" w:hAnsi="Arial"/>
          <w:sz w:val="18"/>
          <w:szCs w:val="18"/>
          <w:color w:val="auto"/>
        </w:rPr>
        <w:t>Customer relationships and other identifiable intangible assets</w:t>
      </w:r>
      <w:r>
        <w:rPr>
          <w:sz w:val="20"/>
          <w:szCs w:val="20"/>
          <w:color w:val="auto"/>
        </w:rPr>
        <w:tab/>
      </w: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61,823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31750</wp:posOffset>
            </wp:positionV>
            <wp:extent cx="943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57" w:lineRule="exact"/>
        <w:rPr>
          <w:sz w:val="20"/>
          <w:szCs w:val="20"/>
          <w:color w:val="auto"/>
        </w:rPr>
      </w:pPr>
    </w:p>
    <w:p>
      <w:pPr>
        <w:ind w:left="8580"/>
        <w:spacing w:after="0"/>
        <w:tabs>
          <w:tab w:leader="none" w:pos="9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31750</wp:posOffset>
            </wp:positionV>
            <wp:extent cx="943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48895</wp:posOffset>
            </wp:positionV>
            <wp:extent cx="943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other 2016 acquisitions were not material individually or in the aggregate to the Company’s consolidated financial statements. The accounting for certain of these acquisitions is preliminary as the Company is still completing the valuation of intangible assets, income taxes and evaluation of acquired contingencies.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Company’s goodwill by reportable business segment is as follows (in thousands):</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Acquisition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Acquisitions/</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Accounting</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Dispositions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June 30, 2017</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360"/>
              <w:spacing w:after="0"/>
              <w:rPr>
                <w:sz w:val="20"/>
                <w:szCs w:val="20"/>
                <w:color w:val="auto"/>
              </w:rPr>
            </w:pPr>
            <w:r>
              <w:rPr>
                <w:rFonts w:ascii="Arial" w:cs="Arial" w:eastAsia="Arial" w:hAnsi="Arial"/>
                <w:sz w:val="18"/>
                <w:szCs w:val="18"/>
                <w:color w:val="auto"/>
                <w:w w:val="99"/>
              </w:rPr>
              <w:t>2,640,409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2,640,409</w:t>
            </w: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1,554,741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1,572,114</w:t>
            </w:r>
          </w:p>
        </w:tc>
      </w:tr>
      <w:tr>
        <w:trPr>
          <w:trHeight w:val="237"/>
        </w:trPr>
        <w:tc>
          <w:tcPr>
            <w:tcW w:w="3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9"/>
              </w:rPr>
              <w:t>4,195,150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30,895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4,212,523</w:t>
            </w:r>
          </w:p>
        </w:tc>
      </w:tr>
      <w:tr>
        <w:trPr>
          <w:trHeight w:val="27"/>
        </w:trPr>
        <w:tc>
          <w:tcPr>
            <w:tcW w:w="3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and December 31, 2016, other intangible assets consisted of the following (in thousands):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2017</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Avg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Useful</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Lives</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Carrying</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Amounts</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96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and vendor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2,462,866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1,922,901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2,449,389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1,991,271</w:t>
            </w:r>
          </w:p>
        </w:tc>
        <w:tc>
          <w:tcPr>
            <w:tcW w:w="0" w:type="dxa"/>
            <w:vAlign w:val="bottom"/>
          </w:tcPr>
          <w:p>
            <w:pPr>
              <w:spacing w:after="0"/>
              <w:rPr>
                <w:sz w:val="1"/>
                <w:szCs w:val="1"/>
                <w:color w:val="auto"/>
              </w:rPr>
            </w:pP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Arial" w:cs="Arial" w:eastAsia="Arial" w:hAnsi="Arial"/>
                <w:sz w:val="18"/>
                <w:szCs w:val="18"/>
                <w:color w:val="auto"/>
              </w:rPr>
              <w:t>trademarks—indefinite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lived</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510,314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510,952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510,952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trademarks—other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Software</w:t>
            </w: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211,712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107,002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211,331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126,164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Non-compete 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35,907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24,121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8"/>
                <w:szCs w:val="18"/>
                <w:color w:val="auto"/>
              </w:rPr>
              <w:t>Total other intangibles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3,223,596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(661,270)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2,562,326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3,209,609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(556,376)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2,653,233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Changes in foreign exchange rates resulted in a $14.0 million increase to the carrying values of other intangible assets in the six months ended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intangible assets for the six months ended June 30, 2017 and 2016 was $104.9 million and $66.1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instruments consist primarily of term notes, revolving lines of credit and a Securitization Facility as follows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2017</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2016</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notes payable—domestic(a), net of discounts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2,639,279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A Facility—domestic(a)</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465,000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line of credit A Facility—foreign(a)</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123,412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A Facility—swing line(a)</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26,608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debt(c)</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and other obligations</w:t>
            </w: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3,097,065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3,267,233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Facility(b)</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3,838,065</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3,858,233</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w:t>
            </w:r>
          </w:p>
        </w:tc>
        <w:tc>
          <w:tcPr>
            <w:tcW w:w="300" w:type="dxa"/>
            <w:vAlign w:val="bottom"/>
            <w:tcBorders>
              <w:bottom w:val="single" w:sz="8" w:color="auto"/>
            </w:tcBorders>
            <w:vMerge w:val="continue"/>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1,443,444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1,336,506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2,394,621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2,521,727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3,838,065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3,858,233</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October 24, 2014, the Company entered into a $3.36 billion Credit Agreement, which provides for senior secured credit facilities consisting of</w:t>
      </w:r>
    </w:p>
    <w:p>
      <w:pPr>
        <w:spacing w:after="0" w:line="20" w:lineRule="exact"/>
        <w:rPr>
          <w:rFonts w:ascii="Arial" w:cs="Arial" w:eastAsia="Arial" w:hAnsi="Arial"/>
          <w:sz w:val="17"/>
          <w:szCs w:val="17"/>
          <w:color w:val="auto"/>
        </w:rPr>
      </w:pPr>
    </w:p>
    <w:p>
      <w:pPr>
        <w:ind w:left="540" w:right="40"/>
        <w:spacing w:after="0" w:line="268" w:lineRule="auto"/>
        <w:rPr>
          <w:rFonts w:ascii="Arial" w:cs="Arial" w:eastAsia="Arial" w:hAnsi="Arial"/>
          <w:sz w:val="17"/>
          <w:szCs w:val="17"/>
          <w:color w:val="auto"/>
        </w:rPr>
      </w:pPr>
      <w:r>
        <w:rPr>
          <w:rFonts w:ascii="Arial" w:cs="Arial" w:eastAsia="Arial" w:hAnsi="Arial"/>
          <w:sz w:val="17"/>
          <w:szCs w:val="17"/>
          <w:color w:val="auto"/>
        </w:rPr>
        <w:t>(a) a revolving A credit facility in the amount of $1.0 billion, with sublimits for letters of credit, swing line loans and multi-currency borrowings, (b) a revolving B facility in the amount of $35 million for loans in Australian Dollars or New Zealand Dollars, (c) a term loan A facility in the amount of $2.02 billion and (d) a term loan B facility in the amount of $300 million. On August 22, 2016, the Company entered into the first Amendment to the existing Credit Agreement, which established an incremental term A loan in the amount of $600 million under the Credit Agreement accordion feature. The proceeds from the additional $600 million in term A loans were used to partially finance the STP acquisition. The Amendment also established an accordion feature for borrowing an additional $500 million in term A, term B or revolver A debt. On January 20, 2017, the Company entered into the second amendment to the Credit Agreement, which established a new term B loan (Term B-2 loan) in the amount of $245.0 million to replace the existing Term B loan. In addition, the Company pays a quarterly commitment fee at a rate per annum ranging from 0.20% to 0.40% of the daily unused portion of the credit facility. The Company has unamortized debt discounts of $5.0 million related to the term A facility and $0.9 million related to the term B facility at June 30,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180"/>
        <w:spacing w:after="0" w:line="253" w:lineRule="auto"/>
        <w:rPr>
          <w:sz w:val="20"/>
          <w:szCs w:val="20"/>
          <w:color w:val="auto"/>
        </w:rPr>
      </w:pPr>
      <w:r>
        <w:rPr>
          <w:rFonts w:ascii="Arial" w:cs="Arial" w:eastAsia="Arial" w:hAnsi="Arial"/>
          <w:sz w:val="18"/>
          <w:szCs w:val="18"/>
          <w:color w:val="auto"/>
        </w:rPr>
        <w:t>On August 2, 2017, the Company entered into the third amendment (the "Amendment") to the Credit Agreement, which increased the facility by $708.7 million and extended the terms of the credit facilities. The Amendment increased the term A loan to $2.69 billion, increased the revolver A credit facility to $1.285 billion and increased the term B loan to $350.0 million. The term A and revolver maturity dates are now August 2, 2022 and the term B maturity date is now August 2, 2024. The term A and revolver pricing remains the same and the term B pricing was reduced by 25 basis points to LIBOR plus 200 basis points.</w:t>
      </w:r>
    </w:p>
    <w:p>
      <w:pPr>
        <w:spacing w:after="0" w:line="4" w:lineRule="exact"/>
        <w:rPr>
          <w:sz w:val="20"/>
          <w:szCs w:val="20"/>
          <w:color w:val="auto"/>
        </w:rPr>
      </w:pPr>
    </w:p>
    <w:p>
      <w:pPr>
        <w:ind w:left="540" w:right="20" w:hanging="316"/>
        <w:spacing w:after="0" w:line="28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is party to a $950 million receivables purchase agreement (Securitization Facility) that was amended and restated on December 1, 2015. There is a program fee equal to one month LIBOR and the Commercial Paper Rate of 1.23% plus 0.90% and 0.85% plus 0.90% as of June 30, 2017 and December 31, 2016, respectively. The unused facility fee is payable at a rate of 0.40% per annum as of June 30, 2017 and December 31, 2016.</w:t>
      </w:r>
    </w:p>
    <w:p>
      <w:pPr>
        <w:spacing w:after="0" w:line="2" w:lineRule="exact"/>
        <w:rPr>
          <w:rFonts w:ascii="Arial" w:cs="Arial" w:eastAsia="Arial" w:hAnsi="Arial"/>
          <w:sz w:val="16"/>
          <w:szCs w:val="16"/>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debt includes the long-term portion of contingent consideration and deferred payments associated with certain of our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and non-financial covenants at June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provision for income taxes differs from amounts computed by applying the U.S. federal tax rate of 35% to income before income taxes for the three months ended June 30, 2017 and 2016 due to the following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2017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right"/>
              <w:ind w:right="1190"/>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5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expense at the U.S. federal tax rate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56,822</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Changes resulting from:</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income tax differential</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Excess tax benefits related to stock-based compensation</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taxes net of federal benefits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Foreign-sourced nontaxable income</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59,402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31.2 %</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46,095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28.4 %</w:t>
            </w:r>
          </w:p>
        </w:tc>
      </w:tr>
      <w:tr>
        <w:trPr>
          <w:trHeight w:val="27"/>
        </w:trPr>
        <w:tc>
          <w:tcPr>
            <w:tcW w:w="5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adoption of ASU 2016-09, "</w:t>
      </w: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 resulted in excess tax benefits being recorded as a reduction of income tax expense beginning January 1, 2016, rather than additional paid in capital as discussed in Note 1-Summary of Significant Accounting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for the three and six months ended June 30 (in thousands, except per share data) follows:</w:t>
      </w:r>
    </w:p>
    <w:p>
      <w:pPr>
        <w:spacing w:after="0" w:line="390"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ind w:right="511"/>
              <w:spacing w:after="0"/>
              <w:rPr>
                <w:sz w:val="20"/>
                <w:szCs w:val="20"/>
                <w:color w:val="auto"/>
              </w:rPr>
            </w:pPr>
            <w:r>
              <w:rPr>
                <w:rFonts w:ascii="Arial" w:cs="Arial" w:eastAsia="Arial" w:hAnsi="Arial"/>
                <w:sz w:val="16"/>
                <w:szCs w:val="16"/>
                <w:b w:val="1"/>
                <w:bCs w:val="1"/>
                <w:color w:val="auto"/>
                <w:w w:val="84"/>
              </w:rPr>
              <w:t>2016</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130,987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254,680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227,343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 for basic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92,013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92,665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92,060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92,591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Denominator for diluted earnings per share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94,223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95,279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94,392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95,137</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Diluted earnings per share for the three month periods ended June 30, 2017 and 2016 excludes the effect of 3.7 million and 1.5 million shares of common stock, respectively, that may be issued upon the exercise of employee stock options because such effect would be antidilutive. Diluted earnings per share also excludes the effect of 0.2 million and 0.3 million shares of performance based restricted stock for which the performance criteria have not yet been achieved for the three month periods ended June 30, 2017 and 2016, respectively.</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There were no inter-segment sales.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results are as follows for the three and six month periods ended June 30 (in thousands):</w:t>
      </w:r>
    </w:p>
    <w:p>
      <w:pPr>
        <w:spacing w:after="0" w:line="185" w:lineRule="exact"/>
        <w:rPr>
          <w:sz w:val="20"/>
          <w:szCs w:val="20"/>
          <w:color w:val="auto"/>
        </w:rPr>
      </w:pPr>
    </w:p>
    <w:tbl>
      <w:tblPr>
        <w:tblLayout w:type="fixed"/>
        <w:tblInd w:w="48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Pr>
          <w:p>
            <w:pPr>
              <w:spacing w:after="0"/>
              <w:rPr>
                <w:sz w:val="17"/>
                <w:szCs w:val="17"/>
                <w:color w:val="auto"/>
              </w:rPr>
            </w:pPr>
          </w:p>
        </w:tc>
      </w:tr>
      <w:tr>
        <w:trPr>
          <w:trHeight w:val="210"/>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3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342,995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301,126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672,943</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604,674</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198,242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388,727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227,493</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541,237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417,905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1,061,670</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832,167</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134,926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117,611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255,898</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231,461</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155,213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115,662</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216,043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171,168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411,111</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347,123</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33,384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32,180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66,561</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63,612</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63,014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21,152</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64,709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48,436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129,575</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84,764</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12,102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21,734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16,521</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17,804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32,600</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24,757</w:t>
            </w: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3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The Company has recorded reserves for certain legal proceedings. The amounts recorded are estimated and as additional information becomes available, the Company will reassess the potential liability related to legal actions and revise its estimate in the period that information becomes known.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compensation by the defendants, restitution, costs, and attorneys’ and experts’ fees. The defendants dispute the allegations in the complaint and intend to vigorously defend against the claims.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and are in the early stages of the proceedings. For these reasons, the Company is currently unable to predict the ultimate timing or outcome of, or reasonably estimate the possible losses or a range of possible losses resulting from the matters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Asset Dispositions and Assets Held for Sale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SVS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3, 2017, the Company signed a definitive agreement to contribute our Stored Value Solutions (SVS) prepaid card services and gift card program management assets into a venture with First Data Corp’s ("First Data") core gift card business, Transactions Wireless, Inc. and Gyft, that will consolidate these various gift solutions to drive new value for clients. In July 2017, the Company decided to terminate the definitive agreement with First Data. The combination of the regulatory review and on-going conversations with SVS customers led the Company to reconsider its decision. As such, SVS is no longer classified as held for sale.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NexTraq</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June 14, 2017, the Company signed a definitive agreement to sell NexTraq, a U.S. fleet telematics business, to Michelin Group for approximately $320 million. This transaction closed on July 17, 2017. The Company expects to record a pre-tax gain on the disposal of NexTraq of approximately $155 million during the third quarter of 2017, which includes transaction closing costs. The Company has preliminarily calculated taxes on the gain upon disposal of approximately $64 million. NexTraq has historically been included in our North America segment.</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25"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See “Special Cautionary Notice Regarding Forward-Looking Statements”. All foreign currency amounts that have been converted into U.S. dollars in this discussion are based on the exchange rate as reported by OANDA for the applicable periods.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management’s discussion and analysis should also be read in conjunction with the management’s discussion and analysis and consolidated financial statements and related notes included in our Annual Report on Form 10-K for the year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w:t>
      </w:r>
    </w:p>
    <w:p>
      <w:pPr>
        <w:spacing w:after="0" w:line="12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Fleetcor is a leading global provider of commercial payment solutions. We primarily go to market with our fuel card payments product solutions, corporate payments products, toll products, lodging cards and gift cards. Our products are used in 53 countries around the world, with our primary geographies in the U.S., Brazil and the U.K., which accounted for approximately 92% of our revenue in 2016. Our core products are primarily sold to businesses, retailers, major oil companies and marketers and government entities. Our payment programs enable our customers to better manage and control their commercial payments, card programs, and employee spending and provide card-accepting merchants with a high volume customer base that can increase their sales and customer loyalty. We also provide a suite of fleet related and workforce payment solution products, including mobile telematics services, fleet maintenance management and employee benefit and transportation related payments. In 2016, we processed approximately 2.2 billion transactions on our proprietary networks and third-party networks (which includes approximately 1.3 billion transactions related to our SVS product, acquired with Comdata). We believe that our size and scale, geographic reach, advanced technology and our expansive suite of products, services, brands and proprietary networks contribute to our leading industry position.</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provide our payment products and services in a variety of combinations to create customized payment solutions for our customers and partners. We collectively refer to our suite of product offerings as workforce productivity enhancement products for commercial businesses. We sell a range of customized fleet and lodging payment programs directly and indirectly to our customers through partners, such as major oil companies, leasing companies and petroleum marketers. We refer to these major oil companies, leasing companies, petroleum marketers, value-added resellers (VARs) and other referral partners with whom we have strategic relationships as our “partners.” We provide our customers with various card products that typically function like a charge card to purchase fuel, lodging, food, toll, transportation and related products and services at participating locations. While we refer to companies with whom we have strategic relationships as "partners", our legal relationships with these companies are contractual, and do not constitute legal partnerships.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support our products with specialized issuing, processing and information services that enable us to manage card accounts, facilitate the routing, authorization, clearing and settlement of transactions, and provide value-added functionality and data, including customizable card-level controls and productivity analysis tools. In order to deliver our payment programs and services and process transactions, we own and operate proprietary “closed-loop” networks through which we electronically connect to merchants and capture, analyze and report customized information in North America and internationally. We also use third-party networks to deliver our payment programs and services in order to broaden our card acceptance and use. To support our payment products, we also provide a range of services, such as issuing and processing, as well as specialized information services that provide our customers with value-added functionality and data. Our customers can use this data to track important business productivity metrics, combat fraud and employee misuse, streamline expense administration and lower overall workforce and fleet operating costs. Depending on our customers’ and partners’ needs, we provide these services in a variety of outsourced solutions ranging from a comprehensive “end-to-end” solution (encompassing issuing, processing and network services) to limited back office processing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operate in two segments, which we refer to as our North America and International segments. Our revenue is reported net of the wholesale cost for underlying products and services. In this report, we refer to this net revenue as “revenue.” See “Results of Operations” for additional segment information.</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2017 and 2016, our North America and International segments generated the following revenue (in millions):</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w w:val="95"/>
              </w:rPr>
              <w:t>Six Months Ended June 30,</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928"/>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98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Revenues, net</w:t>
            </w: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total</w:t>
            </w: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2"/>
              </w:rPr>
              <w:t>Revenues, net</w:t>
            </w: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Revenues, net</w:t>
            </w: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total</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Revenues, net</w:t>
            </w:r>
          </w:p>
        </w:tc>
        <w:tc>
          <w:tcPr>
            <w:tcW w:w="120" w:type="dxa"/>
            <w:vAlign w:val="bottom"/>
            <w:vMerge w:val="restart"/>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15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388.7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1,061.7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832.2</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Revenues, net, Net Income and Net Income Per Diluted Share. </w:t>
      </w:r>
      <w:r>
        <w:rPr>
          <w:rFonts w:ascii="Arial" w:cs="Arial" w:eastAsia="Arial" w:hAnsi="Arial"/>
          <w:sz w:val="18"/>
          <w:szCs w:val="18"/>
          <w:color w:val="auto"/>
        </w:rPr>
        <w:t>Set forth below are revenues, net, net income and net income per diluted share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six months ended June 30, 2017 and 2016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541,237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1,061,670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832,167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130,987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116,253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254,680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227,343</w:t>
            </w: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diluted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r>
      <w:tr>
        <w:trPr>
          <w:trHeight w:val="27"/>
        </w:trPr>
        <w:tc>
          <w:tcPr>
            <w:tcW w:w="4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 xml:space="preserve">Adjusted Revenues, Adjusted Net Income and Adjusted Net Income Per Diluted Share. </w:t>
      </w:r>
      <w:r>
        <w:rPr>
          <w:rFonts w:ascii="Arial" w:cs="Arial" w:eastAsia="Arial" w:hAnsi="Arial"/>
          <w:sz w:val="16"/>
          <w:szCs w:val="16"/>
          <w:color w:val="auto"/>
        </w:rPr>
        <w:t>Set forth below are adjusted revenues, adjusted net income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net income per diluted share for the three and six months ended June 30, 2017 and 2016 (in thousands, except per share amounts).</w:t>
      </w:r>
    </w:p>
    <w:p>
      <w:pPr>
        <w:spacing w:after="0" w:line="386"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510,618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1,006,667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781,626</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187,049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149,960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372,026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295,650</w:t>
            </w: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diluted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4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use adjusted revenues as a basis to evaluate our revenues, net of the commissions that are paid to merchants that participate in certain of our card programs. The commissions paid to merchants can vary when market spreads fluctuate in much the same way as revenues are impacted when market spreads fluctuate. Thus, we believe this is an effective way to evaluate our revenue performance on a consistent basis. We use adjusted net income and adjusted net income per diluted share to eliminate the effect of items that we do not consider indicative of our core operating performance on a consistent basis. Adjusted revenues, adjusted net income and adjusted net income per diluted share are supplemental non-GAAP financial measures of operating performance. See the heading entitled “Management’s Use of Non-GAAP Financial Measures.”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Transactions. </w:t>
      </w:r>
      <w:r>
        <w:rPr>
          <w:rFonts w:ascii="Arial" w:cs="Arial" w:eastAsia="Arial" w:hAnsi="Arial"/>
          <w:sz w:val="17"/>
          <w:szCs w:val="17"/>
          <w:color w:val="auto"/>
        </w:rPr>
        <w:t>In both of our segments, we derive revenue from transactions. As illustrated in the diagram below, a transaction is defined as a purchase by 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Our customers include holders of our card products and those of our partners, for whom we manage card programs, members of our proprietary networks who are provided access to our products and services and commercial businesses to whom we provide workforce payment productivity solutions. Revenue from transactions is derived from our merchant and network relationships, as well as our customers and partners. Through our merchant and network relationships we primarily offer fuel cards, corporate cards, virtual cards, purchasing cards, T&amp;E cards, gift cards, stored value payroll cards, vehicle maintenance, food, fuel, toll and transportation cards and vouchers and lodging services to our customers.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diagram illustrates a typical transaction flow, for our fuel card, vehicle maintenance, lodging and food, toll and transportation card and voucher products. This illustration is not applicable to all of our businesses.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Illustrative Transaction Flow</w:t>
      </w:r>
      <w:r>
        <w:rPr>
          <w:sz w:val="1"/>
          <w:szCs w:val="1"/>
          <w:color w:val="auto"/>
        </w:rPr>
        <w:drawing>
          <wp:inline distT="0" distB="0" distL="0" distR="0">
            <wp:extent cx="5539740" cy="1826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9740" cy="1826895"/>
                    </a:xfrm>
                    <a:prstGeom prst="rect">
                      <a:avLst/>
                    </a:prstGeom>
                    <a:noFill/>
                    <a:ln>
                      <a:noFill/>
                    </a:ln>
                  </pic:spPr>
                </pic:pic>
              </a:graphicData>
            </a:graphic>
          </wp:inline>
        </w:drawing>
      </w:r>
    </w:p>
    <w:p>
      <w:pPr>
        <w:spacing w:after="0" w:line="21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our customers and partners, we derive revenue from a variety of program fees, including transaction fees, card fees, network fees and charges, which can be fixed fees, cost plus a mark-up or based on a percentage discount from retail prices. Our programs include other fees and charges associated with late payments and based on customer credit risk.</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our merchant and network relationships, we derive revenue mostly from the difference between the price charged to a customer for a transaction and the price paid to the merchant or network for the same transaction, as well as network fees and charges in certain businesses. As illustrated in the table below, the price paid to a merchant or network may be calculated as (i) the merchant’s wholesale cost of the product plus a markup; (ii) the transaction purchase price less a percentage discount; or (iii) the transaction purchase price less a fixed fee per unit.</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presents an illustrative revenue model for transactions with the merchant, which is primarily applicable to fuel based product transactions, but may also be applied to our vehicle maintenance, lodging and food, fuel, toll and transportation card and voucher products, substituting transactions for gallons. This representative model may not include all of our businesses.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Illustrative Revenue Model for Fuel Purchases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of one gallon)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b w:val="1"/>
                <w:bCs w:val="1"/>
                <w:color w:val="auto"/>
              </w:rPr>
              <w:t>Merchant Payment Methods</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i) Cost Plus Mark-up:</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w w:val="96"/>
              </w:rPr>
              <w:t>ii) Percentage Discount: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iii) Fixed Fee: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Wholesale Cost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2300" w:type="dxa"/>
            <w:vAlign w:val="bottom"/>
          </w:tcPr>
          <w:p>
            <w:pPr>
              <w:ind w:left="140"/>
              <w:spacing w:after="0"/>
              <w:rPr>
                <w:sz w:val="20"/>
                <w:szCs w:val="20"/>
                <w:color w:val="auto"/>
              </w:rPr>
            </w:pPr>
            <w:r>
              <w:rPr>
                <w:rFonts w:ascii="Arial" w:cs="Arial" w:eastAsia="Arial" w:hAnsi="Arial"/>
                <w:sz w:val="18"/>
                <w:szCs w:val="18"/>
                <w:color w:val="auto"/>
              </w:rPr>
              <w:t>Wholesale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920" w:type="dxa"/>
            <w:vAlign w:val="bottom"/>
          </w:tcPr>
          <w:p>
            <w:pPr>
              <w:ind w:left="140"/>
              <w:spacing w:after="0"/>
              <w:rPr>
                <w:sz w:val="20"/>
                <w:szCs w:val="20"/>
                <w:color w:val="auto"/>
              </w:rPr>
            </w:pPr>
            <w:r>
              <w:rPr>
                <w:rFonts w:ascii="Arial" w:cs="Arial" w:eastAsia="Arial" w:hAnsi="Arial"/>
                <w:sz w:val="18"/>
                <w:szCs w:val="18"/>
                <w:color w:val="auto"/>
              </w:rPr>
              <w:t>Retail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940" w:type="dxa"/>
            <w:vAlign w:val="bottom"/>
          </w:tcPr>
          <w:p>
            <w:pPr>
              <w:ind w:left="140"/>
              <w:spacing w:after="0"/>
              <w:rPr>
                <w:sz w:val="20"/>
                <w:szCs w:val="20"/>
                <w:color w:val="auto"/>
              </w:rPr>
            </w:pPr>
            <w:r>
              <w:rPr>
                <w:rFonts w:ascii="Arial" w:cs="Arial" w:eastAsia="Arial" w:hAnsi="Arial"/>
                <w:sz w:val="18"/>
                <w:szCs w:val="18"/>
                <w:color w:val="auto"/>
              </w:rPr>
              <w:t>Retail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3.00</w:t>
            </w:r>
          </w:p>
        </w:tc>
      </w:tr>
      <w:tr>
        <w:trPr>
          <w:trHeight w:val="27"/>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64"/>
        </w:trPr>
        <w:tc>
          <w:tcPr>
            <w:tcW w:w="2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Mark-up</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Discount (3%)</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Fixed Fee</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84"/>
        </w:trPr>
        <w:tc>
          <w:tcPr>
            <w:tcW w:w="2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FleetCor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23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520" w:type="dxa"/>
            <w:vAlign w:val="bottom"/>
            <w:tcBorders>
              <w:top w:val="single" w:sz="8" w:color="auto"/>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r>
      <w:tr>
        <w:trPr>
          <w:trHeight w:val="251"/>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Price Paid to Merchant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Price Paid to Merchant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Price Paid to Merchant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1"/>
        </w:trPr>
        <w:tc>
          <w:tcPr>
            <w:tcW w:w="2120" w:type="dxa"/>
            <w:vAlign w:val="bottom"/>
          </w:tcPr>
          <w:p>
            <w:pPr>
              <w:ind w:left="40"/>
              <w:spacing w:after="0"/>
              <w:rPr>
                <w:sz w:val="20"/>
                <w:szCs w:val="20"/>
                <w:color w:val="auto"/>
              </w:rPr>
            </w:pPr>
            <w:r>
              <w:rPr>
                <w:rFonts w:ascii="Arial" w:cs="Arial" w:eastAsia="Arial" w:hAnsi="Arial"/>
                <w:sz w:val="18"/>
                <w:szCs w:val="18"/>
                <w:color w:val="auto"/>
              </w:rPr>
              <w:t>Price Paid to Merchant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Revenues by geography, product and source. </w:t>
      </w:r>
      <w:r>
        <w:rPr>
          <w:rFonts w:ascii="Arial" w:cs="Arial" w:eastAsia="Arial" w:hAnsi="Arial"/>
          <w:sz w:val="18"/>
          <w:szCs w:val="18"/>
          <w:color w:val="auto"/>
        </w:rPr>
        <w:t>Set forth below are further breakdowns of revenue by geography, product and source for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and 2016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2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 by Geography*</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right"/>
              <w:ind w:right="826"/>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80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(Unaudited)</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Revenues, 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total</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total</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Revenues, net</w:t>
            </w: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total</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Revenues, net</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gridSpan w:val="3"/>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United Kingdom</w:t>
            </w:r>
          </w:p>
        </w:tc>
        <w:tc>
          <w:tcPr>
            <w:tcW w:w="3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Brazil</w:t>
            </w: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impact of rounding.</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80"/>
        <w:spacing w:after="0" w:line="311" w:lineRule="auto"/>
        <w:rPr>
          <w:sz w:val="20"/>
          <w:szCs w:val="20"/>
          <w:color w:val="auto"/>
        </w:rPr>
      </w:pPr>
      <w:r>
        <w:rPr>
          <w:rFonts w:ascii="Arial" w:cs="Arial" w:eastAsia="Arial" w:hAnsi="Arial"/>
          <w:sz w:val="18"/>
          <w:szCs w:val="18"/>
          <w:color w:val="auto"/>
        </w:rPr>
        <w:t>Subsequent to 2016, as we continued to refine the level of detail behind the product category splits, we reclassified certain amounts into 'Other' that we believe are more representative of that category. This reclassification has been applied to the 2016 comparable data disclosed in the "Revenue by Product Category" table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right"/>
              <w:ind w:right="1062"/>
              <w:spacing w:after="0"/>
              <w:rPr>
                <w:sz w:val="20"/>
                <w:szCs w:val="20"/>
                <w:color w:val="auto"/>
              </w:rPr>
            </w:pPr>
            <w:r>
              <w:rPr>
                <w:rFonts w:ascii="Arial" w:cs="Arial" w:eastAsia="Arial" w:hAnsi="Arial"/>
                <w:sz w:val="16"/>
                <w:szCs w:val="16"/>
                <w:b w:val="1"/>
                <w:bCs w:val="1"/>
                <w:color w:val="auto"/>
                <w:w w:val="93"/>
              </w:rPr>
              <w:t>Six Months Ended June 30,</w:t>
            </w:r>
            <w:r>
              <w:rPr>
                <w:rFonts w:ascii="Arial" w:cs="Arial" w:eastAsia="Arial" w:hAnsi="Arial"/>
                <w:sz w:val="21"/>
                <w:szCs w:val="21"/>
                <w:b w:val="1"/>
                <w:bCs w:val="1"/>
                <w:color w:val="auto"/>
                <w:w w:val="93"/>
                <w:vertAlign w:val="superscript"/>
              </w:rPr>
              <w:t>8</w:t>
            </w:r>
          </w:p>
        </w:tc>
        <w:tc>
          <w:tcPr>
            <w:tcW w:w="0" w:type="dxa"/>
            <w:vAlign w:val="bottom"/>
          </w:tcPr>
          <w:p>
            <w:pPr>
              <w:spacing w:after="0"/>
              <w:rPr>
                <w:sz w:val="1"/>
                <w:szCs w:val="1"/>
                <w:color w:val="auto"/>
              </w:rPr>
            </w:pPr>
          </w:p>
        </w:tc>
      </w:tr>
      <w:tr>
        <w:trPr>
          <w:trHeight w:val="223"/>
        </w:trPr>
        <w:tc>
          <w:tcPr>
            <w:tcW w:w="262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 by Product Category*</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gridSpan w:val="3"/>
          </w:tcPr>
          <w:p>
            <w:pPr>
              <w:jc w:val="right"/>
              <w:ind w:right="80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gridSpan w:val="3"/>
          </w:tcPr>
          <w:p>
            <w:pPr>
              <w:jc w:val="right"/>
              <w:ind w:right="80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gridSpan w:val="3"/>
          </w:tcPr>
          <w:p>
            <w:pPr>
              <w:jc w:val="right"/>
              <w:ind w:right="82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gridSpan w:val="3"/>
          </w:tcPr>
          <w:p>
            <w:pPr>
              <w:jc w:val="right"/>
              <w:ind w:right="80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Revenues,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Revenues,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2"/>
                <w:szCs w:val="12"/>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1"/>
              </w:rPr>
              <w:t>Revenues,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8"/>
              </w:rPr>
              <w:t>Revenues,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7"/>
              </w:rPr>
              <w:t>revenues, net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7"/>
              </w:rPr>
              <w:t>revenues, net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net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7"/>
              </w:rPr>
              <w:t>revenues, net</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Fuel cards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Corporate Payments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Tolls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Lodging</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Gift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2580" w:type="dxa"/>
            <w:vAlign w:val="bottom"/>
            <w:tcBorders>
              <w:bottom w:val="single" w:sz="8" w:color="CCEEFF"/>
            </w:tcBorders>
            <w:gridSpan w:val="2"/>
          </w:tcPr>
          <w:p>
            <w:pPr>
              <w:ind w:left="1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9</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9"/>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impact of rounding.</w:t>
      </w:r>
    </w:p>
    <w:p>
      <w:pPr>
        <w:spacing w:after="0" w:line="321" w:lineRule="exact"/>
        <w:rPr>
          <w:sz w:val="20"/>
          <w:szCs w:val="20"/>
          <w:color w:val="auto"/>
        </w:rPr>
      </w:pPr>
    </w:p>
    <w:tbl>
      <w:tblPr>
        <w:tblLayout w:type="fixed"/>
        <w:tblInd w:w="78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60" w:type="dxa"/>
            <w:vAlign w:val="bottom"/>
            <w:gridSpan w:val="10"/>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7"/>
          </w:tcPr>
          <w:p>
            <w:pPr>
              <w:jc w:val="right"/>
              <w:ind w:right="843"/>
              <w:spacing w:after="0"/>
              <w:rPr>
                <w:sz w:val="20"/>
                <w:szCs w:val="20"/>
                <w:color w:val="auto"/>
              </w:rPr>
            </w:pPr>
            <w:r>
              <w:rPr>
                <w:rFonts w:ascii="Arial" w:cs="Arial" w:eastAsia="Arial" w:hAnsi="Arial"/>
                <w:sz w:val="16"/>
                <w:szCs w:val="16"/>
                <w:b w:val="1"/>
                <w:bCs w:val="1"/>
                <w:color w:val="auto"/>
                <w:w w:val="90"/>
              </w:rPr>
              <w:t>Six Months Ended June 30,</w:t>
            </w:r>
            <w:r>
              <w:rPr>
                <w:rFonts w:ascii="Arial" w:cs="Arial" w:eastAsia="Arial" w:hAnsi="Arial"/>
                <w:sz w:val="21"/>
                <w:szCs w:val="21"/>
                <w:b w:val="1"/>
                <w:bCs w:val="1"/>
                <w:color w:val="auto"/>
                <w:w w:val="90"/>
                <w:vertAlign w:val="superscript"/>
              </w:rPr>
              <w:t>8</w:t>
            </w:r>
          </w:p>
        </w:tc>
        <w:tc>
          <w:tcPr>
            <w:tcW w:w="0" w:type="dxa"/>
            <w:vAlign w:val="bottom"/>
          </w:tcPr>
          <w:p>
            <w:pPr>
              <w:spacing w:after="0"/>
              <w:rPr>
                <w:sz w:val="1"/>
                <w:szCs w:val="1"/>
                <w:color w:val="auto"/>
              </w:rPr>
            </w:pPr>
          </w:p>
        </w:tc>
      </w:tr>
      <w:tr>
        <w:trPr>
          <w:trHeight w:val="223"/>
        </w:trPr>
        <w:tc>
          <w:tcPr>
            <w:tcW w:w="2720" w:type="dxa"/>
            <w:vAlign w:val="bottom"/>
            <w:gridSpan w:val="3"/>
          </w:tcPr>
          <w:p>
            <w:pPr>
              <w:ind w:left="20"/>
              <w:spacing w:after="0"/>
              <w:rPr>
                <w:sz w:val="20"/>
                <w:szCs w:val="20"/>
                <w:color w:val="auto"/>
              </w:rPr>
            </w:pPr>
            <w:r>
              <w:rPr>
                <w:rFonts w:ascii="Arial" w:cs="Arial" w:eastAsia="Arial" w:hAnsi="Arial"/>
                <w:sz w:val="14"/>
                <w:szCs w:val="14"/>
                <w:b w:val="1"/>
                <w:bCs w:val="1"/>
                <w:color w:val="auto"/>
              </w:rPr>
              <w:t>Major Sources of Revenue*</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right"/>
              <w:ind w:right="74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ind w:right="68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ind w:right="683"/>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Revenues,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 of total</w:t>
            </w:r>
          </w:p>
        </w:tc>
        <w:tc>
          <w:tcPr>
            <w:tcW w:w="7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9"/>
              </w:rPr>
              <w:t>Revenues,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 of total</w:t>
            </w:r>
          </w:p>
        </w:tc>
        <w:tc>
          <w:tcPr>
            <w:tcW w:w="7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9"/>
              </w:rPr>
              <w:t>Revenues,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 of total</w:t>
            </w:r>
          </w:p>
        </w:tc>
        <w:tc>
          <w:tcPr>
            <w:tcW w:w="7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83"/>
              <w:spacing w:after="0" w:line="147"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2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revenues, net</w:t>
            </w:r>
          </w:p>
        </w:tc>
        <w:tc>
          <w:tcPr>
            <w:tcW w:w="200" w:type="dxa"/>
            <w:vAlign w:val="bottom"/>
          </w:tcPr>
          <w:p>
            <w:pPr>
              <w:spacing w:after="0"/>
              <w:rPr>
                <w:sz w:val="16"/>
                <w:szCs w:val="16"/>
                <w:color w:val="auto"/>
              </w:rPr>
            </w:pPr>
          </w:p>
        </w:tc>
        <w:tc>
          <w:tcPr>
            <w:tcW w:w="560" w:type="dxa"/>
            <w:vAlign w:val="bottom"/>
          </w:tcPr>
          <w:p>
            <w:pPr>
              <w:jc w:val="right"/>
              <w:ind w:right="18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revenues, net</w:t>
            </w:r>
          </w:p>
        </w:tc>
        <w:tc>
          <w:tcPr>
            <w:tcW w:w="220" w:type="dxa"/>
            <w:vAlign w:val="bottom"/>
          </w:tcPr>
          <w:p>
            <w:pPr>
              <w:spacing w:after="0"/>
              <w:rPr>
                <w:sz w:val="16"/>
                <w:szCs w:val="16"/>
                <w:color w:val="auto"/>
              </w:rPr>
            </w:pPr>
          </w:p>
        </w:tc>
        <w:tc>
          <w:tcPr>
            <w:tcW w:w="540" w:type="dxa"/>
            <w:vAlign w:val="bottom"/>
          </w:tcPr>
          <w:p>
            <w:pPr>
              <w:jc w:val="right"/>
              <w:ind w:right="180"/>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revenues, net</w:t>
            </w:r>
          </w:p>
        </w:tc>
        <w:tc>
          <w:tcPr>
            <w:tcW w:w="220" w:type="dxa"/>
            <w:vAlign w:val="bottom"/>
          </w:tcPr>
          <w:p>
            <w:pPr>
              <w:spacing w:after="0"/>
              <w:rPr>
                <w:sz w:val="16"/>
                <w:szCs w:val="16"/>
                <w:color w:val="auto"/>
              </w:rPr>
            </w:pPr>
          </w:p>
        </w:tc>
        <w:tc>
          <w:tcPr>
            <w:tcW w:w="560" w:type="dxa"/>
            <w:vAlign w:val="bottom"/>
          </w:tcPr>
          <w:p>
            <w:pPr>
              <w:jc w:val="right"/>
              <w:ind w:right="180"/>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3"/>
              </w:rPr>
              <w:t>revenues, net</w:t>
            </w:r>
          </w:p>
        </w:tc>
        <w:tc>
          <w:tcPr>
            <w:tcW w:w="0" w:type="dxa"/>
            <w:vAlign w:val="bottom"/>
          </w:tcPr>
          <w:p>
            <w:pPr>
              <w:spacing w:after="0"/>
              <w:rPr>
                <w:sz w:val="1"/>
                <w:szCs w:val="1"/>
                <w:color w:val="auto"/>
              </w:rPr>
            </w:pPr>
          </w:p>
        </w:tc>
      </w:tr>
      <w:tr>
        <w:trPr>
          <w:trHeight w:val="250"/>
        </w:trPr>
        <w:tc>
          <w:tcPr>
            <w:tcW w:w="27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Customer</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20" w:type="dxa"/>
            <w:vAlign w:val="bottom"/>
            <w:gridSpan w:val="3"/>
          </w:tcPr>
          <w:p>
            <w:pPr>
              <w:ind w:left="20"/>
              <w:spacing w:after="0" w:line="270" w:lineRule="exact"/>
              <w:rPr>
                <w:sz w:val="20"/>
                <w:szCs w:val="20"/>
                <w:color w:val="auto"/>
              </w:rPr>
            </w:pPr>
            <w:r>
              <w:rPr>
                <w:rFonts w:ascii="Arial" w:cs="Arial" w:eastAsia="Arial" w:hAnsi="Arial"/>
                <w:sz w:val="18"/>
                <w:szCs w:val="18"/>
                <w:color w:val="auto"/>
                <w:w w:val="97"/>
              </w:rPr>
              <w:t>Processing and program revenue</w:t>
            </w:r>
            <w:r>
              <w:rPr>
                <w:rFonts w:ascii="Arial" w:cs="Arial" w:eastAsia="Arial" w:hAnsi="Arial"/>
                <w:sz w:val="25"/>
                <w:szCs w:val="25"/>
                <w:color w:val="auto"/>
                <w:w w:val="97"/>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248</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173</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493</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345</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70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Late fees and finance charges</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700" w:type="dxa"/>
            <w:vAlign w:val="bottom"/>
            <w:tcBorders>
              <w:bottom w:val="single" w:sz="8" w:color="CCEEFF"/>
            </w:tcBorders>
            <w:gridSpan w:val="2"/>
          </w:tcPr>
          <w:p>
            <w:pPr>
              <w:ind w:left="160"/>
              <w:spacing w:after="0" w:line="270" w:lineRule="exact"/>
              <w:rPr>
                <w:sz w:val="20"/>
                <w:szCs w:val="20"/>
                <w:color w:val="auto"/>
              </w:rPr>
            </w:pPr>
            <w:r>
              <w:rPr>
                <w:rFonts w:ascii="Arial" w:cs="Arial" w:eastAsia="Arial" w:hAnsi="Arial"/>
                <w:sz w:val="18"/>
                <w:szCs w:val="18"/>
                <w:color w:val="auto"/>
              </w:rPr>
              <w:t>Miscellaneous fees</w:t>
            </w:r>
            <w:r>
              <w:rPr>
                <w:rFonts w:ascii="Arial" w:cs="Arial" w:eastAsia="Arial" w:hAnsi="Arial"/>
                <w:sz w:val="25"/>
                <w:szCs w:val="25"/>
                <w:color w:val="auto"/>
                <w:vertAlign w:val="superscript"/>
              </w:rPr>
              <w:t>3</w:t>
            </w: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Merchant</w:t>
            </w: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70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Discount revenue (fuel)</w:t>
            </w:r>
            <w:r>
              <w:rPr>
                <w:rFonts w:ascii="Arial" w:cs="Arial" w:eastAsia="Arial" w:hAnsi="Arial"/>
                <w:sz w:val="25"/>
                <w:szCs w:val="25"/>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0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Discount revenue (nonfuel)</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76</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70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Tied to fuel-price spreads</w:t>
            </w:r>
            <w:r>
              <w:rPr>
                <w:rFonts w:ascii="Arial" w:cs="Arial" w:eastAsia="Arial" w:hAnsi="Arial"/>
                <w:sz w:val="25"/>
                <w:szCs w:val="25"/>
                <w:color w:val="auto"/>
                <w:vertAlign w:val="superscript"/>
              </w:rPr>
              <w:t>6</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700" w:type="dxa"/>
            <w:vAlign w:val="bottom"/>
            <w:tcBorders>
              <w:bottom w:val="single" w:sz="8" w:color="CCEEFF"/>
            </w:tcBorders>
            <w:gridSpan w:val="2"/>
          </w:tcPr>
          <w:p>
            <w:pPr>
              <w:ind w:left="160"/>
              <w:spacing w:after="0" w:line="270" w:lineRule="exact"/>
              <w:rPr>
                <w:sz w:val="20"/>
                <w:szCs w:val="20"/>
                <w:color w:val="auto"/>
              </w:rPr>
            </w:pPr>
            <w:r>
              <w:rPr>
                <w:rFonts w:ascii="Arial" w:cs="Arial" w:eastAsia="Arial" w:hAnsi="Arial"/>
                <w:sz w:val="18"/>
                <w:szCs w:val="18"/>
                <w:color w:val="auto"/>
              </w:rPr>
              <w:t>Program revenue</w:t>
            </w:r>
            <w:r>
              <w:rPr>
                <w:rFonts w:ascii="Arial" w:cs="Arial" w:eastAsia="Arial" w:hAnsi="Arial"/>
                <w:sz w:val="25"/>
                <w:szCs w:val="25"/>
                <w:color w:val="auto"/>
                <w:vertAlign w:val="superscript"/>
              </w:rPr>
              <w:t>7</w:t>
            </w: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3"/>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Consolidated revenues,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060" w:right="540"/>
        <w:spacing w:after="0" w:line="248"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Includes revenue from customers based on accounts, cards, devices, transactions, load amounts and/or purchase amounts,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 cards and toll related businesses.</w:t>
      </w:r>
    </w:p>
    <w:p>
      <w:pPr>
        <w:spacing w:after="0" w:line="44"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Fees for late payment and interest charges for carrying a balance charged to a customer.</w:t>
      </w:r>
    </w:p>
    <w:p>
      <w:pPr>
        <w:spacing w:after="0" w:line="23" w:lineRule="exact"/>
        <w:rPr>
          <w:sz w:val="20"/>
          <w:szCs w:val="20"/>
          <w:color w:val="auto"/>
        </w:rPr>
      </w:pPr>
    </w:p>
    <w:p>
      <w:pPr>
        <w:ind w:left="1060" w:right="660"/>
        <w:spacing w:after="0" w:line="226"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Non-standard fees charged to customers based on customer behavior or optional participation, primarily including high credit risk surcharges, over credit limit charges, minimum processing fees, printing and mailing fees, environmental fees, etc.</w:t>
      </w:r>
    </w:p>
    <w:p>
      <w:pPr>
        <w:spacing w:after="0" w:line="50"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Interchange revenue directly influenced by the absolute price of fuel and other interchange related to fuel products.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5</w:t>
      </w:r>
      <w:r>
        <w:rPr>
          <w:rFonts w:ascii="Arial" w:cs="Arial" w:eastAsia="Arial" w:hAnsi="Arial"/>
          <w:sz w:val="16"/>
          <w:szCs w:val="16"/>
          <w:color w:val="auto"/>
        </w:rPr>
        <w:t>Interchange revenue related to nonfuel products.</w:t>
      </w:r>
    </w:p>
    <w:p>
      <w:pPr>
        <w:spacing w:after="0" w:line="15" w:lineRule="exact"/>
        <w:rPr>
          <w:sz w:val="20"/>
          <w:szCs w:val="20"/>
          <w:color w:val="auto"/>
        </w:rPr>
      </w:pPr>
    </w:p>
    <w:p>
      <w:pPr>
        <w:ind w:left="1060" w:right="640"/>
        <w:spacing w:after="0" w:line="226" w:lineRule="auto"/>
        <w:rPr>
          <w:sz w:val="20"/>
          <w:szCs w:val="20"/>
          <w:color w:val="auto"/>
        </w:rPr>
      </w:pPr>
      <w:r>
        <w:rPr>
          <w:rFonts w:ascii="Arial" w:cs="Arial" w:eastAsia="Arial" w:hAnsi="Arial"/>
          <w:sz w:val="21"/>
          <w:szCs w:val="21"/>
          <w:color w:val="auto"/>
          <w:vertAlign w:val="superscript"/>
        </w:rPr>
        <w:t>6</w:t>
      </w:r>
      <w:r>
        <w:rPr>
          <w:rFonts w:ascii="Arial" w:cs="Arial" w:eastAsia="Arial" w:hAnsi="Arial"/>
          <w:sz w:val="16"/>
          <w:szCs w:val="16"/>
          <w:color w:val="auto"/>
        </w:rPr>
        <w:t>Revenue derived from the difference between the price charged to a fleet customer for a transaction and the price paid to the merchant for the same transaction.</w:t>
      </w:r>
    </w:p>
    <w:p>
      <w:pPr>
        <w:spacing w:after="0" w:line="50"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7</w:t>
      </w:r>
      <w:r>
        <w:rPr>
          <w:rFonts w:ascii="Arial" w:cs="Arial" w:eastAsia="Arial" w:hAnsi="Arial"/>
          <w:sz w:val="16"/>
          <w:szCs w:val="16"/>
          <w:color w:val="auto"/>
        </w:rPr>
        <w:t>Revenue derived primarily from the sale of equipment, software and related maintenance to merchants.</w:t>
      </w:r>
    </w:p>
    <w:p>
      <w:pPr>
        <w:spacing w:after="0" w:line="23" w:lineRule="exact"/>
        <w:rPr>
          <w:sz w:val="20"/>
          <w:szCs w:val="20"/>
          <w:color w:val="auto"/>
        </w:rPr>
      </w:pPr>
    </w:p>
    <w:p>
      <w:pPr>
        <w:ind w:left="1060" w:right="700"/>
        <w:spacing w:after="0" w:line="226" w:lineRule="auto"/>
        <w:rPr>
          <w:sz w:val="20"/>
          <w:szCs w:val="20"/>
          <w:color w:val="auto"/>
        </w:rPr>
      </w:pPr>
      <w:r>
        <w:rPr>
          <w:rFonts w:ascii="Arial" w:cs="Arial" w:eastAsia="Arial" w:hAnsi="Arial"/>
          <w:sz w:val="21"/>
          <w:szCs w:val="21"/>
          <w:color w:val="auto"/>
          <w:vertAlign w:val="superscript"/>
        </w:rPr>
        <w:t>8</w:t>
      </w:r>
      <w:r>
        <w:rPr>
          <w:rFonts w:ascii="Arial" w:cs="Arial" w:eastAsia="Arial" w:hAnsi="Arial"/>
          <w:sz w:val="16"/>
          <w:szCs w:val="16"/>
          <w:color w:val="auto"/>
        </w:rPr>
        <w:t>Amounts shown for the six months ended June 30, 2017 and 2016 reflect immaterial corrections in estimated allocation of revenue by product and sources of revenue from previously disclosed amounts for the prior period.</w:t>
      </w:r>
    </w:p>
    <w:p>
      <w:pPr>
        <w:spacing w:after="0" w:line="50"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9</w:t>
      </w:r>
      <w:r>
        <w:rPr>
          <w:rFonts w:ascii="Arial" w:cs="Arial" w:eastAsia="Arial" w:hAnsi="Arial"/>
          <w:sz w:val="16"/>
          <w:szCs w:val="16"/>
          <w:color w:val="auto"/>
        </w:rPr>
        <w:t>Other includes telematics, maintenance, food and transportation related businesses.</w:t>
      </w:r>
    </w:p>
    <w:p>
      <w:pPr>
        <w:spacing w:after="0" w:line="218" w:lineRule="exact"/>
        <w:rPr>
          <w:sz w:val="20"/>
          <w:szCs w:val="20"/>
          <w:color w:val="auto"/>
        </w:rPr>
      </w:pPr>
    </w:p>
    <w:p>
      <w:pPr>
        <w:ind w:left="1060" w:right="580"/>
        <w:spacing w:after="0" w:line="329" w:lineRule="auto"/>
        <w:rPr>
          <w:sz w:val="20"/>
          <w:szCs w:val="20"/>
          <w:color w:val="auto"/>
        </w:rPr>
      </w:pPr>
      <w:r>
        <w:rPr>
          <w:rFonts w:ascii="Arial" w:cs="Arial" w:eastAsia="Arial" w:hAnsi="Arial"/>
          <w:sz w:val="15"/>
          <w:szCs w:val="15"/>
          <w:color w:val="auto"/>
        </w:rPr>
        <w:t>*We may not be able to precisely calculate revenue by source, as certain estimates were made in these allocations. Columns may not calculate due to impact of rounding. This table reflects how management views the sources of revenue and may not be consistent with prior disclosure.</w:t>
      </w: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00"/>
          </w:cols>
          <w:pgMar w:left="240" w:top="125" w:right="3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per transaction. </w:t>
      </w:r>
      <w:r>
        <w:rPr>
          <w:rFonts w:ascii="Arial" w:cs="Arial" w:eastAsia="Arial" w:hAnsi="Arial"/>
          <w:sz w:val="18"/>
          <w:szCs w:val="18"/>
          <w:color w:val="auto"/>
        </w:rPr>
        <w:t>Set forth below is revenue per transaction information for the three and six months ended June 30, 2017 and 2016:</w:t>
      </w:r>
    </w:p>
    <w:p>
      <w:pPr>
        <w:spacing w:after="0" w:line="244"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Transactions (in millions)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904.7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846.1</w:t>
            </w:r>
          </w:p>
        </w:tc>
      </w:tr>
      <w:tr>
        <w:trPr>
          <w:trHeight w:val="27"/>
        </w:trPr>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106.0</w:t>
            </w:r>
          </w:p>
        </w:tc>
      </w:tr>
      <w:tr>
        <w:trPr>
          <w:trHeight w:val="237"/>
        </w:trPr>
        <w:tc>
          <w:tcPr>
            <w:tcW w:w="4560" w:type="dxa"/>
            <w:vAlign w:val="bottom"/>
          </w:tcPr>
          <w:p>
            <w:pPr>
              <w:ind w:left="380"/>
              <w:spacing w:after="0"/>
              <w:rPr>
                <w:sz w:val="20"/>
                <w:szCs w:val="20"/>
                <w:color w:val="auto"/>
              </w:rPr>
            </w:pPr>
            <w:r>
              <w:rPr>
                <w:rFonts w:ascii="Arial" w:cs="Arial" w:eastAsia="Arial" w:hAnsi="Arial"/>
                <w:sz w:val="18"/>
                <w:szCs w:val="18"/>
                <w:color w:val="auto"/>
              </w:rPr>
              <w:t>Total transactions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1,446.9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952.0</w:t>
            </w:r>
          </w:p>
        </w:tc>
      </w:tr>
      <w:tr>
        <w:trPr>
          <w:trHeight w:val="67"/>
        </w:trPr>
        <w:tc>
          <w:tcPr>
            <w:tcW w:w="45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 per transaction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0.71</w:t>
            </w:r>
          </w:p>
        </w:tc>
      </w:tr>
      <w:tr>
        <w:trPr>
          <w:trHeight w:val="27"/>
        </w:trPr>
        <w:tc>
          <w:tcPr>
            <w:tcW w:w="4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Consolidated revenue per transaction</w:t>
            </w: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0.87</w:t>
            </w: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June 30, 2017, total transactions increased from 465.0 million to 702.0 million, an increase of 237.0 million transactions, or 51%. For the six months ended June 30, 2017, total transactions increased from 952.0 million to 1,446.9 million, an increase of 494.9 million transactions, or 52%. North American segment transactions increased approximately 5% and 7% in the three and six months ended June 30, 2017 as compared to 2016, respectively, due primarily to growth in our SVS and fuel card businesses. Transaction volumes in our international segment increased by 408% and 412% in the three and six months ended June 30, 2017 as compared to 2016, respectively, primarily due to the acquisition of STP and Travelcard during the third quarter of 2016.</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Set forth below is further breakdown of revenue and revenue per transaction, by product category for the three months ended June 30, 2017 and 2016 (in millions except revenues, net per transaction)*: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6"/>
                <w:szCs w:val="16"/>
                <w:b w:val="1"/>
                <w:bCs w:val="1"/>
                <w:color w:val="auto"/>
                <w:w w:val="90"/>
              </w:rPr>
              <w:t>As Reported</w:t>
            </w:r>
          </w:p>
        </w:tc>
        <w:tc>
          <w:tcPr>
            <w:tcW w:w="8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92"/>
              </w:rPr>
              <w:t>Pro Forma and Macro Adjusted</w:t>
            </w:r>
            <w:r>
              <w:rPr>
                <w:rFonts w:ascii="Arial" w:cs="Arial" w:eastAsia="Arial" w:hAnsi="Arial"/>
                <w:sz w:val="21"/>
                <w:szCs w:val="21"/>
                <w:b w:val="1"/>
                <w:bCs w:val="1"/>
                <w:color w:val="auto"/>
                <w:w w:val="92"/>
                <w:vertAlign w:val="superscript"/>
              </w:rPr>
              <w:t>2</w:t>
            </w:r>
          </w:p>
        </w:tc>
        <w:tc>
          <w:tcPr>
            <w:tcW w:w="820" w:type="dxa"/>
            <w:vAlign w:val="bottom"/>
            <w:tcBorders>
              <w:bottom w:val="single" w:sz="8" w:color="auto"/>
            </w:tcBorders>
          </w:tcPr>
          <w:p>
            <w:pPr>
              <w:spacing w:after="0"/>
              <w:rPr>
                <w:sz w:val="21"/>
                <w:szCs w:val="21"/>
                <w:color w:val="auto"/>
              </w:rPr>
            </w:pP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8"/>
          </w:tcPr>
          <w:p>
            <w:pPr>
              <w:jc w:val="center"/>
              <w:ind w:right="20"/>
              <w:spacing w:after="0"/>
              <w:rPr>
                <w:sz w:val="20"/>
                <w:szCs w:val="20"/>
                <w:color w:val="auto"/>
              </w:rPr>
            </w:pPr>
            <w:r>
              <w:rPr>
                <w:rFonts w:ascii="Arial" w:cs="Arial" w:eastAsia="Arial" w:hAnsi="Arial"/>
                <w:sz w:val="16"/>
                <w:szCs w:val="16"/>
                <w:b w:val="1"/>
                <w:bCs w:val="1"/>
                <w:color w:val="auto"/>
                <w:w w:val="92"/>
              </w:rPr>
              <w:t>Three Months Ended June 30,</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2"/>
              </w:rPr>
              <w:t>Three Months Ended June 30,</w:t>
            </w:r>
          </w:p>
        </w:tc>
        <w:tc>
          <w:tcPr>
            <w:tcW w:w="8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3"/>
        </w:trPr>
        <w:tc>
          <w:tcPr>
            <w:tcW w:w="4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1"/>
                <w:szCs w:val="21"/>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2017</w:t>
            </w:r>
            <w:r>
              <w:rPr>
                <w:rFonts w:ascii="Arial" w:cs="Arial" w:eastAsia="Arial" w:hAnsi="Arial"/>
                <w:sz w:val="21"/>
                <w:szCs w:val="21"/>
                <w:b w:val="1"/>
                <w:bCs w:val="1"/>
                <w:color w:val="auto"/>
                <w:w w:val="96"/>
                <w:vertAlign w:val="superscript"/>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2016</w:t>
            </w:r>
            <w:r>
              <w:rPr>
                <w:rFonts w:ascii="Arial" w:cs="Arial" w:eastAsia="Arial" w:hAnsi="Arial"/>
                <w:sz w:val="21"/>
                <w:szCs w:val="21"/>
                <w:b w:val="1"/>
                <w:bCs w:val="1"/>
                <w:color w:val="auto"/>
                <w:w w:val="96"/>
                <w:vertAlign w:val="superscript"/>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Change</w:t>
            </w:r>
          </w:p>
        </w:tc>
      </w:tr>
      <w:tr>
        <w:trPr>
          <w:trHeight w:val="196"/>
        </w:trPr>
        <w:tc>
          <w:tcPr>
            <w:tcW w:w="4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Arial" w:cs="Arial" w:eastAsia="Arial" w:hAnsi="Arial"/>
                <w:sz w:val="16"/>
                <w:szCs w:val="16"/>
                <w:b w:val="1"/>
                <w:bCs w:val="1"/>
                <w:color w:val="auto"/>
              </w:rPr>
              <w:t>FUEL CARDS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37"/>
        </w:trPr>
        <w:tc>
          <w:tcPr>
            <w:tcW w:w="40" w:type="dxa"/>
            <w:vAlign w:val="bottom"/>
          </w:tcPr>
          <w:p>
            <w:pPr>
              <w:spacing w:after="0"/>
              <w:rPr>
                <w:sz w:val="20"/>
                <w:szCs w:val="20"/>
                <w:color w:val="auto"/>
              </w:rPr>
            </w:pPr>
          </w:p>
        </w:tc>
        <w:tc>
          <w:tcPr>
            <w:tcW w:w="2980" w:type="dxa"/>
            <w:vAlign w:val="bottom"/>
            <w:gridSpan w:val="9"/>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2.24</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3"/>
        </w:trPr>
        <w:tc>
          <w:tcPr>
            <w:tcW w:w="4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Arial" w:cs="Arial" w:eastAsia="Arial" w:hAnsi="Arial"/>
                <w:sz w:val="16"/>
                <w:szCs w:val="16"/>
                <w:b w:val="1"/>
                <w:bCs w:val="1"/>
                <w:color w:val="auto"/>
              </w:rPr>
              <w:t>CORPORATE PAYMENTS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37"/>
        </w:trPr>
        <w:tc>
          <w:tcPr>
            <w:tcW w:w="40" w:type="dxa"/>
            <w:vAlign w:val="bottom"/>
          </w:tcPr>
          <w:p>
            <w:pPr>
              <w:spacing w:after="0"/>
              <w:rPr>
                <w:sz w:val="20"/>
                <w:szCs w:val="20"/>
                <w:color w:val="auto"/>
              </w:rPr>
            </w:pPr>
          </w:p>
        </w:tc>
        <w:tc>
          <w:tcPr>
            <w:tcW w:w="2980" w:type="dxa"/>
            <w:vAlign w:val="bottom"/>
            <w:gridSpan w:val="9"/>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4.84</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3"/>
        </w:trPr>
        <w:tc>
          <w:tcPr>
            <w:tcW w:w="4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Arial" w:cs="Arial" w:eastAsia="Arial" w:hAnsi="Arial"/>
                <w:sz w:val="16"/>
                <w:szCs w:val="16"/>
                <w:b w:val="1"/>
                <w:bCs w:val="1"/>
                <w:color w:val="auto"/>
              </w:rPr>
              <w:t>TOLLS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2,211 %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40" w:type="dxa"/>
            <w:vAlign w:val="bottom"/>
          </w:tcPr>
          <w:p>
            <w:pPr>
              <w:spacing w:after="0"/>
              <w:rPr>
                <w:sz w:val="20"/>
                <w:szCs w:val="20"/>
                <w:color w:val="auto"/>
              </w:rPr>
            </w:pPr>
          </w:p>
        </w:tc>
        <w:tc>
          <w:tcPr>
            <w:tcW w:w="2980" w:type="dxa"/>
            <w:vAlign w:val="bottom"/>
            <w:gridSpan w:val="9"/>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0.31</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3,063 %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3"/>
        </w:trPr>
        <w:tc>
          <w:tcPr>
            <w:tcW w:w="4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Arial" w:cs="Arial" w:eastAsia="Arial" w:hAnsi="Arial"/>
                <w:sz w:val="16"/>
                <w:szCs w:val="16"/>
                <w:b w:val="1"/>
                <w:bCs w:val="1"/>
                <w:color w:val="auto"/>
              </w:rPr>
              <w:t>LODGING</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37"/>
        </w:trPr>
        <w:tc>
          <w:tcPr>
            <w:tcW w:w="40" w:type="dxa"/>
            <w:vAlign w:val="bottom"/>
          </w:tcPr>
          <w:p>
            <w:pPr>
              <w:spacing w:after="0"/>
              <w:rPr>
                <w:sz w:val="20"/>
                <w:szCs w:val="20"/>
                <w:color w:val="auto"/>
              </w:rPr>
            </w:pPr>
          </w:p>
        </w:tc>
        <w:tc>
          <w:tcPr>
            <w:tcW w:w="2980" w:type="dxa"/>
            <w:vAlign w:val="bottom"/>
            <w:gridSpan w:val="9"/>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8.57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8.57</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3"/>
        </w:trPr>
        <w:tc>
          <w:tcPr>
            <w:tcW w:w="4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Arial" w:cs="Arial" w:eastAsia="Arial" w:hAnsi="Arial"/>
                <w:sz w:val="16"/>
                <w:szCs w:val="16"/>
                <w:b w:val="1"/>
                <w:bCs w:val="1"/>
                <w:color w:val="auto"/>
              </w:rPr>
              <w:t>GIFT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37"/>
        </w:trPr>
        <w:tc>
          <w:tcPr>
            <w:tcW w:w="40" w:type="dxa"/>
            <w:vAlign w:val="bottom"/>
          </w:tcPr>
          <w:p>
            <w:pPr>
              <w:spacing w:after="0"/>
              <w:rPr>
                <w:sz w:val="20"/>
                <w:szCs w:val="20"/>
                <w:color w:val="auto"/>
              </w:rPr>
            </w:pPr>
          </w:p>
        </w:tc>
        <w:tc>
          <w:tcPr>
            <w:tcW w:w="2980" w:type="dxa"/>
            <w:vAlign w:val="bottom"/>
            <w:gridSpan w:val="9"/>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0.13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0.13</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3"/>
        </w:trPr>
        <w:tc>
          <w:tcPr>
            <w:tcW w:w="40" w:type="dxa"/>
            <w:vAlign w:val="bottom"/>
          </w:tcPr>
          <w:p>
            <w:pPr>
              <w:spacing w:after="0"/>
              <w:rPr>
                <w:sz w:val="17"/>
                <w:szCs w:val="17"/>
                <w:color w:val="auto"/>
              </w:rPr>
            </w:pPr>
          </w:p>
        </w:tc>
        <w:tc>
          <w:tcPr>
            <w:tcW w:w="2980" w:type="dxa"/>
            <w:vAlign w:val="bottom"/>
            <w:gridSpan w:val="9"/>
          </w:tcPr>
          <w:p>
            <w:pPr>
              <w:spacing w:after="0" w:line="20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0" w:type="dxa"/>
            <w:vAlign w:val="bottom"/>
          </w:tcPr>
          <w:p>
            <w:pPr>
              <w:spacing w:after="0"/>
              <w:rPr>
                <w:sz w:val="20"/>
                <w:szCs w:val="20"/>
                <w:color w:val="auto"/>
              </w:rPr>
            </w:pPr>
          </w:p>
        </w:tc>
        <w:tc>
          <w:tcPr>
            <w:tcW w:w="2980" w:type="dxa"/>
            <w:vAlign w:val="bottom"/>
            <w:gridSpan w:val="9"/>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3.34</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40" w:type="dxa"/>
            <w:vAlign w:val="bottom"/>
          </w:tcPr>
          <w:p>
            <w:pPr>
              <w:spacing w:after="0"/>
              <w:rPr>
                <w:sz w:val="16"/>
                <w:szCs w:val="16"/>
                <w:color w:val="auto"/>
              </w:rPr>
            </w:pPr>
          </w:p>
        </w:tc>
        <w:tc>
          <w:tcPr>
            <w:tcW w:w="2980" w:type="dxa"/>
            <w:vAlign w:val="bottom"/>
            <w:gridSpan w:val="9"/>
          </w:tcPr>
          <w:p>
            <w:pPr>
              <w:spacing w:after="0"/>
              <w:rPr>
                <w:sz w:val="20"/>
                <w:szCs w:val="20"/>
                <w:color w:val="auto"/>
              </w:rPr>
            </w:pPr>
            <w:r>
              <w:rPr>
                <w:rFonts w:ascii="Arial" w:cs="Arial" w:eastAsia="Arial" w:hAnsi="Arial"/>
                <w:sz w:val="16"/>
                <w:szCs w:val="16"/>
                <w:b w:val="1"/>
                <w:bCs w:val="1"/>
                <w:color w:val="auto"/>
              </w:rPr>
              <w:t>FLEETCOR CONSOLIDATED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2220" w:type="dxa"/>
            <w:vAlign w:val="bottom"/>
            <w:tcBorders>
              <w:top w:val="single" w:sz="8" w:color="auto"/>
            </w:tcBorders>
            <w:gridSpan w:val="8"/>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37"/>
        </w:trPr>
        <w:tc>
          <w:tcPr>
            <w:tcW w:w="40" w:type="dxa"/>
            <w:vAlign w:val="bottom"/>
          </w:tcPr>
          <w:p>
            <w:pPr>
              <w:spacing w:after="0"/>
              <w:rPr>
                <w:sz w:val="20"/>
                <w:szCs w:val="20"/>
                <w:color w:val="auto"/>
              </w:rPr>
            </w:pPr>
          </w:p>
        </w:tc>
        <w:tc>
          <w:tcPr>
            <w:tcW w:w="2980" w:type="dxa"/>
            <w:vAlign w:val="bottom"/>
            <w:gridSpan w:val="9"/>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0.77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0.74</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2980" w:type="dxa"/>
            <w:vAlign w:val="bottom"/>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33"/>
        </w:trPr>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Columns may not calculate due to the impact of rounding.</w:t>
      </w:r>
    </w:p>
    <w:p>
      <w:pPr>
        <w:spacing w:after="0" w:line="201"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Other includes telematics, maintenance, food and transportation related businesses.</w:t>
      </w:r>
    </w:p>
    <w:p>
      <w:pPr>
        <w:ind w:right="60"/>
        <w:spacing w:after="0" w:line="223"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Pro forma and macro adjusted revenue is a non-GAAP financial measure defined as revenues, net adjusted for the impact of the macroeconomic environment and acquisitions and dispositions and other one-time items. We use pro forma and macro adjusted revenue as a basis to evaluate our organic growth. See the heading entitled “Management’s Use of Non-GAAP Financial Measures” for reconciliation of revenue, net to pro forma and macro adjusted revenue, net.</w:t>
      </w:r>
    </w:p>
    <w:p>
      <w:pPr>
        <w:spacing w:after="0" w:line="1" w:lineRule="exact"/>
        <w:rPr>
          <w:sz w:val="20"/>
          <w:szCs w:val="20"/>
          <w:color w:val="auto"/>
        </w:rPr>
      </w:pPr>
    </w:p>
    <w:p>
      <w:pPr>
        <w:ind w:right="100"/>
        <w:spacing w:after="0" w:line="213"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2017 is adjusted to remove the impact of changes in the macroeconomic environment to be consistent with the same period of prior year, using constant fuel prices, fuel price spreads and foreign exchange rates.</w:t>
      </w:r>
    </w:p>
    <w:p>
      <w:pPr>
        <w:spacing w:after="0" w:line="194"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2016 is pro forma to include acquisitions and exclude dispositions consistent with 2017 ownership.</w:t>
      </w: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_________________________________________________________________________________________________________________</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spread margins. Revenue per transaction per customer changes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incur expenses in the following categories:</w:t>
      </w:r>
    </w:p>
    <w:p>
      <w:pPr>
        <w:spacing w:after="0" w:line="131" w:lineRule="exact"/>
        <w:rPr>
          <w:sz w:val="20"/>
          <w:szCs w:val="20"/>
          <w:color w:val="auto"/>
        </w:rPr>
      </w:pPr>
    </w:p>
    <w:p>
      <w:pPr>
        <w:ind w:left="640" w:right="280" w:hanging="321"/>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Merchant commissions</w:t>
      </w:r>
      <w:r>
        <w:rPr>
          <w:rFonts w:ascii="Arial" w:cs="Arial" w:eastAsia="Arial" w:hAnsi="Arial"/>
          <w:sz w:val="18"/>
          <w:szCs w:val="18"/>
          <w:color w:val="auto"/>
        </w:rPr>
        <w:t>—In certain of our card programs, we incur merchant commissions expense when we reimburse merchants with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direct, contractual relationships for specific transactions where a customer purchases products or services from the merchant. In the card programs where it is paid, merchant commissions equal the difference between the price paid by us to the merchant and the merchant’s wholesale cost of the underlying products or services.</w:t>
      </w:r>
    </w:p>
    <w:p>
      <w:pPr>
        <w:spacing w:after="0" w:line="24" w:lineRule="exact"/>
        <w:rPr>
          <w:rFonts w:ascii="Arial" w:cs="Arial" w:eastAsia="Arial" w:hAnsi="Arial"/>
          <w:sz w:val="18"/>
          <w:szCs w:val="18"/>
          <w:color w:val="auto"/>
        </w:rPr>
      </w:pPr>
    </w:p>
    <w:p>
      <w:pPr>
        <w:ind w:left="640" w:right="52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Processing</w:t>
      </w:r>
      <w:r>
        <w:rPr>
          <w:rFonts w:ascii="Arial" w:cs="Arial" w:eastAsia="Arial" w:hAnsi="Arial"/>
          <w:sz w:val="18"/>
          <w:szCs w:val="18"/>
          <w:color w:val="auto"/>
        </w:rPr>
        <w:t>—Our processing expense consists of expenses related to processing transactions, servicing our customers and merchants,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cost of goods sold related to our hardware sales in certain businesses.</w:t>
      </w:r>
    </w:p>
    <w:p>
      <w:pPr>
        <w:spacing w:after="0" w:line="8" w:lineRule="exact"/>
        <w:rPr>
          <w:rFonts w:ascii="Arial" w:cs="Arial" w:eastAsia="Arial" w:hAnsi="Arial"/>
          <w:sz w:val="18"/>
          <w:szCs w:val="18"/>
          <w:color w:val="auto"/>
        </w:rPr>
      </w:pPr>
    </w:p>
    <w:p>
      <w:pPr>
        <w:ind w:left="640" w:right="16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Selling</w:t>
      </w:r>
      <w:r>
        <w:rPr>
          <w:rFonts w:ascii="Arial" w:cs="Arial" w:eastAsia="Arial" w:hAnsi="Arial"/>
          <w:sz w:val="18"/>
          <w:szCs w:val="18"/>
          <w:color w:val="auto"/>
        </w:rPr>
        <w:t>—Our selling expenses consist primarily of wages, benefits, sales commissions (other than merchant commissions) and related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marketing and account management personnel and activities.</w:t>
      </w:r>
    </w:p>
    <w:p>
      <w:pPr>
        <w:spacing w:after="0" w:line="8" w:lineRule="exact"/>
        <w:rPr>
          <w:rFonts w:ascii="Arial" w:cs="Arial" w:eastAsia="Arial" w:hAnsi="Arial"/>
          <w:sz w:val="18"/>
          <w:szCs w:val="18"/>
          <w:color w:val="auto"/>
        </w:rPr>
      </w:pPr>
    </w:p>
    <w:p>
      <w:pPr>
        <w:ind w:left="640" w:right="100" w:hanging="321"/>
        <w:spacing w:after="0" w:line="305"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—Our general and administrative expenses include compensation and related expenses (including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our executives, finance and accounting, information technology, human resources, legal and other administrative personnel. Also included are facilities expenses, third-party professional services fees, travel and entertainment expenses, and other corporate-level expenses.</w:t>
      </w:r>
    </w:p>
    <w:p>
      <w:pPr>
        <w:ind w:left="640" w:right="60" w:hanging="321"/>
        <w:spacing w:after="0" w:line="276"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—Our depreciation expenses include depreciation of property and equipment, consisting of computer hardware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10" w:lineRule="exact"/>
        <w:rPr>
          <w:rFonts w:ascii="Arial" w:cs="Arial" w:eastAsia="Arial" w:hAnsi="Arial"/>
          <w:sz w:val="17"/>
          <w:szCs w:val="17"/>
          <w:color w:val="auto"/>
        </w:rPr>
      </w:pPr>
    </w:p>
    <w:p>
      <w:pPr>
        <w:ind w:left="640" w:hanging="321"/>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—Our other operating, net includes other operating expenses and income items unusual to the period and presented separately.</w:t>
      </w:r>
    </w:p>
    <w:p>
      <w:pPr>
        <w:spacing w:after="0" w:line="86" w:lineRule="exact"/>
        <w:rPr>
          <w:rFonts w:ascii="Arial" w:cs="Arial" w:eastAsia="Arial" w:hAnsi="Arial"/>
          <w:sz w:val="16"/>
          <w:szCs w:val="16"/>
          <w:color w:val="auto"/>
        </w:rPr>
      </w:pPr>
    </w:p>
    <w:p>
      <w:pPr>
        <w:ind w:left="64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Equity method investment loss (income)</w:t>
      </w:r>
      <w:r>
        <w:rPr>
          <w:rFonts w:ascii="Arial" w:cs="Arial" w:eastAsia="Arial" w:hAnsi="Arial"/>
          <w:sz w:val="18"/>
          <w:szCs w:val="18"/>
          <w:color w:val="auto"/>
        </w:rPr>
        <w:t>—Our equity method investment results relate to our minority interest in Masternaut, a provider of telematics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commercial fleets in Europe, which we account for using the equity method.</w:t>
      </w:r>
    </w:p>
    <w:p>
      <w:pPr>
        <w:spacing w:after="0" w:line="8"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—Our other expense (income), net includes foreign currency transaction gains or losses, proceeds/costs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other miscellaneous operating costs and revenue.</w:t>
      </w:r>
    </w:p>
    <w:p>
      <w:pPr>
        <w:spacing w:after="0" w:line="8" w:lineRule="exact"/>
        <w:rPr>
          <w:rFonts w:ascii="Arial" w:cs="Arial" w:eastAsia="Arial" w:hAnsi="Arial"/>
          <w:sz w:val="18"/>
          <w:szCs w:val="18"/>
          <w:color w:val="auto"/>
        </w:rPr>
      </w:pPr>
    </w:p>
    <w:p>
      <w:pPr>
        <w:ind w:left="640" w:right="200" w:hanging="321"/>
        <w:spacing w:after="0" w:line="29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—Our interest expense, net includes interest income on our cash balances and interest expense on our outstanding debt and on</w:t>
      </w:r>
      <w:r>
        <w:rPr>
          <w:rFonts w:ascii="Arial" w:cs="Arial" w:eastAsia="Arial" w:hAnsi="Arial"/>
          <w:sz w:val="17"/>
          <w:szCs w:val="17"/>
          <w:i w:val="1"/>
          <w:iCs w:val="1"/>
          <w:color w:val="auto"/>
        </w:rPr>
        <w:t xml:space="preserve"> </w:t>
      </w:r>
      <w:r>
        <w:rPr>
          <w:rFonts w:ascii="Arial" w:cs="Arial" w:eastAsia="Arial" w:hAnsi="Arial"/>
          <w:sz w:val="17"/>
          <w:szCs w:val="17"/>
          <w:color w:val="auto"/>
        </w:rPr>
        <w:t>our Securitization Facility. We have historically invested our cash primarily in short-term money market funds.</w:t>
      </w:r>
    </w:p>
    <w:p>
      <w:pPr>
        <w:ind w:left="640" w:right="8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—Our provision for income taxes consists primarily of corporate income taxes related to profits resulting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and services in the United States and internationally.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and trends are important in understanding our financial performance:</w:t>
      </w:r>
    </w:p>
    <w:p>
      <w:pPr>
        <w:spacing w:after="0" w:line="185" w:lineRule="exact"/>
        <w:rPr>
          <w:sz w:val="20"/>
          <w:szCs w:val="20"/>
          <w:color w:val="auto"/>
        </w:rPr>
      </w:pPr>
    </w:p>
    <w:p>
      <w:pPr>
        <w:ind w:left="640" w:right="120" w:hanging="321"/>
        <w:spacing w:after="0" w:line="25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Fuel prices</w:t>
      </w:r>
      <w:r>
        <w:rPr>
          <w:rFonts w:ascii="Arial" w:cs="Arial" w:eastAsia="Arial" w:hAnsi="Arial"/>
          <w:sz w:val="18"/>
          <w:szCs w:val="18"/>
          <w:color w:val="auto"/>
        </w:rPr>
        <w:t>—Our fleet customers use our products and services primarily in connection with the purchase of fuel. Accordingly, our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See “Sources of Revenue” above for further information related to the absolute price of fuel.</w:t>
      </w:r>
    </w:p>
    <w:p>
      <w:pPr>
        <w:spacing w:after="0" w:line="26" w:lineRule="exact"/>
        <w:rPr>
          <w:rFonts w:ascii="Arial" w:cs="Arial" w:eastAsia="Arial" w:hAnsi="Arial"/>
          <w:sz w:val="18"/>
          <w:szCs w:val="18"/>
          <w:color w:val="auto"/>
        </w:rPr>
      </w:pPr>
    </w:p>
    <w:p>
      <w:pPr>
        <w:ind w:left="640" w:right="60" w:hanging="321"/>
        <w:spacing w:after="0" w:line="271"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Fuel-price spread volatility</w:t>
      </w:r>
      <w:r>
        <w:rPr>
          <w:rFonts w:ascii="Arial" w:cs="Arial" w:eastAsia="Arial" w:hAnsi="Arial"/>
          <w:sz w:val="17"/>
          <w:szCs w:val="17"/>
          <w:color w:val="auto"/>
        </w:rPr>
        <w:t>—A portion of our revenue involves transactions where we derive revenue from fuel-price spreads, which is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See “Sources of Revenue” above for further information related to fuel-price spreads.</w:t>
      </w:r>
    </w:p>
    <w:p>
      <w:pPr>
        <w:spacing w:after="0" w:line="16" w:lineRule="exact"/>
        <w:rPr>
          <w:rFonts w:ascii="Arial" w:cs="Arial" w:eastAsia="Arial" w:hAnsi="Arial"/>
          <w:sz w:val="17"/>
          <w:szCs w:val="17"/>
          <w:color w:val="auto"/>
        </w:rPr>
      </w:pPr>
    </w:p>
    <w:p>
      <w:pPr>
        <w:ind w:left="640" w:right="60" w:hanging="321"/>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—Since 2002, we have completed over 70 acquisitions of companies and commercial account portfolios. Acquisitions have been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our growth strategy, and it is our intention to continue to seek opportunities to increase our customer base and diversify our service offering through further strategic acquisitions.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40" w:right="100"/>
        <w:spacing w:after="0" w:line="313" w:lineRule="auto"/>
        <w:rPr>
          <w:sz w:val="20"/>
          <w:szCs w:val="20"/>
          <w:color w:val="auto"/>
        </w:rPr>
      </w:pPr>
      <w:r>
        <w:rPr>
          <w:rFonts w:ascii="Arial" w:cs="Arial" w:eastAsia="Arial" w:hAnsi="Arial"/>
          <w:sz w:val="18"/>
          <w:szCs w:val="18"/>
          <w:color w:val="auto"/>
        </w:rPr>
        <w:t>The impact of acquisitions has, and may continue to have, a significant impact on our results of operations and may make it difficult to compare our results between periods.</w:t>
      </w:r>
    </w:p>
    <w:p>
      <w:pPr>
        <w:ind w:left="640" w:right="68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—Our results of operations are affected by interest rates. We are exposed to market risk to changes in interest rates on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debt.</w:t>
      </w:r>
    </w:p>
    <w:p>
      <w:pPr>
        <w:spacing w:after="0" w:line="8" w:lineRule="exact"/>
        <w:rPr>
          <w:rFonts w:ascii="Arial" w:cs="Arial" w:eastAsia="Arial" w:hAnsi="Arial"/>
          <w:sz w:val="18"/>
          <w:szCs w:val="18"/>
          <w:color w:val="auto"/>
        </w:rPr>
      </w:pPr>
    </w:p>
    <w:p>
      <w:pPr>
        <w:ind w:left="640" w:right="200" w:hanging="321"/>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Global economic conditions</w:t>
      </w:r>
      <w:r>
        <w:rPr>
          <w:rFonts w:ascii="Arial" w:cs="Arial" w:eastAsia="Arial" w:hAnsi="Arial"/>
          <w:sz w:val="18"/>
          <w:szCs w:val="18"/>
          <w:color w:val="auto"/>
        </w:rPr>
        <w:t>—Our results of operations are materially affected by conditions in the economy generally, both in North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internationally. Factors affected by the economy include our transaction volumes and the credit risk of our customers. These factors affected our businesses in both our North America and International segments.</w:t>
      </w:r>
    </w:p>
    <w:p>
      <w:pPr>
        <w:spacing w:after="0" w:line="19" w:lineRule="exact"/>
        <w:rPr>
          <w:rFonts w:ascii="Arial" w:cs="Arial" w:eastAsia="Arial" w:hAnsi="Arial"/>
          <w:sz w:val="18"/>
          <w:szCs w:val="18"/>
          <w:color w:val="auto"/>
        </w:rPr>
      </w:pPr>
    </w:p>
    <w:p>
      <w:pPr>
        <w:ind w:left="640" w:right="80" w:hanging="321"/>
        <w:spacing w:after="0" w:line="25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Foreign currency changes</w:t>
      </w:r>
      <w:r>
        <w:rPr>
          <w:rFonts w:ascii="Arial" w:cs="Arial" w:eastAsia="Arial" w:hAnsi="Arial"/>
          <w:sz w:val="18"/>
          <w:szCs w:val="18"/>
          <w:color w:val="auto"/>
        </w:rPr>
        <w:t>—Our results of operations are significantly impacted by changes in foreign currency rates; namely, by movements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Australian dollar, Brazilian real, British pound, Canadian dollar, Czech koruna, Euro, Mexican peso, New Zealand dollar and Russian ruble, relative to the U.S. dollar. Approximately 63% and 73% of our revenue in the six months ended June 30, 2017 and 2016, respectively, was derived in U.S. dollars and was not affected by foreign currency exchange rates. See “Results of Operations” for information related to foreign currency impact on our total revenue, net.</w:t>
      </w:r>
    </w:p>
    <w:p>
      <w:pPr>
        <w:spacing w:after="0" w:line="26" w:lineRule="exact"/>
        <w:rPr>
          <w:rFonts w:ascii="Arial" w:cs="Arial" w:eastAsia="Arial" w:hAnsi="Arial"/>
          <w:sz w:val="18"/>
          <w:szCs w:val="18"/>
          <w:color w:val="auto"/>
        </w:rPr>
      </w:pPr>
    </w:p>
    <w:p>
      <w:pPr>
        <w:ind w:left="640" w:right="280" w:hanging="321"/>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Over the long term, we expect that our general and administrative expense will decrease as a percentage of revenue as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support our expected revenue growth, we plan to continue to incur additional sales and marketing expense by investing in our direct marketing, third-party agents, internet marketing, telemarketing and field sales force.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28, 2017, the Company signed a definitive agreement to acquire Cambridge Global Payments (“Cambridge”), a leading business to business (B2B) international payments provider, for approximately $690 million in cash. Cambridge processes B2B cross-border payments, assisting business clients in making international payments to suppliers and employees. The purpose of this acquisition is to further expand our corporate payments footprint. This acquisition is expected to be completed by September 1, 2017.</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2016, the Company completed acquisitions with an aggregate purchase price of $1.3 billion, net of cash acquired of $51.3 million, which includes deferred payments made during the period related to prior acquisitions of $6.1 million.</w:t>
      </w:r>
    </w:p>
    <w:p>
      <w:pPr>
        <w:spacing w:after="0" w:line="170" w:lineRule="exact"/>
        <w:rPr>
          <w:sz w:val="20"/>
          <w:szCs w:val="20"/>
          <w:color w:val="auto"/>
        </w:rPr>
      </w:pPr>
    </w:p>
    <w:p>
      <w:pPr>
        <w:ind w:left="660" w:right="4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August 2016, we acquired all of the outstanding stock of STP for approximately $1.23 billion, net of cash acquired of $40.2 million. STP is an electronic toll payments company in Brazil and provides cardless fuel payments at a number of Shell sites throughout Brazil. The purpose of this acquisition was to expand our presence in the toll market in Brazil. We financed the acquisition using a combination of existing cash and borrowings under our existing credit facility.</w:t>
      </w:r>
    </w:p>
    <w:p>
      <w:pPr>
        <w:spacing w:after="0" w:line="2"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2016, we acquired additional fuel card portfolios in the U.S. and the United Kingdom, additional Shell fuel card markets in Europe and Travelcard in the Netherlands totaling approximately $76.7 million, net of cash acquired of $11.1 million.</w:t>
      </w: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2016, we made additional investments of $7.9 million related to our equity method investment at Masternaut. We also received a $9.2 million return of our investment in Masternaut.</w:t>
      </w:r>
    </w:p>
    <w:p>
      <w:pPr>
        <w:spacing w:after="0" w:line="18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results of operations from the fuel card portfolio acquired in the U.S. are included within our North America segment, from the date of acquisition. The results of operations of STP, the fuel card portfolio in the United Kingdom, the additional Shell markets, the Travelcard business in the Netherlands and the small business in Brazil are included within our International segment, from the date of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Dispositions and Assets Held for Sale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SVS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On March 3, 2017, we signed a definitive agreement to contribute our Stored Value Solutions (SVS) prepaid card services and gift card program management assets into a venture with First Data’s core gift card business, Transactions Wireless, Inc. and Gyft, that will consolidate these various gift solutions to drive new value for clients. In July 2017, we decided to terminate the definitive agreement with First Data. The combination of the regulatory review and on-going conversations with SVS customers led us to reconsider our decision. As such, SVS is no longer classified as held for sale.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NexTraq</w:t>
      </w:r>
    </w:p>
    <w:p>
      <w:pPr>
        <w:spacing w:after="0" w:line="23"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On June 14, 2017, we signed a definitive agreement to sell NexTraq, U.S. fleet telematics business, to Michelin Group for approximately $320 million. This transaction closed on July 17, 2017. We expect to record a pre-tax gain on the disposal of NexTraq of approximately $155 million during the third quarter of 2017, which includes transaction closing costs. We have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preliminarily calculated taxes on the gain upon disposal of approximately $64 million. NexTraq has historically been included in the North America segment.</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compared to the three months ended June 30, 2016</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selected consolidated statement of income data for the three months ended June 30, 2017 and 2016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Three Months Ended</w:t>
            </w: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Three Months Ended</w:t>
            </w: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240" w:type="dxa"/>
            <w:vAlign w:val="bottom"/>
          </w:tcPr>
          <w:p>
            <w:pPr>
              <w:spacing w:after="0"/>
              <w:rPr>
                <w:sz w:val="17"/>
                <w:szCs w:val="17"/>
                <w:color w:val="auto"/>
              </w:rPr>
            </w:pPr>
          </w:p>
        </w:tc>
        <w:tc>
          <w:tcPr>
            <w:tcW w:w="1180" w:type="dxa"/>
            <w:vAlign w:val="bottom"/>
          </w:tcPr>
          <w:p>
            <w:pPr>
              <w:jc w:val="right"/>
              <w:ind w:right="331"/>
              <w:spacing w:after="0"/>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7"/>
        </w:trPr>
        <w:tc>
          <w:tcPr>
            <w:tcW w:w="232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6"/>
                <w:szCs w:val="16"/>
                <w:b w:val="1"/>
                <w:bCs w:val="1"/>
                <w:color w:val="auto"/>
                <w:w w:val="97"/>
              </w:rPr>
              <w:t>June 30, 2017</w:t>
            </w:r>
          </w:p>
        </w:tc>
        <w:tc>
          <w:tcPr>
            <w:tcW w:w="12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6"/>
                <w:szCs w:val="16"/>
                <w:b w:val="1"/>
                <w:bCs w:val="1"/>
                <w:color w:val="auto"/>
                <w:w w:val="97"/>
              </w:rPr>
              <w:t>June 30, 2016</w:t>
            </w:r>
          </w:p>
        </w:tc>
        <w:tc>
          <w:tcPr>
            <w:tcW w:w="12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Pr>
          <w:p>
            <w:pPr>
              <w:spacing w:after="0"/>
              <w:rPr>
                <w:sz w:val="20"/>
                <w:szCs w:val="20"/>
                <w:color w:val="auto"/>
              </w:rPr>
            </w:pPr>
          </w:p>
        </w:tc>
        <w:tc>
          <w:tcPr>
            <w:tcW w:w="118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(decrease)</w:t>
            </w:r>
          </w:p>
        </w:tc>
        <w:tc>
          <w:tcPr>
            <w:tcW w:w="100" w:type="dxa"/>
            <w:vAlign w:val="bottom"/>
          </w:tcPr>
          <w:p>
            <w:pPr>
              <w:spacing w:after="0"/>
              <w:rPr>
                <w:sz w:val="20"/>
                <w:szCs w:val="20"/>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rPr>
              <w:t>% Change</w:t>
            </w: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2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342,995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301,126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41,869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198,242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116,779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81,463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69.8 %</w:t>
            </w:r>
          </w:p>
        </w:tc>
      </w:tr>
      <w:tr>
        <w:trPr>
          <w:trHeight w:val="27"/>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541,237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417,905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123,332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29.5 %</w:t>
            </w:r>
          </w:p>
        </w:tc>
      </w:tr>
      <w:tr>
        <w:trPr>
          <w:trHeight w:val="229"/>
        </w:trPr>
        <w:tc>
          <w:tcPr>
            <w:tcW w:w="2320" w:type="dxa"/>
            <w:vAlign w:val="bottom"/>
          </w:tcPr>
          <w:p>
            <w:pPr>
              <w:ind w:left="40"/>
              <w:spacing w:after="0"/>
              <w:rPr>
                <w:sz w:val="20"/>
                <w:szCs w:val="20"/>
                <w:color w:val="auto"/>
              </w:rPr>
            </w:pPr>
            <w:r>
              <w:rPr>
                <w:rFonts w:ascii="Arial" w:cs="Arial" w:eastAsia="Arial" w:hAnsi="Arial"/>
                <w:sz w:val="18"/>
                <w:szCs w:val="18"/>
                <w:color w:val="auto"/>
              </w:rPr>
              <w:t>Consolidated operating</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30,619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22,308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8,311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103,322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80,691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22,631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28.0 %</w:t>
            </w: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38,957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31,947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7,010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87,569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63,586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23,983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37.7 %</w:t>
            </w: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64,709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48,436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16,273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Other operating, net</w:t>
            </w:r>
          </w:p>
        </w:tc>
        <w:tc>
          <w:tcPr>
            <w:tcW w:w="2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249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107.8 %</w:t>
            </w:r>
          </w:p>
        </w:tc>
      </w:tr>
      <w:tr>
        <w:trPr>
          <w:trHeight w:val="27"/>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216,043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171,168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44,875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26.2 %</w:t>
            </w:r>
          </w:p>
        </w:tc>
      </w:tr>
      <w:tr>
        <w:trPr>
          <w:trHeight w:val="209"/>
        </w:trPr>
        <w:tc>
          <w:tcPr>
            <w:tcW w:w="2320" w:type="dxa"/>
            <w:vAlign w:val="bottom"/>
          </w:tcPr>
          <w:p>
            <w:pPr>
              <w:ind w:left="40"/>
              <w:spacing w:after="0"/>
              <w:rPr>
                <w:sz w:val="20"/>
                <w:szCs w:val="20"/>
                <w:color w:val="auto"/>
              </w:rPr>
            </w:pPr>
            <w:r>
              <w:rPr>
                <w:rFonts w:ascii="Arial" w:cs="Arial" w:eastAsia="Arial" w:hAnsi="Arial"/>
                <w:sz w:val="18"/>
                <w:szCs w:val="18"/>
                <w:color w:val="auto"/>
              </w:rPr>
              <w:t>Equity method investment</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loss (income)</w:t>
            </w:r>
          </w:p>
        </w:tc>
        <w:tc>
          <w:tcPr>
            <w:tcW w:w="22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2,354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(7,184)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9,538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(132.8)%</w:t>
            </w: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(629.8)%</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23,851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15,900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7,951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59,402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46,095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13,307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28.9 %</w:t>
            </w:r>
          </w:p>
        </w:tc>
      </w:tr>
      <w:tr>
        <w:trPr>
          <w:trHeight w:val="237"/>
        </w:trPr>
        <w:tc>
          <w:tcPr>
            <w:tcW w:w="2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130,987</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116,253</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14,734</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r>
      <w:tr>
        <w:trPr>
          <w:trHeight w:val="67"/>
        </w:trPr>
        <w:tc>
          <w:tcPr>
            <w:tcW w:w="2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182"/>
        </w:trPr>
        <w:tc>
          <w:tcPr>
            <w:tcW w:w="23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Operating income for</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7"/>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134,926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117,611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17,315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81,117</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53,557</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27,560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51.5 %</w:t>
            </w:r>
          </w:p>
        </w:tc>
      </w:tr>
      <w:tr>
        <w:trPr>
          <w:trHeight w:val="297"/>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216,043</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171,168</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44,875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26.2 %</w:t>
            </w:r>
          </w:p>
        </w:tc>
      </w:tr>
      <w:tr>
        <w:trPr>
          <w:trHeight w:val="189"/>
        </w:trPr>
        <w:tc>
          <w:tcPr>
            <w:tcW w:w="23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Operating margin for</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7"/>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revenues increased from $417.9 million in the three months ended June 30, 2016 to $541.2 million in the three months ended June 30, 2017, an increase of $123.3 million, or 29.5%. The increase in our consolidated revenue was primarily due to:</w:t>
      </w:r>
    </w:p>
    <w:p>
      <w:pPr>
        <w:spacing w:after="0" w:line="170"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acquisitions during 2016, which contributed approximately $61 million in additional revenue.</w:t>
      </w:r>
    </w:p>
    <w:p>
      <w:pPr>
        <w:spacing w:after="0" w:line="23" w:lineRule="exact"/>
        <w:rPr>
          <w:rFonts w:ascii="Arial" w:cs="Arial" w:eastAsia="Arial" w:hAnsi="Arial"/>
          <w:sz w:val="18"/>
          <w:szCs w:val="18"/>
          <w:color w:val="auto"/>
        </w:rPr>
      </w:pPr>
    </w:p>
    <w:p>
      <w:pPr>
        <w:ind w:left="540" w:right="220" w:hanging="316"/>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Organic growth of approximately 9% on a constant fuel price, fuel spread margin, foreign currency and pro forma basis, driven by increases in both volume and revenue per transaction in certain of our payment programs.</w:t>
      </w:r>
    </w:p>
    <w:p>
      <w:pPr>
        <w:ind w:left="540" w:right="180" w:hanging="316"/>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positive impact of macroeconomic environment. Although we cannot precisely measure the impact of the macroeconomic environment, in total we believe it had a favorable impact on our consolidated revenue for the three months ended June 30, 2017 over the comparable period in 2016 of approximately $15 million. We believe the impact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540" w:right="180"/>
        <w:spacing w:after="0" w:line="364" w:lineRule="auto"/>
        <w:rPr>
          <w:sz w:val="20"/>
          <w:szCs w:val="20"/>
          <w:color w:val="auto"/>
        </w:rPr>
      </w:pPr>
      <w:r>
        <w:rPr>
          <w:rFonts w:ascii="Arial" w:cs="Arial" w:eastAsia="Arial" w:hAnsi="Arial"/>
          <w:sz w:val="16"/>
          <w:szCs w:val="16"/>
          <w:color w:val="auto"/>
        </w:rPr>
        <w:t>of favorable fuel prices, and higher fuel spread margins primarily in the U.S. had a favorable impact on consolidated revenues of approximately $20 million. Conversely, changes in foreign exchange rates had an unfavorable impact on consolidated revenues of approximately $5 million due to unfavorable fluctuations in rates primarily in the United Kingdom and Europe in the three months ended June 30, 2017 compared to 2016.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North America revenues increased from $301.1 million in the three months ended June 30, 2016 to $343.0 million in the three months ended June 30, 2017, an increase of $41.9 million, or 13.9%. The increase in our North America segment revenue was primarily due to:</w:t>
      </w:r>
    </w:p>
    <w:p>
      <w:pPr>
        <w:spacing w:after="0" w:line="170" w:lineRule="exact"/>
        <w:rPr>
          <w:sz w:val="20"/>
          <w:szCs w:val="20"/>
          <w:color w:val="auto"/>
        </w:rPr>
      </w:pPr>
    </w:p>
    <w:p>
      <w:pPr>
        <w:ind w:left="540" w:right="560" w:hanging="316"/>
        <w:spacing w:after="0" w:line="25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growth of approximately 8%, on a constant fuel price, fuel spread margin and pro forma basis, driven by increases in both volume and revenue per transaction in certain of our payment programs.</w:t>
      </w:r>
    </w:p>
    <w:p>
      <w:pPr>
        <w:spacing w:after="0" w:line="1" w:lineRule="exact"/>
        <w:rPr>
          <w:rFonts w:ascii="Arial" w:cs="Arial" w:eastAsia="Arial" w:hAnsi="Arial"/>
          <w:sz w:val="18"/>
          <w:szCs w:val="18"/>
          <w:color w:val="auto"/>
        </w:rPr>
      </w:pPr>
    </w:p>
    <w:p>
      <w:pPr>
        <w:jc w:val="both"/>
        <w:ind w:left="540" w:right="160" w:hanging="316"/>
        <w:spacing w:after="0" w:line="277"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positive impact of macroeconomic environment. Although we cannot precisely measure the impact of the macroeconomic environment, in total we believe it had a positive impact on our North America segment revenue in three months ended June 30, 2017 over the comparable period in 2016 of approximately $19 million, primarily due to the impact of favorable fuel prices and higher fuel spread margins.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International segment revenues increased from $116.8 million in the three months ended June 30, 2016 to $198.2 million in the three months ended June 30, 2017, an increase of $81.5 million, or 69.8%. The increase in our International segment revenue was primarily due to:</w:t>
      </w:r>
    </w:p>
    <w:p>
      <w:pPr>
        <w:spacing w:after="0" w:line="76"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acquisitions during 2016 which contributed approximately $61 million in additional revenue.</w:t>
      </w:r>
    </w:p>
    <w:p>
      <w:pPr>
        <w:spacing w:after="0" w:line="23" w:lineRule="exact"/>
        <w:rPr>
          <w:rFonts w:ascii="Arial" w:cs="Arial" w:eastAsia="Arial" w:hAnsi="Arial"/>
          <w:sz w:val="18"/>
          <w:szCs w:val="18"/>
          <w:color w:val="auto"/>
        </w:rPr>
      </w:pPr>
    </w:p>
    <w:p>
      <w:pPr>
        <w:ind w:left="640" w:right="500" w:hanging="321"/>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growth of approximately 10% on a constant macroeconomic and pro forma basis, driven by increases in both volume and revenue per transaction in certain of our payment programs.</w:t>
      </w:r>
    </w:p>
    <w:p>
      <w:pPr>
        <w:ind w:left="640" w:hanging="321"/>
        <w:spacing w:after="0" w:line="271"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Partially offsetting this growth was the negative impact of the macroeconomic environment. Although we cannot precisely measure the impact of the macroeconomic environment, in total we believe it had a negative impact on our International segment revenue for the three months ended June 30, 2017 over the comparable period in 2016 of approximately $4 million. We believe the changes in foreign exchange rates had an unfavorable impact on consolidated revenues of approximately $5 million due to unfavorable fluctuations in foreign exchange rates primarily in the United Kingdom and Europe, partially offset by the favorable impact of changes in fuel price of approximately $1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 xml:space="preserve">Merchant commissions. </w:t>
      </w:r>
      <w:r>
        <w:rPr>
          <w:rFonts w:ascii="Arial" w:cs="Arial" w:eastAsia="Arial" w:hAnsi="Arial"/>
          <w:sz w:val="17"/>
          <w:szCs w:val="17"/>
          <w:color w:val="auto"/>
        </w:rPr>
        <w:t>Merchant commissions increased from $22.3 million in the three months ended June 30, 2016 to $30.6 million in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2017, an increase of $8.3 million, or 37.3%. This increase was primarily due to the fluctuation of the margin between the wholesale cost and retail price of fuel, as well as the impact of higher volume in certain revenue streams where merchant commissions are paid.</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Processing. </w:t>
      </w:r>
      <w:r>
        <w:rPr>
          <w:rFonts w:ascii="Arial" w:cs="Arial" w:eastAsia="Arial" w:hAnsi="Arial"/>
          <w:sz w:val="18"/>
          <w:szCs w:val="18"/>
          <w:color w:val="auto"/>
        </w:rPr>
        <w:t>Processing expenses increased from $80.7 million in the three months ended June 30, 2016 to $103.3 million in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 increase of $22.6 million, or 28.0%. Increases in processing expenses were primarily due to expenses related to acquisitions completed in the third quarter of 2016 of approximately $19 million, inclusive of incremental bad debt expense of $8 million, and lower negotiated vendor processing costs. The increase in bad debt was primarily due to bad debt inherent in the acquired STP business, the addition of new Euro Shell locations and normal quarterly fluctuations of certain businesses.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Selling. </w:t>
      </w:r>
      <w:r>
        <w:rPr>
          <w:rFonts w:ascii="Arial" w:cs="Arial" w:eastAsia="Arial" w:hAnsi="Arial"/>
          <w:sz w:val="18"/>
          <w:szCs w:val="18"/>
          <w:color w:val="auto"/>
        </w:rPr>
        <w:t>Selling expenses increased from $31.9 million in the three months ended June 30, 2016 to $39.0 million in the three months ended June 30, 2017,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$7.0 million, or 21.9%. Increases in spending were primarily due to ongoing expenses related to acquisitions completed in the third quarter of 2016 of approximately $6 million, as well as increases in spending and investment in existing portfolios.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increased from $63.6 million in the three months ended June 30, 2016 to $87.6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2017, an increase of $24.0 million, or 37.7%. The increase was primarily due to ongoing expenses related to acquisitions completed in the third quarter of 2016 of approximately $11 million, increased stock based compensation expense of approximately $4 million and increases in other professional fees of approximately $3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from $48.4 million in the three months ended June 30, 2016 to $64.7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2017, an increase of $16.3 million, or 33.6%. The increase was primarily due to amortization of intangible assets related to acquisitions of STP and Travelcard completed in the third quarter of 2016.</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Equity method investment loss (income). </w:t>
      </w:r>
      <w:r>
        <w:rPr>
          <w:rFonts w:ascii="Arial" w:cs="Arial" w:eastAsia="Arial" w:hAnsi="Arial"/>
          <w:sz w:val="18"/>
          <w:szCs w:val="18"/>
          <w:color w:val="auto"/>
        </w:rPr>
        <w:t>Equity method investment loss was $2.4 million in the three months ended June 30, 2017, compared to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$7.2 million in the three months ended June 30, 2016 due primarily to a non-recurring net recovery of purchase price of approximately $11 million during the second quarter of 2016.</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increased from $15.9 million in the three months ended June 30, 2016 to $23.9 million in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2017, an increase of $8.0 million, or 50.0%. The increase in interest expense is primarily due to the impact of additional borrowings to finance the acquisitions of STP and Travelcard completed during the third quarter of 2016 and increases in LIBOR. The following table sets forth the average interest rates paid on borrowings under our Credit Facility, excluding the related unused credit facility fees.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78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7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average unused credit facility fee for Domestic Revolver A was 0.35% and 0.30% in the three month period ending June 30, 2017 and 2016, respectively.</w:t>
      </w:r>
    </w:p>
    <w:p>
      <w:pPr>
        <w:spacing w:after="0" w:line="35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increased from $46.1 million in the three months ended June 30, 2016 to $59.4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2017, an increase of $13.3 million, or 28.9%. We provide for income taxes during interim periods based on an estimate of our effective tax rate for the year. Discrete items and changes in the estimate of the annual tax rate are recorded in the period they occur. Our effective tax rate increased from 28.4% for three months ended June 30, 2016 to 31.2% for the three months ended June 30, 2017. The increase in the effective tax rate was due primarily to a decrease in the excess tax benefits on share based compensation during the three months ended June 30, 2017 as compared to 2016 and a one-time nonrecurring net gain recorded in the three months ended June 30, 2016 by our equity method investment, which favorably impacted pre-tax earnings but was not subject to U.S.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pay taxes in many different taxing jurisdictions, including the U.S., most U.S. states and many non-U.S. jurisdictions. The tax rates in certain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taxing jurisdictions are lower than the U.S. tax rate. Consequently, as our earnings fluctuate between taxing jurisdictions, our effective tax rate fluctuates.</w:t>
      </w:r>
    </w:p>
    <w:p>
      <w:pPr>
        <w:spacing w:after="0" w:line="3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from $116.3 million in the three months ended June 30, 2016 to $131.0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2017, an increase of $14.7 million, or 12.7%.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Consolidated operating income. </w:t>
      </w:r>
      <w:r>
        <w:rPr>
          <w:rFonts w:ascii="Arial" w:cs="Arial" w:eastAsia="Arial" w:hAnsi="Arial"/>
          <w:sz w:val="18"/>
          <w:szCs w:val="18"/>
          <w:color w:val="auto"/>
        </w:rPr>
        <w:t>Operating income increased from $171.2 million in the three months ended June 30, 2016 to $216.0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 increase of $44.9 million, or 26.2%. Our operating margin was 41.0% and 39.9% for the three months ended June 30, 2016 and 2017, respectively. The increase in operating income was primarily due to acquisitions completed in the third quarter of 2016 and organic growth, as well as the positive impact of the macroeconomic environment of approximately $8 million, driven by favorable fuel prices and higher fuel spread margins. The lower operating margin was driven by the negative impact of higher amortization and depreciation expense related to acquisitions of STP and Travelcard completed in the third quarter of 2016, additional bad debt expense of $8 million, due to bad debt inherent in the acquired STP business, and additional stock based compensation of approximately $4 million.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North America segment operating income. </w:t>
      </w:r>
      <w:r>
        <w:rPr>
          <w:rFonts w:ascii="Arial" w:cs="Arial" w:eastAsia="Arial" w:hAnsi="Arial"/>
          <w:sz w:val="16"/>
          <w:szCs w:val="16"/>
          <w:color w:val="auto"/>
        </w:rPr>
        <w:t>North America operating income increased from $117.6 million in the three months ended June 30, 2016 to</w:t>
      </w:r>
    </w:p>
    <w:p>
      <w:pPr>
        <w:spacing w:after="0" w:line="46"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$134.9 million in the three months ended June 30, 2017, an increase of $17.3 million, or 14.7%. North America operating margin was relatively constant at 39.1% and 39.3% for the three months ended June 30, 2016 and 2017, respectively. The increase in operating income was due primarily to organic growth and the positive impact of the macroeconomic environment of approximately $12 million, driven by favorable fuel prices and higher fuel spread margins. These increases were partially offset by additional stock based compensation of approximately $2 million abd bad debt expense of $2 million.</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International segment operating income. </w:t>
      </w:r>
      <w:r>
        <w:rPr>
          <w:rFonts w:ascii="Arial" w:cs="Arial" w:eastAsia="Arial" w:hAnsi="Arial"/>
          <w:sz w:val="18"/>
          <w:szCs w:val="18"/>
          <w:color w:val="auto"/>
        </w:rPr>
        <w:t>International operating income increased from $53.6 million in the three months ended June 30, 2016 to $81.1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June 30, 2017, an increase of $27.6 million, or 51.5%. International operating margin was 45.9% and 40.9% for the three months ended June 30, 2016 and 2017, respectively. The increase in operating income was due primarily to the impact of acquisitions completed in the third quarter of 2016 and organic growth, partially offset by the negative impact of the macroeconomic environment of approximately $4 million, driven primarily by changes in foreign exchange rates, as well as higher stock based compensation of approximately $2 million. The lower operating margin was driven by the negative impact of higher amortization and depreciation expense related to acquisitions of STP and Travelcard completed in the third quarter of 2016, additional bad debt expense of $6 million, due to bad debt inherent in the acquired STP business, and additional stock based compensation expense of approximately $2 million.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to the six months ended June 30,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consolidated statement of income data for the six months ended June 30, 2017 and 2016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71"/>
              <w:spacing w:after="0"/>
              <w:rPr>
                <w:sz w:val="20"/>
                <w:szCs w:val="20"/>
                <w:color w:val="auto"/>
              </w:rPr>
            </w:pPr>
            <w:r>
              <w:rPr>
                <w:rFonts w:ascii="Arial" w:cs="Arial" w:eastAsia="Arial" w:hAnsi="Arial"/>
                <w:sz w:val="16"/>
                <w:szCs w:val="16"/>
                <w:b w:val="1"/>
                <w:bCs w:val="1"/>
                <w:color w:val="auto"/>
                <w:w w:val="92"/>
              </w:rPr>
              <w:t>Six Months Ended</w:t>
            </w:r>
          </w:p>
        </w:tc>
        <w:tc>
          <w:tcPr>
            <w:tcW w:w="1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140" w:type="dxa"/>
            <w:vAlign w:val="bottom"/>
          </w:tcPr>
          <w:p>
            <w:pPr>
              <w:spacing w:after="0"/>
              <w:rPr>
                <w:sz w:val="17"/>
                <w:szCs w:val="17"/>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Six Months Ended</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total</w:t>
            </w:r>
          </w:p>
        </w:tc>
        <w:tc>
          <w:tcPr>
            <w:tcW w:w="240" w:type="dxa"/>
            <w:vAlign w:val="bottom"/>
          </w:tcPr>
          <w:p>
            <w:pPr>
              <w:spacing w:after="0"/>
              <w:rPr>
                <w:sz w:val="17"/>
                <w:szCs w:val="17"/>
                <w:color w:val="auto"/>
              </w:rPr>
            </w:pPr>
          </w:p>
        </w:tc>
        <w:tc>
          <w:tcPr>
            <w:tcW w:w="1180" w:type="dxa"/>
            <w:vAlign w:val="bottom"/>
          </w:tcPr>
          <w:p>
            <w:pPr>
              <w:jc w:val="right"/>
              <w:ind w:right="331"/>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7"/>
        </w:trPr>
        <w:tc>
          <w:tcPr>
            <w:tcW w:w="232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0"/>
                <w:szCs w:val="20"/>
                <w:color w:val="auto"/>
              </w:rPr>
            </w:pPr>
          </w:p>
        </w:tc>
        <w:tc>
          <w:tcPr>
            <w:tcW w:w="1460" w:type="dxa"/>
            <w:vAlign w:val="bottom"/>
          </w:tcPr>
          <w:p>
            <w:pPr>
              <w:jc w:val="right"/>
              <w:ind w:right="2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Pr>
          <w:p>
            <w:pPr>
              <w:spacing w:after="0"/>
              <w:rPr>
                <w:sz w:val="20"/>
                <w:szCs w:val="20"/>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June 30, 2016</w:t>
            </w: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Pr>
          <w:p>
            <w:pPr>
              <w:spacing w:after="0"/>
              <w:rPr>
                <w:sz w:val="20"/>
                <w:szCs w:val="20"/>
                <w:color w:val="auto"/>
              </w:rPr>
            </w:pPr>
          </w:p>
        </w:tc>
        <w:tc>
          <w:tcPr>
            <w:tcW w:w="118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(decrease)</w:t>
            </w:r>
          </w:p>
        </w:tc>
        <w:tc>
          <w:tcPr>
            <w:tcW w:w="120" w:type="dxa"/>
            <w:vAlign w:val="bottom"/>
          </w:tcPr>
          <w:p>
            <w:pPr>
              <w:spacing w:after="0"/>
              <w:rPr>
                <w:sz w:val="20"/>
                <w:szCs w:val="20"/>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rPr>
              <w:t>% Change</w:t>
            </w: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2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672,943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604,674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68,269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388,727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227,493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161,234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70.9 %</w:t>
            </w:r>
          </w:p>
        </w:tc>
      </w:tr>
      <w:tr>
        <w:trPr>
          <w:trHeight w:val="27"/>
        </w:trPr>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1,061,670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832,167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229,503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27.6 %</w:t>
            </w:r>
          </w:p>
        </w:tc>
      </w:tr>
      <w:tr>
        <w:trPr>
          <w:trHeight w:val="229"/>
        </w:trPr>
        <w:tc>
          <w:tcPr>
            <w:tcW w:w="2320" w:type="dxa"/>
            <w:vAlign w:val="bottom"/>
          </w:tcPr>
          <w:p>
            <w:pPr>
              <w:ind w:left="40"/>
              <w:spacing w:after="0"/>
              <w:rPr>
                <w:sz w:val="20"/>
                <w:szCs w:val="20"/>
                <w:color w:val="auto"/>
              </w:rPr>
            </w:pPr>
            <w:r>
              <w:rPr>
                <w:rFonts w:ascii="Arial" w:cs="Arial" w:eastAsia="Arial" w:hAnsi="Arial"/>
                <w:sz w:val="18"/>
                <w:szCs w:val="18"/>
                <w:color w:val="auto"/>
              </w:rPr>
              <w:t>Consolidated operating</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55,003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50,541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4,462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205,146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160,505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44,641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27.8 %</w:t>
            </w:r>
          </w:p>
        </w:tc>
      </w:tr>
      <w:tr>
        <w:trPr>
          <w:trHeight w:val="27"/>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77,794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19,294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183,003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131,180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51,823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39.5 %</w:t>
            </w:r>
          </w:p>
        </w:tc>
      </w:tr>
      <w:tr>
        <w:trPr>
          <w:trHeight w:val="27"/>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129,575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84,764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44,811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Other operating, net</w:t>
            </w: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(446)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484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108.5 %</w:t>
            </w:r>
          </w:p>
        </w:tc>
      </w:tr>
      <w:tr>
        <w:trPr>
          <w:trHeight w:val="27"/>
        </w:trPr>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411,111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347,123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63,988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09"/>
        </w:trPr>
        <w:tc>
          <w:tcPr>
            <w:tcW w:w="2320" w:type="dxa"/>
            <w:vAlign w:val="bottom"/>
          </w:tcPr>
          <w:p>
            <w:pPr>
              <w:ind w:left="40"/>
              <w:spacing w:after="0"/>
              <w:rPr>
                <w:sz w:val="20"/>
                <w:szCs w:val="20"/>
                <w:color w:val="auto"/>
              </w:rPr>
            </w:pPr>
            <w:r>
              <w:rPr>
                <w:rFonts w:ascii="Arial" w:cs="Arial" w:eastAsia="Arial" w:hAnsi="Arial"/>
                <w:sz w:val="18"/>
                <w:szCs w:val="18"/>
                <w:color w:val="auto"/>
              </w:rPr>
              <w:t>Equity method investment</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loss (income)</w:t>
            </w:r>
          </w:p>
        </w:tc>
        <w:tc>
          <w:tcPr>
            <w:tcW w:w="140" w:type="dxa"/>
            <w:vAlign w:val="bottom"/>
          </w:tcPr>
          <w:p>
            <w:pPr>
              <w:spacing w:after="0"/>
              <w:rPr>
                <w:sz w:val="20"/>
                <w:szCs w:val="20"/>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4,731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(4,991)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9,722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(194.8)%</w:t>
            </w:r>
          </w:p>
        </w:tc>
      </w:tr>
      <w:tr>
        <w:trPr>
          <w:trHeight w:val="27"/>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1,645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882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115.6 %</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46,978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32,091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14,887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46.4 %</w:t>
            </w:r>
          </w:p>
        </w:tc>
      </w:tr>
      <w:tr>
        <w:trPr>
          <w:trHeight w:val="27"/>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103,077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91,917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11,160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37"/>
        </w:trPr>
        <w:tc>
          <w:tcPr>
            <w:tcW w:w="2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254,680</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227,343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27,337</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12.0 %</w:t>
            </w:r>
          </w:p>
        </w:tc>
      </w:tr>
      <w:tr>
        <w:trPr>
          <w:trHeight w:val="67"/>
        </w:trPr>
        <w:tc>
          <w:tcPr>
            <w:tcW w:w="23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182"/>
        </w:trPr>
        <w:tc>
          <w:tcPr>
            <w:tcW w:w="23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Operating income for</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7"/>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1"/>
              <w:spacing w:after="0"/>
              <w:rPr>
                <w:sz w:val="20"/>
                <w:szCs w:val="20"/>
                <w:color w:val="auto"/>
              </w:rPr>
            </w:pPr>
            <w:r>
              <w:rPr>
                <w:rFonts w:ascii="Arial" w:cs="Arial" w:eastAsia="Arial" w:hAnsi="Arial"/>
                <w:sz w:val="18"/>
                <w:szCs w:val="18"/>
                <w:color w:val="auto"/>
              </w:rPr>
              <w:t>255,898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231,461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24,437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10.6 %</w:t>
            </w:r>
          </w:p>
        </w:tc>
      </w:tr>
      <w:tr>
        <w:trPr>
          <w:trHeight w:val="27"/>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155,213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115,662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39,551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97"/>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411,111</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347,123</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63,988</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18.4 %</w:t>
            </w:r>
          </w:p>
        </w:tc>
      </w:tr>
      <w:tr>
        <w:trPr>
          <w:trHeight w:val="189"/>
        </w:trPr>
        <w:tc>
          <w:tcPr>
            <w:tcW w:w="23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Operating margin for</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7"/>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consolidated revenues increased from $832.2 million in the six months ended June 30, 2016 to $1,061.7 million in the six months ended June 30, 2017, an increase of $229.5 million, or 27.6%. The increase in our consolidated revenue was primarily due to:</w:t>
      </w:r>
    </w:p>
    <w:p>
      <w:pPr>
        <w:spacing w:after="0" w:line="170"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acquisitions during 2016, which contributed approximately $117 million in additional revenue.</w:t>
      </w:r>
    </w:p>
    <w:p>
      <w:pPr>
        <w:spacing w:after="0" w:line="23" w:lineRule="exact"/>
        <w:rPr>
          <w:rFonts w:ascii="Arial" w:cs="Arial" w:eastAsia="Arial" w:hAnsi="Arial"/>
          <w:sz w:val="18"/>
          <w:szCs w:val="18"/>
          <w:color w:val="auto"/>
        </w:rPr>
      </w:pPr>
    </w:p>
    <w:p>
      <w:pPr>
        <w:ind w:left="540" w:right="22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Organic growth of approximately 9% on a constant fuel price, fuel spread margin, foreign currency and pro forma basis, driven by increases in both volume and revenue per transaction in certain of our payment programs.</w:t>
      </w:r>
    </w:p>
    <w:p>
      <w:pPr>
        <w:ind w:left="540" w:right="180" w:hanging="316"/>
        <w:spacing w:after="0" w:line="25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positive impact of macroeconomic environment. Although we cannot precisely measure the impact of the macroeconomic environment, in total we believe it had a positive impact on our consolidated revenue for the six months ended June 30, 2017 over the comparable period in 2016 of approximately $13 million. We believe the favorable impact of changes in fuel prices and higher fuel spread margins, primarily in the U.S., had a favorable impact on consolidated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540" w:right="60"/>
        <w:spacing w:after="0" w:line="311" w:lineRule="auto"/>
        <w:rPr>
          <w:sz w:val="20"/>
          <w:szCs w:val="20"/>
          <w:color w:val="auto"/>
        </w:rPr>
      </w:pPr>
      <w:r>
        <w:rPr>
          <w:rFonts w:ascii="Arial" w:cs="Arial" w:eastAsia="Arial" w:hAnsi="Arial"/>
          <w:sz w:val="18"/>
          <w:szCs w:val="18"/>
          <w:color w:val="auto"/>
        </w:rPr>
        <w:t>revenues of approximately $23 million. Conversely, changes in foreign exchange rates had an unfavorable impact on consolidated revenues of approximately $9 million due to unfavorable fluctuations in rates primarily in the United Kingdom and Europe in the six months ended June 30, 2017 compared to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North America revenues increased from $604.7 million in the six months ended June 30, 2016 to $672.9 million in the six months ended June 30, 2017, an increase of $68.3 million, or 11.3%. The increase in our North America segment revenue was primarily due to:</w:t>
      </w:r>
    </w:p>
    <w:p>
      <w:pPr>
        <w:spacing w:after="0" w:line="170" w:lineRule="exact"/>
        <w:rPr>
          <w:sz w:val="20"/>
          <w:szCs w:val="20"/>
          <w:color w:val="auto"/>
        </w:rPr>
      </w:pPr>
    </w:p>
    <w:p>
      <w:pPr>
        <w:ind w:left="540" w:right="560" w:hanging="316"/>
        <w:spacing w:after="0" w:line="25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Organic growth of approximately 9%, on a constant fuel price, fuel spread margin and pro forma basis, driven by increases in both volume and revenue per transaction in certain of our payment programs.</w:t>
      </w:r>
    </w:p>
    <w:p>
      <w:pPr>
        <w:spacing w:after="0" w:line="1"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positive impact of macroeconomic environment. Although we cannot precisely measure the impact of the macroeconomic environment, in total we believe it had a positive impact on our North America segment revenue in six months ended June 30, 2017 over the comparable period in 2016 of approximately $21 million, primarily due to the favorable impact of changes in fuel prices and higher fuel spread margins.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International segment revenues increased from $227.5 million in the six months ended June 30, 2016 to $388.7 million in the six months ended June 30, 2017, an increase of $161.2 million, or 70.9%. The increase in our International segment revenue was primarily due to:</w:t>
      </w:r>
    </w:p>
    <w:p>
      <w:pPr>
        <w:spacing w:after="0" w:line="76" w:lineRule="exact"/>
        <w:rPr>
          <w:sz w:val="20"/>
          <w:szCs w:val="20"/>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acquisitions during 2016 which contributed approximately $117 million in additional revenue.</w:t>
      </w:r>
    </w:p>
    <w:p>
      <w:pPr>
        <w:spacing w:after="0" w:line="23" w:lineRule="exact"/>
        <w:rPr>
          <w:rFonts w:ascii="Arial" w:cs="Arial" w:eastAsia="Arial" w:hAnsi="Arial"/>
          <w:sz w:val="18"/>
          <w:szCs w:val="18"/>
          <w:color w:val="auto"/>
        </w:rPr>
      </w:pPr>
    </w:p>
    <w:p>
      <w:pPr>
        <w:ind w:left="640" w:right="600" w:hanging="321"/>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Organic growth of approximately 9% on a constant macroeconomic and pro forma basis, driven by increases in both volume and revenue per transaction in certain of our payment programs.</w:t>
      </w:r>
    </w:p>
    <w:p>
      <w:pPr>
        <w:ind w:left="640" w:right="20" w:hanging="321"/>
        <w:spacing w:after="0" w:line="25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Partially offsetting this growth was the negative impact of the macroeconomic environment. Although we cannot precisely measure the impact of the macroeconomic environment, in total we believe it had a negative impact on our International segment revenue for the six months ended June 30, 2017 over the comparable period in 2016 of approximately $9 million, primarily due to unfavorable fluctuations in foreign exchange rates primarily in the United Kingdom and Europe.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Merchant commissions. </w:t>
      </w:r>
      <w:r>
        <w:rPr>
          <w:rFonts w:ascii="Arial" w:cs="Arial" w:eastAsia="Arial" w:hAnsi="Arial"/>
          <w:sz w:val="17"/>
          <w:szCs w:val="17"/>
          <w:color w:val="auto"/>
        </w:rPr>
        <w:t>Merchant commissions increased from $50.5 million in the six months ended June 30, 2016 to $55.0 million in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2017, an increase of $4.5 million, or 8.8%. This increase was primarily due to the fluctuation of the margin between the wholesale cost and retail price of fuel, as well as the impact of higher volume in certain revenue streams where merchant commissions are paid.</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Processing. </w:t>
      </w:r>
      <w:r>
        <w:rPr>
          <w:rFonts w:ascii="Arial" w:cs="Arial" w:eastAsia="Arial" w:hAnsi="Arial"/>
          <w:sz w:val="18"/>
          <w:szCs w:val="18"/>
          <w:color w:val="auto"/>
        </w:rPr>
        <w:t>Processing expenses increased from $160.5 million in the six months ended June 30, 2016 to $205.1 million in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 increase of $44.6 million, or 27.8%. Increases in processing expenses were primarily due to expenses related to acquisitions completed in the third quarter of 2016 of approximately $36 million, inclusive of incremental bad debt expense of $14 million, offset by the impact of lower negotiated vendor processing costs. The increase in bad debt was primarily due to bad debt inherent in the acquired STP business, the addition of new Euro Shell locations and normal quarterly fluctuations of certain businesses.</w:t>
      </w:r>
    </w:p>
    <w:p>
      <w:pPr>
        <w:spacing w:after="0" w:line="18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 xml:space="preserve">Selling. </w:t>
      </w:r>
      <w:r>
        <w:rPr>
          <w:rFonts w:ascii="Arial" w:cs="Arial" w:eastAsia="Arial" w:hAnsi="Arial"/>
          <w:sz w:val="17"/>
          <w:szCs w:val="17"/>
          <w:color w:val="auto"/>
        </w:rPr>
        <w:t>Selling expenses increased from $58.5 million in the six months ended June 30, 2016 to $77.8 million in the six months ended June 30, 2017,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$19.3 million, or 33.0%. Increases in spending were primarily due to ongoing expenses related to acquisitions completed in the third quarter of 2016 of approximately $12 million, as well as increases in spending and investment in existing portfolios.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increased from $131.2 million in the six months ended June 30, 2016 to $183.0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2017, an increase of $51.8 million, or 39.5%. The increase was primarily due to ongoing expenses related to acquisitions completed in the third quarter of 2016 of approximately $21 million, increased stock based compensation expense of approximately $12 million and increases in other professional fees of approximately $9 million.</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from $84.8 million in the six months ended June 30, 2016 to $129.6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2017, an increase of $44.8 million, or 52.9%. The increase was primarily due to amortization of intangible assets related to acquisitions of STP and Travelcard completed in the third quarter of 2016.</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Equity method investment loss (income). </w:t>
      </w:r>
      <w:r>
        <w:rPr>
          <w:rFonts w:ascii="Arial" w:cs="Arial" w:eastAsia="Arial" w:hAnsi="Arial"/>
          <w:sz w:val="18"/>
          <w:szCs w:val="18"/>
          <w:color w:val="auto"/>
        </w:rPr>
        <w:t>Equity method investment loss was $4.7 million in the six months ended June 30, 2017, compared to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income of $5.0 million in the six months ended June 30, 2016 due primarily to a non-recurring net recovery of purchase price of approximately $11 million during the second quarter of 2016.</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increased from $32.1 million in the six months ended June 30, 2016 to $47.0 million in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an increase of $14.9 million, or 46.4%. The increase in interest expense is primarily due to the impact of additional borrowings to finance the acquisitions of STP and Travelcard completed during the third quarter of 2016 and increases in LIBOR. The following table sets forth the average interest rates paid on borrowings under our Credit Facility, excluding the related unused credit facility fees.</w:t>
      </w:r>
    </w:p>
    <w:p>
      <w:pPr>
        <w:spacing w:after="0" w:line="177"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820" w:type="dxa"/>
            <w:vAlign w:val="bottom"/>
            <w:tcBorders>
              <w:bottom w:val="single" w:sz="8" w:color="auto"/>
            </w:tcBorders>
            <w:gridSpan w:val="3"/>
          </w:tcPr>
          <w:p>
            <w:pPr>
              <w:jc w:val="right"/>
              <w:ind w:right="9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8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2016</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8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4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8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average unused credit facility fee for Domestic Revolver A was 0.34% and 0.30% in the six month period ending June 30, 2017 and 2016, respectively.</w:t>
      </w:r>
    </w:p>
    <w:p>
      <w:pPr>
        <w:spacing w:after="0" w:line="3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The provision for income taxes increased from $91.9 million in the six months ended June 30, 2016 to $103.1 million in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2017, an increase of $11.2 million, or 12.1%. We provide for income taxes during interim periods based on an estimate of our effective tax rate for the year. Discrete items and changes in the estimate of the annual tax rate are recorded in the period they occur. Our effective tax rate was 28.8% for the six months ended June 30, 2017 and 2016. The increase in the provision for income taxes was due primarily to an increase in book earnings during the six months ended June 30, 2017 over the comparable period in 2016,</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pay taxes in many different taxing jurisdictions, including the U.S., most U.S. states and many non-U.S. jurisdictions. The tax rates in certain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taxing jurisdictions are lower than the U.S. tax rate. Consequently, as our earnings fluctuate between taxing jurisdictions, our effective tax rate fluctuates.</w:t>
      </w:r>
    </w:p>
    <w:p>
      <w:pPr>
        <w:spacing w:after="0" w:line="3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from $227.3 million in the six months ended June 30, 2016 to $254.7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2017, an increase of $27.3 million, or 12.0%.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Consolidated operating income. </w:t>
      </w:r>
      <w:r>
        <w:rPr>
          <w:rFonts w:ascii="Arial" w:cs="Arial" w:eastAsia="Arial" w:hAnsi="Arial"/>
          <w:sz w:val="18"/>
          <w:szCs w:val="18"/>
          <w:color w:val="auto"/>
        </w:rPr>
        <w:t>Operating income increased from $347.1 million in the six months ended June 30, 2016 to $411.1 million in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2017, an increase of $64.0 million, or 18.4%. Our operating margin was 41.7% and 38.7% for the six months ended June 30, 2016 and 2017, respectively. The increase in operating income was primarily due to acquisitions completed in the third quarter of 2016 and organic growth, as well as the positive impact of the macroeconomic environment of approximately $9 million, driven by favorable fuel prices and higher fuel spread margins. The lower operating margin was driven by the negative impact of higher amortization and depreciation expense related to acquisitions of STP and Travelcard completed in the third quarter of 2016, and additional bad debt expense of $14 million, due to bad debt inherent in the acquired STP business, and additional stock based compensation of approximately $12 million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 xml:space="preserve">North America segment operating income. </w:t>
      </w:r>
      <w:r>
        <w:rPr>
          <w:rFonts w:ascii="Arial" w:cs="Arial" w:eastAsia="Arial" w:hAnsi="Arial"/>
          <w:sz w:val="16"/>
          <w:szCs w:val="16"/>
          <w:color w:val="auto"/>
        </w:rPr>
        <w:t>North America operating income increased from $231.5 million in the six months ended June 30, 2016 to $255.9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six months ended June 30, 2017, an increase of $24.4 million, or 10.6%. North America operating margin was 38.3% and 38.0% for the six months ended June 30, 2016 and 2017, respectively. The increase in operating income was due primarily to organic growth and the positive impact of the macroeconomic environment of approximately $16 million, driven by favorable fuel prices and higher fuel spread margins. These increases were partially offset by additional stock based compensation of approximately $8 million and additional bad debt expense of approximately $4 million.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International segment operating income. </w:t>
      </w:r>
      <w:r>
        <w:rPr>
          <w:rFonts w:ascii="Arial" w:cs="Arial" w:eastAsia="Arial" w:hAnsi="Arial"/>
          <w:sz w:val="18"/>
          <w:szCs w:val="18"/>
          <w:color w:val="auto"/>
        </w:rPr>
        <w:t>International operating income increased from $115.7 million in the six months ended June 30, 2016 to $155.2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six months ended June 30, 2017, an increase of $39.6 million, or 34.2%. International operating margin was 50.8% and 39.9% for the six months ended June 30, 2016 and 2017, respectively. The increase in operating income was due primarily to the impact of acquisitions completed in the third quarter of 2016 and organic growth, partially offset by the negative impact of the macroeconomic environment of approximately $7 million, driven primarily by changes in foreign exchange rates, as well as higher stock based compensation of approximately $4 million. The lower operating margin was driven by the negative impact of higher amortization and depreciation expense related to acquisitions of STP and Travelcard completed in the third quarter of 2016, additional bad debt expense of $10 million, due to bad debt inherent in the acquired STP business, and additional stock based compensation of approximately $4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principal liquidity requirements are to service and repay our indebtedness, make acquisitions of businesses and commercial account portfolios, repurchase shares of our common stock and meet working capital needs, tax and capital expenditure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At June 30, 2017, our cash balances totaled $765.6 million, with approximately $201.0 million restricted. Restricted cash primarily represents customer deposits in the Czech Republic and in our Comdata business in the U.S., which we are restricted from using other than to repay customer deposits.</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June 30, 2017, cash and cash equivalents held in foreign subsidiaries where we have determined we are permanently reinvested is $439.4 million. All of the cash and cash equivalents held by our foreign subsidiaries, excluding restricted cash, are available for general corporate purposes. Our current intent is to permanently reinvest these funds outside of the U.S. Our current expectation for funds held in our foreign subsidiaries is to use the funds to finance foreign organic growth, to pay for potential future foreign acquisitions and to repay any foreign borrowings that may arise from time to time. We currently believe that funds generated from our U.S. operations, along with available borrowing capacity in the U.S. will be sufficient to fund our U.S. operations for the foreseeable future, and therefore do not foresee a need to repatriate cash held by our foreign subsidiaries in a taxable transaction to fund our U.S. operations. However, if at a future date or time these funds are needed for our operations in the U.S. or we otherwise believe it is in our best interests to repatriate all or a portion of such funds, we may be required to accrue and pay U.S. taxes to repatriate these funds. No assurances can be provided as to the amount or timing thereof, the tax consequences related thereto or the ultimate impact any such action may have on our results of operations or financial condition.</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utilize an accounts receivable Securitization Facility to finance a majority of our domestic fuel card receivables, to lower our cost of borrowing and more efficiently use capital. We generate and record accounts receivable when a customer makes a purchase from a merchant using one of our card products and generally pay merchants before collecting the receivable. As a result, we utilize the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14 days of billing. We also consider the undrawn amounts under our Securitization Facility and Credit Facility as funds available for working capital purposes and acquisitions. At June 30, 2017, we had the ability to generate approximately $45 million of additional liquidity under our Securitization Facility. At June 30, 2017, we had approximately $529 million available under our Credit Facility.</w:t>
      </w:r>
    </w:p>
    <w:p>
      <w:pPr>
        <w:spacing w:after="0" w:line="1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twelve months. However, we regularly evaluate our cash requirements for current operations, commitments, capital requirements and acquisitions, and we may elect to raise additional funds for these purposes in the future, either through the issuance of debt or equity securities. We may not be able to obtain additional financing on terms favorable to us, if at all.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2017 and 2016 (in millions).</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2016</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7"/>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decreased from $212.0 million in the six months ended June 30, 2016 to $179.0 million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six months ended June 30, 2017. Net income and non-cash expense items increased operating cash flow by $84.6 million from $347.4 million in the first half of 2016 to $432.0 million in 2017, driven primarily by higher amortization of acquired intangible assets of $39 million and higher net income of $27 million. Net working capital was a use of cash of $135.4 million in the first half of 2016 compared to $253.0 million in 2017. The primary reason for the increased use of working capital was $124 million in higher income tax payments made in the first half of 2017 than 2016, which was primarily due to tax payments normally due in the third and fourth quarters of 2016 being deferred until the first quarter of 2017, and higher earnings in 2017 over the comparable period in 2016. The remaining increase in use of working capital related to the overall growth of the business and the timing of settlement of receivables and payables during the six months ended June 30, 2017 over the comparable period in 2016.</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increased from $37.9 million in the six months ended June 30, 2016 to $42.5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decreased from $121.5 million in the six months ended June 30, 2016 to $67.8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The decrease in cash used in financing activities is primarily due to a reduction in debt repayments of $59 million on our credit facility in the first half of 2017 as compared to 2016 as well as an increase in borrowings of $51 million on our Securitization Facility, partially offset by a decrease in borrowings of $40 million on our credit facility in the first half of 2017 over the comparable period in 2016 and increased spending to repurchase our common stock of $26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 summary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capital expenditures increased from $24.8 million in the six months ended June 30, 2016 to $32.6 million in the six months ended June 30, 2017, an increase of $7.8 million, or 31.7%. This increase is primarily due to increased spending on strategic projects, including continued investment in our operating systems.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October 24, 2014, FleetCor Technologies Operating Company, LLC, and certain of our domestic and foreign owned subsidiaries, as designated co-borrowers (the “Borrowers”), entered into a new $3.36 billion Credit Agreement (the Credit Agreement), with Bank of America, N.A., as administrative agent, swing line lender and local currency issuer, and a syndicate of financial institutions (the “Lenders”). The Credit Agreement provided for senior secured credit facilities consisting of (a) a revolving A credit facility in the amount of $1.0 billion, with sublimits for letters of credit, swing line loans and multicurrency borrowings, (b) a revolving B facility in the amount of $35 million for loans in Australian Dollars or New Zealand Dollars, (c) a term A loan facility in the amount of $2.02 billion and (d) a term B loan facility in the amount $300 million. The revolving line of credit contains a $20 million sublimit for letters of credit, a $20 million sublimit for swing line loans and sublimits for multicurrency borrowings in Euros, Sterling, Japanese Yen, Australian Dollars and New Zealand Dollars. The Credit Agreement also contains an accordion feature for borrowing an additional $500 million in term A or revolver A and term B. Proceeds from the Credit Facility may be used for working capital purposes, acquisitions, and other general corporate purposes. The proceeds of the Credit Facility were used to paydown borrowings under the Credit Agreement. On November 14, 2014 in order to finance a portion of the Comdata Acquisition and to refinance our existing Credit Agreement, we made initial borrowings under the Credit Agreement.</w:t>
      </w:r>
    </w:p>
    <w:p>
      <w:pPr>
        <w:spacing w:after="0" w:line="1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August 22, 2016, we entered into the first amendment to the Credit Agreement, which increased the size of the Term A loan from $2.02 billion to $2.62 billion. The proceeds from the additional $600 million in term A loan were used to partially finance the STP acquisition. On January 20, 2017, we entered into the second amendment to the Credit Agreement, which established a new term B loan (Term B-2 loan) in the amount of $245.0 million to replace the existing Term B loan.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loans are payable in quarterly installments and are due on the last business day of each March, June, September, and December with the final principal payment due on the respective maturity date. Borrowings on the revolving line of credit are repayable at our option of one, two, three or nine months after borrowing, depending on the term of the borrowing on the facility. Borrowings on the foreign swing line of credit are due no later than ten business days after such loan is made.</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Credit Facility contains representations, warranties and events of default, as well as certain affirmative and negative covenants, customary for financings of this nature. These covenants include limitations on the ability to pay dividends and make other restricted payments under certain circumstances and compliance with certain financial ratios. As of June 30, 2017, we were in compliance with each of the covenants under the Credit Facility.</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At June 30, 2017, we had $2,337.5 million in borrowings outstanding on the term A loan, excluding the related debt discount, $243.8 million in borrowings outstanding on Term B-2 loan, excluding the related debt discount, $400.0 million in borrowings outstanding on the domestic revolving A facility, $67.6 million in borrowings outstanding on the foreign revolving A facility and $38.8 million in borrowings outstanding on the swing line revolving A facility. We have unamortized debt discounts of $5.0 million related to the term A facility and $0.9 million related to the term B facility at June 30, 2017.</w:t>
      </w:r>
    </w:p>
    <w:p>
      <w:pPr>
        <w:spacing w:after="0" w:line="15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During the six months ended June 30, 2017, we made principal payments of $65.5 million on the term A loan, $1.2 million on the Term B-2 loan, $155.0 million on the domestic revolving A facility, $60.9 million on the foreign revolving A facility and $35.1 million on the swing line revolving A facility.</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August 2, 2017, we entered into the third amendment (the "Amendment") to the Credit Agreement, which increased the facility by $708.7 million and extended the terms of the credit facilities. The Amendment increased the term A loan to $2.69 billion, increased the revolver A credit facility to $1.285 billion and increased the term B loan to $350.0 million. The term A and revolver maturity dates are now August 2, 2022 and the term B maturity date is now August 2, 2024. The term A and revolver pricing remained the same and the term B pricing was reduced by 25 basis points to LIBOR plus 200 basis 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party to a receivables purchase agreement among FleetCor Funding LLC, as seller, PNC Bank, National Association as administrator, and various purchaser agents, conduit purchasers and related committed purchasers parties thereto, which was amended and restated for the fifth time as of November 14, 2014. We refer to this arrangement as the Securitization Facility. There have been several amendments to the Securitization Facility. The current purchase limit under the Securitization Facility is $950 million and the Securitization Facility expires on November 14, 2017. The Securitization Facility contains certain customary financial covenants. There is a program fee equal to one month LIBOR or the Commercial Paper Rate of 1.23% plus 0.90% and 0.85% plus 0.90% as of June 30, 2017 and December 31, 2016, respectively. The unused facility fee is payable at a rate of 0.40% as of June 30, 2017 and December 31, 2016, respectively.</w:t>
      </w:r>
    </w:p>
    <w:p>
      <w:pPr>
        <w:spacing w:after="0" w:line="1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the financial covenant requirements related to our Securitization Facility as of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February 4, 2016, our Board of Directors approved a stock repurchase program (the "Program") under which we may purchase up to an aggregate of $500 million of our common stock over the following 18 month period. On July 27, 2017, our Board of Directors authorized an increase in the size of the Program by an additional $250 million and an extension of the Program by an additional 18 months. With the increase and giving effect to our $240 million of previous repurchases, we may repurchase up to $510 million in shares of our common stock at any time prior to February 1, 2019. 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 Since the beginning of the Program, 1,670,311 shares for an aggregate purchase price of $240.1 million have been repurchased. There were 411,166 shares totaling $52.4 million repurchased under the Program during the six months ended June 30, 2017.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August 3, 2017, as part of the Program, we entered an Accelerated Share Repurchase agreement ("ASR Agreement") with a third-party financial institution to repurchase $250 million of our common stock. Pursuant to the ASR Agreement, approximately 85% of the shares expected to be repurchased were received by us on August 8, 2017. The total number of shares ultimately repurchased under the Program will be determined upon final settlement and will be based on a discount to the volume-weighted average price of our common stock during the ASR period. We anticipate that all repurchases under the ASR will be completed by the end of the third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NexTraq</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14, 2017, we signed a definitive agreement to sell NexTraq, a U.S. fleet telematics business, to Michelin Group for approximately $320 million. This transaction closed on July 17, 2017. We expect to record a pre-tax gain on the disposal of NexTraq of approximately $155 million during the third quarter of 2017, which includes transaction closing costs. We have preliminarily calculated taxes on the gain upon disposal of approximately $64 million. NexTraq has historically been included in our North America segment.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Accounting estimates necessarily require subjective determinations about future events and conditions. During the six months ended June 30, 2017,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2016. For critical accounting policies, refer to the Critical Accounting Estimates in Item 7 – Management’s Discussion and Analysis of Financial Condition and Results of Operations included in our Annual Report on Form 10-K for the year ended December 31, 2016 and our summary of significant accounting policies in Note 1 of our notes to the unaudited consolidated financial statements in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Financial Measures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the non-GAAP financial measure to the most directly comparable financial measure calculated in accordance with GAAP, and discuss the reasons that we believe this information is useful to management and may be useful to investors.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have defined the non-GAAP measure adjusted revenues as revenues, net less merchant commissions as reflected in our income statement.</w:t>
      </w:r>
    </w:p>
    <w:p>
      <w:pPr>
        <w:spacing w:after="0" w:line="23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use adjusted revenues as a basis to evaluate our revenues, net of the commissions that are paid to merchants to participate in our card programs. The commissions paid to merchants can vary when market spreads fluctuate in much the same way as revenues are impacted when market spreads fluctuate. We believe that adjusted revenue is an appropriate supplemental measure of financial performance and may be useful to investors to understanding our revenue performance on a consistent basis. Adjusted revenues are not intended to be a substitute for GAAP financial measures and should not be used as such.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adjusted revenues to the most directly comparable GAAP measure, revenues, net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4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541,237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1,061,670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832,167</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Merchant commissions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(50,541)</w:t>
            </w: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adjusted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510,618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395,597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1,006,667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781,626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diluted share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defined the non-GAAP measure adjusted net income as net income as reflected in our statement of income, adjusted to eliminate (a) non-cash stock-based compensation expense related to stock-based compensation awards, (b) amortization of deferred financing costs, discounts and intangible assets,</w:t>
      </w:r>
    </w:p>
    <w:p>
      <w:pPr>
        <w:ind w:right="500" w:firstLine="8"/>
        <w:spacing w:after="0" w:line="261"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of the premium recognized on the purchase of receivables, (d) our proportionate share of amortization of intangible assets at our equity method investment, and (e) other non-cash adjustments.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defined the non-GAAP measure adjusted net income per diluted share as the calculation previously noted divided by the weighted average diluted shares outstanding as reflected in our statement of income.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use adjusted net income to eliminate the effect of items that we do not consider indicative of our core operating performance. We believe it is useful to exclude non-cash stock based compensation expense from adjusted net income because non-cash equity grants made at a certain price and point in time do not necessarily reflect how our business is performing at any particular time and stock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adjusted net income. We believe that adjusted net income and adjusted net income per diluted share are appropriate supplemental measures of financial performance and may be useful to investors to understanding our operating performance on a consistent basis. Adjusted net income and adjusted net income per diluted share are not intended to be a substitute for GAAP financial measures and should not be used as such.</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Set forth below is a reconciliation of adjusted net income and adjusted net income per diluted share to the most directly comparable GAAP measure, net income and net income per diluted share (in thousands, except shares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227,343</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 per diluted share</w:t>
            </w: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32,620</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52,240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66,114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premium on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Amortization of deferred financing costs and discounts</w:t>
            </w: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 at equity method investment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Non-recurring net gain at equity method investment</w:t>
            </w: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(10,845)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161,401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99,006</w:t>
            </w:r>
          </w:p>
        </w:tc>
        <w:tc>
          <w:tcPr>
            <w:tcW w:w="0" w:type="dxa"/>
            <w:vAlign w:val="bottom"/>
          </w:tcPr>
          <w:p>
            <w:pPr>
              <w:spacing w:after="0"/>
              <w:rPr>
                <w:sz w:val="1"/>
                <w:szCs w:val="1"/>
                <w:color w:val="auto"/>
              </w:rPr>
            </w:pPr>
          </w:p>
        </w:tc>
      </w:tr>
      <w:tr>
        <w:trPr>
          <w:trHeight w:val="270"/>
        </w:trPr>
        <w:tc>
          <w:tcPr>
            <w:tcW w:w="5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w w:val="98"/>
              </w:rPr>
              <w:t>Income tax impact of pre-tax adjustments at the effective tax rate</w:t>
            </w:r>
            <w:r>
              <w:rPr>
                <w:rFonts w:ascii="Arial" w:cs="Arial" w:eastAsia="Arial" w:hAnsi="Arial"/>
                <w:sz w:val="25"/>
                <w:szCs w:val="25"/>
                <w:color w:val="auto"/>
                <w:w w:val="98"/>
                <w:vertAlign w:val="superscript"/>
              </w:rPr>
              <w:t>2</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372,026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295,650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net income per diluted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94,392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95,137</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*Columns may not calculate due to impact of rounding.</w:t>
      </w:r>
    </w:p>
    <w:p>
      <w:pPr>
        <w:spacing w:after="0" w:line="63" w:lineRule="exact"/>
        <w:rPr>
          <w:sz w:val="20"/>
          <w:szCs w:val="20"/>
          <w:color w:val="auto"/>
        </w:rPr>
      </w:pPr>
    </w:p>
    <w:p>
      <w:pPr>
        <w:jc w:val="both"/>
        <w:ind w:left="700" w:right="1080"/>
        <w:spacing w:after="0" w:line="22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Reflects the impact of the Company's adoption of Accounting Standards Update 2016-09,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718): Improvements to Employee Share-Based Payment Accounting</w:t>
      </w:r>
      <w:r>
        <w:rPr>
          <w:rFonts w:ascii="Arial" w:cs="Arial" w:eastAsia="Arial" w:hAnsi="Arial"/>
          <w:sz w:val="18"/>
          <w:szCs w:val="18"/>
          <w:color w:val="auto"/>
        </w:rPr>
        <w:t>, to simplify several aspects of the accounting for the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including the income tax consequences.</w:t>
      </w:r>
    </w:p>
    <w:p>
      <w:pPr>
        <w:spacing w:after="0" w:line="217" w:lineRule="exact"/>
        <w:rPr>
          <w:sz w:val="20"/>
          <w:szCs w:val="20"/>
          <w:color w:val="auto"/>
        </w:rPr>
      </w:pPr>
    </w:p>
    <w:p>
      <w:pPr>
        <w:jc w:val="both"/>
        <w:ind w:left="700" w:right="720"/>
        <w:spacing w:after="0" w:line="22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Excludes the results of our equity method investment on our effective tax rate, as results from our equity method investment are reported within the Consolidated Income Statements on a post-tax basis and no tax-over-book outside basis differences related to our equity method investment reversed during 2016 or are expected to reverse in 2017.</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line="2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Macro Adjusted Revenue and Transactions by Product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define pro forma and macro adjusted revenue as revenue, net as reflected in our statement of income, adjusted to eliminate the impact of the macroeconomic environment and the impact of acquisitions and dispositions. The macroeconomic environment includes the impact that market fuel spread margins, fuel prices and foreign exchange rates have on our business. We use pro forma and macro adjusted revenue and transactions to evaluate the organic growth in our revenue and the associated transactions. Set forth below is a reconciliation of pro forma and macro adjusted revenue and transactions to the most directly comparable GAAP measure, revenue, net and transactions (in millions):*</w:t>
      </w:r>
    </w:p>
    <w:p>
      <w:pPr>
        <w:sectPr>
          <w:pgSz w:w="11900" w:h="16864" w:orient="portrait"/>
          <w:cols w:equalWidth="0" w:num="1">
            <w:col w:w="11280"/>
          </w:cols>
          <w:pgMar w:left="240" w:top="12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(Unaudited)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FUEL CARDS</w:t>
      </w:r>
    </w:p>
    <w:p>
      <w:pPr>
        <w:spacing w:after="0" w:line="90" w:lineRule="exact"/>
        <w:rPr>
          <w:sz w:val="20"/>
          <w:szCs w:val="20"/>
          <w:color w:val="auto"/>
        </w:rPr>
      </w:pPr>
    </w:p>
    <w:p>
      <w:pPr>
        <w:ind w:left="40" w:right="900"/>
        <w:spacing w:after="0" w:line="343" w:lineRule="auto"/>
        <w:rPr>
          <w:sz w:val="20"/>
          <w:szCs w:val="20"/>
          <w:color w:val="auto"/>
        </w:rPr>
      </w:pPr>
      <w:r>
        <w:rPr>
          <w:rFonts w:ascii="Arial" w:cs="Arial" w:eastAsia="Arial" w:hAnsi="Arial"/>
          <w:sz w:val="14"/>
          <w:szCs w:val="14"/>
          <w:color w:val="auto"/>
        </w:rPr>
        <w:t>Pro forma and macro adjusted</w:t>
      </w:r>
      <w:r>
        <w:rPr>
          <w:rFonts w:ascii="Arial" w:cs="Arial" w:eastAsia="Arial" w:hAnsi="Arial"/>
          <w:sz w:val="18"/>
          <w:szCs w:val="18"/>
          <w:color w:val="auto"/>
          <w:vertAlign w:val="superscript"/>
        </w:rPr>
        <w:t>2,3</w:t>
      </w:r>
      <w:r>
        <w:rPr>
          <w:rFonts w:ascii="Arial" w:cs="Arial" w:eastAsia="Arial" w:hAnsi="Arial"/>
          <w:sz w:val="14"/>
          <w:szCs w:val="14"/>
          <w:color w:val="auto"/>
        </w:rPr>
        <w:t xml:space="preserve"> Impact of acquisitions/dispositions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Impact of fuel prices/spread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Impact of foreign exchange rates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reported</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CORPORATE PAYMENTS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6"/>
              </w:rPr>
              <w:t>Revenue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Transactions</w:t>
            </w:r>
          </w:p>
        </w:tc>
        <w:tc>
          <w:tcPr>
            <w:tcW w:w="940" w:type="dxa"/>
            <w:vAlign w:val="bottom"/>
          </w:tcPr>
          <w:p>
            <w:pPr>
              <w:spacing w:after="0"/>
              <w:rPr>
                <w:sz w:val="18"/>
                <w:szCs w:val="18"/>
                <w:color w:val="auto"/>
              </w:rPr>
            </w:pPr>
          </w:p>
        </w:tc>
      </w:tr>
      <w:tr>
        <w:trPr>
          <w:trHeight w:val="33"/>
        </w:trPr>
        <w:tc>
          <w:tcPr>
            <w:tcW w:w="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282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7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Three Months Ended June 30,</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01"/>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263.0</w:t>
            </w:r>
          </w:p>
        </w:tc>
        <w:tc>
          <w:tcPr>
            <w:tcW w:w="7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242.9</w:t>
            </w:r>
          </w:p>
        </w:tc>
        <w:tc>
          <w:tcPr>
            <w:tcW w:w="2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278.2</w:t>
            </w:r>
          </w:p>
        </w:tc>
        <w:tc>
          <w:tcPr>
            <w:tcW w:w="7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240.7</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-1062990</wp:posOffset>
            </wp:positionV>
            <wp:extent cx="636333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3335" cy="18034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-711200</wp:posOffset>
            </wp:positionV>
            <wp:extent cx="63633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3335" cy="1714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-368300</wp:posOffset>
            </wp:positionV>
            <wp:extent cx="636333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63335" cy="1714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-16510</wp:posOffset>
            </wp:positionV>
            <wp:extent cx="636333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63335" cy="188595"/>
                    </a:xfrm>
                    <a:prstGeom prst="rect">
                      <a:avLst/>
                    </a:prstGeom>
                    <a:noFill/>
                  </pic:spPr>
                </pic:pic>
              </a:graphicData>
            </a:graphic>
          </wp:anchor>
        </w:drawing>
      </w:r>
    </w:p>
    <w:p>
      <w:pPr>
        <w:spacing w:after="0" w:line="298" w:lineRule="exact"/>
        <w:rPr>
          <w:sz w:val="20"/>
          <w:szCs w:val="20"/>
          <w:color w:val="auto"/>
        </w:rPr>
      </w:pPr>
    </w:p>
    <w:p>
      <w:pPr>
        <w:sectPr>
          <w:pgSz w:w="11900" w:h="16864" w:orient="portrait"/>
          <w:cols w:equalWidth="0" w:num="2">
            <w:col w:w="3200" w:space="720"/>
            <w:col w:w="7360"/>
          </w:cols>
          <w:pgMar w:left="240" w:top="125" w:right="379" w:bottom="0" w:gutter="0" w:footer="0" w:header="0"/>
          <w:type w:val="continuous"/>
        </w:sectPr>
      </w:pPr>
    </w:p>
    <w:tbl>
      <w:tblPr>
        <w:tblLayout w:type="fixed"/>
        <w:tblInd w:w="10" w:type="dxa"/>
        <w:tblCellMar>
          <w:top w:w="0" w:type="dxa"/>
          <w:left w:w="0" w:type="dxa"/>
          <w:bottom w:w="0" w:type="dxa"/>
          <w:right w:w="0" w:type="dxa"/>
        </w:tblCellMar>
      </w:tblPr>
      <w:tr>
        <w:trPr>
          <w:trHeight w:val="241"/>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1"/>
                <w:szCs w:val="21"/>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44.8</w:t>
            </w:r>
          </w:p>
        </w:tc>
        <w:tc>
          <w:tcPr>
            <w:tcW w:w="200" w:type="dxa"/>
            <w:vAlign w:val="bottom"/>
          </w:tcPr>
          <w:p>
            <w:pPr>
              <w:spacing w:after="0"/>
              <w:rPr>
                <w:sz w:val="21"/>
                <w:szCs w:val="21"/>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1"/>
                <w:szCs w:val="21"/>
                <w:color w:val="auto"/>
              </w:rPr>
            </w:pPr>
          </w:p>
        </w:tc>
      </w:tr>
      <w:tr>
        <w:trPr>
          <w:trHeight w:val="25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r>
      <w:tr>
        <w:trPr>
          <w:trHeight w:val="21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8"/>
                <w:szCs w:val="18"/>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183"/>
        </w:trPr>
        <w:tc>
          <w:tcPr>
            <w:tcW w:w="3920" w:type="dxa"/>
            <w:vAlign w:val="bottom"/>
            <w:tcBorders>
              <w:left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b w:val="1"/>
                <w:bCs w:val="1"/>
                <w:color w:val="auto"/>
              </w:rPr>
              <w:t>TOLLS</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3"/>
                <w:szCs w:val="23"/>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61.3</w:t>
            </w:r>
          </w:p>
        </w:tc>
        <w:tc>
          <w:tcPr>
            <w:tcW w:w="200" w:type="dxa"/>
            <w:vAlign w:val="bottom"/>
          </w:tcPr>
          <w:p>
            <w:pPr>
              <w:spacing w:after="0"/>
              <w:rPr>
                <w:sz w:val="23"/>
                <w:szCs w:val="23"/>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23"/>
                <w:szCs w:val="23"/>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223.6</w:t>
            </w:r>
          </w:p>
        </w:tc>
        <w:tc>
          <w:tcPr>
            <w:tcW w:w="20" w:type="dxa"/>
            <w:vAlign w:val="bottom"/>
          </w:tcPr>
          <w:p>
            <w:pPr>
              <w:spacing w:after="0"/>
              <w:rPr>
                <w:sz w:val="23"/>
                <w:szCs w:val="23"/>
                <w:color w:val="auto"/>
              </w:rPr>
            </w:pPr>
          </w:p>
        </w:tc>
      </w:tr>
      <w:tr>
        <w:trPr>
          <w:trHeight w:val="25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w:t>
            </w:r>
          </w:p>
        </w:tc>
        <w:tc>
          <w:tcPr>
            <w:tcW w:w="20" w:type="dxa"/>
            <w:vAlign w:val="bottom"/>
          </w:tcPr>
          <w:p>
            <w:pPr>
              <w:spacing w:after="0"/>
              <w:rPr>
                <w:sz w:val="21"/>
                <w:szCs w:val="21"/>
                <w:color w:val="auto"/>
              </w:rPr>
            </w:pPr>
          </w:p>
        </w:tc>
      </w:tr>
      <w:tr>
        <w:trPr>
          <w:trHeight w:val="23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r>
      <w:tr>
        <w:trPr>
          <w:trHeight w:val="21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8"/>
                <w:szCs w:val="18"/>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183"/>
        </w:trPr>
        <w:tc>
          <w:tcPr>
            <w:tcW w:w="3920" w:type="dxa"/>
            <w:vAlign w:val="bottom"/>
            <w:tcBorders>
              <w:left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b w:val="1"/>
                <w:bCs w:val="1"/>
                <w:color w:val="auto"/>
              </w:rPr>
              <w:t>LODGING</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3"/>
                <w:szCs w:val="23"/>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24.9</w:t>
            </w:r>
          </w:p>
        </w:tc>
        <w:tc>
          <w:tcPr>
            <w:tcW w:w="200" w:type="dxa"/>
            <w:vAlign w:val="bottom"/>
          </w:tcPr>
          <w:p>
            <w:pPr>
              <w:spacing w:after="0"/>
              <w:rPr>
                <w:sz w:val="23"/>
                <w:szCs w:val="23"/>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3"/>
                <w:szCs w:val="23"/>
                <w:color w:val="auto"/>
              </w:rPr>
            </w:pPr>
          </w:p>
        </w:tc>
      </w:tr>
      <w:tr>
        <w:trPr>
          <w:trHeight w:val="25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r>
      <w:tr>
        <w:trPr>
          <w:trHeight w:val="21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183"/>
        </w:trPr>
        <w:tc>
          <w:tcPr>
            <w:tcW w:w="3920" w:type="dxa"/>
            <w:vAlign w:val="bottom"/>
            <w:tcBorders>
              <w:left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b w:val="1"/>
                <w:bCs w:val="1"/>
                <w:color w:val="auto"/>
              </w:rPr>
              <w:t>GIFT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3"/>
                <w:szCs w:val="23"/>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37.4</w:t>
            </w:r>
          </w:p>
        </w:tc>
        <w:tc>
          <w:tcPr>
            <w:tcW w:w="200" w:type="dxa"/>
            <w:vAlign w:val="bottom"/>
          </w:tcPr>
          <w:p>
            <w:pPr>
              <w:spacing w:after="0"/>
              <w:rPr>
                <w:sz w:val="23"/>
                <w:szCs w:val="23"/>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23"/>
                <w:szCs w:val="23"/>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312.8</w:t>
            </w:r>
          </w:p>
        </w:tc>
        <w:tc>
          <w:tcPr>
            <w:tcW w:w="20" w:type="dxa"/>
            <w:vAlign w:val="bottom"/>
          </w:tcPr>
          <w:p>
            <w:pPr>
              <w:spacing w:after="0"/>
              <w:rPr>
                <w:sz w:val="23"/>
                <w:szCs w:val="23"/>
                <w:color w:val="auto"/>
              </w:rPr>
            </w:pPr>
          </w:p>
        </w:tc>
      </w:tr>
      <w:tr>
        <w:trPr>
          <w:trHeight w:val="25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r>
      <w:tr>
        <w:trPr>
          <w:trHeight w:val="21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312.8</w:t>
            </w:r>
          </w:p>
        </w:tc>
        <w:tc>
          <w:tcPr>
            <w:tcW w:w="20" w:type="dxa"/>
            <w:vAlign w:val="bottom"/>
          </w:tcPr>
          <w:p>
            <w:pPr>
              <w:spacing w:after="0"/>
              <w:rPr>
                <w:sz w:val="18"/>
                <w:szCs w:val="18"/>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183"/>
        </w:trPr>
        <w:tc>
          <w:tcPr>
            <w:tcW w:w="3920" w:type="dxa"/>
            <w:vAlign w:val="bottom"/>
            <w:tcBorders>
              <w:left w:val="single" w:sz="8" w:color="CCEEFF"/>
            </w:tcBorders>
            <w:gridSpan w:val="7"/>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3"/>
                <w:szCs w:val="23"/>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67.7</w:t>
            </w:r>
          </w:p>
        </w:tc>
        <w:tc>
          <w:tcPr>
            <w:tcW w:w="200" w:type="dxa"/>
            <w:vAlign w:val="bottom"/>
          </w:tcPr>
          <w:p>
            <w:pPr>
              <w:spacing w:after="0"/>
              <w:rPr>
                <w:sz w:val="23"/>
                <w:szCs w:val="23"/>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3"/>
                <w:szCs w:val="23"/>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21.3</w:t>
            </w:r>
          </w:p>
        </w:tc>
        <w:tc>
          <w:tcPr>
            <w:tcW w:w="20" w:type="dxa"/>
            <w:vAlign w:val="bottom"/>
          </w:tcPr>
          <w:p>
            <w:pPr>
              <w:spacing w:after="0"/>
              <w:rPr>
                <w:sz w:val="23"/>
                <w:szCs w:val="23"/>
                <w:color w:val="auto"/>
              </w:rPr>
            </w:pPr>
          </w:p>
        </w:tc>
      </w:tr>
      <w:tr>
        <w:trPr>
          <w:trHeight w:val="25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92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r>
      <w:tr>
        <w:trPr>
          <w:trHeight w:val="217"/>
        </w:trPr>
        <w:tc>
          <w:tcPr>
            <w:tcW w:w="392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20" w:type="dxa"/>
            <w:vAlign w:val="bottom"/>
          </w:tcPr>
          <w:p>
            <w:pPr>
              <w:spacing w:after="0"/>
              <w:rPr>
                <w:sz w:val="18"/>
                <w:szCs w:val="18"/>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143"/>
        </w:trPr>
        <w:tc>
          <w:tcPr>
            <w:tcW w:w="40" w:type="dxa"/>
            <w:vAlign w:val="bottom"/>
            <w:tcBorders>
              <w:left w:val="single" w:sz="8" w:color="CCEEFF"/>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23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880" w:type="dxa"/>
            <w:vAlign w:val="bottom"/>
            <w:gridSpan w:val="6"/>
          </w:tcPr>
          <w:p>
            <w:pPr>
              <w:spacing w:after="0"/>
              <w:rPr>
                <w:sz w:val="20"/>
                <w:szCs w:val="20"/>
                <w:color w:val="auto"/>
              </w:rPr>
            </w:pPr>
            <w:r>
              <w:rPr>
                <w:rFonts w:ascii="Arial" w:cs="Arial" w:eastAsia="Arial" w:hAnsi="Arial"/>
                <w:sz w:val="16"/>
                <w:szCs w:val="16"/>
                <w:b w:val="1"/>
                <w:bCs w:val="1"/>
                <w:color w:val="auto"/>
              </w:rPr>
              <w:t>FLEETCOR CONSOLIDATED REVENUES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48"/>
        </w:trPr>
        <w:tc>
          <w:tcPr>
            <w:tcW w:w="40" w:type="dxa"/>
            <w:vAlign w:val="bottom"/>
            <w:tcBorders>
              <w:left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38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Borders>
              <w:top w:val="single" w:sz="8" w:color="auto"/>
            </w:tcBorders>
            <w:shd w:val="clear" w:color="auto" w:fill="000000"/>
          </w:tcPr>
          <w:p>
            <w:pPr>
              <w:spacing w:after="0"/>
              <w:rPr>
                <w:sz w:val="4"/>
                <w:szCs w:val="4"/>
                <w:color w:val="auto"/>
              </w:rPr>
            </w:pPr>
          </w:p>
        </w:tc>
      </w:tr>
      <w:tr>
        <w:trPr>
          <w:trHeight w:val="270"/>
        </w:trPr>
        <w:tc>
          <w:tcPr>
            <w:tcW w:w="40" w:type="dxa"/>
            <w:vAlign w:val="bottom"/>
            <w:tcBorders>
              <w:left w:val="single" w:sz="8" w:color="auto"/>
            </w:tcBorders>
            <w:shd w:val="clear" w:color="auto" w:fill="CCEEFF"/>
          </w:tcPr>
          <w:p>
            <w:pPr>
              <w:spacing w:after="0"/>
              <w:rPr>
                <w:sz w:val="23"/>
                <w:szCs w:val="23"/>
                <w:color w:val="auto"/>
              </w:rPr>
            </w:pPr>
          </w:p>
        </w:tc>
        <w:tc>
          <w:tcPr>
            <w:tcW w:w="38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w:t>
            </w:r>
          </w:p>
        </w:tc>
        <w:tc>
          <w:tcPr>
            <w:tcW w:w="20" w:type="dxa"/>
            <w:vAlign w:val="bottom"/>
            <w:shd w:val="clear" w:color="auto" w:fill="000000"/>
          </w:tcPr>
          <w:p>
            <w:pPr>
              <w:spacing w:after="0"/>
              <w:rPr>
                <w:sz w:val="23"/>
                <w:szCs w:val="23"/>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80" w:type="dxa"/>
            <w:vAlign w:val="bottom"/>
            <w:gridSpan w:val="6"/>
          </w:tcPr>
          <w:p>
            <w:pPr>
              <w:spacing w:after="0"/>
              <w:rPr>
                <w:sz w:val="20"/>
                <w:szCs w:val="20"/>
                <w:color w:val="auto"/>
              </w:rPr>
            </w:pPr>
            <w:r>
              <w:rPr>
                <w:rFonts w:ascii="Arial" w:cs="Arial" w:eastAsia="Arial" w:hAnsi="Arial"/>
                <w:sz w:val="16"/>
                <w:szCs w:val="16"/>
                <w:color w:val="auto"/>
              </w:rPr>
              <w:t>Impact of acquisitions/dispositions</w:t>
            </w:r>
          </w:p>
        </w:tc>
        <w:tc>
          <w:tcPr>
            <w:tcW w:w="4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(61.2)</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(217.1)</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6"/>
                <w:szCs w:val="16"/>
                <w:color w:val="auto"/>
              </w:rPr>
              <w:t>Impact of fuel prices/spread</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000000"/>
          </w:tcPr>
          <w:p>
            <w:pPr>
              <w:spacing w:after="0"/>
              <w:rPr>
                <w:sz w:val="21"/>
                <w:szCs w:val="2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880" w:type="dxa"/>
            <w:vAlign w:val="bottom"/>
            <w:gridSpan w:val="6"/>
          </w:tcPr>
          <w:p>
            <w:pPr>
              <w:spacing w:after="0"/>
              <w:rPr>
                <w:sz w:val="20"/>
                <w:szCs w:val="20"/>
                <w:color w:val="auto"/>
              </w:rPr>
            </w:pPr>
            <w:r>
              <w:rPr>
                <w:rFonts w:ascii="Arial" w:cs="Arial" w:eastAsia="Arial" w:hAnsi="Arial"/>
                <w:sz w:val="16"/>
                <w:szCs w:val="16"/>
                <w:color w:val="auto"/>
              </w:rPr>
              <w:t>Impact of foreign exchange rates</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Borders>
              <w:left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5"/>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6"/>
                <w:szCs w:val="16"/>
                <w:color w:val="auto"/>
              </w:rPr>
              <w:t>As reported</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20" w:type="dxa"/>
            <w:vAlign w:val="bottom"/>
            <w:tcBorders>
              <w:bottom w:val="single" w:sz="8" w:color="auto"/>
            </w:tcBorders>
            <w:shd w:val="clear" w:color="auto" w:fill="000000"/>
          </w:tcPr>
          <w:p>
            <w:pPr>
              <w:spacing w:after="0"/>
              <w:rPr>
                <w:sz w:val="21"/>
                <w:szCs w:val="21"/>
                <w:color w:val="auto"/>
              </w:rPr>
            </w:pPr>
          </w:p>
        </w:tc>
      </w:tr>
      <w:tr>
        <w:trPr>
          <w:trHeight w:val="20"/>
        </w:trPr>
        <w:tc>
          <w:tcPr>
            <w:tcW w:w="40" w:type="dxa"/>
            <w:vAlign w:val="bottom"/>
            <w:tcBorders>
              <w:top w:val="single" w:sz="8" w:color="CCEEFF"/>
              <w:left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40" w:type="dxa"/>
            <w:vAlign w:val="bottom"/>
            <w:tcBorders>
              <w:left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Columns may not calculate due to impact of rounding.</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Other includes telematics, maintenance, food and transportation related businesses.</w:t>
      </w:r>
    </w:p>
    <w:p>
      <w:pPr>
        <w:ind w:left="40"/>
        <w:spacing w:after="0" w:line="225"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2016 is pro forma to include acquisitions and exclude dispositions, consistent with 2017 ownership.</w:t>
      </w:r>
    </w:p>
    <w:p>
      <w:pPr>
        <w:spacing w:after="0" w:line="1" w:lineRule="exact"/>
        <w:rPr>
          <w:sz w:val="20"/>
          <w:szCs w:val="20"/>
          <w:color w:val="auto"/>
        </w:rPr>
      </w:pPr>
    </w:p>
    <w:p>
      <w:pPr>
        <w:ind w:left="40" w:right="1320"/>
        <w:spacing w:after="0" w:line="211"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2017 is adjusted to remove the impact of changes in the macroeconomic environment to be consistent with the same period of prior year, using constant fuel prices, fuel price spreads and foreign exchange rates.</w:t>
      </w:r>
    </w:p>
    <w:p>
      <w:pPr>
        <w:sectPr>
          <w:pgSz w:w="11900" w:h="16864" w:orient="portrait"/>
          <w:cols w:equalWidth="0" w:num="1">
            <w:col w:w="11280"/>
          </w:cols>
          <w:pgMar w:left="240" w:top="125" w:right="379" w:bottom="0" w:gutter="0" w:footer="0" w:header="0"/>
          <w:type w:val="continuous"/>
        </w:sect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39</w:t>
      </w:r>
    </w:p>
    <w:p>
      <w:pPr>
        <w:sectPr>
          <w:pgSz w:w="11900" w:h="16864" w:orient="portrait"/>
          <w:cols w:equalWidth="0" w:num="1">
            <w:col w:w="11280"/>
          </w:cols>
          <w:pgMar w:left="240" w:top="125" w:right="379" w:bottom="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18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such as delays or failures associated with implementation; fuel price and spread volatility; changes in credit risk of customers and associated losses; the actions of regulators relating to payment cards or investigations; failure to maintain or renew key business relationships; failure to maintain competitive offerings; failure to maintain or renew sources of financing; failure to complete, or delays in completing, anticipated new partnership arrangements or acquisitions and the failure to successfully integrate or otherwise achieve anticipated benefits from such partnerships or acquired businesses; failure to successfully expand business internationally; other risks related to our international operations, including the potential impact to our business as a result of the United Kingdom's recent referendum to leave the European Union; the impact of foreign exchange rates on operations, revenue and income; the effects of general economic and political conditions on fueling patterns and the commercial activity of fleets, risks related to litigation; our ability to complete an accelerated share repurchase, as well as the other risks and uncertainties identified under the caption “Risk Factors” in our Annual Report on Form 10-K for the year ended December 31, 2016. These factors could cause our actual results and experience to differ materially from any forward-looking statement. 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12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2017, there have been no material changes to our market risk from that disclosed in our Annual Report on Form 10-K for the year ended December 31, 2016.</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June 30, 2017,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our Chief Executive Officer and Chief Financial Officer concluded that, as of June 30, 2017,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2017, that have materially affected, or are reasonably likely to materially affect, our internal control over financial reporting.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4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ordinary course of business, we are subject to various pending and potential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 The Company settled certain matters during the second quarter of 2017 that did not individually or in the aggregate have a material impact on the Company’s financial condition or results of operations for the quarter.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The defendants dispute the allegations in the complaint and intend to vigorously defend against the claims.</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and are in the early stages of the proceedings. For these reasons, we are currently unable to predict the ultimate timing or outcome of, or reasonably estimate the possible losses or a range of possible losses resulting from the matters described above.</w:t>
      </w: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2016, which could materially affect our business, financial condition or future results. Other than the risk factor set forth below, there have been no material changes from the risk factors previously disclosed in the Company’s Annual Report on Form 10-K for the year ended December 31, 2016.</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named in a federal securities class action lawsuit and derivative complaint; if we are unable to resolve these matters favorably, then our business, operating results and financial condition may be adversely affected.</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14, 2017, a shareholder filed a class action complaint in the Unites States District Court for the Northern District of Georgia against the Company and certain of its officers and directors on behalf of all persons who purchased or otherwise acquired the Company’s stock between February 5, 2016 and May 2, 2017. On July 10, 2017, a shareholder derivative complaint was filed against certain of the Company’s directors and officers in the United States District Court for the Northern District of Georgia seeking recovery on behalf of the Company. See “Part II-Item 1 - Legal Proceedings” above for additional information about the lawsuit and the derivative complaint. We cannot at this time predict the outcome of these matters or reasonably determine the probability of a material adverse result or reasonably estimate range of potential exposure, if any, that these matters might have on us, our business, our financial condition or our results of operations, although such effects could be materially adverse. In addition, in the future, we may need to record litigation reserves with respect to these matters. Further, regardless of how these matters proceed, it could divert our management’s attention and other resources away from our business.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4, 2016, our Board of Directors approved a stock repurchase program (the "Program") under which we may begin purchasing up to an aggregate of $500 million of the Company's common stock over the following 18 month period. On July 27, 2017, the Company's Board of Directors authorized an increase in the size of the Program by an additional $250 million and an extension of the Program by an additional 18 months. Since the beginning of the Program, 1,670,311 shares for an aggregate purchase price of $240.1 million have been repurchased.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information with respect to purchases of common stock of the Company made during the three months ended June 30, 2017 by the Company as defined in Rule 10b-18(a)(3) under the Exchange Act: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Value that May</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20" w:type="dxa"/>
            <w:vAlign w:val="bottom"/>
            <w:vMerge w:val="restart"/>
          </w:tcPr>
          <w:p>
            <w:pPr>
              <w:jc w:val="center"/>
              <w:ind w:left="219"/>
              <w:spacing w:after="0"/>
              <w:rPr>
                <w:sz w:val="20"/>
                <w:szCs w:val="20"/>
                <w:color w:val="auto"/>
              </w:rPr>
            </w:pPr>
            <w:r>
              <w:rPr>
                <w:rFonts w:ascii="Arial" w:cs="Arial" w:eastAsia="Arial" w:hAnsi="Arial"/>
                <w:sz w:val="14"/>
                <w:szCs w:val="14"/>
                <w:b w:val="1"/>
                <w:bCs w:val="1"/>
                <w:color w:val="auto"/>
                <w:w w:val="93"/>
              </w:rPr>
              <w:t>Total Number of Shares</w:t>
            </w:r>
          </w:p>
        </w:tc>
        <w:tc>
          <w:tcPr>
            <w:tcW w:w="200" w:type="dxa"/>
            <w:vAlign w:val="bottom"/>
          </w:tcPr>
          <w:p>
            <w:pPr>
              <w:spacing w:after="0"/>
              <w:rPr>
                <w:sz w:val="12"/>
                <w:szCs w:val="12"/>
                <w:color w:val="auto"/>
              </w:rPr>
            </w:pPr>
          </w:p>
        </w:tc>
        <w:tc>
          <w:tcPr>
            <w:tcW w:w="13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1"/>
              </w:rPr>
              <w:t>Average Price Paid</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80" w:type="dxa"/>
            <w:vAlign w:val="bottom"/>
          </w:tcPr>
          <w:p>
            <w:pPr>
              <w:spacing w:after="0"/>
              <w:rPr>
                <w:sz w:val="12"/>
                <w:szCs w:val="12"/>
                <w:color w:val="auto"/>
              </w:rPr>
            </w:pPr>
          </w:p>
        </w:tc>
        <w:tc>
          <w:tcPr>
            <w:tcW w:w="16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Yet be Purchased Under</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2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the Publicly Announced</w:t>
            </w:r>
          </w:p>
        </w:tc>
        <w:tc>
          <w:tcPr>
            <w:tcW w:w="180" w:type="dxa"/>
            <w:vAlign w:val="bottom"/>
          </w:tcPr>
          <w:p>
            <w:pPr>
              <w:spacing w:after="0"/>
              <w:rPr>
                <w:sz w:val="12"/>
                <w:szCs w:val="12"/>
                <w:color w:val="auto"/>
              </w:rPr>
            </w:pPr>
          </w:p>
        </w:tc>
        <w:tc>
          <w:tcPr>
            <w:tcW w:w="16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the Publicly Announced</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Per 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0"/>
              </w:rPr>
              <w:t>Plan (in thousands)</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May 1, 2017 through May 31, 2017</w:t>
            </w:r>
          </w:p>
        </w:tc>
        <w:tc>
          <w:tcPr>
            <w:tcW w:w="2020" w:type="dxa"/>
            <w:vAlign w:val="bottom"/>
          </w:tcPr>
          <w:p>
            <w:pPr>
              <w:jc w:val="right"/>
              <w:ind w:right="59"/>
              <w:spacing w:after="0"/>
              <w:rPr>
                <w:sz w:val="20"/>
                <w:szCs w:val="20"/>
                <w:color w:val="auto"/>
              </w:rPr>
            </w:pPr>
            <w:r>
              <w:rPr>
                <w:rFonts w:ascii="Arial" w:cs="Arial" w:eastAsia="Arial" w:hAnsi="Arial"/>
                <w:sz w:val="18"/>
                <w:szCs w:val="18"/>
                <w:color w:val="auto"/>
              </w:rPr>
              <w:t>411,166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2"/>
              <w:spacing w:after="0"/>
              <w:rPr>
                <w:sz w:val="20"/>
                <w:szCs w:val="20"/>
                <w:color w:val="auto"/>
              </w:rPr>
            </w:pPr>
            <w:r>
              <w:rPr>
                <w:rFonts w:ascii="Arial" w:cs="Arial" w:eastAsia="Arial" w:hAnsi="Arial"/>
                <w:sz w:val="18"/>
                <w:szCs w:val="18"/>
                <w:color w:val="auto"/>
              </w:rPr>
              <w:t>127.40</w:t>
            </w:r>
          </w:p>
        </w:tc>
        <w:tc>
          <w:tcPr>
            <w:tcW w:w="1680" w:type="dxa"/>
            <w:vAlign w:val="bottom"/>
          </w:tcPr>
          <w:p>
            <w:pPr>
              <w:jc w:val="right"/>
              <w:ind w:right="84"/>
              <w:spacing w:after="0"/>
              <w:rPr>
                <w:sz w:val="20"/>
                <w:szCs w:val="20"/>
                <w:color w:val="auto"/>
              </w:rPr>
            </w:pPr>
            <w:r>
              <w:rPr>
                <w:rFonts w:ascii="Arial" w:cs="Arial" w:eastAsia="Arial" w:hAnsi="Arial"/>
                <w:sz w:val="18"/>
                <w:szCs w:val="18"/>
                <w:color w:val="auto"/>
              </w:rPr>
              <w:t>1,670,311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4"/>
              <w:spacing w:after="0"/>
              <w:rPr>
                <w:sz w:val="20"/>
                <w:szCs w:val="20"/>
                <w:color w:val="auto"/>
              </w:rPr>
            </w:pPr>
            <w:r>
              <w:rPr>
                <w:rFonts w:ascii="Arial" w:cs="Arial" w:eastAsia="Arial" w:hAnsi="Arial"/>
                <w:sz w:val="18"/>
                <w:szCs w:val="18"/>
                <w:color w:val="auto"/>
              </w:rPr>
              <w:t>259,930</w:t>
            </w:r>
          </w:p>
        </w:tc>
        <w:tc>
          <w:tcPr>
            <w:tcW w:w="0" w:type="dxa"/>
            <w:vAlign w:val="bottom"/>
          </w:tcPr>
          <w:p>
            <w:pPr>
              <w:spacing w:after="0"/>
              <w:rPr>
                <w:sz w:val="1"/>
                <w:szCs w:val="1"/>
                <w:color w:val="auto"/>
              </w:rPr>
            </w:pPr>
          </w:p>
        </w:tc>
      </w:tr>
      <w:tr>
        <w:trPr>
          <w:trHeight w:val="837"/>
        </w:trPr>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3.</w:t>
            </w:r>
          </w:p>
        </w:tc>
        <w:tc>
          <w:tcPr>
            <w:tcW w:w="2980" w:type="dxa"/>
            <w:vAlign w:val="bottom"/>
          </w:tcPr>
          <w:p>
            <w:pPr>
              <w:ind w:left="100"/>
              <w:spacing w:after="0"/>
              <w:rPr>
                <w:sz w:val="20"/>
                <w:szCs w:val="20"/>
                <w:color w:val="auto"/>
              </w:rPr>
            </w:pPr>
            <w:r>
              <w:rPr>
                <w:rFonts w:ascii="Arial" w:cs="Arial" w:eastAsia="Arial" w:hAnsi="Arial"/>
                <w:sz w:val="18"/>
                <w:szCs w:val="18"/>
                <w:b w:val="1"/>
                <w:bCs w:val="1"/>
                <w:color w:val="auto"/>
              </w:rPr>
              <w:t>Defaults Upon Senior Securities</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0" w:type="dxa"/>
            <w:vAlign w:val="bottom"/>
            <w:gridSpan w:val="2"/>
          </w:tcPr>
          <w:p>
            <w:pPr>
              <w:spacing w:after="0"/>
              <w:rPr>
                <w:sz w:val="20"/>
                <w:szCs w:val="20"/>
                <w:color w:val="auto"/>
              </w:rPr>
            </w:pPr>
            <w:r>
              <w:rPr>
                <w:rFonts w:ascii="Arial" w:cs="Arial" w:eastAsia="Arial" w:hAnsi="Arial"/>
                <w:sz w:val="18"/>
                <w:szCs w:val="18"/>
                <w:color w:val="auto"/>
                <w:w w:val="99"/>
              </w:rPr>
              <w:t>Not applicable.</w:t>
            </w:r>
          </w:p>
        </w:tc>
        <w:tc>
          <w:tcPr>
            <w:tcW w:w="2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4.</w:t>
            </w:r>
          </w:p>
        </w:tc>
        <w:tc>
          <w:tcPr>
            <w:tcW w:w="2980" w:type="dxa"/>
            <w:vAlign w:val="bottom"/>
          </w:tcPr>
          <w:p>
            <w:pPr>
              <w:ind w:left="100"/>
              <w:spacing w:after="0"/>
              <w:rPr>
                <w:sz w:val="20"/>
                <w:szCs w:val="20"/>
                <w:color w:val="auto"/>
              </w:rPr>
            </w:pPr>
            <w:r>
              <w:rPr>
                <w:rFonts w:ascii="Arial" w:cs="Arial" w:eastAsia="Arial" w:hAnsi="Arial"/>
                <w:sz w:val="18"/>
                <w:szCs w:val="18"/>
                <w:b w:val="1"/>
                <w:bCs w:val="1"/>
                <w:color w:val="auto"/>
              </w:rPr>
              <w:t>Mine Safety Disclosures</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0" w:type="dxa"/>
            <w:vAlign w:val="bottom"/>
            <w:gridSpan w:val="2"/>
          </w:tcPr>
          <w:p>
            <w:pPr>
              <w:spacing w:after="0"/>
              <w:rPr>
                <w:sz w:val="20"/>
                <w:szCs w:val="20"/>
                <w:color w:val="auto"/>
              </w:rPr>
            </w:pPr>
            <w:r>
              <w:rPr>
                <w:rFonts w:ascii="Arial" w:cs="Arial" w:eastAsia="Arial" w:hAnsi="Arial"/>
                <w:sz w:val="18"/>
                <w:szCs w:val="18"/>
                <w:color w:val="auto"/>
                <w:w w:val="99"/>
              </w:rPr>
              <w:t>Not applicable.</w:t>
            </w:r>
          </w:p>
        </w:tc>
        <w:tc>
          <w:tcPr>
            <w:tcW w:w="2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5.</w:t>
            </w:r>
          </w:p>
        </w:tc>
        <w:tc>
          <w:tcPr>
            <w:tcW w:w="2980" w:type="dxa"/>
            <w:vAlign w:val="bottom"/>
          </w:tcPr>
          <w:p>
            <w:pPr>
              <w:ind w:left="100"/>
              <w:spacing w:after="0"/>
              <w:rPr>
                <w:sz w:val="20"/>
                <w:szCs w:val="20"/>
                <w:color w:val="auto"/>
              </w:rPr>
            </w:pPr>
            <w:r>
              <w:rPr>
                <w:rFonts w:ascii="Arial" w:cs="Arial" w:eastAsia="Arial" w:hAnsi="Arial"/>
                <w:sz w:val="18"/>
                <w:szCs w:val="18"/>
                <w:b w:val="1"/>
                <w:bCs w:val="1"/>
                <w:color w:val="auto"/>
              </w:rPr>
              <w:t>Other Information</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0" w:type="dxa"/>
            <w:vAlign w:val="bottom"/>
            <w:gridSpan w:val="2"/>
          </w:tcPr>
          <w:p>
            <w:pPr>
              <w:spacing w:after="0"/>
              <w:rPr>
                <w:sz w:val="20"/>
                <w:szCs w:val="20"/>
                <w:color w:val="auto"/>
              </w:rPr>
            </w:pPr>
            <w:r>
              <w:rPr>
                <w:rFonts w:ascii="Arial" w:cs="Arial" w:eastAsia="Arial" w:hAnsi="Arial"/>
                <w:sz w:val="18"/>
                <w:szCs w:val="18"/>
                <w:color w:val="auto"/>
                <w:w w:val="99"/>
              </w:rPr>
              <w:t>Not applicable.</w:t>
            </w:r>
          </w:p>
        </w:tc>
        <w:tc>
          <w:tcPr>
            <w:tcW w:w="2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20" w:type="dxa"/>
            <w:vAlign w:val="bottom"/>
          </w:tcPr>
          <w:p>
            <w:pPr>
              <w:jc w:val="right"/>
              <w:ind w:right="319"/>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u w:val="single" w:color="auto"/>
          <w:color w:val="auto"/>
        </w:rPr>
        <w:t>No.</w:t>
      </w:r>
    </w:p>
    <w:p>
      <w:pPr>
        <w:spacing w:after="0" w:line="34"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780" w:type="dxa"/>
            <w:vAlign w:val="bottom"/>
          </w:tcPr>
          <w:p>
            <w:pPr>
              <w:jc w:val="center"/>
              <w:ind w:right="390"/>
              <w:spacing w:after="0"/>
              <w:rPr>
                <w:sz w:val="20"/>
                <w:szCs w:val="20"/>
                <w:color w:val="auto"/>
              </w:rPr>
            </w:pPr>
            <w:r>
              <w:rPr>
                <w:rFonts w:ascii="Arial" w:cs="Arial" w:eastAsia="Arial" w:hAnsi="Arial"/>
                <w:sz w:val="18"/>
                <w:szCs w:val="18"/>
                <w:color w:val="auto"/>
                <w:w w:val="87"/>
              </w:rPr>
              <w:t>2.1</w:t>
            </w:r>
          </w:p>
        </w:tc>
        <w:tc>
          <w:tcPr>
            <w:tcW w:w="9860" w:type="dxa"/>
            <w:vAlign w:val="bottom"/>
          </w:tcPr>
          <w:p>
            <w:pPr>
              <w:ind w:left="460"/>
              <w:spacing w:after="0"/>
              <w:rPr>
                <w:sz w:val="20"/>
                <w:szCs w:val="20"/>
                <w:color w:val="auto"/>
              </w:rPr>
            </w:pPr>
            <w:r>
              <w:rPr>
                <w:rFonts w:ascii="Arial" w:cs="Arial" w:eastAsia="Arial" w:hAnsi="Arial"/>
                <w:sz w:val="18"/>
                <w:szCs w:val="18"/>
                <w:color w:val="auto"/>
                <w:w w:val="94"/>
              </w:rPr>
              <w:t>Acquisition agreement to acquire Serviços e Tecnologia de Pagamentos S.A. (incorporated by reference to Exhibit 2.1 to the</w:t>
            </w:r>
          </w:p>
        </w:tc>
      </w:tr>
      <w:tr>
        <w:trPr>
          <w:trHeight w:val="230"/>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w w:val="95"/>
              </w:rPr>
              <w:t>Registrant's Form 8-K, File No. 001-35004, filed with the Securities and Exchange Commission ("SEC") on March 18, 2016)</w:t>
            </w:r>
          </w:p>
        </w:tc>
      </w:tr>
      <w:tr>
        <w:trPr>
          <w:trHeight w:val="377"/>
        </w:trPr>
        <w:tc>
          <w:tcPr>
            <w:tcW w:w="780" w:type="dxa"/>
            <w:vAlign w:val="bottom"/>
          </w:tcPr>
          <w:p>
            <w:pPr>
              <w:jc w:val="center"/>
              <w:ind w:right="390"/>
              <w:spacing w:after="0"/>
              <w:rPr>
                <w:sz w:val="20"/>
                <w:szCs w:val="20"/>
                <w:color w:val="auto"/>
              </w:rPr>
            </w:pPr>
            <w:r>
              <w:rPr>
                <w:rFonts w:ascii="Arial" w:cs="Arial" w:eastAsia="Arial" w:hAnsi="Arial"/>
                <w:sz w:val="18"/>
                <w:szCs w:val="18"/>
                <w:color w:val="auto"/>
                <w:w w:val="87"/>
              </w:rPr>
              <w:t>3.1</w:t>
            </w:r>
          </w:p>
        </w:tc>
        <w:tc>
          <w:tcPr>
            <w:tcW w:w="9860" w:type="dxa"/>
            <w:vAlign w:val="bottom"/>
          </w:tcPr>
          <w:p>
            <w:pPr>
              <w:ind w:left="460"/>
              <w:spacing w:after="0"/>
              <w:rPr>
                <w:sz w:val="20"/>
                <w:szCs w:val="20"/>
                <w:color w:val="auto"/>
              </w:rPr>
            </w:pPr>
            <w:r>
              <w:rPr>
                <w:rFonts w:ascii="Arial" w:cs="Arial" w:eastAsia="Arial" w:hAnsi="Arial"/>
                <w:sz w:val="18"/>
                <w:szCs w:val="18"/>
                <w:color w:val="auto"/>
                <w:w w:val="91"/>
              </w:rPr>
              <w:t>Amended and Restated Certificate of Incorporation of FleetCor Technologies, Inc. (incorporated by reference to Exhibit 3.1 to the</w:t>
            </w:r>
          </w:p>
        </w:tc>
      </w:tr>
      <w:tr>
        <w:trPr>
          <w:trHeight w:val="230"/>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rPr>
              <w:t>Registrant’s Annual Report on Form 10-K, File No. 001-35004, filed with the SEC on March 25, 2011)</w:t>
            </w:r>
          </w:p>
        </w:tc>
      </w:tr>
      <w:tr>
        <w:trPr>
          <w:trHeight w:val="377"/>
        </w:trPr>
        <w:tc>
          <w:tcPr>
            <w:tcW w:w="780" w:type="dxa"/>
            <w:vAlign w:val="bottom"/>
          </w:tcPr>
          <w:p>
            <w:pPr>
              <w:jc w:val="center"/>
              <w:ind w:right="390"/>
              <w:spacing w:after="0"/>
              <w:rPr>
                <w:sz w:val="20"/>
                <w:szCs w:val="20"/>
                <w:color w:val="auto"/>
              </w:rPr>
            </w:pPr>
            <w:r>
              <w:rPr>
                <w:rFonts w:ascii="Arial" w:cs="Arial" w:eastAsia="Arial" w:hAnsi="Arial"/>
                <w:sz w:val="18"/>
                <w:szCs w:val="18"/>
                <w:color w:val="auto"/>
                <w:w w:val="87"/>
              </w:rPr>
              <w:t>3.2</w:t>
            </w:r>
          </w:p>
        </w:tc>
        <w:tc>
          <w:tcPr>
            <w:tcW w:w="9860" w:type="dxa"/>
            <w:vAlign w:val="bottom"/>
          </w:tcPr>
          <w:p>
            <w:pPr>
              <w:ind w:left="460"/>
              <w:spacing w:after="0"/>
              <w:rPr>
                <w:sz w:val="20"/>
                <w:szCs w:val="20"/>
                <w:color w:val="auto"/>
              </w:rPr>
            </w:pPr>
            <w:r>
              <w:rPr>
                <w:rFonts w:ascii="Arial" w:cs="Arial" w:eastAsia="Arial" w:hAnsi="Arial"/>
                <w:sz w:val="18"/>
                <w:szCs w:val="18"/>
                <w:color w:val="auto"/>
                <w:w w:val="96"/>
              </w:rPr>
              <w:t>Amended and Restated Bylaws of FleetCor Technologies, Inc. (incorporated by reference to Exhibit 3.2 to the Registrant’s</w:t>
            </w:r>
          </w:p>
        </w:tc>
      </w:tr>
      <w:tr>
        <w:trPr>
          <w:trHeight w:val="230"/>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rPr>
              <w:t>Annual Report on Form 10-K, File No. 001-35004, filed with the SEC on October 28, 2016)</w:t>
            </w:r>
          </w:p>
        </w:tc>
      </w:tr>
      <w:tr>
        <w:trPr>
          <w:trHeight w:val="377"/>
        </w:trPr>
        <w:tc>
          <w:tcPr>
            <w:tcW w:w="780" w:type="dxa"/>
            <w:vAlign w:val="bottom"/>
          </w:tcPr>
          <w:p>
            <w:pPr>
              <w:jc w:val="center"/>
              <w:ind w:right="390"/>
              <w:spacing w:after="0"/>
              <w:rPr>
                <w:sz w:val="20"/>
                <w:szCs w:val="20"/>
                <w:color w:val="auto"/>
              </w:rPr>
            </w:pPr>
            <w:r>
              <w:rPr>
                <w:rFonts w:ascii="Arial" w:cs="Arial" w:eastAsia="Arial" w:hAnsi="Arial"/>
                <w:sz w:val="18"/>
                <w:szCs w:val="18"/>
                <w:color w:val="auto"/>
                <w:w w:val="87"/>
              </w:rPr>
              <w:t>4.1</w:t>
            </w:r>
          </w:p>
        </w:tc>
        <w:tc>
          <w:tcPr>
            <w:tcW w:w="9860" w:type="dxa"/>
            <w:vAlign w:val="bottom"/>
          </w:tcPr>
          <w:p>
            <w:pPr>
              <w:ind w:left="460"/>
              <w:spacing w:after="0"/>
              <w:rPr>
                <w:sz w:val="20"/>
                <w:szCs w:val="20"/>
                <w:color w:val="auto"/>
              </w:rPr>
            </w:pPr>
            <w:r>
              <w:rPr>
                <w:rFonts w:ascii="Arial" w:cs="Arial" w:eastAsia="Arial" w:hAnsi="Arial"/>
                <w:sz w:val="18"/>
                <w:szCs w:val="18"/>
                <w:color w:val="auto"/>
                <w:w w:val="94"/>
              </w:rPr>
              <w:t>Form of Stock Certificate for Common Stock (incorporated by reference to Exhibit 4.1 to Amendment No. 3 to the Registrant’s</w:t>
            </w:r>
          </w:p>
        </w:tc>
      </w:tr>
      <w:tr>
        <w:trPr>
          <w:trHeight w:val="230"/>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rPr>
              <w:t>Registration Statement on Form S-1, File No. 333-166092, filed with the SEC on June 29, 2010)</w:t>
            </w:r>
          </w:p>
        </w:tc>
      </w:tr>
      <w:tr>
        <w:trPr>
          <w:trHeight w:val="377"/>
        </w:trPr>
        <w:tc>
          <w:tcPr>
            <w:tcW w:w="780" w:type="dxa"/>
            <w:vAlign w:val="bottom"/>
          </w:tcPr>
          <w:p>
            <w:pPr>
              <w:jc w:val="center"/>
              <w:ind w:right="370"/>
              <w:spacing w:after="0"/>
              <w:rPr>
                <w:sz w:val="20"/>
                <w:szCs w:val="20"/>
                <w:color w:val="auto"/>
              </w:rPr>
            </w:pPr>
            <w:r>
              <w:rPr>
                <w:rFonts w:ascii="Arial" w:cs="Arial" w:eastAsia="Arial" w:hAnsi="Arial"/>
                <w:sz w:val="18"/>
                <w:szCs w:val="18"/>
                <w:color w:val="auto"/>
                <w:w w:val="91"/>
              </w:rPr>
              <w:t>10.1</w:t>
            </w:r>
          </w:p>
        </w:tc>
        <w:tc>
          <w:tcPr>
            <w:tcW w:w="9860" w:type="dxa"/>
            <w:vAlign w:val="bottom"/>
          </w:tcPr>
          <w:p>
            <w:pPr>
              <w:ind w:left="460"/>
              <w:spacing w:after="0"/>
              <w:rPr>
                <w:sz w:val="20"/>
                <w:szCs w:val="20"/>
                <w:color w:val="auto"/>
              </w:rPr>
            </w:pPr>
            <w:r>
              <w:rPr>
                <w:rFonts w:ascii="Arial" w:cs="Arial" w:eastAsia="Arial" w:hAnsi="Arial"/>
                <w:sz w:val="18"/>
                <w:szCs w:val="18"/>
                <w:color w:val="auto"/>
                <w:w w:val="92"/>
              </w:rPr>
              <w:t>Third Amendment to Credit Agreement, date as of August 2, 2017, among FleetCor Technologies Operating Company, LLC, as</w:t>
            </w:r>
          </w:p>
        </w:tc>
      </w:tr>
      <w:tr>
        <w:trPr>
          <w:trHeight w:val="216"/>
        </w:trPr>
        <w:tc>
          <w:tcPr>
            <w:tcW w:w="780" w:type="dxa"/>
            <w:vAlign w:val="bottom"/>
          </w:tcPr>
          <w:p>
            <w:pPr>
              <w:spacing w:after="0"/>
              <w:rPr>
                <w:sz w:val="18"/>
                <w:szCs w:val="18"/>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w w:val="89"/>
              </w:rPr>
              <w:t>the Company, FleetCor Technologies, Inc., as the Parent, the designated borrowers party hereto, the other guarantors party hereto,</w:t>
            </w:r>
          </w:p>
        </w:tc>
      </w:tr>
      <w:tr>
        <w:trPr>
          <w:trHeight w:val="216"/>
        </w:trPr>
        <w:tc>
          <w:tcPr>
            <w:tcW w:w="780" w:type="dxa"/>
            <w:vAlign w:val="bottom"/>
          </w:tcPr>
          <w:p>
            <w:pPr>
              <w:spacing w:after="0"/>
              <w:rPr>
                <w:sz w:val="18"/>
                <w:szCs w:val="18"/>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w w:val="91"/>
              </w:rPr>
              <w:t>Bank of America, N.A., as administrative agent, swing line lender and l/c issuer, and the other lenders party hereto Merrill Lynch,</w:t>
            </w:r>
          </w:p>
        </w:tc>
      </w:tr>
      <w:tr>
        <w:trPr>
          <w:trHeight w:val="230"/>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rPr>
              <w:t>Pierce, Fenner &amp; Smith Incorporated, as sole lead arranger and sole book runner</w:t>
            </w:r>
          </w:p>
        </w:tc>
      </w:tr>
      <w:tr>
        <w:trPr>
          <w:trHeight w:val="377"/>
        </w:trPr>
        <w:tc>
          <w:tcPr>
            <w:tcW w:w="780" w:type="dxa"/>
            <w:vAlign w:val="bottom"/>
          </w:tcPr>
          <w:p>
            <w:pPr>
              <w:jc w:val="center"/>
              <w:ind w:right="370"/>
              <w:spacing w:after="0"/>
              <w:rPr>
                <w:sz w:val="20"/>
                <w:szCs w:val="20"/>
                <w:color w:val="auto"/>
              </w:rPr>
            </w:pPr>
            <w:r>
              <w:rPr>
                <w:rFonts w:ascii="Arial" w:cs="Arial" w:eastAsia="Arial" w:hAnsi="Arial"/>
                <w:sz w:val="18"/>
                <w:szCs w:val="18"/>
                <w:color w:val="auto"/>
                <w:w w:val="91"/>
              </w:rPr>
              <w:t>31.1</w:t>
            </w:r>
          </w:p>
        </w:tc>
        <w:tc>
          <w:tcPr>
            <w:tcW w:w="9860" w:type="dxa"/>
            <w:vAlign w:val="bottom"/>
          </w:tcPr>
          <w:p>
            <w:pPr>
              <w:ind w:left="460"/>
              <w:spacing w:after="0"/>
              <w:rPr>
                <w:sz w:val="20"/>
                <w:szCs w:val="20"/>
                <w:color w:val="auto"/>
              </w:rPr>
            </w:pPr>
            <w:r>
              <w:rPr>
                <w:rFonts w:ascii="Arial" w:cs="Arial" w:eastAsia="Arial" w:hAnsi="Arial"/>
                <w:sz w:val="18"/>
                <w:szCs w:val="18"/>
                <w:color w:val="auto"/>
                <w:w w:val="98"/>
              </w:rPr>
              <w:t>Certification of Chief Executive Officer pursuant to Rule 13a-14(a) and rule 15d-14(a) of the Securities Exchange Act, as</w:t>
            </w:r>
          </w:p>
        </w:tc>
      </w:tr>
      <w:tr>
        <w:trPr>
          <w:trHeight w:val="230"/>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rPr>
              <w:t>amended</w:t>
            </w:r>
          </w:p>
        </w:tc>
      </w:tr>
      <w:tr>
        <w:trPr>
          <w:trHeight w:val="392"/>
        </w:trPr>
        <w:tc>
          <w:tcPr>
            <w:tcW w:w="780" w:type="dxa"/>
            <w:vAlign w:val="bottom"/>
          </w:tcPr>
          <w:p>
            <w:pPr>
              <w:jc w:val="center"/>
              <w:ind w:right="370"/>
              <w:spacing w:after="0"/>
              <w:rPr>
                <w:sz w:val="20"/>
                <w:szCs w:val="20"/>
                <w:color w:val="auto"/>
              </w:rPr>
            </w:pPr>
            <w:r>
              <w:rPr>
                <w:rFonts w:ascii="Arial" w:cs="Arial" w:eastAsia="Arial" w:hAnsi="Arial"/>
                <w:sz w:val="18"/>
                <w:szCs w:val="18"/>
                <w:color w:val="auto"/>
                <w:w w:val="91"/>
              </w:rPr>
              <w:t>31.2</w:t>
            </w:r>
          </w:p>
        </w:tc>
        <w:tc>
          <w:tcPr>
            <w:tcW w:w="9860" w:type="dxa"/>
            <w:vAlign w:val="bottom"/>
          </w:tcPr>
          <w:p>
            <w:pPr>
              <w:ind w:left="460"/>
              <w:spacing w:after="0"/>
              <w:rPr>
                <w:sz w:val="20"/>
                <w:szCs w:val="20"/>
                <w:color w:val="auto"/>
              </w:rPr>
            </w:pPr>
            <w:r>
              <w:rPr>
                <w:rFonts w:ascii="Arial" w:cs="Arial" w:eastAsia="Arial" w:hAnsi="Arial"/>
                <w:sz w:val="18"/>
                <w:szCs w:val="18"/>
                <w:color w:val="auto"/>
                <w:w w:val="91"/>
              </w:rPr>
              <w:t>Certification of Chief Financial Officer pursuant to Rule 13a-14(a) and rule 15d-14(a) of the Securities Exchange Act, as amended</w:t>
            </w:r>
          </w:p>
        </w:tc>
      </w:tr>
      <w:tr>
        <w:trPr>
          <w:trHeight w:val="377"/>
        </w:trPr>
        <w:tc>
          <w:tcPr>
            <w:tcW w:w="780" w:type="dxa"/>
            <w:vAlign w:val="bottom"/>
          </w:tcPr>
          <w:p>
            <w:pPr>
              <w:jc w:val="center"/>
              <w:ind w:right="370"/>
              <w:spacing w:after="0"/>
              <w:rPr>
                <w:sz w:val="20"/>
                <w:szCs w:val="20"/>
                <w:color w:val="auto"/>
              </w:rPr>
            </w:pPr>
            <w:r>
              <w:rPr>
                <w:rFonts w:ascii="Arial" w:cs="Arial" w:eastAsia="Arial" w:hAnsi="Arial"/>
                <w:sz w:val="18"/>
                <w:szCs w:val="18"/>
                <w:color w:val="auto"/>
                <w:w w:val="91"/>
              </w:rPr>
              <w:t>32.1</w:t>
            </w:r>
          </w:p>
        </w:tc>
        <w:tc>
          <w:tcPr>
            <w:tcW w:w="9860" w:type="dxa"/>
            <w:vAlign w:val="bottom"/>
          </w:tcPr>
          <w:p>
            <w:pPr>
              <w:ind w:left="460"/>
              <w:spacing w:after="0"/>
              <w:rPr>
                <w:sz w:val="20"/>
                <w:szCs w:val="20"/>
                <w:color w:val="auto"/>
              </w:rPr>
            </w:pPr>
            <w:r>
              <w:rPr>
                <w:rFonts w:ascii="Arial" w:cs="Arial" w:eastAsia="Arial" w:hAnsi="Arial"/>
                <w:sz w:val="18"/>
                <w:szCs w:val="18"/>
                <w:color w:val="auto"/>
                <w:w w:val="93"/>
              </w:rPr>
              <w:t>Certification of Chief Executive Officer pursuant to 18 U.S.C. 1350, as adopted pursuant to Section 906 of the Sarbanes-Oxley</w:t>
            </w:r>
          </w:p>
        </w:tc>
      </w:tr>
      <w:tr>
        <w:trPr>
          <w:trHeight w:val="230"/>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rPr>
              <w:t>Act of 2001</w:t>
            </w:r>
          </w:p>
        </w:tc>
      </w:tr>
      <w:tr>
        <w:trPr>
          <w:trHeight w:val="377"/>
        </w:trPr>
        <w:tc>
          <w:tcPr>
            <w:tcW w:w="780" w:type="dxa"/>
            <w:vAlign w:val="bottom"/>
          </w:tcPr>
          <w:p>
            <w:pPr>
              <w:jc w:val="center"/>
              <w:ind w:right="370"/>
              <w:spacing w:after="0"/>
              <w:rPr>
                <w:sz w:val="20"/>
                <w:szCs w:val="20"/>
                <w:color w:val="auto"/>
              </w:rPr>
            </w:pPr>
            <w:r>
              <w:rPr>
                <w:rFonts w:ascii="Arial" w:cs="Arial" w:eastAsia="Arial" w:hAnsi="Arial"/>
                <w:sz w:val="18"/>
                <w:szCs w:val="18"/>
                <w:color w:val="auto"/>
                <w:w w:val="91"/>
              </w:rPr>
              <w:t>32.2</w:t>
            </w:r>
          </w:p>
        </w:tc>
        <w:tc>
          <w:tcPr>
            <w:tcW w:w="9860" w:type="dxa"/>
            <w:vAlign w:val="bottom"/>
          </w:tcPr>
          <w:p>
            <w:pPr>
              <w:ind w:left="46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0"/>
        </w:trPr>
        <w:tc>
          <w:tcPr>
            <w:tcW w:w="780" w:type="dxa"/>
            <w:vAlign w:val="bottom"/>
          </w:tcPr>
          <w:p>
            <w:pPr>
              <w:spacing w:after="0"/>
              <w:rPr>
                <w:sz w:val="20"/>
                <w:szCs w:val="20"/>
                <w:color w:val="auto"/>
              </w:rPr>
            </w:pPr>
          </w:p>
        </w:tc>
        <w:tc>
          <w:tcPr>
            <w:tcW w:w="9860" w:type="dxa"/>
            <w:vAlign w:val="bottom"/>
          </w:tcPr>
          <w:p>
            <w:pPr>
              <w:ind w:left="460"/>
              <w:spacing w:after="0"/>
              <w:rPr>
                <w:sz w:val="20"/>
                <w:szCs w:val="20"/>
                <w:color w:val="auto"/>
              </w:rPr>
            </w:pPr>
            <w:r>
              <w:rPr>
                <w:rFonts w:ascii="Arial" w:cs="Arial" w:eastAsia="Arial" w:hAnsi="Arial"/>
                <w:sz w:val="18"/>
                <w:szCs w:val="18"/>
                <w:color w:val="auto"/>
              </w:rPr>
              <w:t>of 2001</w:t>
            </w:r>
          </w:p>
        </w:tc>
      </w:tr>
    </w:tbl>
    <w:p>
      <w:pPr>
        <w:spacing w:after="0" w:line="161" w:lineRule="exact"/>
        <w:rPr>
          <w:sz w:val="20"/>
          <w:szCs w:val="20"/>
          <w:color w:val="auto"/>
        </w:rPr>
      </w:pPr>
    </w:p>
    <w:p>
      <w:pPr>
        <w:ind w:left="2000" w:right="80" w:hanging="1222"/>
        <w:spacing w:after="0" w:line="259" w:lineRule="auto"/>
        <w:tabs>
          <w:tab w:leader="none" w:pos="2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their capacities indicated on August 8, 2017.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FleetCor Technologies, Inc.</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42"/>
        </w:trPr>
        <w:tc>
          <w:tcPr>
            <w:tcW w:w="5040" w:type="dxa"/>
            <w:vAlign w:val="bottom"/>
          </w:tcPr>
          <w:p>
            <w:pPr>
              <w:ind w:left="2220"/>
              <w:spacing w:after="0"/>
              <w:rPr>
                <w:sz w:val="20"/>
                <w:szCs w:val="20"/>
                <w:color w:val="auto"/>
              </w:rPr>
            </w:pPr>
            <w:r>
              <w:rPr>
                <w:rFonts w:ascii="Arial" w:cs="Arial" w:eastAsia="Arial" w:hAnsi="Arial"/>
                <w:sz w:val="14"/>
                <w:szCs w:val="14"/>
                <w:b w:val="1"/>
                <w:bCs w:val="1"/>
                <w:color w:val="auto"/>
              </w:rPr>
              <w:t>Signature</w:t>
            </w:r>
          </w:p>
        </w:tc>
        <w:tc>
          <w:tcPr>
            <w:tcW w:w="920" w:type="dxa"/>
            <w:vAlign w:val="bottom"/>
          </w:tcPr>
          <w:p>
            <w:pPr>
              <w:spacing w:after="0"/>
              <w:rPr>
                <w:sz w:val="24"/>
                <w:szCs w:val="24"/>
                <w:color w:val="auto"/>
              </w:rPr>
            </w:pPr>
          </w:p>
        </w:tc>
        <w:tc>
          <w:tcPr>
            <w:tcW w:w="5460" w:type="dxa"/>
            <w:vAlign w:val="bottom"/>
          </w:tcPr>
          <w:p>
            <w:pPr>
              <w:ind w:left="26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80"/>
        </w:trPr>
        <w:tc>
          <w:tcPr>
            <w:tcW w:w="50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6"/>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/s/ Ronald F. Clarke</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82"/>
        </w:trPr>
        <w:tc>
          <w:tcPr>
            <w:tcW w:w="50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Directors (Duly Authorized Officer and Principal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920" w:type="dxa"/>
            <w:vAlign w:val="bottom"/>
            <w:vMerge w:val="restart"/>
          </w:tcPr>
          <w:p>
            <w:pPr>
              <w:spacing w:after="0"/>
              <w:rPr>
                <w:sz w:val="2"/>
                <w:szCs w:val="2"/>
                <w:color w:val="auto"/>
              </w:rPr>
            </w:pPr>
          </w:p>
        </w:tc>
        <w:tc>
          <w:tcPr>
            <w:tcW w:w="5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Ronald F. Clarke</w:t>
            </w:r>
          </w:p>
        </w:tc>
        <w:tc>
          <w:tcPr>
            <w:tcW w:w="920" w:type="dxa"/>
            <w:vAlign w:val="bottom"/>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5040" w:type="dxa"/>
            <w:vAlign w:val="bottom"/>
          </w:tcPr>
          <w:p>
            <w:pPr>
              <w:ind w:left="40"/>
              <w:spacing w:after="0"/>
              <w:rPr>
                <w:sz w:val="20"/>
                <w:szCs w:val="20"/>
                <w:color w:val="auto"/>
              </w:rPr>
            </w:pPr>
            <w:r>
              <w:rPr>
                <w:rFonts w:ascii="Arial" w:cs="Arial" w:eastAsia="Arial" w:hAnsi="Arial"/>
                <w:sz w:val="18"/>
                <w:szCs w:val="18"/>
                <w:color w:val="auto"/>
              </w:rPr>
              <w:t>/s/ Eric R. Dey</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0" w:type="dxa"/>
            <w:vAlign w:val="bottom"/>
          </w:tcPr>
          <w:p>
            <w:pPr>
              <w:spacing w:after="0"/>
              <w:rPr>
                <w:sz w:val="1"/>
                <w:szCs w:val="1"/>
                <w:color w:val="auto"/>
              </w:rPr>
            </w:pPr>
          </w:p>
        </w:tc>
      </w:tr>
      <w:tr>
        <w:trPr>
          <w:trHeight w:val="41"/>
        </w:trPr>
        <w:tc>
          <w:tcPr>
            <w:tcW w:w="5040" w:type="dxa"/>
            <w:vAlign w:val="bottom"/>
            <w:tcBorders>
              <w:bottom w:val="single" w:sz="8" w:color="auto"/>
            </w:tcBorders>
          </w:tcPr>
          <w:p>
            <w:pPr>
              <w:spacing w:after="0"/>
              <w:rPr>
                <w:sz w:val="3"/>
                <w:szCs w:val="3"/>
                <w:color w:val="auto"/>
              </w:rPr>
            </w:pPr>
          </w:p>
        </w:tc>
        <w:tc>
          <w:tcPr>
            <w:tcW w:w="920" w:type="dxa"/>
            <w:vAlign w:val="bottom"/>
            <w:vMerge w:val="restart"/>
          </w:tcPr>
          <w:p>
            <w:pPr>
              <w:spacing w:after="0"/>
              <w:rPr>
                <w:sz w:val="3"/>
                <w:szCs w:val="3"/>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16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Eric R. Dey</w:t>
            </w:r>
          </w:p>
        </w:tc>
        <w:tc>
          <w:tcPr>
            <w:tcW w:w="920" w:type="dxa"/>
            <w:vAlign w:val="bottom"/>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0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2"/>
        </w:trPr>
        <w:tc>
          <w:tcPr>
            <w:tcW w:w="504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THIRD AMENDMENT TO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August 2,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FLEETCOR TECHNOLOGIES OPERATING COMPANY,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FLEETCOR TECHNOLOGIES,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Parent,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DESIGNATED BORROWERS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GUARANTORS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 Swing Line Lender and L/C Issuer,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LENDERS PARTY HERETO</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MERRILL LYNCH, PIERCE, FENNER &amp; SMITH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PNC CAPITAL MARKETS, LLC</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THE BANK OF TOKYO-MITSUBISHI UFJ, LTD.,</w:t>
      </w:r>
    </w:p>
    <w:p>
      <w:pPr>
        <w:jc w:val="center"/>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9019"/>
          </w:cols>
          <w:pgMar w:left="1440" w:top="366"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THIRD AMENDMENT TO CREDIT AGREEMENT</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THIS THIRD AMENDMENT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August 2, 2017 (the “</w:t>
      </w:r>
      <w:r>
        <w:rPr>
          <w:rFonts w:ascii="Arial" w:cs="Arial" w:eastAsia="Arial" w:hAnsi="Arial"/>
          <w:sz w:val="20"/>
          <w:szCs w:val="20"/>
          <w:u w:val="single" w:color="auto"/>
          <w:color w:val="auto"/>
        </w:rPr>
        <w:t>Third Amendment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Effective Date</w:t>
      </w:r>
      <w:r>
        <w:rPr>
          <w:rFonts w:ascii="Arial" w:cs="Arial" w:eastAsia="Arial" w:hAnsi="Arial"/>
          <w:sz w:val="20"/>
          <w:szCs w:val="20"/>
          <w:color w:val="auto"/>
        </w:rPr>
        <w:t>”) is entered into among FLEETCOR TECHNOLOGIES OPERATING COMPANY, LLC, a Georgia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FLEETCOR TECHNOLOGIES, INC., a Delaware corporation (the “</w:t>
      </w:r>
      <w:r>
        <w:rPr>
          <w:rFonts w:ascii="Arial" w:cs="Arial" w:eastAsia="Arial" w:hAnsi="Arial"/>
          <w:sz w:val="20"/>
          <w:szCs w:val="20"/>
          <w:u w:val="single" w:color="auto"/>
          <w:color w:val="auto"/>
        </w:rPr>
        <w:t>Parent</w:t>
      </w:r>
      <w:r>
        <w:rPr>
          <w:rFonts w:ascii="Arial" w:cs="Arial" w:eastAsia="Arial" w:hAnsi="Arial"/>
          <w:sz w:val="20"/>
          <w:szCs w:val="20"/>
          <w:color w:val="auto"/>
        </w:rPr>
        <w:t>”), the Designated Borrowers party hereto (including FleetCor Luxembourg Holding2, a société à responsabilité limitée, incorporated under the laws of the Grand-Duchy of Luxembourg, with a share capital of EUR 143,775,650, having its registered office at 5, rue Guillaume Kroll, L-1882 Luxembourg and registered with the Registre de Commerce et des Sociétés, Luxembourg under number B 121.980), the other Guarantors party hereto, the Lenders party hereto and Bank of America,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L/C Issuer and Swing Line Lender. Capitalized terms used but not otherwise defined herein shall have the meanings given to such terms in the Credit Agreement (as defined below) as amended hereby.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WHEREAS, pursuant to that certain Credit Agreement dated as of October 24, 2014 (as amended, modified, supplemented, increased or extended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Company, the Parent, the Designated Borrowers from time to time party thereto, the Lenders from time to time party thereto and Bank of America, N.A., as Administrative Agent, L/C Issuer and Swing Line Lender, the Lenders have agreed to provide the Borrowers with the credit facilities provided for therein; and</w:t>
      </w:r>
    </w:p>
    <w:p>
      <w:pPr>
        <w:spacing w:after="0" w:line="199" w:lineRule="exact"/>
        <w:rPr>
          <w:sz w:val="20"/>
          <w:szCs w:val="20"/>
          <w:color w:val="auto"/>
        </w:rPr>
      </w:pPr>
    </w:p>
    <w:p>
      <w:pPr>
        <w:ind w:right="100"/>
        <w:spacing w:after="0" w:line="309" w:lineRule="auto"/>
        <w:rPr>
          <w:sz w:val="20"/>
          <w:szCs w:val="20"/>
          <w:color w:val="auto"/>
        </w:rPr>
      </w:pPr>
      <w:r>
        <w:rPr>
          <w:rFonts w:ascii="Arial" w:cs="Arial" w:eastAsia="Arial" w:hAnsi="Arial"/>
          <w:sz w:val="19"/>
          <w:szCs w:val="19"/>
          <w:color w:val="auto"/>
        </w:rPr>
        <w:t>WHEREAS, the Company has requested (a) an increase in the amount of the Term A Loan up to $2,690,000,000, (b) the replacement of the Aggregate Revolving A Commitments (as defined in the Credit Agreement as in effect immediately prior to the effectiveness of this Amendment) with the Aggregate Revolving A Commitments and the Aggregate Revolving B Commitments (each as defined in the Credit Agreement as in effect immediately after effectiveness of this Amendment), (c) the institution of a new term B loan tranche (the “</w:t>
      </w:r>
      <w:r>
        <w:rPr>
          <w:rFonts w:ascii="Arial" w:cs="Arial" w:eastAsia="Arial" w:hAnsi="Arial"/>
          <w:sz w:val="19"/>
          <w:szCs w:val="19"/>
          <w:u w:val="single" w:color="auto"/>
          <w:color w:val="auto"/>
        </w:rPr>
        <w:t>Term B-3 Loan</w:t>
      </w:r>
      <w:r>
        <w:rPr>
          <w:rFonts w:ascii="Arial" w:cs="Arial" w:eastAsia="Arial" w:hAnsi="Arial"/>
          <w:sz w:val="19"/>
          <w:szCs w:val="19"/>
          <w:color w:val="auto"/>
        </w:rPr>
        <w:t>”) in replacement of the existing Term B-2 Loan in an aggregate principal amount of $350,000,000, and (d) certain amendments to the Credit Agreement in connection therewith, as more particularly set forth herein.</w:t>
      </w:r>
    </w:p>
    <w:p>
      <w:pPr>
        <w:spacing w:after="0" w:line="19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90" w:lineRule="exact"/>
        <w:rPr>
          <w:sz w:val="20"/>
          <w:szCs w:val="20"/>
          <w:color w:val="auto"/>
        </w:rPr>
      </w:pPr>
    </w:p>
    <w:p>
      <w:pPr>
        <w:jc w:val="both"/>
        <w:ind w:firstLine="656"/>
        <w:spacing w:after="0" w:line="256" w:lineRule="auto"/>
        <w:tabs>
          <w:tab w:leader="none" w:pos="104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Increase of Term A Loan</w:t>
      </w:r>
      <w:r>
        <w:rPr>
          <w:rFonts w:ascii="Arial" w:cs="Arial" w:eastAsia="Arial" w:hAnsi="Arial"/>
          <w:sz w:val="19"/>
          <w:szCs w:val="19"/>
          <w:color w:val="auto"/>
        </w:rPr>
        <w:t xml:space="preserve">. Subject to the terms and conditions set forth herein and in the Credit Agreement as amended hereby, upon giving effect to this Amendment, each Lender (including any New Lenders) identified as having a “Term A Loan Commitment”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attached to this Amendment shall be a Term A Lender and severally agrees to make its portion of Term A Loan advances to the Company in Dollars on the date hereof in accordance with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of the Credit Agreement (as amended hereby), in an aggregate amount not to exceed such Term A Lender’s Term A Loan Commitment. The parties hereto agree that the Company, the Lenders and the Administrative Agent shall effect such assignments, prepayments, borrowings and reallocations as are necessary to effectuate the modifications contemplated in this Amendment such that, after giving effect thereto, each Term A Lender shall hold the portion of the Term A Loan in the amount set forth opposite its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attached to this Amendment under the caption “Term A Loan Commitments” (it being understood that some or all of the</w:t>
      </w:r>
    </w:p>
    <w:p>
      <w:pPr>
        <w:sectPr>
          <w:pgSz w:w="11900" w:h="16838" w:orient="portrait"/>
          <w:cols w:equalWidth="0" w:num="1">
            <w:col w:w="11420"/>
          </w:cols>
          <w:pgMar w:left="240" w:top="757" w:right="239" w:bottom="1440" w:gutter="0" w:footer="0" w:header="0"/>
        </w:sectPr>
      </w:pPr>
    </w:p>
    <w:bookmarkStart w:id="49" w:name="page50"/>
    <w:bookmarkEnd w:id="49"/>
    <w:p>
      <w:pPr>
        <w:jc w:val="both"/>
        <w:spacing w:after="0" w:line="244" w:lineRule="auto"/>
        <w:rPr>
          <w:sz w:val="20"/>
          <w:szCs w:val="20"/>
          <w:color w:val="auto"/>
        </w:rPr>
      </w:pPr>
      <w:r>
        <w:rPr>
          <w:rFonts w:ascii="Arial" w:cs="Arial" w:eastAsia="Arial" w:hAnsi="Arial"/>
          <w:sz w:val="20"/>
          <w:szCs w:val="20"/>
          <w:color w:val="auto"/>
        </w:rPr>
        <w:t xml:space="preserve">Term A Loan outstanding under the Credit Agreement immediately prior to the effectiveness of this Amendment may remain outstanding under the Credit Agreement upon the effectiveness of this Amendment in accordance with the foregoing, and upon such effectiveness shall be deemed a portion of the Term A Loan funded on the date hereof and outstanding under the Credit Agreement as amended by this Amendment). Each Lender waives any right to compensation under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of the Credit Agreement in connection with the transactions described above in this </w:t>
      </w:r>
      <w:r>
        <w:rPr>
          <w:rFonts w:ascii="Arial" w:cs="Arial" w:eastAsia="Arial" w:hAnsi="Arial"/>
          <w:sz w:val="20"/>
          <w:szCs w:val="20"/>
          <w:u w:val="single" w:color="auto"/>
          <w:color w:val="auto"/>
        </w:rPr>
        <w:t>Section 1</w:t>
      </w:r>
      <w:r>
        <w:rPr>
          <w:rFonts w:ascii="Arial" w:cs="Arial" w:eastAsia="Arial" w:hAnsi="Arial"/>
          <w:sz w:val="20"/>
          <w:szCs w:val="20"/>
          <w:color w:val="auto"/>
        </w:rPr>
        <w:t>.</w:t>
      </w:r>
    </w:p>
    <w:p>
      <w:pPr>
        <w:spacing w:after="0" w:line="208" w:lineRule="exact"/>
        <w:rPr>
          <w:sz w:val="20"/>
          <w:szCs w:val="20"/>
          <w:color w:val="auto"/>
        </w:rPr>
      </w:pPr>
    </w:p>
    <w:p>
      <w:pPr>
        <w:ind w:left="1000" w:hanging="344"/>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Establishment of Term B-3 Loan; Conversion of Existing Term B-2 Loan; Non-Consenting Term B-2 Lenders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firstLine="645"/>
        <w:spacing w:after="0" w:line="278" w:lineRule="auto"/>
        <w:tabs>
          <w:tab w:leader="none" w:pos="17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the Term B-3 Loan in the original principal amount of $350,000,000 is hereby established and the parties hereto agree that, on the Third Amendment Effective Date, the Term B-2 Loan made by the Term B-2 Lenders under the Credit Agreement as in effect immediately prior to effectiveness of this Amendment is hereby replaced in its entirety with the Term B-3 Loan. As used in this Amendment, the terms “Term B-2 Loan” and “Term B-2 Lenders” shall have the meanings given thereto in the Credit Agreement as in effect immediately prior to effectiveness of this Amendment.</w:t>
      </w:r>
    </w:p>
    <w:p>
      <w:pPr>
        <w:spacing w:after="0" w:line="111" w:lineRule="exact"/>
        <w:rPr>
          <w:rFonts w:ascii="Arial" w:cs="Arial" w:eastAsia="Arial" w:hAnsi="Arial"/>
          <w:sz w:val="18"/>
          <w:szCs w:val="18"/>
          <w:color w:val="auto"/>
        </w:rPr>
      </w:pPr>
    </w:p>
    <w:p>
      <w:pPr>
        <w:jc w:val="both"/>
        <w:ind w:left="660" w:firstLine="645"/>
        <w:spacing w:after="0" w:line="270" w:lineRule="auto"/>
        <w:tabs>
          <w:tab w:leader="none" w:pos="17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Certain of the Term B-2 Lenders (each, a “</w:t>
      </w:r>
      <w:r>
        <w:rPr>
          <w:rFonts w:ascii="Arial" w:cs="Arial" w:eastAsia="Arial" w:hAnsi="Arial"/>
          <w:sz w:val="18"/>
          <w:szCs w:val="18"/>
          <w:u w:val="single" w:color="auto"/>
          <w:color w:val="auto"/>
        </w:rPr>
        <w:t>Converting Lender</w:t>
      </w:r>
      <w:r>
        <w:rPr>
          <w:rFonts w:ascii="Arial" w:cs="Arial" w:eastAsia="Arial" w:hAnsi="Arial"/>
          <w:sz w:val="18"/>
          <w:szCs w:val="18"/>
          <w:color w:val="auto"/>
        </w:rPr>
        <w:t>”) have notified the Administrative Agent of their intention to convert on the Third Amendment Effective Date the portion of the existing Term B-2 Loan held by such Converting Lender and reflected on the Register (immediately prior to giving effect to this Amendment) opposite such Converting Lender’s name into a portion of the Term B-3 Loan. Each Converting Lender represents and warrants that it holds the portion of the existing Term B-2 Loan set forth on the Register (immediately prior to giving effect to this Amendment) opposite such Converting Lender’s name and that it has not assigned or participated such portion of the existing Term B-2 Loan to any other Person. The Loan Parties, the Administrative Agent and each Converting Lender hereby agree that on the Third Amendment Effective Date the principal amount of the portion of the existing Term B-2 Loan set forth on the Register (immediately prior to giving effect to this Amendment) opposite such Converting Lender’s name and owing to such Converting Lender under the Credit Agreement shall be converted (the “</w:t>
      </w:r>
      <w:r>
        <w:rPr>
          <w:rFonts w:ascii="Arial" w:cs="Arial" w:eastAsia="Arial" w:hAnsi="Arial"/>
          <w:sz w:val="18"/>
          <w:szCs w:val="18"/>
          <w:u w:val="single" w:color="auto"/>
          <w:color w:val="auto"/>
        </w:rPr>
        <w:t>Conversion</w:t>
      </w:r>
      <w:r>
        <w:rPr>
          <w:rFonts w:ascii="Arial" w:cs="Arial" w:eastAsia="Arial" w:hAnsi="Arial"/>
          <w:sz w:val="18"/>
          <w:szCs w:val="18"/>
          <w:color w:val="auto"/>
        </w:rPr>
        <w:t>”) into a portion of the Term B-3 Loan in an aggregate principal amount equal to the amount set forth on the Register (immediately after giving effect to this Amendment) opposite such Converting Lender’s name, as contemplated by and to be evidenced and governed by the Credit Agreement and the related Loan Documents, in each case, as amended hereby, all on the terms and conditions set forth in the Credit Agreement, as amended hereby, and this Amendment.</w:t>
      </w:r>
    </w:p>
    <w:p>
      <w:pPr>
        <w:spacing w:after="0" w:line="119" w:lineRule="exact"/>
        <w:rPr>
          <w:rFonts w:ascii="Arial" w:cs="Arial" w:eastAsia="Arial" w:hAnsi="Arial"/>
          <w:sz w:val="18"/>
          <w:szCs w:val="18"/>
          <w:color w:val="auto"/>
        </w:rPr>
      </w:pPr>
    </w:p>
    <w:p>
      <w:pPr>
        <w:jc w:val="both"/>
        <w:ind w:left="660" w:firstLine="645"/>
        <w:spacing w:after="0" w:line="272" w:lineRule="auto"/>
        <w:tabs>
          <w:tab w:leader="none" w:pos="17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order to effect the Conversion, (i) the Administrative Agent has notified the Company that upon the Third Amendment Effective Date it will mark the Register to reflect the existing Term B-2 Loan as no longer outstanding on the Third Amendment Effective Date, and (ii) each Converting Lender shall be deemed to become a party to the Credit Agreement as a Term B-3 Lender on the Third Amendment Effective Date in respect of the Term B-3 Loan in the amount set forth opposite such Converting Lender’s name on the Register (immediately after giving effect to this Amendment). The Conversion will not affect the right of any Converting Lender to receive any accrued and unpaid interest with respect to the existing Term B-2 Loan that is owed to such Converting Lender, all of which shall be paid by the Company on the Third Amendment Effective Date (but it is understood and agreed that the existing Term B-2 Loan shall not bear any interest from and after the Conversion). Furthermore, each Converting Lender agrees that, effective upon the Conversion and subject to receipt of such accrued and unpaid interest, it no longer holds any portion of the existing Term B-2 Loan.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6" w:right="239" w:bottom="1440" w:gutter="0" w:footer="0" w:header="0"/>
        </w:sectPr>
      </w:pPr>
    </w:p>
    <w:bookmarkStart w:id="50" w:name="page51"/>
    <w:bookmarkEnd w:id="50"/>
    <w:p>
      <w:pPr>
        <w:jc w:val="both"/>
        <w:ind w:left="660" w:firstLine="645"/>
        <w:spacing w:after="0" w:line="243" w:lineRule="auto"/>
        <w:tabs>
          <w:tab w:leader="none" w:pos="1784" w:val="left"/>
        </w:tabs>
        <w:numPr>
          <w:ilvl w:val="1"/>
          <w:numId w:val="23"/>
        </w:numPr>
        <w:rPr>
          <w:rFonts w:ascii="Arial" w:cs="Arial" w:eastAsia="Arial" w:hAnsi="Arial"/>
          <w:sz w:val="20"/>
          <w:szCs w:val="20"/>
          <w:color w:val="auto"/>
        </w:rPr>
      </w:pPr>
      <w:r>
        <w:rPr>
          <w:rFonts w:ascii="Arial" w:cs="Arial" w:eastAsia="Arial" w:hAnsi="Arial"/>
          <w:sz w:val="20"/>
          <w:szCs w:val="20"/>
          <w:color w:val="auto"/>
        </w:rPr>
        <w:t>Upon giving effect to this Amendment, (i) the outstanding portion of the Term B-2 Loan of each Term B-2 Lender that has not delivered to the Administrative Agent an executed signature page to this Amendment (each, a “</w:t>
      </w:r>
      <w:r>
        <w:rPr>
          <w:rFonts w:ascii="Arial" w:cs="Arial" w:eastAsia="Arial" w:hAnsi="Arial"/>
          <w:sz w:val="20"/>
          <w:szCs w:val="20"/>
          <w:u w:val="single" w:color="auto"/>
          <w:color w:val="auto"/>
        </w:rPr>
        <w:t>Non-Consenting Term B-2</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w:t>
      </w:r>
      <w:r>
        <w:rPr>
          <w:rFonts w:ascii="Arial" w:cs="Arial" w:eastAsia="Arial" w:hAnsi="Arial"/>
          <w:sz w:val="20"/>
          <w:szCs w:val="20"/>
          <w:color w:val="auto"/>
        </w:rPr>
        <w:t>”) shall be fully assigned at par to Term B-3 Lenders so that, after giving effect to such assignments, the Term B-3 Lenders shall hold the portions of the Term B-3 Loan, and have the Applicable Percentages in respect of the Term B-3 Loan, as set forth on the Register (immediately after giving effect to this Amendment), and (ii) each Non-Consenting Term B-2 Lender shall no longer be a Term B-2 Lender under the Credit Agreement.</w:t>
      </w:r>
    </w:p>
    <w:p>
      <w:pPr>
        <w:spacing w:after="0" w:line="142" w:lineRule="exact"/>
        <w:rPr>
          <w:rFonts w:ascii="Arial" w:cs="Arial" w:eastAsia="Arial" w:hAnsi="Arial"/>
          <w:sz w:val="20"/>
          <w:szCs w:val="20"/>
          <w:color w:val="auto"/>
        </w:rPr>
      </w:pPr>
    </w:p>
    <w:p>
      <w:pPr>
        <w:jc w:val="both"/>
        <w:ind w:left="660" w:firstLine="645"/>
        <w:spacing w:after="0" w:line="260" w:lineRule="auto"/>
        <w:tabs>
          <w:tab w:leader="none" w:pos="1828"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The parties hereto agree that the Company, the Lenders and the Administrative Agent shall effect such assignments, prepayments, borrowings and reallocations as are necessary to effectuate the modifications contemplated in this Amendment such that, after giving effect thereto, the Term B-3 Lenders shall hold the portions of the Term B-3 Loan as set forth on the Register (immediately after giving effect to this Amendment). Each Lender waives any right to compensation under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of the Credit Agreement in connection with the transactions described above in this </w:t>
      </w:r>
      <w:r>
        <w:rPr>
          <w:rFonts w:ascii="Arial" w:cs="Arial" w:eastAsia="Arial" w:hAnsi="Arial"/>
          <w:sz w:val="19"/>
          <w:szCs w:val="19"/>
          <w:u w:val="single" w:color="auto"/>
          <w:color w:val="auto"/>
        </w:rPr>
        <w:t>Section 2</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firstLine="656"/>
        <w:spacing w:after="0" w:line="268" w:lineRule="auto"/>
        <w:tabs>
          <w:tab w:leader="none" w:pos="102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Reallocation of Revolving Commitments</w:t>
      </w:r>
      <w:r>
        <w:rPr>
          <w:rFonts w:ascii="Arial" w:cs="Arial" w:eastAsia="Arial" w:hAnsi="Arial"/>
          <w:sz w:val="18"/>
          <w:szCs w:val="18"/>
          <w:color w:val="auto"/>
        </w:rPr>
        <w:t xml:space="preserve">. Each Lender (including any New Lenders) hereby agrees that, subject to the terms and conditions set forth herein and in the Credit Agreement as amended hereby, upon giving effect to this Amendment, (a) its Revolving A Commitment (if any) is set forth opposite its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to this Amendment under the caption “Revolving A Commitments,” (b) its Revolving B Commitment (if any) is set forth opposite its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to this Amendment under the caption “Revolving B Commitments” and (c) its Revolving C Commitment (if any) is set forth opposite its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to this Amendment under the caption “Revolving C Commitments”. On the date hereof, upon giving effect to this Amendment, (i) each Revolving A Lender, Revolving B Lender and Revolving C Lender shall, subject to the terms and conditions of this Amendment and the Credit Agreement as amended hereby, make Revolving Loan advances in such amounts, and the parties hereto agree that the Borrowers, the Lenders and the Administrative Agent shall effect such assignments, prepayments, borrowings and reallocations as are necessary to effectuate the modifications contemplated in this Amendment, in each case such that, after giving effect thereto, each Revolving A Lender, Revolving B Lender and Revolving C Lender will hold its respective Applicable Percentage of the Outstanding Amount of all Revolving A Loans, Revolving B Loans and Revolving C Loans in accordance with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to this Amendment (it being understood that some or all of the Revolving Loans outstanding under the Credit Agreement immediately prior to the effectiveness of this Amendment may remain outstanding under the Credit Agreement upon the effectiveness of this Amendment in accordance with the foregoing, and upon such effectiveness shall be deemed Revolving Loans funded on the date hereof and outstanding under the Credit Agreement as amended by this Amendment) and (ii) the risk participations of the Lenders in each outstanding Letter of Credit, each outstanding Domestic Swingline Loan and each outstanding Foreign Swingline Loan shall be automatically reallocated in accordance with each Lender’s Applicable Percentage in respect of the Aggregate Revolving A Commitments and the Aggregate Revolving B Commitments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to this Amendment). Each Lender waives any right to compensation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Credit Agreement in connection with the transactions described above in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firstLine="656"/>
        <w:spacing w:after="0" w:line="263" w:lineRule="auto"/>
        <w:tabs>
          <w:tab w:leader="none" w:pos="106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The Credit Agreement is hereby amended as follows: The Credit Agreement is hereby amended in its entirety to read in the form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O</w:t>
      </w:r>
      <w:r>
        <w:rPr>
          <w:rFonts w:ascii="Arial" w:cs="Arial" w:eastAsia="Arial" w:hAnsi="Arial"/>
          <w:sz w:val="19"/>
          <w:szCs w:val="19"/>
          <w:color w:val="auto"/>
        </w:rPr>
        <w:t xml:space="preserve"> to the Credit Agreement are hereby amended in their entireties to read in the forms attached hereto as </w:t>
      </w:r>
      <w:r>
        <w:rPr>
          <w:rFonts w:ascii="Arial" w:cs="Arial" w:eastAsia="Arial" w:hAnsi="Arial"/>
          <w:sz w:val="19"/>
          <w:szCs w:val="19"/>
          <w:u w:val="single" w:color="auto"/>
          <w:color w:val="auto"/>
        </w:rPr>
        <w:t>Exhibits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O</w:t>
      </w:r>
      <w:r>
        <w:rPr>
          <w:rFonts w:ascii="Arial" w:cs="Arial" w:eastAsia="Arial" w:hAnsi="Arial"/>
          <w:sz w:val="19"/>
          <w:szCs w:val="19"/>
          <w:color w:val="auto"/>
        </w:rPr>
        <w:t xml:space="preserve">, respectively. </w:t>
      </w:r>
      <w:r>
        <w:rPr>
          <w:rFonts w:ascii="Arial" w:cs="Arial" w:eastAsia="Arial" w:hAnsi="Arial"/>
          <w:sz w:val="19"/>
          <w:szCs w:val="19"/>
          <w:u w:val="single" w:color="auto"/>
          <w:color w:val="auto"/>
        </w:rPr>
        <w:t>Schedules 2.01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w:t>
      </w:r>
      <w:r>
        <w:rPr>
          <w:rFonts w:ascii="Arial" w:cs="Arial" w:eastAsia="Arial" w:hAnsi="Arial"/>
          <w:sz w:val="19"/>
          <w:szCs w:val="19"/>
          <w:u w:val="single" w:color="auto"/>
          <w:color w:val="auto"/>
        </w:rPr>
        <w:t>6.17</w:t>
      </w:r>
      <w:r>
        <w:rPr>
          <w:rFonts w:ascii="Arial" w:cs="Arial" w:eastAsia="Arial" w:hAnsi="Arial"/>
          <w:sz w:val="19"/>
          <w:szCs w:val="19"/>
          <w:color w:val="auto"/>
        </w:rPr>
        <w:t xml:space="preserve">, </w:t>
      </w:r>
      <w:r>
        <w:rPr>
          <w:rFonts w:ascii="Arial" w:cs="Arial" w:eastAsia="Arial" w:hAnsi="Arial"/>
          <w:sz w:val="19"/>
          <w:szCs w:val="19"/>
          <w:u w:val="single" w:color="auto"/>
          <w:color w:val="auto"/>
        </w:rPr>
        <w:t>6.20(a)</w:t>
      </w:r>
      <w:r>
        <w:rPr>
          <w:rFonts w:ascii="Arial" w:cs="Arial" w:eastAsia="Arial" w:hAnsi="Arial"/>
          <w:sz w:val="19"/>
          <w:szCs w:val="19"/>
          <w:color w:val="auto"/>
        </w:rPr>
        <w:t xml:space="preserve">, </w:t>
      </w:r>
      <w:r>
        <w:rPr>
          <w:rFonts w:ascii="Arial" w:cs="Arial" w:eastAsia="Arial" w:hAnsi="Arial"/>
          <w:sz w:val="19"/>
          <w:szCs w:val="19"/>
          <w:u w:val="single" w:color="auto"/>
          <w:color w:val="auto"/>
        </w:rPr>
        <w:t>6.20(b)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6.20(c)</w:t>
      </w:r>
      <w:r>
        <w:rPr>
          <w:rFonts w:ascii="Arial" w:cs="Arial" w:eastAsia="Arial" w:hAnsi="Arial"/>
          <w:sz w:val="19"/>
          <w:szCs w:val="19"/>
          <w:color w:val="auto"/>
        </w:rPr>
        <w:t xml:space="preserve"> to the Credit Agreement are hereby amended in their entireties to read in the forms attached hereto as </w:t>
      </w:r>
      <w:r>
        <w:rPr>
          <w:rFonts w:ascii="Arial" w:cs="Arial" w:eastAsia="Arial" w:hAnsi="Arial"/>
          <w:sz w:val="19"/>
          <w:szCs w:val="19"/>
          <w:u w:val="single" w:color="auto"/>
          <w:color w:val="auto"/>
        </w:rPr>
        <w:t>Schedules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6" w:right="239" w:bottom="1440" w:gutter="0" w:footer="0" w:header="0"/>
        </w:sectPr>
      </w:pPr>
    </w:p>
    <w:bookmarkStart w:id="51" w:name="page52"/>
    <w:bookmarkEnd w:id="51"/>
    <w:p>
      <w:pPr>
        <w:spacing w:after="0" w:line="260" w:lineRule="auto"/>
        <w:rPr>
          <w:sz w:val="20"/>
          <w:szCs w:val="20"/>
          <w:color w:val="auto"/>
        </w:rPr>
      </w:pPr>
      <w:r>
        <w:rPr>
          <w:rFonts w:ascii="Arial" w:cs="Arial" w:eastAsia="Arial" w:hAnsi="Arial"/>
          <w:sz w:val="20"/>
          <w:szCs w:val="20"/>
          <w:u w:val="single" w:color="auto"/>
          <w:color w:val="auto"/>
        </w:rPr>
        <w:t>2.01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6.13</w:t>
      </w:r>
      <w:r>
        <w:rPr>
          <w:rFonts w:ascii="Arial" w:cs="Arial" w:eastAsia="Arial" w:hAnsi="Arial"/>
          <w:sz w:val="20"/>
          <w:szCs w:val="20"/>
          <w:color w:val="auto"/>
        </w:rPr>
        <w:t xml:space="preserve">, </w:t>
      </w:r>
      <w:r>
        <w:rPr>
          <w:rFonts w:ascii="Arial" w:cs="Arial" w:eastAsia="Arial" w:hAnsi="Arial"/>
          <w:sz w:val="20"/>
          <w:szCs w:val="20"/>
          <w:u w:val="single" w:color="auto"/>
          <w:color w:val="auto"/>
        </w:rPr>
        <w:t>6.17</w:t>
      </w:r>
      <w:r>
        <w:rPr>
          <w:rFonts w:ascii="Arial" w:cs="Arial" w:eastAsia="Arial" w:hAnsi="Arial"/>
          <w:sz w:val="20"/>
          <w:szCs w:val="20"/>
          <w:color w:val="auto"/>
        </w:rPr>
        <w:t xml:space="preserve">, </w:t>
      </w:r>
      <w:r>
        <w:rPr>
          <w:rFonts w:ascii="Arial" w:cs="Arial" w:eastAsia="Arial" w:hAnsi="Arial"/>
          <w:sz w:val="20"/>
          <w:szCs w:val="20"/>
          <w:u w:val="single" w:color="auto"/>
          <w:color w:val="auto"/>
        </w:rPr>
        <w:t>6.20(a)</w:t>
      </w:r>
      <w:r>
        <w:rPr>
          <w:rFonts w:ascii="Arial" w:cs="Arial" w:eastAsia="Arial" w:hAnsi="Arial"/>
          <w:sz w:val="20"/>
          <w:szCs w:val="20"/>
          <w:color w:val="auto"/>
        </w:rPr>
        <w:t xml:space="preserve">, </w:t>
      </w:r>
      <w:r>
        <w:rPr>
          <w:rFonts w:ascii="Arial" w:cs="Arial" w:eastAsia="Arial" w:hAnsi="Arial"/>
          <w:sz w:val="20"/>
          <w:szCs w:val="20"/>
          <w:u w:val="single" w:color="auto"/>
          <w:color w:val="auto"/>
        </w:rPr>
        <w:t>6.20(b)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6.20(c)</w:t>
      </w:r>
      <w:r>
        <w:rPr>
          <w:rFonts w:ascii="Arial" w:cs="Arial" w:eastAsia="Arial" w:hAnsi="Arial"/>
          <w:sz w:val="20"/>
          <w:szCs w:val="20"/>
          <w:color w:val="auto"/>
        </w:rPr>
        <w:t>. All other Schedules and Exhibits to the Credit Agreement (as amended prior to the date hereof) shall not be modified or otherwise affected hereby.</w:t>
      </w:r>
    </w:p>
    <w:p>
      <w:pPr>
        <w:spacing w:after="0" w:line="190"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Amendment shall be effective upon satisfaction of the following conditions precedent:</w:t>
      </w:r>
    </w:p>
    <w:p>
      <w:pPr>
        <w:spacing w:after="0" w:line="229" w:lineRule="exact"/>
        <w:rPr>
          <w:rFonts w:ascii="Arial" w:cs="Arial" w:eastAsia="Arial" w:hAnsi="Arial"/>
          <w:sz w:val="20"/>
          <w:szCs w:val="20"/>
          <w:color w:val="auto"/>
        </w:rPr>
      </w:pPr>
    </w:p>
    <w:p>
      <w:pPr>
        <w:ind w:left="660" w:firstLine="645"/>
        <w:spacing w:after="0" w:line="260" w:lineRule="auto"/>
        <w:tabs>
          <w:tab w:leader="none" w:pos="1733" w:val="left"/>
        </w:tabs>
        <w:numPr>
          <w:ilvl w:val="1"/>
          <w:numId w:val="25"/>
        </w:numPr>
        <w:rPr>
          <w:rFonts w:ascii="Arial" w:cs="Arial" w:eastAsia="Arial" w:hAnsi="Arial"/>
          <w:sz w:val="20"/>
          <w:szCs w:val="20"/>
          <w:color w:val="auto"/>
        </w:rPr>
      </w:pPr>
      <w:r>
        <w:rPr>
          <w:rFonts w:ascii="Arial" w:cs="Arial" w:eastAsia="Arial" w:hAnsi="Arial"/>
          <w:sz w:val="20"/>
          <w:szCs w:val="20"/>
          <w:color w:val="auto"/>
        </w:rPr>
        <w:t>Receipt by the Administrative Agent of counterparts of this Amendment duly executed by (i) a Responsible Officer of the Company, the Designated Borrowers and the Guarantors and (ii) each of the Lenders.</w:t>
      </w:r>
    </w:p>
    <w:p>
      <w:pPr>
        <w:spacing w:after="0" w:line="122" w:lineRule="exact"/>
        <w:rPr>
          <w:rFonts w:ascii="Arial" w:cs="Arial" w:eastAsia="Arial" w:hAnsi="Arial"/>
          <w:sz w:val="20"/>
          <w:szCs w:val="20"/>
          <w:color w:val="auto"/>
        </w:rPr>
      </w:pPr>
    </w:p>
    <w:p>
      <w:pPr>
        <w:jc w:val="both"/>
        <w:ind w:left="660" w:firstLine="645"/>
        <w:spacing w:after="0" w:line="250" w:lineRule="auto"/>
        <w:tabs>
          <w:tab w:leader="none" w:pos="1802" w:val="left"/>
        </w:tabs>
        <w:numPr>
          <w:ilvl w:val="1"/>
          <w:numId w:val="25"/>
        </w:numPr>
        <w:rPr>
          <w:rFonts w:ascii="Arial" w:cs="Arial" w:eastAsia="Arial" w:hAnsi="Arial"/>
          <w:sz w:val="20"/>
          <w:szCs w:val="20"/>
          <w:color w:val="auto"/>
        </w:rPr>
      </w:pPr>
      <w:r>
        <w:rPr>
          <w:rFonts w:ascii="Arial" w:cs="Arial" w:eastAsia="Arial" w:hAnsi="Arial"/>
          <w:sz w:val="20"/>
          <w:szCs w:val="20"/>
          <w:color w:val="auto"/>
        </w:rPr>
        <w:t>Receipt by the Administrative Agent of Revolving Notes and Term Notes dated the Third Amendment Effective Date, executed by a Responsible Officer of the applicable Borrower(s) in favor of each Lender requesting a Revolving Note and/or Term Note from the Borrowers.</w:t>
      </w:r>
    </w:p>
    <w:p>
      <w:pPr>
        <w:spacing w:after="0" w:line="132" w:lineRule="exact"/>
        <w:rPr>
          <w:rFonts w:ascii="Arial" w:cs="Arial" w:eastAsia="Arial" w:hAnsi="Arial"/>
          <w:sz w:val="20"/>
          <w:szCs w:val="20"/>
          <w:color w:val="auto"/>
        </w:rPr>
      </w:pPr>
    </w:p>
    <w:p>
      <w:pPr>
        <w:jc w:val="both"/>
        <w:ind w:left="660" w:firstLine="645"/>
        <w:spacing w:after="0" w:line="250" w:lineRule="auto"/>
        <w:tabs>
          <w:tab w:leader="none" w:pos="1883" w:val="left"/>
        </w:tabs>
        <w:numPr>
          <w:ilvl w:val="1"/>
          <w:numId w:val="25"/>
        </w:numPr>
        <w:rPr>
          <w:rFonts w:ascii="Arial" w:cs="Arial" w:eastAsia="Arial" w:hAnsi="Arial"/>
          <w:sz w:val="20"/>
          <w:szCs w:val="20"/>
          <w:color w:val="auto"/>
        </w:rPr>
      </w:pPr>
      <w:r>
        <w:rPr>
          <w:rFonts w:ascii="Arial" w:cs="Arial" w:eastAsia="Arial" w:hAnsi="Arial"/>
          <w:sz w:val="20"/>
          <w:szCs w:val="20"/>
          <w:color w:val="auto"/>
        </w:rPr>
        <w:t>Receipt by the Administrative Agent of favorable opinions of legal counsel to the Loan Parties, addressed to the Administrative Agent and each Lender (including each New Lender), and dated as of the Third Amendment Effective Date, in form and substance satisfactory to the Administrative Agent, to the extent required by the Administrative Agent.</w:t>
      </w:r>
    </w:p>
    <w:p>
      <w:pPr>
        <w:spacing w:after="0" w:line="132" w:lineRule="exact"/>
        <w:rPr>
          <w:rFonts w:ascii="Arial" w:cs="Arial" w:eastAsia="Arial" w:hAnsi="Arial"/>
          <w:sz w:val="20"/>
          <w:szCs w:val="20"/>
          <w:color w:val="auto"/>
        </w:rPr>
      </w:pPr>
    </w:p>
    <w:p>
      <w:pPr>
        <w:jc w:val="both"/>
        <w:ind w:left="660" w:firstLine="645"/>
        <w:spacing w:after="0" w:line="268" w:lineRule="auto"/>
        <w:tabs>
          <w:tab w:leader="none" w:pos="18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Receipt by the Administrative Agent of a certificate of each Loan Party, in each case, duly executed by a Responsible Officer of each such Loan Party, dated as of the Third Amendment Effective Date, (i) certifying and attaching the resolutions adopted by such Loan Party approving or consenting to the this Amendment and the transactions contemplated hereby (including the establishment of the Term B-3 Loan, the increase in the amount of the Term A Loan and the changes in (and/or establishment of, as applicable) the Revolving Commitments effected hereby), (ii) certifying and attaching copies of the Organization Documents of such Loan Party, certified to be true and complete as of a recent date by the appropriate Governmental Authority of the state or other jurisdiction of its incorporation or organization, where applicable, (iii) certifying as to the incumbency, identity, authority and capacity of each Responsible Officer of such Loan Party authorized to act as a Responsible Officer in connection with this Amendment and the other Loan Documents to which such Loan Party is a party, and (iv) in the case of the Company, certifying as to the matters set forth in clauses (i), (ii) and (iii) of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of this Amendment and that, before and after giving effect to this Amendment and the borrowings and other transactions to occur on the Third Amendment Effective Date, (A) the representations and warranties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Credit Agreement and the other Loan Documents are true and correct in all material respects (and in all respects if any such representation or warranty is already qualified by materiality) on and as of the Third Amendment Effective Date,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for purposes hereof, the representations and warranties contained in subsections (a) and (b)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of the Credit Agreement shall be deemed to refer to the most recent statements furnished pursuant to clauses (a) and (b), respectively,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of the Credit Agreement), (B) no Default or Event of Default exists and (C) there has not occurred, since the date of the financial statements most recently delivered to the Administrative Agent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Credit Agreement, any event or circumstance that has had or could reasonably be expected to have, either individually or in the aggregate, a Material Adverse Effect.</w:t>
      </w:r>
    </w:p>
    <w:p>
      <w:pPr>
        <w:spacing w:after="0" w:line="131" w:lineRule="exact"/>
        <w:rPr>
          <w:rFonts w:ascii="Arial" w:cs="Arial" w:eastAsia="Arial" w:hAnsi="Arial"/>
          <w:sz w:val="18"/>
          <w:szCs w:val="18"/>
          <w:color w:val="auto"/>
        </w:rPr>
      </w:pPr>
    </w:p>
    <w:p>
      <w:pPr>
        <w:ind w:left="660" w:firstLine="645"/>
        <w:spacing w:after="0" w:line="260" w:lineRule="auto"/>
        <w:tabs>
          <w:tab w:leader="none" w:pos="1796" w:val="left"/>
        </w:tabs>
        <w:numPr>
          <w:ilvl w:val="1"/>
          <w:numId w:val="25"/>
        </w:numPr>
        <w:rPr>
          <w:rFonts w:ascii="Arial" w:cs="Arial" w:eastAsia="Arial" w:hAnsi="Arial"/>
          <w:sz w:val="20"/>
          <w:szCs w:val="20"/>
          <w:color w:val="auto"/>
        </w:rPr>
      </w:pPr>
      <w:r>
        <w:rPr>
          <w:rFonts w:ascii="Arial" w:cs="Arial" w:eastAsia="Arial" w:hAnsi="Arial"/>
          <w:sz w:val="20"/>
          <w:szCs w:val="20"/>
          <w:color w:val="auto"/>
        </w:rPr>
        <w:t>Receipt by the Administrative Agent of such documents and certifications as the Administrative Agent may require to evidence that each Loan Party is duly organized or formed,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6" w:right="239" w:bottom="1440" w:gutter="0" w:footer="0" w:header="0"/>
        </w:sectPr>
      </w:pPr>
    </w:p>
    <w:bookmarkStart w:id="52" w:name="page53"/>
    <w:bookmarkEnd w:id="52"/>
    <w:p>
      <w:pPr>
        <w:spacing w:after="0" w:line="260" w:lineRule="auto"/>
        <w:rPr>
          <w:sz w:val="20"/>
          <w:szCs w:val="20"/>
          <w:color w:val="auto"/>
        </w:rPr>
      </w:pPr>
      <w:r>
        <w:rPr>
          <w:rFonts w:ascii="Arial" w:cs="Arial" w:eastAsia="Arial" w:hAnsi="Arial"/>
          <w:sz w:val="20"/>
          <w:szCs w:val="20"/>
          <w:color w:val="auto"/>
        </w:rPr>
        <w:t>and is validly existing, in good standing (except in the case of FleetCor Australia) and qualified to engage in business in its jurisdiction of organization or formation.</w:t>
      </w:r>
    </w:p>
    <w:p>
      <w:pPr>
        <w:spacing w:after="0" w:line="123" w:lineRule="exact"/>
        <w:rPr>
          <w:sz w:val="20"/>
          <w:szCs w:val="20"/>
          <w:color w:val="auto"/>
        </w:rPr>
      </w:pPr>
    </w:p>
    <w:p>
      <w:pPr>
        <w:jc w:val="both"/>
        <w:ind w:firstLine="645"/>
        <w:spacing w:after="0" w:line="258" w:lineRule="auto"/>
        <w:tabs>
          <w:tab w:leader="none" w:pos="1139"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Receipt by the Administrative Agent of the following: (i) searches of Uniform Commercial Code filings and tax and judgment liens in the jurisdiction of formation of each domestic Loan Party and each other jurisdiction reasonably required by the Administrative Agent, disclosing no Liens other than Permitted Liens; (ii) searches of ownership of, and Liens on, United States registered intellectual property of each domestic Loan Party in the appropriate governmental offices, disclosing no Liens other than Permitted Liens; and (iii) duly executed notices of grant of security interest in substantially the form required by the Security Agreement as are necessary, in the Administrative Agent’s discretion, to perfect the Administrative Agent’s security interest in the United States registered intellectual property of the Loan Parties.</w:t>
      </w:r>
    </w:p>
    <w:p>
      <w:pPr>
        <w:spacing w:after="0" w:line="138" w:lineRule="exact"/>
        <w:rPr>
          <w:rFonts w:ascii="Arial" w:cs="Arial" w:eastAsia="Arial" w:hAnsi="Arial"/>
          <w:sz w:val="19"/>
          <w:szCs w:val="19"/>
          <w:color w:val="auto"/>
        </w:rPr>
      </w:pPr>
    </w:p>
    <w:p>
      <w:pPr>
        <w:jc w:val="both"/>
        <w:ind w:firstLine="645"/>
        <w:spacing w:after="0" w:line="293" w:lineRule="auto"/>
        <w:tabs>
          <w:tab w:leader="none" w:pos="1076" w:val="left"/>
        </w:tabs>
        <w:numPr>
          <w:ilvl w:val="0"/>
          <w:numId w:val="26"/>
        </w:numPr>
        <w:rPr>
          <w:rFonts w:ascii="Arial" w:cs="Arial" w:eastAsia="Arial" w:hAnsi="Arial"/>
          <w:sz w:val="19"/>
          <w:szCs w:val="19"/>
          <w:color w:val="auto"/>
        </w:rPr>
      </w:pPr>
      <w:r>
        <w:rPr>
          <w:rFonts w:ascii="Arial" w:cs="Arial" w:eastAsia="Arial" w:hAnsi="Arial"/>
          <w:sz w:val="19"/>
          <w:szCs w:val="19"/>
          <w:color w:val="auto"/>
        </w:rPr>
        <w:t>To the extent required by the Administrative Agent, receipt by the Administrative Agent of copies of insurance policies or certificates of insurance of the Loan Parties evidencing liability and casualty insurance meeting the requirements set forth in the Loan Documents, including naming the Administrative Agent and its successors and assigns as additional insured (in the case of liability insurance) or loss payee (in the case of property insurance) on behalf of the Lenders.</w:t>
      </w:r>
    </w:p>
    <w:p>
      <w:pPr>
        <w:spacing w:after="0" w:line="108" w:lineRule="exact"/>
        <w:rPr>
          <w:rFonts w:ascii="Arial" w:cs="Arial" w:eastAsia="Arial" w:hAnsi="Arial"/>
          <w:sz w:val="19"/>
          <w:szCs w:val="19"/>
          <w:color w:val="auto"/>
        </w:rPr>
      </w:pPr>
    </w:p>
    <w:p>
      <w:pPr>
        <w:jc w:val="both"/>
        <w:ind w:firstLine="645"/>
        <w:spacing w:after="0" w:line="244" w:lineRule="auto"/>
        <w:tabs>
          <w:tab w:leader="none" w:pos="1161"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Receipt by the Administrative Agent of a certificate, dated as of the Third Amendment Effective Date, signed by the Parent’s chief financial officer certifying as to (i) the Solvency of the Parent and its Subsidiaries on a consolidated basis and the (ii) the Loan Parties’ compliance with the financial covenants set forth in Section 8.11 of the Credit Agreement on a pro forma basis, in each case, after giving effect to this Amendment and the borrowings and other transactions to occur on the Third Amendment Effective Date.</w:t>
      </w:r>
    </w:p>
    <w:p>
      <w:pPr>
        <w:spacing w:after="0" w:line="140" w:lineRule="exact"/>
        <w:rPr>
          <w:rFonts w:ascii="Arial" w:cs="Arial" w:eastAsia="Arial" w:hAnsi="Arial"/>
          <w:sz w:val="20"/>
          <w:szCs w:val="20"/>
          <w:color w:val="auto"/>
        </w:rPr>
      </w:pPr>
    </w:p>
    <w:p>
      <w:pPr>
        <w:ind w:firstLine="645"/>
        <w:spacing w:after="0" w:line="260" w:lineRule="auto"/>
        <w:tabs>
          <w:tab w:leader="none" w:pos="1054"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Receipt by MLPFS (or any of its designated Affiliates), the Administrative Agent and the Lenders of any fees required to be paid on or before the Third Amendment Effective Date.</w:t>
      </w:r>
    </w:p>
    <w:p>
      <w:pPr>
        <w:spacing w:after="0" w:line="122" w:lineRule="exact"/>
        <w:rPr>
          <w:rFonts w:ascii="Arial" w:cs="Arial" w:eastAsia="Arial" w:hAnsi="Arial"/>
          <w:sz w:val="20"/>
          <w:szCs w:val="20"/>
          <w:color w:val="auto"/>
        </w:rPr>
      </w:pPr>
    </w:p>
    <w:p>
      <w:pPr>
        <w:ind w:firstLine="645"/>
        <w:spacing w:after="0" w:line="287" w:lineRule="auto"/>
        <w:tabs>
          <w:tab w:leader="none" w:pos="1051"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Receipt by the Administrative Agent of a Loan Notice with respect to the Term B-3 Loan and the other Credit Extensions to occur on the Third Amendment Effective Date in accordance with the requirements of the Credit Agreement.</w:t>
      </w:r>
    </w:p>
    <w:p>
      <w:pPr>
        <w:spacing w:after="0" w:line="98" w:lineRule="exact"/>
        <w:rPr>
          <w:rFonts w:ascii="Arial" w:cs="Arial" w:eastAsia="Arial" w:hAnsi="Arial"/>
          <w:sz w:val="19"/>
          <w:szCs w:val="19"/>
          <w:color w:val="auto"/>
        </w:rPr>
      </w:pPr>
    </w:p>
    <w:p>
      <w:pPr>
        <w:ind w:firstLine="645"/>
        <w:spacing w:after="0" w:line="260" w:lineRule="auto"/>
        <w:tabs>
          <w:tab w:leader="none" w:pos="1191"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 shall have paid all accrued and unpaid interest and fees under the Credit Agreement as of the Third Amendment Effective Date.</w:t>
      </w:r>
    </w:p>
    <w:p>
      <w:pPr>
        <w:spacing w:after="0" w:line="122" w:lineRule="exact"/>
        <w:rPr>
          <w:rFonts w:ascii="Arial" w:cs="Arial" w:eastAsia="Arial" w:hAnsi="Arial"/>
          <w:sz w:val="20"/>
          <w:szCs w:val="20"/>
          <w:color w:val="auto"/>
        </w:rPr>
      </w:pPr>
    </w:p>
    <w:p>
      <w:pPr>
        <w:jc w:val="both"/>
        <w:ind w:firstLine="645"/>
        <w:spacing w:after="0" w:line="246" w:lineRule="auto"/>
        <w:tabs>
          <w:tab w:leader="none" w:pos="1087"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Receipt by each Lender (including each New Lender) of all documentation and other information that it has reasonably requested in writing that it has reasonably determined is required by regulatory authorities under applicable “know your customer” and anti-money laundering rules and regulations, including without limitation the PATRIOT Act (including with respect to the Additional Borrower).</w:t>
      </w:r>
    </w:p>
    <w:p>
      <w:pPr>
        <w:spacing w:after="0" w:line="137" w:lineRule="exact"/>
        <w:rPr>
          <w:rFonts w:ascii="Arial" w:cs="Arial" w:eastAsia="Arial" w:hAnsi="Arial"/>
          <w:sz w:val="20"/>
          <w:szCs w:val="20"/>
          <w:color w:val="auto"/>
        </w:rPr>
      </w:pPr>
    </w:p>
    <w:p>
      <w:pPr>
        <w:jc w:val="both"/>
        <w:ind w:firstLine="645"/>
        <w:spacing w:after="0" w:line="321" w:lineRule="auto"/>
        <w:tabs>
          <w:tab w:leader="none" w:pos="11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Unless waived by the Administrative Agent, the Company shall have paid all fees, charges and disbursements of counsel to the Administrative Agent (directly to such counsel, if so requested by the Administrative Agent) to the extent invoiced prior to or on the Third Amendment Effective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Company and the Administrative Agent).</w:t>
      </w:r>
    </w:p>
    <w:p>
      <w:pPr>
        <w:spacing w:after="0" w:line="39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900" w:top="366" w:right="239" w:bottom="1440" w:gutter="0" w:footer="0" w:header="0"/>
        </w:sectPr>
      </w:pPr>
    </w:p>
    <w:bookmarkStart w:id="53" w:name="page54"/>
    <w:bookmarkEnd w:id="53"/>
    <w:p>
      <w:pPr>
        <w:jc w:val="both"/>
        <w:ind w:firstLine="648"/>
        <w:spacing w:after="0" w:line="246" w:lineRule="auto"/>
        <w:rPr>
          <w:sz w:val="20"/>
          <w:szCs w:val="20"/>
          <w:color w:val="auto"/>
        </w:rPr>
      </w:pPr>
      <w:r>
        <w:rPr>
          <w:rFonts w:ascii="Arial" w:cs="Arial" w:eastAsia="Arial" w:hAnsi="Arial"/>
          <w:sz w:val="20"/>
          <w:szCs w:val="20"/>
          <w:color w:val="auto"/>
        </w:rPr>
        <w:t>For purposes of determining compliance with the conditions specified in this Section, each Lender that has signed this Amendment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date hereof specifying its objections.</w:t>
      </w:r>
    </w:p>
    <w:p>
      <w:pPr>
        <w:spacing w:after="0" w:line="205" w:lineRule="exact"/>
        <w:rPr>
          <w:sz w:val="20"/>
          <w:szCs w:val="20"/>
          <w:color w:val="auto"/>
        </w:rPr>
      </w:pPr>
    </w:p>
    <w:p>
      <w:pPr>
        <w:ind w:left="1000" w:hanging="344"/>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firstLine="645"/>
        <w:spacing w:after="0" w:line="287" w:lineRule="auto"/>
        <w:tabs>
          <w:tab w:leader="none" w:pos="173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Credit Agreement and the obligations of the Loan Parties thereunder and under the other Loan Documents are hereby ratified and confirmed and shall remain in full force and effect according to their terms, as amended hereby.</w:t>
      </w:r>
    </w:p>
    <w:p>
      <w:pPr>
        <w:spacing w:after="0" w:line="98" w:lineRule="exact"/>
        <w:rPr>
          <w:rFonts w:ascii="Arial" w:cs="Arial" w:eastAsia="Arial" w:hAnsi="Arial"/>
          <w:sz w:val="19"/>
          <w:szCs w:val="19"/>
          <w:color w:val="auto"/>
        </w:rPr>
      </w:pPr>
    </w:p>
    <w:p>
      <w:pPr>
        <w:jc w:val="both"/>
        <w:ind w:left="660" w:firstLine="645"/>
        <w:spacing w:after="0" w:line="260" w:lineRule="auto"/>
        <w:tabs>
          <w:tab w:leader="none" w:pos="1757" w:val="left"/>
        </w:tabs>
        <w:numPr>
          <w:ilvl w:val="1"/>
          <w:numId w:val="27"/>
        </w:numPr>
        <w:rPr>
          <w:rFonts w:ascii="Arial" w:cs="Arial" w:eastAsia="Arial" w:hAnsi="Arial"/>
          <w:sz w:val="19"/>
          <w:szCs w:val="19"/>
          <w:color w:val="auto"/>
        </w:rPr>
      </w:pPr>
      <w:r>
        <w:rPr>
          <w:rFonts w:ascii="Arial" w:cs="Arial" w:eastAsia="Arial" w:hAnsi="Arial"/>
          <w:sz w:val="19"/>
          <w:szCs w:val="19"/>
          <w:color w:val="auto"/>
        </w:rPr>
        <w:t>Each Guarantor (i) acknowledges and consents to all of the terms and conditions of this Amendment and the transactions contemplated hereby (including the establishment of the Term B-3 Loan, the increase in the amount of the Term A Loan and the changes in (and/or establishment of, as applicable) the Revolving Commitments effected hereby), (ii) affirms all of its obligations under the Loan Documents to which it is a party and (iii) agrees that this Amendment and all documents executed in connection herewith do not operate to reduce or discharge its obligations under the Loan Documents to which it is a party.</w:t>
      </w:r>
    </w:p>
    <w:p>
      <w:pPr>
        <w:spacing w:after="0" w:line="126" w:lineRule="exact"/>
        <w:rPr>
          <w:rFonts w:ascii="Arial" w:cs="Arial" w:eastAsia="Arial" w:hAnsi="Arial"/>
          <w:sz w:val="19"/>
          <w:szCs w:val="19"/>
          <w:color w:val="auto"/>
        </w:rPr>
      </w:pPr>
    </w:p>
    <w:p>
      <w:pPr>
        <w:ind w:left="1720" w:hanging="415"/>
        <w:spacing w:after="0"/>
        <w:tabs>
          <w:tab w:leader="none" w:pos="17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Each Loan Party hereby represents and warrants to the Administrative Agent and the Lenders as follows:</w:t>
      </w:r>
    </w:p>
    <w:p>
      <w:pPr>
        <w:spacing w:after="0" w:line="161" w:lineRule="exact"/>
        <w:rPr>
          <w:rFonts w:ascii="Arial" w:cs="Arial" w:eastAsia="Arial" w:hAnsi="Arial"/>
          <w:sz w:val="20"/>
          <w:szCs w:val="20"/>
          <w:color w:val="auto"/>
        </w:rPr>
      </w:pPr>
    </w:p>
    <w:p>
      <w:pPr>
        <w:jc w:val="both"/>
        <w:ind w:left="1300" w:firstLine="653"/>
        <w:spacing w:after="0" w:line="276" w:lineRule="auto"/>
        <w:tabs>
          <w:tab w:leader="none" w:pos="2358"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execution, delivery and performance by such Loan Party of this Amendment has been duly authorized by all necessary corporate or other organizational action, and do not (A) contravene the terms of any of such Loan Party’s Organization Documents; (B) conflict with or result in any breach or contravention of, or the creation of any Lien under, or require any payment to be made under (I) any material Contractual Obligation to which such Loan Party is a party or affecting such Loan Party or the properties of such Loan Party or any of its Subsidiaries or (II) any order, injunction, writ or decree of any Governmental Authority or any arbitral award to which such Loan Party or its property is subject; or (C) violate any Law.</w:t>
      </w:r>
    </w:p>
    <w:p>
      <w:pPr>
        <w:spacing w:after="0" w:line="111" w:lineRule="exact"/>
        <w:rPr>
          <w:rFonts w:ascii="Arial" w:cs="Arial" w:eastAsia="Arial" w:hAnsi="Arial"/>
          <w:sz w:val="18"/>
          <w:szCs w:val="18"/>
          <w:color w:val="auto"/>
        </w:rPr>
      </w:pPr>
    </w:p>
    <w:p>
      <w:pPr>
        <w:jc w:val="both"/>
        <w:ind w:left="1300" w:firstLine="653"/>
        <w:spacing w:after="0" w:line="250" w:lineRule="auto"/>
        <w:tabs>
          <w:tab w:leader="none" w:pos="2455" w:val="left"/>
        </w:tabs>
        <w:numPr>
          <w:ilvl w:val="2"/>
          <w:numId w:val="27"/>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by such Loan Party and constitutes such Loan Party’s legal, valid and binding obligation, enforceable in accordance with its terms, subject to laws generally affecting creditors’ rights, to statutes of limitations and to principles of equity.</w:t>
      </w:r>
    </w:p>
    <w:p>
      <w:pPr>
        <w:spacing w:after="0" w:line="132" w:lineRule="exact"/>
        <w:rPr>
          <w:rFonts w:ascii="Arial" w:cs="Arial" w:eastAsia="Arial" w:hAnsi="Arial"/>
          <w:sz w:val="20"/>
          <w:szCs w:val="20"/>
          <w:color w:val="auto"/>
        </w:rPr>
      </w:pPr>
    </w:p>
    <w:p>
      <w:pPr>
        <w:jc w:val="both"/>
        <w:ind w:left="1300" w:firstLine="653"/>
        <w:spacing w:after="0" w:line="291" w:lineRule="auto"/>
        <w:tabs>
          <w:tab w:leader="none" w:pos="2443" w:val="left"/>
        </w:tabs>
        <w:numPr>
          <w:ilvl w:val="2"/>
          <w:numId w:val="27"/>
        </w:numPr>
        <w:rPr>
          <w:rFonts w:ascii="Arial" w:cs="Arial" w:eastAsia="Arial" w:hAnsi="Arial"/>
          <w:sz w:val="18"/>
          <w:szCs w:val="18"/>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or the Credit Agreement as amended hereby.</w:t>
      </w:r>
    </w:p>
    <w:p>
      <w:pPr>
        <w:spacing w:after="0" w:line="97" w:lineRule="exact"/>
        <w:rPr>
          <w:rFonts w:ascii="Arial" w:cs="Arial" w:eastAsia="Arial" w:hAnsi="Arial"/>
          <w:sz w:val="18"/>
          <w:szCs w:val="18"/>
          <w:color w:val="auto"/>
        </w:rPr>
      </w:pPr>
    </w:p>
    <w:p>
      <w:pPr>
        <w:jc w:val="both"/>
        <w:ind w:left="1300" w:firstLine="653"/>
        <w:spacing w:after="0" w:line="276" w:lineRule="auto"/>
        <w:tabs>
          <w:tab w:leader="none" w:pos="2497" w:val="left"/>
        </w:tabs>
        <w:numPr>
          <w:ilvl w:val="2"/>
          <w:numId w:val="2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such Loan Party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Credit Agreement and in each other Loan Document are true and correct in all material respects (and in all respects if any such representation or warranty is already qualified by materiality) on and as of the Third Amendment Effective Date with the same effect as if made on and as of the Third Amendment Effective Date, except to the extent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6" w:right="239" w:bottom="1440" w:gutter="0" w:footer="0" w:header="0"/>
        </w:sectPr>
      </w:pPr>
    </w:p>
    <w:bookmarkStart w:id="54" w:name="page55"/>
    <w:bookmarkEnd w:id="54"/>
    <w:p>
      <w:pPr>
        <w:jc w:val="both"/>
        <w:ind w:left="100"/>
        <w:spacing w:after="0" w:line="250" w:lineRule="auto"/>
        <w:rPr>
          <w:sz w:val="20"/>
          <w:szCs w:val="20"/>
          <w:color w:val="auto"/>
        </w:rPr>
      </w:pPr>
      <w:r>
        <w:rPr>
          <w:rFonts w:ascii="Arial" w:cs="Arial" w:eastAsia="Arial" w:hAnsi="Arial"/>
          <w:sz w:val="20"/>
          <w:szCs w:val="20"/>
          <w:color w:val="auto"/>
        </w:rPr>
        <w:t xml:space="preserve">purposes of this </w:t>
      </w:r>
      <w:r>
        <w:rPr>
          <w:rFonts w:ascii="Arial" w:cs="Arial" w:eastAsia="Arial" w:hAnsi="Arial"/>
          <w:sz w:val="20"/>
          <w:szCs w:val="20"/>
          <w:u w:val="single" w:color="auto"/>
          <w:color w:val="auto"/>
        </w:rPr>
        <w:t>Section 6(c)(iv)</w:t>
      </w:r>
      <w:r>
        <w:rPr>
          <w:rFonts w:ascii="Arial" w:cs="Arial" w:eastAsia="Arial" w:hAnsi="Arial"/>
          <w:sz w:val="20"/>
          <w:szCs w:val="20"/>
          <w:color w:val="auto"/>
        </w:rPr>
        <w:t xml:space="preserve">, the representations and warranties contained in subsections (a) and (b) of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of the Credit Agreement shall be deemed to refer to the most recent financial statements furnished pursuant to subsections (a) and (b), respectively,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of the Credit Agreement.</w:t>
      </w:r>
    </w:p>
    <w:p>
      <w:pPr>
        <w:spacing w:after="0" w:line="132" w:lineRule="exact"/>
        <w:rPr>
          <w:sz w:val="20"/>
          <w:szCs w:val="20"/>
          <w:color w:val="auto"/>
        </w:rPr>
      </w:pPr>
    </w:p>
    <w:p>
      <w:pPr>
        <w:ind w:left="1400" w:hanging="647"/>
        <w:spacing w:after="0"/>
        <w:tabs>
          <w:tab w:leader="none" w:pos="14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 Default has occurred and is continuing or would result from the transactions contemplated by this</w:t>
      </w:r>
    </w:p>
    <w:p>
      <w:pPr>
        <w:spacing w:after="0" w:line="27"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0"/>
          <w:szCs w:val="20"/>
          <w:color w:val="auto"/>
        </w:rPr>
        <w:t>Amendment.</w:t>
      </w:r>
    </w:p>
    <w:p>
      <w:pPr>
        <w:spacing w:after="0" w:line="145" w:lineRule="exact"/>
        <w:rPr>
          <w:rFonts w:ascii="Arial" w:cs="Arial" w:eastAsia="Arial" w:hAnsi="Arial"/>
          <w:sz w:val="19"/>
          <w:szCs w:val="19"/>
          <w:color w:val="auto"/>
        </w:rPr>
      </w:pPr>
    </w:p>
    <w:p>
      <w:pPr>
        <w:jc w:val="both"/>
        <w:ind w:left="100" w:firstLine="653"/>
        <w:spacing w:after="0" w:line="250" w:lineRule="auto"/>
        <w:tabs>
          <w:tab w:leader="none" w:pos="1344"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Persons signing this Amendment as Guarantors include all of the Subsidiaries existing as of the Third Amendment Effective Date that are required to become Guarantors pursuant to the Credit Agreement on or prior to the Third Amendment Effective Date.</w:t>
      </w:r>
    </w:p>
    <w:p>
      <w:pPr>
        <w:spacing w:after="0" w:line="132" w:lineRule="exact"/>
        <w:rPr>
          <w:rFonts w:ascii="Arial" w:cs="Arial" w:eastAsia="Arial" w:hAnsi="Arial"/>
          <w:sz w:val="20"/>
          <w:szCs w:val="20"/>
          <w:color w:val="auto"/>
        </w:rPr>
      </w:pPr>
    </w:p>
    <w:p>
      <w:pPr>
        <w:jc w:val="both"/>
        <w:ind w:left="-540" w:firstLine="645"/>
        <w:spacing w:after="0" w:line="269" w:lineRule="auto"/>
        <w:tabs>
          <w:tab w:leader="none" w:pos="5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Term B-3 Lender and each other Person that signs this Amendment as a Lender and that was not a Lender party to the Credit Agreement prior to the effectiveness of this Amendment (each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(i) represents and warrants that (A) it has full power and authority, and has taken all action necessary, to execute and deliver this Amendment and to consummate the transactions contemplated hereby and to become a Lender under the Credit Agreement, (B) it meets all requirements of an Eligible Assignee under the Credit Agreement (subject to receipt of such consents as may be required under the Credit Agreement), (C) from and after the Third Amendment Effective Date, it shall be bound by the provisions of the Credit Agreement as a Lender thereunder and shall have the obligations of a Lender thereunder, (D) it has received a copy of the Credit Agreement, together with copies of the most recent financial statements delivered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thereof, and such other documents and information as it has deemed appropriate to make its own credit analysis and decision to enter into this Amendment and become a Lender under the Credit Agreement, on the basis of which it has made such analysis and decision independently and without reliance on the Administrative Agent or any other Lender, and (E) if it is a Foreign Lender, it has delivered any documentation required to be delivered by it pursuant to the terms of the Credit Agreement; and (ii) agrees that (A) it will, independently and without reliance on the Administrative Agent or any other Lender, and based on such documents and information as it shall deem appropriate at the time, continue to make its own credit decisions in taking or not taking action under the Loan Documents, and (B) it will perform in accordance with their terms all of the obligations which by the terms of the Loan Documents are required to be performed by it as a Lender.</w:t>
      </w:r>
    </w:p>
    <w:p>
      <w:pPr>
        <w:spacing w:after="0" w:line="125" w:lineRule="exact"/>
        <w:rPr>
          <w:rFonts w:ascii="Arial" w:cs="Arial" w:eastAsia="Arial" w:hAnsi="Arial"/>
          <w:sz w:val="18"/>
          <w:szCs w:val="18"/>
          <w:color w:val="auto"/>
        </w:rPr>
      </w:pPr>
    </w:p>
    <w:p>
      <w:pPr>
        <w:jc w:val="both"/>
        <w:ind w:left="-540" w:firstLine="645"/>
        <w:spacing w:after="0" w:line="259" w:lineRule="auto"/>
        <w:tabs>
          <w:tab w:leader="none" w:pos="538" w:val="left"/>
        </w:tabs>
        <w:numPr>
          <w:ilvl w:val="0"/>
          <w:numId w:val="29"/>
        </w:numPr>
        <w:rPr>
          <w:rFonts w:ascii="Arial" w:cs="Arial" w:eastAsia="Arial" w:hAnsi="Arial"/>
          <w:sz w:val="19"/>
          <w:szCs w:val="19"/>
          <w:color w:val="auto"/>
        </w:rPr>
      </w:pPr>
      <w:r>
        <w:rPr>
          <w:rFonts w:ascii="Arial" w:cs="Arial" w:eastAsia="Arial" w:hAnsi="Arial"/>
          <w:sz w:val="19"/>
          <w:szCs w:val="19"/>
          <w:color w:val="auto"/>
        </w:rPr>
        <w:t>Each of the Administrative Agent, the Company, the Designated Borrowers and the Guarantors agree that, as of the Third Amendment Effective Date, each New Lender shall (i) be a party to the Credit Agreement (and, as applicable, the other Loan Documents), (ii) be a “Lender” (and, as applicable, a “Revolving A Lender,” “Revolving B Lender,” “Revolving C Lender,” “Term A Lender” and/or “Term B-3 Lender”) for all purposes of the Credit Agreement and the other Loan Documents and (iii) have the rights and obligations of a Lender (and, as applicable, a “Revolving A Lender,” “Revolving B Lender,” “Revolving C Lender,” “Term A Lender” and/or “Term B-3 Lender”) under the Credit Agreement and the other Loan Documents.</w:t>
      </w:r>
    </w:p>
    <w:p>
      <w:pPr>
        <w:spacing w:after="0" w:line="124" w:lineRule="exact"/>
        <w:rPr>
          <w:rFonts w:ascii="Arial" w:cs="Arial" w:eastAsia="Arial" w:hAnsi="Arial"/>
          <w:sz w:val="19"/>
          <w:szCs w:val="19"/>
          <w:color w:val="auto"/>
        </w:rPr>
      </w:pPr>
    </w:p>
    <w:p>
      <w:pPr>
        <w:ind w:left="-540" w:firstLine="645"/>
        <w:spacing w:after="0" w:line="260" w:lineRule="auto"/>
        <w:tabs>
          <w:tab w:leader="none" w:pos="71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address of each New Lender for purposes of all notices and other communications is as set forth on the Administrative Questionnaire delivered by such New Lender to the Administrative Agent.</w:t>
      </w:r>
    </w:p>
    <w:p>
      <w:pPr>
        <w:spacing w:after="0" w:line="122" w:lineRule="exact"/>
        <w:rPr>
          <w:rFonts w:ascii="Arial" w:cs="Arial" w:eastAsia="Arial" w:hAnsi="Arial"/>
          <w:sz w:val="20"/>
          <w:szCs w:val="20"/>
          <w:color w:val="auto"/>
        </w:rPr>
      </w:pPr>
    </w:p>
    <w:p>
      <w:pPr>
        <w:jc w:val="both"/>
        <w:ind w:left="-540" w:firstLine="645"/>
        <w:spacing w:after="0" w:line="250" w:lineRule="auto"/>
        <w:tabs>
          <w:tab w:leader="none" w:pos="7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This Amendment may be executed in any number of counterparts and by the various parties hereto in separate counterparts, each of which when so executed and delivered shall be an original, but all of which shall constitute one and the same instrument. Delivery of an executed</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20"/>
          </w:cols>
          <w:pgMar w:left="1440" w:top="366" w:right="239" w:bottom="1440" w:gutter="0" w:footer="0" w:header="0"/>
        </w:sectPr>
      </w:pPr>
    </w:p>
    <w:bookmarkStart w:id="55" w:name="page56"/>
    <w:bookmarkEnd w:id="55"/>
    <w:p>
      <w:pPr>
        <w:spacing w:after="0" w:line="260" w:lineRule="auto"/>
        <w:rPr>
          <w:sz w:val="20"/>
          <w:szCs w:val="20"/>
          <w:color w:val="auto"/>
        </w:rPr>
      </w:pPr>
      <w:r>
        <w:rPr>
          <w:rFonts w:ascii="Arial" w:cs="Arial" w:eastAsia="Arial" w:hAnsi="Arial"/>
          <w:sz w:val="20"/>
          <w:szCs w:val="20"/>
          <w:color w:val="auto"/>
        </w:rPr>
        <w:t>counterpart of this Amendment by telecopy or in any other electronic format (such as .pdf format) shall be effective as delivery of a manually executed original counterpart of this Amendment.</w:t>
      </w:r>
    </w:p>
    <w:p>
      <w:pPr>
        <w:spacing w:after="0" w:line="123" w:lineRule="exact"/>
        <w:rPr>
          <w:sz w:val="20"/>
          <w:szCs w:val="20"/>
          <w:color w:val="auto"/>
        </w:rPr>
      </w:pPr>
    </w:p>
    <w:p>
      <w:pPr>
        <w:jc w:val="both"/>
        <w:ind w:firstLine="645"/>
        <w:spacing w:after="0" w:line="246" w:lineRule="auto"/>
        <w:tabs>
          <w:tab w:leader="none" w:pos="1095"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This Amendment is a Loan Document. The execution, delivery and effectiveness of this Amendment shall not, except as expressly provided herein, operate as a waiver of any right, power or remedy of any Lender or the Administrative Agent under any of the Loan Documents, nor, except as expressly provided herein, constitute a waiver or amendment of any provision of any of the Loan Documents.</w:t>
      </w:r>
    </w:p>
    <w:p>
      <w:pPr>
        <w:spacing w:after="0" w:line="131" w:lineRule="exact"/>
        <w:rPr>
          <w:rFonts w:ascii="Arial" w:cs="Arial" w:eastAsia="Arial" w:hAnsi="Arial"/>
          <w:sz w:val="20"/>
          <w:szCs w:val="20"/>
          <w:color w:val="auto"/>
        </w:rPr>
      </w:pPr>
    </w:p>
    <w:p>
      <w:pPr>
        <w:jc w:val="both"/>
        <w:ind w:firstLine="645"/>
        <w:spacing w:after="0" w:line="246" w:lineRule="auto"/>
        <w:tabs>
          <w:tab w:leader="none" w:pos="1067"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 xml:space="preserve">THIS AMENDMENT AND THE RIGHTS AND OBLIGATIONS OF THE PARTIES HEREUNDER SHALL BE GOVERNED BY, AND CONSTRUED AND INTERPRETED IN ACCORDANCE WITH, THE LAWS OF THE STATE OF NEW YORK. THIS AMENDMENT SHALL BE FURTHER SUBJECT TO THE TERMS AND CONDITIONS OF </w:t>
      </w:r>
      <w:r>
        <w:rPr>
          <w:rFonts w:ascii="Arial" w:cs="Arial" w:eastAsia="Arial" w:hAnsi="Arial"/>
          <w:sz w:val="20"/>
          <w:szCs w:val="20"/>
          <w:b w:val="1"/>
          <w:bCs w:val="1"/>
          <w:u w:val="single" w:color="auto"/>
          <w:color w:val="auto"/>
        </w:rPr>
        <w:t>SECTIONS 11.14</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11.15</w:t>
      </w:r>
      <w:r>
        <w:rPr>
          <w:rFonts w:ascii="Arial" w:cs="Arial" w:eastAsia="Arial" w:hAnsi="Arial"/>
          <w:sz w:val="20"/>
          <w:szCs w:val="20"/>
          <w:b w:val="1"/>
          <w:bCs w:val="1"/>
          <w:color w:val="auto"/>
        </w:rPr>
        <w:t xml:space="preserve"> OF THE CREDIT AGREEMENT, THE TERMS OF WHICH ARE INCORPORATED HEREIN BY REFERENCE AS IF FULLY SET FORTH HEREIN.</w:t>
      </w:r>
    </w:p>
    <w:p>
      <w:pPr>
        <w:spacing w:after="0" w:line="137"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0"/>
          </w:cols>
          <w:pgMar w:left="900" w:top="366" w:right="239" w:bottom="1440" w:gutter="0" w:footer="0" w:header="0"/>
        </w:sectPr>
      </w:pPr>
    </w:p>
    <w:bookmarkStart w:id="56" w:name="page57"/>
    <w:bookmarkEnd w:id="56"/>
    <w:p>
      <w:pPr>
        <w:ind w:right="20" w:firstLine="648"/>
        <w:spacing w:after="0" w:line="260" w:lineRule="auto"/>
        <w:rPr>
          <w:sz w:val="20"/>
          <w:szCs w:val="20"/>
          <w:color w:val="auto"/>
        </w:rPr>
      </w:pPr>
      <w:r>
        <w:rPr>
          <w:rFonts w:ascii="Arial" w:cs="Arial" w:eastAsia="Arial" w:hAnsi="Arial"/>
          <w:sz w:val="20"/>
          <w:szCs w:val="20"/>
          <w:color w:val="auto"/>
        </w:rPr>
        <w:t>IN WITNESS WHEREOF, each of the parties hereto has caused a counterpart of this Amendment to be duly executed and delivered by a duly authorized officer as of the date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20"/>
                <w:szCs w:val="20"/>
                <w:color w:val="auto"/>
              </w:rPr>
              <w:t>COMPANY:</w:t>
            </w:r>
          </w:p>
        </w:tc>
        <w:tc>
          <w:tcPr>
            <w:tcW w:w="5640" w:type="dxa"/>
            <w:vAlign w:val="bottom"/>
            <w:gridSpan w:val="3"/>
          </w:tcPr>
          <w:p>
            <w:pPr>
              <w:ind w:left="420"/>
              <w:spacing w:after="0"/>
              <w:rPr>
                <w:sz w:val="20"/>
                <w:szCs w:val="20"/>
                <w:color w:val="auto"/>
              </w:rPr>
            </w:pPr>
            <w:r>
              <w:rPr>
                <w:rFonts w:ascii="Arial" w:cs="Arial" w:eastAsia="Arial" w:hAnsi="Arial"/>
                <w:sz w:val="20"/>
                <w:szCs w:val="20"/>
                <w:color w:val="auto"/>
                <w:w w:val="93"/>
              </w:rPr>
              <w:t>FLEETCOR TECHNOLOGIES OPERATING COMPANY, LLC,</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a Georgia limited liability company</w:t>
            </w:r>
          </w:p>
        </w:tc>
      </w:tr>
      <w:tr>
        <w:trPr>
          <w:trHeight w:val="644"/>
        </w:trPr>
        <w:tc>
          <w:tcPr>
            <w:tcW w:w="1200" w:type="dxa"/>
            <w:vAlign w:val="bottom"/>
          </w:tcPr>
          <w:p>
            <w:pPr>
              <w:spacing w:after="0"/>
              <w:rPr>
                <w:sz w:val="24"/>
                <w:szCs w:val="24"/>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By:  /s/ Steve Pisciotta</w:t>
            </w:r>
          </w:p>
        </w:tc>
      </w:tr>
      <w:tr>
        <w:trPr>
          <w:trHeight w:val="20"/>
        </w:trPr>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3"/>
        </w:trPr>
        <w:tc>
          <w:tcPr>
            <w:tcW w:w="1200" w:type="dxa"/>
            <w:vAlign w:val="bottom"/>
          </w:tcPr>
          <w:p>
            <w:pPr>
              <w:spacing w:after="0"/>
              <w:rPr>
                <w:sz w:val="20"/>
                <w:szCs w:val="20"/>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Name: Steve Pisciotta</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Title: Treasurer</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PARENT:</w:t>
            </w:r>
          </w:p>
        </w:tc>
        <w:tc>
          <w:tcPr>
            <w:tcW w:w="5640" w:type="dxa"/>
            <w:vAlign w:val="bottom"/>
            <w:gridSpan w:val="3"/>
          </w:tcPr>
          <w:p>
            <w:pPr>
              <w:ind w:left="200"/>
              <w:spacing w:after="0"/>
              <w:rPr>
                <w:sz w:val="20"/>
                <w:szCs w:val="20"/>
                <w:color w:val="auto"/>
              </w:rPr>
            </w:pPr>
            <w:r>
              <w:rPr>
                <w:rFonts w:ascii="Arial" w:cs="Arial" w:eastAsia="Arial" w:hAnsi="Arial"/>
                <w:sz w:val="20"/>
                <w:szCs w:val="20"/>
                <w:color w:val="auto"/>
              </w:rPr>
              <w:t>FLEETCOR TECHNOLOGIES, INC.,</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a Delaware corporation</w:t>
            </w:r>
          </w:p>
        </w:tc>
      </w:tr>
    </w:tbl>
    <w:p>
      <w:pPr>
        <w:spacing w:after="0" w:line="200" w:lineRule="exact"/>
        <w:rPr>
          <w:sz w:val="20"/>
          <w:szCs w:val="20"/>
          <w:color w:val="auto"/>
        </w:rPr>
      </w:pPr>
    </w:p>
    <w:p>
      <w:pPr>
        <w:spacing w:after="0" w:line="238"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Steve Pisciotta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522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Treasurer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DESIGNATED</w:t>
      </w:r>
    </w:p>
    <w:p>
      <w:pPr>
        <w:spacing w:after="0" w:line="15" w:lineRule="exact"/>
        <w:rPr>
          <w:sz w:val="20"/>
          <w:szCs w:val="20"/>
          <w:color w:val="auto"/>
        </w:rPr>
      </w:pPr>
    </w:p>
    <w:p>
      <w:pPr>
        <w:spacing w:after="0"/>
        <w:tabs>
          <w:tab w:leader="none" w:pos="1860" w:val="left"/>
        </w:tabs>
        <w:rPr>
          <w:sz w:val="20"/>
          <w:szCs w:val="20"/>
          <w:color w:val="auto"/>
        </w:rPr>
      </w:pPr>
      <w:r>
        <w:rPr>
          <w:rFonts w:ascii="Arial" w:cs="Arial" w:eastAsia="Arial" w:hAnsi="Arial"/>
          <w:sz w:val="20"/>
          <w:szCs w:val="20"/>
          <w:color w:val="auto"/>
        </w:rPr>
        <w:t>BORROWERS:</w:t>
      </w:r>
      <w:r>
        <w:rPr>
          <w:sz w:val="20"/>
          <w:szCs w:val="20"/>
          <w:color w:val="auto"/>
        </w:rPr>
        <w:tab/>
      </w:r>
      <w:r>
        <w:rPr>
          <w:rFonts w:ascii="Arial" w:cs="Arial" w:eastAsia="Arial" w:hAnsi="Arial"/>
          <w:sz w:val="20"/>
          <w:szCs w:val="20"/>
          <w:color w:val="auto"/>
        </w:rPr>
        <w:t>FLEETCOR UK ACQUISITION LIMITED,</w:t>
      </w:r>
    </w:p>
    <w:p>
      <w:pPr>
        <w:ind w:left="2600"/>
        <w:spacing w:after="0"/>
        <w:rPr>
          <w:sz w:val="20"/>
          <w:szCs w:val="20"/>
          <w:color w:val="auto"/>
        </w:rPr>
      </w:pPr>
      <w:r>
        <w:rPr>
          <w:rFonts w:ascii="Arial" w:cs="Arial" w:eastAsia="Arial" w:hAnsi="Arial"/>
          <w:sz w:val="20"/>
          <w:szCs w:val="20"/>
          <w:color w:val="auto"/>
        </w:rPr>
        <w:t>a private limited company registered in England and Wales</w:t>
      </w:r>
    </w:p>
    <w:p>
      <w:pPr>
        <w:spacing w:after="0" w:line="200" w:lineRule="exact"/>
        <w:rPr>
          <w:sz w:val="20"/>
          <w:szCs w:val="20"/>
          <w:color w:val="auto"/>
        </w:rPr>
      </w:pPr>
    </w:p>
    <w:p>
      <w:pPr>
        <w:spacing w:after="0" w:line="24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Steve Pisciotta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5220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ALLSTAR BUSINESS SOLUTIONS LIMITED,</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private limited company registered in England and Wales</w:t>
      </w:r>
    </w:p>
    <w:p>
      <w:pPr>
        <w:spacing w:after="0" w:line="200" w:lineRule="exact"/>
        <w:rPr>
          <w:sz w:val="20"/>
          <w:szCs w:val="20"/>
          <w:color w:val="auto"/>
        </w:rPr>
      </w:pPr>
    </w:p>
    <w:p>
      <w:pPr>
        <w:spacing w:after="0" w:line="24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Steve Pisciotta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5220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BUSINESS FUEL CARDS PTY LTD (formerly FleetCor Technologies Australia Pty Ltd),</w:t>
      </w:r>
    </w:p>
    <w:p>
      <w:pPr>
        <w:spacing w:after="0" w:line="16" w:lineRule="exact"/>
        <w:rPr>
          <w:sz w:val="20"/>
          <w:szCs w:val="20"/>
          <w:color w:val="auto"/>
        </w:rPr>
      </w:pPr>
    </w:p>
    <w:p>
      <w:pPr>
        <w:ind w:left="2600"/>
        <w:spacing w:after="0" w:line="239" w:lineRule="auto"/>
        <w:rPr>
          <w:sz w:val="20"/>
          <w:szCs w:val="20"/>
          <w:color w:val="auto"/>
        </w:rPr>
      </w:pPr>
      <w:r>
        <w:rPr>
          <w:rFonts w:ascii="Arial" w:cs="Arial" w:eastAsia="Arial" w:hAnsi="Arial"/>
          <w:sz w:val="20"/>
          <w:szCs w:val="20"/>
          <w:color w:val="auto"/>
        </w:rPr>
        <w:t xml:space="preserve">a proprietary limited company registered in Australia, in accordance with section 127 of the </w:t>
      </w:r>
      <w:r>
        <w:rPr>
          <w:rFonts w:ascii="Arial" w:cs="Arial" w:eastAsia="Arial" w:hAnsi="Arial"/>
          <w:sz w:val="20"/>
          <w:szCs w:val="20"/>
          <w:i w:val="1"/>
          <w:iCs w:val="1"/>
          <w:color w:val="auto"/>
        </w:rPr>
        <w:t>Corporations Act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2001 </w:t>
      </w:r>
      <w:r>
        <w:rPr>
          <w:rFonts w:ascii="Arial" w:cs="Arial" w:eastAsia="Arial" w:hAnsi="Arial"/>
          <w:sz w:val="20"/>
          <w:szCs w:val="20"/>
          <w:color w:val="auto"/>
        </w:rPr>
        <w:t>(Cth)</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ACN 161 721 106</w:t>
      </w:r>
    </w:p>
    <w:p>
      <w:pPr>
        <w:spacing w:after="0" w:line="21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228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Eric Dey</w:t>
      </w:r>
    </w:p>
    <w:p>
      <w:pPr>
        <w:ind w:left="26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Steve Pisciotta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5220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Director</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1420"/>
          </w:cols>
          <w:pgMar w:left="240" w:top="757" w:right="239" w:bottom="1440" w:gutter="0" w:footer="0" w:header="0"/>
        </w:sectPr>
      </w:pPr>
    </w:p>
    <w:bookmarkStart w:id="57" w:name="page58"/>
    <w:bookmarkEnd w:id="57"/>
    <w:p>
      <w:pPr>
        <w:ind w:left="2600"/>
        <w:spacing w:after="0"/>
        <w:rPr>
          <w:sz w:val="20"/>
          <w:szCs w:val="20"/>
          <w:color w:val="auto"/>
        </w:rPr>
      </w:pPr>
      <w:r>
        <w:rPr>
          <w:rFonts w:ascii="Arial" w:cs="Arial" w:eastAsia="Arial" w:hAnsi="Arial"/>
          <w:sz w:val="20"/>
          <w:szCs w:val="20"/>
          <w:color w:val="auto"/>
        </w:rPr>
        <w:t>FLEETCOR TECHNOLOGIES NEW ZEALAND LIMITED,</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company registered in New Zealand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1260" w:type="dxa"/>
            <w:vAlign w:val="bottom"/>
          </w:tcPr>
          <w:p>
            <w:pPr>
              <w:ind w:left="980"/>
              <w:spacing w:after="0"/>
              <w:rPr>
                <w:sz w:val="20"/>
                <w:szCs w:val="20"/>
                <w:color w:val="auto"/>
              </w:rPr>
            </w:pPr>
            <w:r>
              <w:rPr>
                <w:rFonts w:ascii="Arial" w:cs="Arial" w:eastAsia="Arial" w:hAnsi="Arial"/>
                <w:sz w:val="20"/>
                <w:szCs w:val="20"/>
                <w:color w:val="auto"/>
                <w:w w:val="89"/>
              </w:rPr>
              <w:t>By:</w:t>
            </w:r>
          </w:p>
        </w:tc>
        <w:tc>
          <w:tcPr>
            <w:tcW w:w="3040" w:type="dxa"/>
            <w:vAlign w:val="bottom"/>
            <w:tcBorders>
              <w:bottom w:val="single" w:sz="8" w:color="auto"/>
            </w:tcBorders>
            <w:gridSpan w:val="4"/>
          </w:tcPr>
          <w:p>
            <w:pPr>
              <w:ind w:left="200"/>
              <w:spacing w:after="0"/>
              <w:rPr>
                <w:sz w:val="20"/>
                <w:szCs w:val="20"/>
                <w:color w:val="auto"/>
              </w:rPr>
            </w:pPr>
            <w:r>
              <w:rPr>
                <w:rFonts w:ascii="Arial" w:cs="Arial" w:eastAsia="Arial" w:hAnsi="Arial"/>
                <w:sz w:val="20"/>
                <w:szCs w:val="20"/>
                <w:color w:val="auto"/>
              </w:rPr>
              <w:t>/s/Steven Joseph Pisciotta</w:t>
            </w:r>
          </w:p>
        </w:tc>
        <w:tc>
          <w:tcPr>
            <w:tcW w:w="2800" w:type="dxa"/>
            <w:vAlign w:val="bottom"/>
          </w:tcPr>
          <w:p>
            <w:pPr>
              <w:spacing w:after="0"/>
              <w:rPr>
                <w:sz w:val="19"/>
                <w:szCs w:val="19"/>
                <w:color w:val="auto"/>
              </w:rPr>
            </w:pPr>
          </w:p>
        </w:tc>
      </w:tr>
      <w:tr>
        <w:trPr>
          <w:trHeight w:val="233"/>
        </w:trPr>
        <w:tc>
          <w:tcPr>
            <w:tcW w:w="1620" w:type="dxa"/>
            <w:vAlign w:val="bottom"/>
          </w:tcPr>
          <w:p>
            <w:pPr>
              <w:spacing w:after="0"/>
              <w:rPr>
                <w:sz w:val="20"/>
                <w:szCs w:val="20"/>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Name: Steven Joseph Pisciotta</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Title: Director</w:t>
            </w:r>
          </w:p>
        </w:tc>
      </w:tr>
      <w:tr>
        <w:trPr>
          <w:trHeight w:val="438"/>
        </w:trPr>
        <w:tc>
          <w:tcPr>
            <w:tcW w:w="1620" w:type="dxa"/>
            <w:vAlign w:val="bottom"/>
          </w:tcPr>
          <w:p>
            <w:pPr>
              <w:spacing w:after="0"/>
              <w:rPr>
                <w:sz w:val="24"/>
                <w:szCs w:val="24"/>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FLEETCOR LUXEMBOURG HOLDING2,</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w w:val="89"/>
              </w:rPr>
              <w:t xml:space="preserve">a </w:t>
            </w:r>
            <w:r>
              <w:rPr>
                <w:rFonts w:ascii="Arial" w:cs="Arial" w:eastAsia="Arial" w:hAnsi="Arial"/>
                <w:sz w:val="20"/>
                <w:szCs w:val="20"/>
                <w:i w:val="1"/>
                <w:iCs w:val="1"/>
                <w:color w:val="auto"/>
                <w:w w:val="89"/>
              </w:rPr>
              <w:t>société à responsabilité limitée</w:t>
            </w:r>
            <w:r>
              <w:rPr>
                <w:rFonts w:ascii="Arial" w:cs="Arial" w:eastAsia="Arial" w:hAnsi="Arial"/>
                <w:sz w:val="20"/>
                <w:szCs w:val="20"/>
                <w:color w:val="auto"/>
                <w:w w:val="89"/>
              </w:rPr>
              <w:t xml:space="preserve"> incorporated under the laws of Luxembourg</w:t>
            </w:r>
          </w:p>
        </w:tc>
      </w:tr>
      <w:tr>
        <w:trPr>
          <w:trHeight w:val="644"/>
        </w:trPr>
        <w:tc>
          <w:tcPr>
            <w:tcW w:w="16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20"/>
                <w:szCs w:val="20"/>
                <w:color w:val="auto"/>
                <w:w w:val="89"/>
              </w:rPr>
              <w:t>By:</w:t>
            </w:r>
          </w:p>
        </w:tc>
        <w:tc>
          <w:tcPr>
            <w:tcW w:w="5840" w:type="dxa"/>
            <w:vAlign w:val="bottom"/>
            <w:gridSpan w:val="5"/>
          </w:tcPr>
          <w:p>
            <w:pPr>
              <w:ind w:left="200"/>
              <w:spacing w:after="0"/>
              <w:rPr>
                <w:sz w:val="20"/>
                <w:szCs w:val="20"/>
                <w:color w:val="auto"/>
              </w:rPr>
            </w:pPr>
            <w:r>
              <w:rPr>
                <w:rFonts w:ascii="Arial" w:cs="Arial" w:eastAsia="Arial" w:hAnsi="Arial"/>
                <w:sz w:val="20"/>
                <w:szCs w:val="20"/>
                <w:color w:val="auto"/>
              </w:rPr>
              <w:t>/s/Steve Pisciotta</w:t>
            </w:r>
          </w:p>
        </w:tc>
      </w:tr>
      <w:tr>
        <w:trPr>
          <w:trHeight w:val="20"/>
        </w:trPr>
        <w:tc>
          <w:tcPr>
            <w:tcW w:w="1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r>
      <w:tr>
        <w:trPr>
          <w:trHeight w:val="233"/>
        </w:trPr>
        <w:tc>
          <w:tcPr>
            <w:tcW w:w="1620" w:type="dxa"/>
            <w:vAlign w:val="bottom"/>
          </w:tcPr>
          <w:p>
            <w:pPr>
              <w:spacing w:after="0"/>
              <w:rPr>
                <w:sz w:val="20"/>
                <w:szCs w:val="20"/>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Name: Steve Pisciotta</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Title: Type A Manager</w:t>
            </w:r>
          </w:p>
        </w:tc>
      </w:tr>
      <w:tr>
        <w:trPr>
          <w:trHeight w:val="438"/>
        </w:trPr>
        <w:tc>
          <w:tcPr>
            <w:tcW w:w="1620" w:type="dxa"/>
            <w:vAlign w:val="bottom"/>
          </w:tcPr>
          <w:p>
            <w:pPr>
              <w:spacing w:after="0"/>
              <w:rPr>
                <w:sz w:val="20"/>
                <w:szCs w:val="20"/>
                <w:color w:val="auto"/>
              </w:rPr>
            </w:pPr>
            <w:r>
              <w:rPr>
                <w:rFonts w:ascii="Arial" w:cs="Arial" w:eastAsia="Arial" w:hAnsi="Arial"/>
                <w:sz w:val="20"/>
                <w:szCs w:val="20"/>
                <w:color w:val="auto"/>
              </w:rPr>
              <w:t>GUARANTORS:</w:t>
            </w:r>
          </w:p>
        </w:tc>
        <w:tc>
          <w:tcPr>
            <w:tcW w:w="7100" w:type="dxa"/>
            <w:vAlign w:val="bottom"/>
            <w:gridSpan w:val="6"/>
          </w:tcPr>
          <w:p>
            <w:pPr>
              <w:ind w:left="180"/>
              <w:spacing w:after="0"/>
              <w:rPr>
                <w:sz w:val="20"/>
                <w:szCs w:val="20"/>
                <w:color w:val="auto"/>
              </w:rPr>
            </w:pPr>
            <w:r>
              <w:rPr>
                <w:rFonts w:ascii="Arial" w:cs="Arial" w:eastAsia="Arial" w:hAnsi="Arial"/>
                <w:sz w:val="20"/>
                <w:szCs w:val="20"/>
                <w:color w:val="auto"/>
              </w:rPr>
              <w:t>CFN HOLDING CO.,</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a Delaware corporation</w:t>
            </w:r>
          </w:p>
        </w:tc>
      </w:tr>
      <w:tr>
        <w:trPr>
          <w:trHeight w:val="617"/>
        </w:trPr>
        <w:tc>
          <w:tcPr>
            <w:tcW w:w="16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20"/>
                <w:szCs w:val="20"/>
                <w:color w:val="auto"/>
                <w:w w:val="89"/>
              </w:rPr>
              <w:t>By:</w:t>
            </w:r>
          </w:p>
        </w:tc>
        <w:tc>
          <w:tcPr>
            <w:tcW w:w="2200" w:type="dxa"/>
            <w:vAlign w:val="bottom"/>
            <w:tcBorders>
              <w:bottom w:val="single" w:sz="8" w:color="auto"/>
            </w:tcBorders>
            <w:gridSpan w:val="2"/>
          </w:tcPr>
          <w:p>
            <w:pPr>
              <w:ind w:left="200"/>
              <w:spacing w:after="0"/>
              <w:rPr>
                <w:sz w:val="20"/>
                <w:szCs w:val="20"/>
                <w:color w:val="auto"/>
              </w:rPr>
            </w:pPr>
            <w:r>
              <w:rPr>
                <w:rFonts w:ascii="Arial" w:cs="Arial" w:eastAsia="Arial" w:hAnsi="Arial"/>
                <w:sz w:val="20"/>
                <w:szCs w:val="20"/>
                <w:color w:val="auto"/>
              </w:rPr>
              <w:t>/s/ Steve Pisciotta</w:t>
            </w:r>
          </w:p>
        </w:tc>
        <w:tc>
          <w:tcPr>
            <w:tcW w:w="3640" w:type="dxa"/>
            <w:vAlign w:val="bottom"/>
            <w:gridSpan w:val="3"/>
          </w:tcPr>
          <w:p>
            <w:pPr>
              <w:spacing w:after="0"/>
              <w:rPr>
                <w:sz w:val="24"/>
                <w:szCs w:val="24"/>
                <w:color w:val="auto"/>
              </w:rPr>
            </w:pPr>
          </w:p>
        </w:tc>
      </w:tr>
      <w:tr>
        <w:trPr>
          <w:trHeight w:val="233"/>
        </w:trPr>
        <w:tc>
          <w:tcPr>
            <w:tcW w:w="1620" w:type="dxa"/>
            <w:vAlign w:val="bottom"/>
          </w:tcPr>
          <w:p>
            <w:pPr>
              <w:spacing w:after="0"/>
              <w:rPr>
                <w:sz w:val="20"/>
                <w:szCs w:val="20"/>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Name: Steve Pisciotta</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Title: Treasurer</w:t>
            </w:r>
          </w:p>
        </w:tc>
      </w:tr>
      <w:tr>
        <w:trPr>
          <w:trHeight w:val="425"/>
        </w:trPr>
        <w:tc>
          <w:tcPr>
            <w:tcW w:w="1620" w:type="dxa"/>
            <w:vAlign w:val="bottom"/>
          </w:tcPr>
          <w:p>
            <w:pPr>
              <w:spacing w:after="0"/>
              <w:rPr>
                <w:sz w:val="24"/>
                <w:szCs w:val="24"/>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CLC GROUP, INC.,</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a Delaware corporation</w:t>
            </w:r>
          </w:p>
        </w:tc>
      </w:tr>
      <w:tr>
        <w:trPr>
          <w:trHeight w:val="617"/>
        </w:trPr>
        <w:tc>
          <w:tcPr>
            <w:tcW w:w="16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20"/>
                <w:szCs w:val="20"/>
                <w:color w:val="auto"/>
                <w:w w:val="89"/>
              </w:rPr>
              <w:t>By:</w:t>
            </w:r>
          </w:p>
        </w:tc>
        <w:tc>
          <w:tcPr>
            <w:tcW w:w="2200" w:type="dxa"/>
            <w:vAlign w:val="bottom"/>
            <w:tcBorders>
              <w:bottom w:val="single" w:sz="8" w:color="auto"/>
            </w:tcBorders>
            <w:gridSpan w:val="2"/>
          </w:tcPr>
          <w:p>
            <w:pPr>
              <w:ind w:left="200"/>
              <w:spacing w:after="0"/>
              <w:rPr>
                <w:sz w:val="20"/>
                <w:szCs w:val="20"/>
                <w:color w:val="auto"/>
              </w:rPr>
            </w:pPr>
            <w:r>
              <w:rPr>
                <w:rFonts w:ascii="Arial" w:cs="Arial" w:eastAsia="Arial" w:hAnsi="Arial"/>
                <w:sz w:val="20"/>
                <w:szCs w:val="20"/>
                <w:color w:val="auto"/>
              </w:rPr>
              <w:t>/s/ Steve Pisciotta</w:t>
            </w:r>
          </w:p>
        </w:tc>
        <w:tc>
          <w:tcPr>
            <w:tcW w:w="3640" w:type="dxa"/>
            <w:vAlign w:val="bottom"/>
            <w:gridSpan w:val="3"/>
          </w:tcPr>
          <w:p>
            <w:pPr>
              <w:spacing w:after="0"/>
              <w:rPr>
                <w:sz w:val="24"/>
                <w:szCs w:val="24"/>
                <w:color w:val="auto"/>
              </w:rPr>
            </w:pPr>
          </w:p>
        </w:tc>
      </w:tr>
      <w:tr>
        <w:trPr>
          <w:trHeight w:val="233"/>
        </w:trPr>
        <w:tc>
          <w:tcPr>
            <w:tcW w:w="1620" w:type="dxa"/>
            <w:vAlign w:val="bottom"/>
          </w:tcPr>
          <w:p>
            <w:pPr>
              <w:spacing w:after="0"/>
              <w:rPr>
                <w:sz w:val="20"/>
                <w:szCs w:val="20"/>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Name: Steve Pisciotta</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Title: Treasurer</w:t>
            </w:r>
          </w:p>
        </w:tc>
      </w:tr>
      <w:tr>
        <w:trPr>
          <w:trHeight w:val="425"/>
        </w:trPr>
        <w:tc>
          <w:tcPr>
            <w:tcW w:w="1620" w:type="dxa"/>
            <w:vAlign w:val="bottom"/>
          </w:tcPr>
          <w:p>
            <w:pPr>
              <w:spacing w:after="0"/>
              <w:rPr>
                <w:sz w:val="24"/>
                <w:szCs w:val="24"/>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CORPORATE LODGING CONSULTANTS, INC.,</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a Kansas corporation</w:t>
            </w:r>
          </w:p>
        </w:tc>
      </w:tr>
      <w:tr>
        <w:trPr>
          <w:trHeight w:val="617"/>
        </w:trPr>
        <w:tc>
          <w:tcPr>
            <w:tcW w:w="16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20"/>
                <w:szCs w:val="20"/>
                <w:color w:val="auto"/>
                <w:w w:val="89"/>
              </w:rPr>
              <w:t>By:</w:t>
            </w:r>
          </w:p>
        </w:tc>
        <w:tc>
          <w:tcPr>
            <w:tcW w:w="2200" w:type="dxa"/>
            <w:vAlign w:val="bottom"/>
            <w:tcBorders>
              <w:bottom w:val="single" w:sz="8" w:color="auto"/>
            </w:tcBorders>
            <w:gridSpan w:val="2"/>
          </w:tcPr>
          <w:p>
            <w:pPr>
              <w:ind w:left="200"/>
              <w:spacing w:after="0"/>
              <w:rPr>
                <w:sz w:val="20"/>
                <w:szCs w:val="20"/>
                <w:color w:val="auto"/>
              </w:rPr>
            </w:pPr>
            <w:r>
              <w:rPr>
                <w:rFonts w:ascii="Arial" w:cs="Arial" w:eastAsia="Arial" w:hAnsi="Arial"/>
                <w:sz w:val="20"/>
                <w:szCs w:val="20"/>
                <w:color w:val="auto"/>
              </w:rPr>
              <w:t>/s/ Steve Pisciotta</w:t>
            </w:r>
          </w:p>
        </w:tc>
        <w:tc>
          <w:tcPr>
            <w:tcW w:w="3640" w:type="dxa"/>
            <w:vAlign w:val="bottom"/>
            <w:gridSpan w:val="3"/>
          </w:tcPr>
          <w:p>
            <w:pPr>
              <w:spacing w:after="0"/>
              <w:rPr>
                <w:sz w:val="24"/>
                <w:szCs w:val="24"/>
                <w:color w:val="auto"/>
              </w:rPr>
            </w:pPr>
          </w:p>
        </w:tc>
      </w:tr>
      <w:tr>
        <w:trPr>
          <w:trHeight w:val="233"/>
        </w:trPr>
        <w:tc>
          <w:tcPr>
            <w:tcW w:w="1620" w:type="dxa"/>
            <w:vAlign w:val="bottom"/>
          </w:tcPr>
          <w:p>
            <w:pPr>
              <w:spacing w:after="0"/>
              <w:rPr>
                <w:sz w:val="20"/>
                <w:szCs w:val="20"/>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Name: Steve Pisciotta</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Title: Treasurer</w:t>
            </w:r>
          </w:p>
        </w:tc>
      </w:tr>
      <w:tr>
        <w:trPr>
          <w:trHeight w:val="425"/>
        </w:trPr>
        <w:tc>
          <w:tcPr>
            <w:tcW w:w="1620" w:type="dxa"/>
            <w:vAlign w:val="bottom"/>
          </w:tcPr>
          <w:p>
            <w:pPr>
              <w:spacing w:after="0"/>
              <w:rPr>
                <w:sz w:val="24"/>
                <w:szCs w:val="24"/>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CREW TRANSPORTATION SPECIALISTS, INC.,</w:t>
            </w:r>
          </w:p>
        </w:tc>
      </w:tr>
      <w:tr>
        <w:trPr>
          <w:trHeight w:val="250"/>
        </w:trPr>
        <w:tc>
          <w:tcPr>
            <w:tcW w:w="1620" w:type="dxa"/>
            <w:vAlign w:val="bottom"/>
          </w:tcPr>
          <w:p>
            <w:pPr>
              <w:spacing w:after="0"/>
              <w:rPr>
                <w:sz w:val="21"/>
                <w:szCs w:val="21"/>
                <w:color w:val="auto"/>
              </w:rPr>
            </w:pPr>
          </w:p>
        </w:tc>
        <w:tc>
          <w:tcPr>
            <w:tcW w:w="7100" w:type="dxa"/>
            <w:vAlign w:val="bottom"/>
            <w:gridSpan w:val="6"/>
          </w:tcPr>
          <w:p>
            <w:pPr>
              <w:ind w:left="980"/>
              <w:spacing w:after="0"/>
              <w:rPr>
                <w:sz w:val="20"/>
                <w:szCs w:val="20"/>
                <w:color w:val="auto"/>
              </w:rPr>
            </w:pPr>
            <w:r>
              <w:rPr>
                <w:rFonts w:ascii="Arial" w:cs="Arial" w:eastAsia="Arial" w:hAnsi="Arial"/>
                <w:sz w:val="20"/>
                <w:szCs w:val="20"/>
                <w:color w:val="auto"/>
              </w:rPr>
              <w:t>a Kansas corporation</w:t>
            </w:r>
          </w:p>
        </w:tc>
      </w:tr>
      <w:tr>
        <w:trPr>
          <w:trHeight w:val="617"/>
        </w:trPr>
        <w:tc>
          <w:tcPr>
            <w:tcW w:w="16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20"/>
                <w:szCs w:val="20"/>
                <w:color w:val="auto"/>
                <w:w w:val="89"/>
              </w:rPr>
              <w:t>By:</w:t>
            </w:r>
          </w:p>
        </w:tc>
        <w:tc>
          <w:tcPr>
            <w:tcW w:w="2600" w:type="dxa"/>
            <w:vAlign w:val="bottom"/>
            <w:tcBorders>
              <w:bottom w:val="single" w:sz="8" w:color="auto"/>
            </w:tcBorders>
            <w:gridSpan w:val="3"/>
          </w:tcPr>
          <w:p>
            <w:pPr>
              <w:ind w:left="200"/>
              <w:spacing w:after="0"/>
              <w:rPr>
                <w:sz w:val="20"/>
                <w:szCs w:val="20"/>
                <w:color w:val="auto"/>
              </w:rPr>
            </w:pPr>
            <w:r>
              <w:rPr>
                <w:rFonts w:ascii="Arial" w:cs="Arial" w:eastAsia="Arial" w:hAnsi="Arial"/>
                <w:sz w:val="20"/>
                <w:szCs w:val="20"/>
                <w:color w:val="auto"/>
              </w:rPr>
              <w:t>/s/ Steve Pisciotta</w:t>
            </w:r>
          </w:p>
        </w:tc>
        <w:tc>
          <w:tcPr>
            <w:tcW w:w="3240" w:type="dxa"/>
            <w:vAlign w:val="bottom"/>
            <w:gridSpan w:val="2"/>
          </w:tcPr>
          <w:p>
            <w:pPr>
              <w:spacing w:after="0"/>
              <w:rPr>
                <w:sz w:val="24"/>
                <w:szCs w:val="24"/>
                <w:color w:val="auto"/>
              </w:rPr>
            </w:pPr>
          </w:p>
        </w:tc>
      </w:tr>
    </w:tbl>
    <w:p>
      <w:pPr>
        <w:spacing w:after="0" w:line="1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Steve Pisciotta</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Title: Treasurer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1420"/>
          </w:cols>
          <w:pgMar w:left="240" w:top="757" w:right="239" w:bottom="1440" w:gutter="0" w:footer="0" w:header="0"/>
        </w:sectPr>
      </w:pPr>
    </w:p>
    <w:bookmarkStart w:id="58" w:name="page59"/>
    <w:bookmarkEnd w:id="58"/>
    <w:p>
      <w:pPr>
        <w:ind w:left="1400"/>
        <w:spacing w:after="0"/>
        <w:rPr>
          <w:sz w:val="20"/>
          <w:szCs w:val="20"/>
          <w:color w:val="auto"/>
        </w:rPr>
      </w:pPr>
      <w:r>
        <w:rPr>
          <w:rFonts w:ascii="Arial" w:cs="Arial" w:eastAsia="Arial" w:hAnsi="Arial"/>
          <w:sz w:val="20"/>
          <w:szCs w:val="20"/>
          <w:color w:val="auto"/>
        </w:rPr>
        <w:t>MANNATEC, INC.,</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Georgia corporation</w:t>
      </w:r>
    </w:p>
    <w:p>
      <w:pPr>
        <w:spacing w:after="0" w:line="200" w:lineRule="exact"/>
        <w:rPr>
          <w:sz w:val="20"/>
          <w:szCs w:val="20"/>
          <w:color w:val="auto"/>
        </w:rPr>
      </w:pPr>
    </w:p>
    <w:p>
      <w:pPr>
        <w:spacing w:after="0" w:line="216"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Steve Pisciotta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220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Steve Pisciotta</w:t>
      </w:r>
    </w:p>
    <w:p>
      <w:pPr>
        <w:ind w:left="14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FLEETCOR FUEL CARDS LLC,</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Steve Pisciotta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22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Steve Pisciotta</w:t>
      </w:r>
    </w:p>
    <w:p>
      <w:pPr>
        <w:ind w:left="14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PACIFIC PRIDE SERVICES, LLC,</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Steve Pisciotta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220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209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Steve Pisciotta</w:t>
      </w:r>
    </w:p>
    <w:p>
      <w:pPr>
        <w:ind w:left="14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FCHC HOLDING COMPANY, LLC,</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John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151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John Coughlin</w:t>
      </w:r>
    </w:p>
    <w:p>
      <w:pPr>
        <w:ind w:left="1400"/>
        <w:spacing w:after="0"/>
        <w:rPr>
          <w:sz w:val="20"/>
          <w:szCs w:val="20"/>
          <w:color w:val="auto"/>
        </w:rPr>
      </w:pPr>
      <w:r>
        <w:rPr>
          <w:rFonts w:ascii="Arial" w:cs="Arial" w:eastAsia="Arial" w:hAnsi="Arial"/>
          <w:sz w:val="20"/>
          <w:szCs w:val="20"/>
          <w:color w:val="auto"/>
        </w:rPr>
        <w:t>Title: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COMDATA INC.,</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16"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Robert E. Kribbs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6338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385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Robert E. Kribbs</w:t>
      </w:r>
    </w:p>
    <w:p>
      <w:pPr>
        <w:ind w:left="14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COMDATA TN, INC.,</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Tennessee corporation</w:t>
      </w:r>
    </w:p>
    <w:p>
      <w:pPr>
        <w:spacing w:after="0" w:line="200" w:lineRule="exact"/>
        <w:rPr>
          <w:sz w:val="20"/>
          <w:szCs w:val="20"/>
          <w:color w:val="auto"/>
        </w:rPr>
      </w:pPr>
    </w:p>
    <w:p>
      <w:pPr>
        <w:spacing w:after="0" w:line="216"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Robert E. Kribbs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823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239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Robert E. Kribbs</w:t>
      </w:r>
    </w:p>
    <w:p>
      <w:pPr>
        <w:ind w:left="14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757" w:right="239" w:bottom="1440" w:gutter="0" w:footer="0" w:header="0"/>
        </w:sectPr>
      </w:pPr>
    </w:p>
    <w:bookmarkStart w:id="59" w:name="page60"/>
    <w:bookmarkEnd w:id="59"/>
    <w:p>
      <w:pPr>
        <w:ind w:left="1400"/>
        <w:spacing w:after="0"/>
        <w:rPr>
          <w:sz w:val="20"/>
          <w:szCs w:val="20"/>
          <w:color w:val="auto"/>
        </w:rPr>
      </w:pPr>
      <w:r>
        <w:rPr>
          <w:rFonts w:ascii="Arial" w:cs="Arial" w:eastAsia="Arial" w:hAnsi="Arial"/>
          <w:sz w:val="20"/>
          <w:szCs w:val="20"/>
          <w:color w:val="auto"/>
        </w:rPr>
        <w:t>COMDATA NETWORK, INC. OF CALIFORNIA,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California corporation</w:t>
      </w:r>
    </w:p>
    <w:p>
      <w:pPr>
        <w:spacing w:after="0" w:line="200" w:lineRule="exact"/>
        <w:rPr>
          <w:sz w:val="20"/>
          <w:szCs w:val="20"/>
          <w:color w:val="auto"/>
        </w:rPr>
      </w:pPr>
    </w:p>
    <w:p>
      <w:pPr>
        <w:spacing w:after="0" w:line="216"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Robert E. Kribbs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823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2395" cy="8890"/>
                    </a:xfrm>
                    <a:prstGeom prst="rect">
                      <a:avLst/>
                    </a:prstGeom>
                    <a:noFill/>
                  </pic:spPr>
                </pic:pic>
              </a:graphicData>
            </a:graphic>
          </wp:anchor>
        </w:drawing>
      </w:r>
    </w:p>
    <w:p>
      <w:pPr>
        <w:ind w:left="1400"/>
        <w:spacing w:after="0"/>
        <w:tabs>
          <w:tab w:leader="none" w:pos="21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Robert E. Kribbs</w:t>
      </w:r>
    </w:p>
    <w:p>
      <w:pPr>
        <w:ind w:left="1400"/>
        <w:spacing w:after="0"/>
        <w:rPr>
          <w:sz w:val="20"/>
          <w:szCs w:val="20"/>
          <w:color w:val="auto"/>
        </w:rPr>
      </w:pPr>
      <w:r>
        <w:rPr>
          <w:rFonts w:ascii="Arial" w:cs="Arial" w:eastAsia="Arial" w:hAnsi="Arial"/>
          <w:sz w:val="20"/>
          <w:szCs w:val="20"/>
          <w:color w:val="auto"/>
        </w:rPr>
        <w:t>Title: Vice President</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1217" w:right="23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ADMINISTRATIVE</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AGENT:</w:t>
      </w:r>
      <w:r>
        <w:rPr>
          <w:sz w:val="20"/>
          <w:szCs w:val="20"/>
          <w:color w:val="auto"/>
        </w:rPr>
        <w:tab/>
      </w:r>
      <w:r>
        <w:rPr>
          <w:rFonts w:ascii="Arial" w:cs="Arial" w:eastAsia="Arial" w:hAnsi="Arial"/>
          <w:sz w:val="20"/>
          <w:szCs w:val="20"/>
          <w:color w:val="auto"/>
        </w:rPr>
        <w:t>BANK OF AMERICA, N.A.,</w:t>
      </w:r>
    </w:p>
    <w:p>
      <w:pPr>
        <w:ind w:left="26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4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508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812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Angela Larkin</w:t>
      </w:r>
    </w:p>
    <w:p>
      <w:pPr>
        <w:ind w:left="260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1420"/>
          </w:cols>
          <w:pgMar w:left="240" w:top="757" w:right="23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LENDERS: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as a Lender, Swing Line Lender and L/C Issuer</w:t>
      </w:r>
    </w:p>
    <w:p>
      <w:pPr>
        <w:spacing w:after="0" w:line="200" w:lineRule="exact"/>
        <w:rPr>
          <w:sz w:val="20"/>
          <w:szCs w:val="20"/>
          <w:color w:val="auto"/>
        </w:rPr>
      </w:pPr>
    </w:p>
    <w:p>
      <w:pPr>
        <w:sectPr>
          <w:pgSz w:w="11900" w:h="16838" w:orient="portrait"/>
          <w:cols w:equalWidth="0" w:num="2">
            <w:col w:w="960" w:space="580"/>
            <w:col w:w="9880"/>
          </w:cols>
          <w:pgMar w:left="240" w:top="758" w:right="239" w:bottom="1440" w:gutter="0" w:footer="0" w:header="0"/>
        </w:sectPr>
      </w:pPr>
    </w:p>
    <w:p>
      <w:pPr>
        <w:spacing w:after="0" w:line="289"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Dylan Rustemeyer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591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194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Dylan Rustemeyer</w:t>
      </w:r>
    </w:p>
    <w:p>
      <w:pPr>
        <w:ind w:left="26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Barclays Bank PLC,</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Vanessa Kurbatskiy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6478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782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Vanessa Kurbatskiy</w:t>
      </w:r>
    </w:p>
    <w:p>
      <w:pPr>
        <w:ind w:left="26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Thauer</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Peter Thauer</w:t>
      </w:r>
    </w:p>
    <w:p>
      <w:pPr>
        <w:ind w:left="26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PNC BANK, NATIONAL ASSOCIATION,</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Andrew Fraser</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Andrew Fraser</w:t>
      </w:r>
    </w:p>
    <w:p>
      <w:pPr>
        <w:ind w:left="26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THE BANK OF TOKYO-MITSUBISHI UFJ, LTD.,</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As a Lender</w:t>
      </w: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Maria Iarriccio</w:t>
      </w:r>
    </w:p>
    <w:p>
      <w:pPr>
        <w:ind w:left="2600"/>
        <w:spacing w:after="0"/>
        <w:rPr>
          <w:sz w:val="20"/>
          <w:szCs w:val="20"/>
          <w:color w:val="auto"/>
        </w:rPr>
      </w:pPr>
      <w:r>
        <w:rPr>
          <w:rFonts w:ascii="Arial" w:cs="Arial" w:eastAsia="Arial" w:hAnsi="Arial"/>
          <w:sz w:val="20"/>
          <w:szCs w:val="20"/>
          <w:color w:val="auto"/>
        </w:rPr>
        <w:t>Name: Maria Iarriccio</w:t>
      </w:r>
    </w:p>
    <w:p>
      <w:pPr>
        <w:ind w:left="26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Lex Mayers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2566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Lex Mayer</w:t>
      </w:r>
    </w:p>
    <w:p>
      <w:pPr>
        <w:ind w:left="26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1420"/>
          </w:cols>
          <w:pgMar w:left="240" w:top="758" w:right="239" w:bottom="1440" w:gutter="0" w:footer="0" w:header="0"/>
          <w:type w:val="continuous"/>
        </w:sectPr>
      </w:pPr>
    </w:p>
    <w:bookmarkStart w:id="62" w:name="page63"/>
    <w:bookmarkEnd w:id="62"/>
    <w:p>
      <w:pPr>
        <w:ind w:left="1400"/>
        <w:spacing w:after="0"/>
        <w:rPr>
          <w:sz w:val="20"/>
          <w:szCs w:val="20"/>
          <w:color w:val="auto"/>
        </w:rPr>
      </w:pPr>
      <w:r>
        <w:rPr>
          <w:rFonts w:ascii="Arial" w:cs="Arial" w:eastAsia="Arial" w:hAnsi="Arial"/>
          <w:sz w:val="20"/>
          <w:szCs w:val="20"/>
          <w:color w:val="auto"/>
        </w:rPr>
        <w:t>TD BANK, N.A.,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0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0716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Craig Welch</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REGIONS BANK,</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Jason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-24765</wp:posOffset>
            </wp:positionV>
            <wp:extent cx="1508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0812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Jason Douglas</w:t>
      </w:r>
    </w:p>
    <w:p>
      <w:pPr>
        <w:ind w:left="14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SUMITOMO MUTSUI BANKING CORPORATION,</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920" w:val="left"/>
        </w:tabs>
        <w:rPr>
          <w:sz w:val="20"/>
          <w:szCs w:val="20"/>
          <w:color w:val="auto"/>
        </w:rPr>
      </w:pPr>
      <w:r>
        <w:rPr>
          <w:rFonts w:ascii="Arial" w:cs="Arial" w:eastAsia="Arial" w:hAnsi="Arial"/>
          <w:sz w:val="20"/>
          <w:szCs w:val="20"/>
          <w:color w:val="auto"/>
        </w:rPr>
        <w:t>By:</w:t>
        <w:tab/>
        <w:t>/s/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-14605</wp:posOffset>
            </wp:positionV>
            <wp:extent cx="1770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7038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James D. Weinstein</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right="3400"/>
        <w:spacing w:after="0" w:line="260" w:lineRule="auto"/>
        <w:rPr>
          <w:sz w:val="20"/>
          <w:szCs w:val="20"/>
          <w:color w:val="auto"/>
        </w:rPr>
      </w:pPr>
      <w:r>
        <w:rPr>
          <w:rFonts w:ascii="Arial" w:cs="Arial" w:eastAsia="Arial" w:hAnsi="Arial"/>
          <w:sz w:val="20"/>
          <w:szCs w:val="20"/>
          <w:color w:val="auto"/>
        </w:rPr>
        <w:t>CREDIT AGRICOLE CORPORATE AND INVESTMENT BANK,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754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Gordon Yip</w:t>
      </w:r>
    </w:p>
    <w:p>
      <w:pPr>
        <w:ind w:left="14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260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Jill Wong</w:t>
      </w:r>
    </w:p>
    <w:p>
      <w:pPr>
        <w:ind w:left="14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MIZUHO BANK LTD.,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R. Fayen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0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James R. Fayen</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THE BANK OF NOVA SCOTIA,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Mauricio Saichio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6478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782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Mauricio Saichio</w:t>
      </w:r>
    </w:p>
    <w:p>
      <w:pPr>
        <w:ind w:left="14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1217" w:right="239" w:bottom="1440" w:gutter="0" w:footer="0" w:header="0"/>
        </w:sectPr>
      </w:pPr>
    </w:p>
    <w:bookmarkStart w:id="63" w:name="page64"/>
    <w:bookmarkEnd w:id="63"/>
    <w:p>
      <w:pPr>
        <w:ind w:left="1400"/>
        <w:spacing w:after="0"/>
        <w:rPr>
          <w:sz w:val="20"/>
          <w:szCs w:val="20"/>
          <w:color w:val="auto"/>
        </w:rPr>
      </w:pPr>
      <w:r>
        <w:rPr>
          <w:rFonts w:ascii="Arial" w:cs="Arial" w:eastAsia="Arial" w:hAnsi="Arial"/>
          <w:sz w:val="20"/>
          <w:szCs w:val="20"/>
          <w:color w:val="auto"/>
        </w:rPr>
        <w:t>FIFTH THIRD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Dan Komitor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45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526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Don Komitor</w:t>
      </w:r>
    </w:p>
    <w:p>
      <w:pPr>
        <w:ind w:left="1400"/>
        <w:spacing w:after="0"/>
        <w:rPr>
          <w:sz w:val="20"/>
          <w:szCs w:val="20"/>
          <w:color w:val="auto"/>
        </w:rPr>
      </w:pPr>
      <w:r>
        <w:rPr>
          <w:rFonts w:ascii="Arial" w:cs="Arial" w:eastAsia="Arial" w:hAnsi="Arial"/>
          <w:sz w:val="20"/>
          <w:szCs w:val="20"/>
          <w:color w:val="auto"/>
        </w:rPr>
        <w:t>Title: Senior Relationship Manager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CAPITAL ONE BANK, N.A.,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Jeremy Mipro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87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8717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Jeremy Mipro</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ROYA BANK OF CANADA,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Jennifer Flann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011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0114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Jennifer Flann</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Santander Bank, N.A.,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Frederik W. Aldin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6922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922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Frederik W. Aldin</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BANK OF CHINA NEW YORK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43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Raymond Qiao</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THE HUNTINGTON NATIONAL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Jared Shaner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24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430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Jared Shaner</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Industrial and Commercial Bank of China, New York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01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TONY HUANG</w:t>
      </w:r>
    </w:p>
    <w:p>
      <w:pPr>
        <w:ind w:left="14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757" w:right="239" w:bottom="1440" w:gutter="0" w:footer="0" w:header="0"/>
        </w:sectPr>
      </w:pPr>
    </w:p>
    <w:bookmarkStart w:id="64" w:name="page65"/>
    <w:bookmarkEnd w:id="64"/>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893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PINYEN SHIH</w:t>
      </w:r>
    </w:p>
    <w:p>
      <w:pPr>
        <w:ind w:left="140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43" w:lineRule="exact"/>
        <w:rPr>
          <w:sz w:val="20"/>
          <w:szCs w:val="20"/>
          <w:color w:val="auto"/>
        </w:rPr>
      </w:pPr>
    </w:p>
    <w:p>
      <w:pPr>
        <w:ind w:left="1400" w:right="3680"/>
        <w:spacing w:after="0" w:line="260" w:lineRule="auto"/>
        <w:rPr>
          <w:sz w:val="20"/>
          <w:szCs w:val="20"/>
          <w:color w:val="auto"/>
        </w:rPr>
      </w:pPr>
      <w:r>
        <w:rPr>
          <w:rFonts w:ascii="Arial" w:cs="Arial" w:eastAsia="Arial" w:hAnsi="Arial"/>
          <w:sz w:val="20"/>
          <w:szCs w:val="20"/>
          <w:color w:val="auto"/>
        </w:rPr>
        <w:t>CREDIT INDUSTRIEL ET COMMERCIAL, New York Branch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7360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3609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Clifford Abramsky</w:t>
      </w:r>
    </w:p>
    <w:p>
      <w:pPr>
        <w:ind w:left="1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Adrienne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6478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782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Adrienne Molloy</w:t>
      </w:r>
    </w:p>
    <w:p>
      <w:pPr>
        <w:ind w:left="1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SYNOVUS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Susan Sawicki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151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Susan Sawicki</w:t>
      </w:r>
    </w:p>
    <w:p>
      <w:pPr>
        <w:ind w:left="1400"/>
        <w:spacing w:after="0"/>
        <w:rPr>
          <w:sz w:val="20"/>
          <w:szCs w:val="20"/>
          <w:color w:val="auto"/>
        </w:rPr>
      </w:pPr>
      <w:r>
        <w:rPr>
          <w:rFonts w:ascii="Arial" w:cs="Arial" w:eastAsia="Arial" w:hAnsi="Arial"/>
          <w:sz w:val="20"/>
          <w:szCs w:val="20"/>
          <w:color w:val="auto"/>
        </w:rPr>
        <w:t>Title: Corporate Portfolio Manager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CAPITAL BANK CORPORATION,</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Rebecca L. Hetzer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7100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005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Rebecca L. Hetzer</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[STATE BANK OF INDIA, NEW YORK]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Manoranjan Panda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724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Manoranjan Panda</w:t>
      </w:r>
    </w:p>
    <w:p>
      <w:pPr>
        <w:ind w:left="1400"/>
        <w:spacing w:after="0"/>
        <w:rPr>
          <w:sz w:val="20"/>
          <w:szCs w:val="20"/>
          <w:color w:val="auto"/>
        </w:rPr>
      </w:pPr>
      <w:r>
        <w:rPr>
          <w:rFonts w:ascii="Arial" w:cs="Arial" w:eastAsia="Arial" w:hAnsi="Arial"/>
          <w:sz w:val="20"/>
          <w:szCs w:val="20"/>
          <w:color w:val="auto"/>
        </w:rPr>
        <w:t>Title: VP and Head (CMC)</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BANCO DE SABADELL, S.A., MIAMI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Enrique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989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9893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Enrique Castillo</w:t>
      </w:r>
    </w:p>
    <w:p>
      <w:pPr>
        <w:ind w:left="1400"/>
        <w:spacing w:after="0"/>
        <w:rPr>
          <w:sz w:val="20"/>
          <w:szCs w:val="20"/>
          <w:color w:val="auto"/>
        </w:rPr>
      </w:pPr>
      <w:r>
        <w:rPr>
          <w:rFonts w:ascii="Arial" w:cs="Arial" w:eastAsia="Arial" w:hAnsi="Arial"/>
          <w:sz w:val="20"/>
          <w:szCs w:val="20"/>
          <w:color w:val="auto"/>
        </w:rPr>
        <w:t>Title: Structured Finance Americas 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757" w:right="239" w:bottom="1440" w:gutter="0" w:footer="0" w:header="0"/>
        </w:sectPr>
      </w:pPr>
    </w:p>
    <w:bookmarkStart w:id="65" w:name="page66"/>
    <w:bookmarkEnd w:id="65"/>
    <w:p>
      <w:pPr>
        <w:ind w:left="1400"/>
        <w:spacing w:after="0"/>
        <w:rPr>
          <w:sz w:val="20"/>
          <w:szCs w:val="20"/>
          <w:color w:val="auto"/>
        </w:rPr>
      </w:pPr>
      <w:r>
        <w:rPr>
          <w:rFonts w:ascii="Arial" w:cs="Arial" w:eastAsia="Arial" w:hAnsi="Arial"/>
          <w:sz w:val="20"/>
          <w:szCs w:val="20"/>
          <w:color w:val="auto"/>
        </w:rPr>
        <w:t>TAIWAN BUSINESS BANK, a Republic of China Bank acting through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Its Los Angeles Branch,</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Sam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277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Sam Chiu</w:t>
      </w:r>
    </w:p>
    <w:p>
      <w:pPr>
        <w:ind w:left="1400"/>
        <w:spacing w:after="0"/>
        <w:rPr>
          <w:sz w:val="20"/>
          <w:szCs w:val="20"/>
          <w:color w:val="auto"/>
        </w:rPr>
      </w:pPr>
      <w:r>
        <w:rPr>
          <w:rFonts w:ascii="Arial" w:cs="Arial" w:eastAsia="Arial" w:hAnsi="Arial"/>
          <w:sz w:val="20"/>
          <w:szCs w:val="20"/>
          <w:color w:val="auto"/>
        </w:rPr>
        <w:t>Title: General Manager</w:t>
      </w:r>
    </w:p>
    <w:p>
      <w:pPr>
        <w:ind w:left="1400"/>
        <w:spacing w:after="0"/>
        <w:rPr>
          <w:sz w:val="20"/>
          <w:szCs w:val="20"/>
          <w:color w:val="auto"/>
        </w:rPr>
      </w:pPr>
      <w:r>
        <w:rPr>
          <w:rFonts w:ascii="Arial" w:cs="Arial" w:eastAsia="Arial" w:hAnsi="Arial"/>
          <w:sz w:val="20"/>
          <w:szCs w:val="20"/>
          <w:color w:val="auto"/>
        </w:rPr>
        <w:t>LAND BANK OF TAIWAN, LOS ANGELES BRANCH,</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Henry Leu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195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1953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Henry Leu</w:t>
      </w:r>
    </w:p>
    <w:p>
      <w:pPr>
        <w:ind w:left="1400"/>
        <w:spacing w:after="0"/>
        <w:rPr>
          <w:sz w:val="20"/>
          <w:szCs w:val="20"/>
          <w:color w:val="auto"/>
        </w:rPr>
      </w:pPr>
      <w:r>
        <w:rPr>
          <w:rFonts w:ascii="Arial" w:cs="Arial" w:eastAsia="Arial" w:hAnsi="Arial"/>
          <w:sz w:val="20"/>
          <w:szCs w:val="20"/>
          <w:color w:val="auto"/>
        </w:rPr>
        <w:t>Title: SVP &amp; GM</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TAIWAN COOPERATIVE BANK, SEATTLE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GUEY-FANG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9526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5262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GUEY-FANG CHENG</w:t>
      </w:r>
    </w:p>
    <w:p>
      <w:pPr>
        <w:ind w:left="1400"/>
        <w:spacing w:after="0"/>
        <w:rPr>
          <w:sz w:val="20"/>
          <w:szCs w:val="20"/>
          <w:color w:val="auto"/>
        </w:rPr>
      </w:pPr>
      <w:r>
        <w:rPr>
          <w:rFonts w:ascii="Arial" w:cs="Arial" w:eastAsia="Arial" w:hAnsi="Arial"/>
          <w:sz w:val="20"/>
          <w:szCs w:val="20"/>
          <w:color w:val="auto"/>
        </w:rPr>
        <w:t>Title: VP &amp; Deputy General Manger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STIFEL BANK &amp; TRUST,</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Daniel P.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8014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149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Daniel P. McDonald</w:t>
      </w:r>
    </w:p>
    <w:p>
      <w:pPr>
        <w:ind w:left="1400"/>
        <w:spacing w:after="0"/>
        <w:rPr>
          <w:sz w:val="20"/>
          <w:szCs w:val="20"/>
          <w:color w:val="auto"/>
        </w:rPr>
      </w:pPr>
      <w:r>
        <w:rPr>
          <w:rFonts w:ascii="Arial" w:cs="Arial" w:eastAsia="Arial" w:hAnsi="Arial"/>
          <w:sz w:val="20"/>
          <w:szCs w:val="20"/>
          <w:color w:val="auto"/>
        </w:rPr>
        <w:t>Title: Assistant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RAYMOND JAMES BANK, N.A.,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Joseph A. Ciccolini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7665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Joseph A. Ciccolini</w:t>
      </w:r>
    </w:p>
    <w:p>
      <w:pPr>
        <w:ind w:left="1400"/>
        <w:spacing w:after="0"/>
        <w:rPr>
          <w:sz w:val="20"/>
          <w:szCs w:val="20"/>
          <w:color w:val="auto"/>
        </w:rPr>
      </w:pPr>
      <w:r>
        <w:rPr>
          <w:rFonts w:ascii="Arial" w:cs="Arial" w:eastAsia="Arial" w:hAnsi="Arial"/>
          <w:sz w:val="20"/>
          <w:szCs w:val="20"/>
          <w:color w:val="auto"/>
        </w:rPr>
        <w:t>Title: Vice President – Senior Corporate Banker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Bank of Taiwan, acting through its Los Angeles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Ti-Kang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214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Ti-Kang Wang</w:t>
      </w:r>
    </w:p>
    <w:p>
      <w:pPr>
        <w:ind w:left="1400"/>
        <w:spacing w:after="0"/>
        <w:rPr>
          <w:sz w:val="20"/>
          <w:szCs w:val="20"/>
          <w:color w:val="auto"/>
        </w:rPr>
      </w:pPr>
      <w:r>
        <w:rPr>
          <w:rFonts w:ascii="Arial" w:cs="Arial" w:eastAsia="Arial" w:hAnsi="Arial"/>
          <w:sz w:val="20"/>
          <w:szCs w:val="20"/>
          <w:color w:val="auto"/>
        </w:rPr>
        <w:t>Title: VP &amp; General Manger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EASTERN BANK,</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-24765</wp:posOffset>
            </wp:positionV>
            <wp:extent cx="16478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4782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David Nussbaum</w:t>
      </w:r>
    </w:p>
    <w:p>
      <w:pPr>
        <w:ind w:left="140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757" w:right="239" w:bottom="1440" w:gutter="0" w:footer="0" w:header="0"/>
        </w:sectPr>
      </w:pPr>
    </w:p>
    <w:bookmarkStart w:id="66" w:name="page67"/>
    <w:bookmarkEnd w:id="66"/>
    <w:p>
      <w:pPr>
        <w:ind w:left="1400"/>
        <w:spacing w:after="0"/>
        <w:rPr>
          <w:sz w:val="20"/>
          <w:szCs w:val="20"/>
          <w:color w:val="auto"/>
        </w:rPr>
      </w:pPr>
      <w:r>
        <w:rPr>
          <w:rFonts w:ascii="Arial" w:cs="Arial" w:eastAsia="Arial" w:hAnsi="Arial"/>
          <w:sz w:val="20"/>
          <w:szCs w:val="20"/>
          <w:color w:val="auto"/>
        </w:rPr>
        <w:t>CTBC Bank Co., Ltd., New York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Ralph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2865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Ralph Wu</w:t>
      </w:r>
    </w:p>
    <w:p>
      <w:pPr>
        <w:ind w:left="1400"/>
        <w:spacing w:after="0"/>
        <w:rPr>
          <w:sz w:val="20"/>
          <w:szCs w:val="20"/>
          <w:color w:val="auto"/>
        </w:rPr>
      </w:pPr>
      <w:r>
        <w:rPr>
          <w:rFonts w:ascii="Arial" w:cs="Arial" w:eastAsia="Arial" w:hAnsi="Arial"/>
          <w:sz w:val="20"/>
          <w:szCs w:val="20"/>
          <w:color w:val="auto"/>
        </w:rPr>
        <w:t>Title: SVP &amp; Branch General Manager</w:t>
      </w:r>
    </w:p>
    <w:p>
      <w:pPr>
        <w:spacing w:after="0" w:line="213" w:lineRule="exact"/>
        <w:rPr>
          <w:sz w:val="20"/>
          <w:szCs w:val="20"/>
          <w:color w:val="auto"/>
        </w:rPr>
      </w:pPr>
    </w:p>
    <w:p>
      <w:pPr>
        <w:ind w:left="1400" w:right="3360"/>
        <w:spacing w:after="0" w:line="260" w:lineRule="auto"/>
        <w:rPr>
          <w:sz w:val="20"/>
          <w:szCs w:val="20"/>
          <w:color w:val="auto"/>
        </w:rPr>
      </w:pPr>
      <w:r>
        <w:rPr>
          <w:rFonts w:ascii="Arial" w:cs="Arial" w:eastAsia="Arial" w:hAnsi="Arial"/>
          <w:sz w:val="20"/>
          <w:szCs w:val="20"/>
          <w:color w:val="auto"/>
        </w:rPr>
        <w:t>HUA NAN COMMERCIAL BANK, LTD., NEW YORK AGENCY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WEN-TANG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8542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420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WEN-TANG WANG</w:t>
      </w:r>
    </w:p>
    <w:p>
      <w:pPr>
        <w:ind w:left="1400"/>
        <w:spacing w:after="0"/>
        <w:rPr>
          <w:sz w:val="20"/>
          <w:szCs w:val="20"/>
          <w:color w:val="auto"/>
        </w:rPr>
      </w:pPr>
      <w:r>
        <w:rPr>
          <w:rFonts w:ascii="Arial" w:cs="Arial" w:eastAsia="Arial" w:hAnsi="Arial"/>
          <w:sz w:val="20"/>
          <w:szCs w:val="20"/>
          <w:color w:val="auto"/>
        </w:rPr>
        <w:t>Title: GENERAL MANAGER &amp; VICE PRESIDENT</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STATE BANMK OF INDIA, LONDON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B. Raghavendra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822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245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B. Raghavendra Rao</w:t>
      </w:r>
    </w:p>
    <w:p>
      <w:pPr>
        <w:ind w:left="14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FIRST COMMERCIAL BANK, LTD., NEW YORK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Bill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2884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Bill Wang</w:t>
      </w:r>
    </w:p>
    <w:p>
      <w:pPr>
        <w:ind w:left="1400"/>
        <w:spacing w:after="0"/>
        <w:rPr>
          <w:sz w:val="20"/>
          <w:szCs w:val="20"/>
          <w:color w:val="auto"/>
        </w:rPr>
      </w:pPr>
      <w:r>
        <w:rPr>
          <w:rFonts w:ascii="Arial" w:cs="Arial" w:eastAsia="Arial" w:hAnsi="Arial"/>
          <w:sz w:val="20"/>
          <w:szCs w:val="20"/>
          <w:color w:val="auto"/>
        </w:rPr>
        <w:t>Title: Senior Vice President &amp; General Manager</w:t>
      </w:r>
    </w:p>
    <w:p>
      <w:pPr>
        <w:spacing w:after="0" w:line="200" w:lineRule="exact"/>
        <w:rPr>
          <w:sz w:val="20"/>
          <w:szCs w:val="20"/>
          <w:color w:val="auto"/>
        </w:rPr>
      </w:pPr>
    </w:p>
    <w:p>
      <w:pPr>
        <w:spacing w:after="0" w:line="243" w:lineRule="exact"/>
        <w:rPr>
          <w:sz w:val="20"/>
          <w:szCs w:val="20"/>
          <w:color w:val="auto"/>
        </w:rPr>
      </w:pPr>
    </w:p>
    <w:p>
      <w:pPr>
        <w:ind w:left="1400" w:right="3400"/>
        <w:spacing w:after="0" w:line="260" w:lineRule="auto"/>
        <w:rPr>
          <w:sz w:val="20"/>
          <w:szCs w:val="20"/>
          <w:color w:val="auto"/>
        </w:rPr>
      </w:pPr>
      <w:r>
        <w:rPr>
          <w:rFonts w:ascii="Arial" w:cs="Arial" w:eastAsia="Arial" w:hAnsi="Arial"/>
          <w:sz w:val="20"/>
          <w:szCs w:val="20"/>
          <w:color w:val="auto"/>
        </w:rPr>
        <w:t>BANCO DE CREDITO E INVERSIONES, S.A. MIAMI BRANCH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Juan Segundo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801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Juan Segundo</w:t>
      </w:r>
    </w:p>
    <w:p>
      <w:pPr>
        <w:ind w:left="1400"/>
        <w:spacing w:after="0"/>
        <w:rPr>
          <w:sz w:val="20"/>
          <w:szCs w:val="20"/>
          <w:color w:val="auto"/>
        </w:rPr>
      </w:pPr>
      <w:r>
        <w:rPr>
          <w:rFonts w:ascii="Arial" w:cs="Arial" w:eastAsia="Arial" w:hAnsi="Arial"/>
          <w:sz w:val="20"/>
          <w:szCs w:val="20"/>
          <w:color w:val="auto"/>
        </w:rPr>
        <w:t>Title: SVP, Head of Corporate Banking</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Linda Benford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151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Linda Benford</w:t>
      </w:r>
    </w:p>
    <w:p>
      <w:pPr>
        <w:ind w:left="1400"/>
        <w:spacing w:after="0"/>
        <w:rPr>
          <w:sz w:val="20"/>
          <w:szCs w:val="20"/>
          <w:color w:val="auto"/>
        </w:rPr>
      </w:pPr>
      <w:r>
        <w:rPr>
          <w:rFonts w:ascii="Arial" w:cs="Arial" w:eastAsia="Arial" w:hAnsi="Arial"/>
          <w:sz w:val="20"/>
          <w:szCs w:val="20"/>
          <w:color w:val="auto"/>
        </w:rPr>
        <w:t>Title: SVP, Head of Personal Banking Solutions Group</w:t>
      </w:r>
    </w:p>
    <w:p>
      <w:pPr>
        <w:spacing w:after="0" w:line="213" w:lineRule="exact"/>
        <w:rPr>
          <w:sz w:val="20"/>
          <w:szCs w:val="20"/>
          <w:color w:val="auto"/>
        </w:rPr>
      </w:pPr>
    </w:p>
    <w:p>
      <w:pPr>
        <w:ind w:left="1400" w:right="2800"/>
        <w:spacing w:after="0" w:line="260" w:lineRule="auto"/>
        <w:rPr>
          <w:sz w:val="20"/>
          <w:szCs w:val="20"/>
          <w:color w:val="auto"/>
        </w:rPr>
      </w:pPr>
      <w:r>
        <w:rPr>
          <w:rFonts w:ascii="Arial" w:cs="Arial" w:eastAsia="Arial" w:hAnsi="Arial"/>
          <w:sz w:val="20"/>
          <w:szCs w:val="20"/>
          <w:color w:val="auto"/>
        </w:rPr>
        <w:t>CHANG HWA COMMERCIAL BANK, LTD., LOS ANGELES BRANCH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Wan-Chin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651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5163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Wan-Chin Chang</w:t>
      </w:r>
    </w:p>
    <w:p>
      <w:pPr>
        <w:ind w:left="1400"/>
        <w:spacing w:after="0"/>
        <w:rPr>
          <w:sz w:val="20"/>
          <w:szCs w:val="20"/>
          <w:color w:val="auto"/>
        </w:rPr>
      </w:pPr>
      <w:r>
        <w:rPr>
          <w:rFonts w:ascii="Arial" w:cs="Arial" w:eastAsia="Arial" w:hAnsi="Arial"/>
          <w:sz w:val="20"/>
          <w:szCs w:val="20"/>
          <w:color w:val="auto"/>
        </w:rPr>
        <w:t>Title: VP &amp; General Manager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757" w:right="239" w:bottom="1440" w:gutter="0" w:footer="0" w:header="0"/>
        </w:sectPr>
      </w:pPr>
    </w:p>
    <w:bookmarkStart w:id="67" w:name="page68"/>
    <w:bookmarkEnd w:id="67"/>
    <w:p>
      <w:pPr>
        <w:ind w:left="1400"/>
        <w:spacing w:after="0"/>
        <w:rPr>
          <w:sz w:val="20"/>
          <w:szCs w:val="20"/>
          <w:color w:val="auto"/>
        </w:rPr>
      </w:pPr>
      <w:r>
        <w:rPr>
          <w:rFonts w:ascii="Arial" w:cs="Arial" w:eastAsia="Arial" w:hAnsi="Arial"/>
          <w:sz w:val="20"/>
          <w:szCs w:val="20"/>
          <w:color w:val="auto"/>
        </w:rPr>
        <w:t>FIRST HAWAIIAN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Jeffrey Inouye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05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055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Jeffrey Inouye</w:t>
      </w:r>
    </w:p>
    <w:p>
      <w:pPr>
        <w:ind w:left="14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STATE BANK OF INDIA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Maneesh Raj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382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Maneesh Raj</w:t>
      </w:r>
    </w:p>
    <w:p>
      <w:pPr>
        <w:ind w:left="1400"/>
        <w:spacing w:after="0"/>
        <w:rPr>
          <w:sz w:val="20"/>
          <w:szCs w:val="20"/>
          <w:color w:val="auto"/>
        </w:rPr>
      </w:pPr>
      <w:r>
        <w:rPr>
          <w:rFonts w:ascii="Arial" w:cs="Arial" w:eastAsia="Arial" w:hAnsi="Arial"/>
          <w:sz w:val="20"/>
          <w:szCs w:val="20"/>
          <w:color w:val="auto"/>
        </w:rPr>
        <w:t>Title: Vice President (Credit)</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CENTRAL PACIFIC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Carl Morita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684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Carl Morita</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Craig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15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541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Craig Taylor</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BANK OF OZARKS</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B.G. Dickey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103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B.G. Dickey</w:t>
      </w:r>
    </w:p>
    <w:p>
      <w:pPr>
        <w:ind w:left="1400"/>
        <w:spacing w:after="0"/>
        <w:rPr>
          <w:sz w:val="20"/>
          <w:szCs w:val="20"/>
          <w:color w:val="auto"/>
        </w:rPr>
      </w:pPr>
      <w:r>
        <w:rPr>
          <w:rFonts w:ascii="Arial" w:cs="Arial" w:eastAsia="Arial" w:hAnsi="Arial"/>
          <w:sz w:val="20"/>
          <w:szCs w:val="20"/>
          <w:color w:val="auto"/>
        </w:rPr>
        <w:t>Title: Executive Vice President, Corporate Loans Specialty Group</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CALIFORNIA STREET CLO II, LTD.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Gunther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801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Gunther Stein</w:t>
      </w:r>
    </w:p>
    <w:p>
      <w:pPr>
        <w:ind w:left="1400"/>
        <w:spacing w:after="0"/>
        <w:rPr>
          <w:sz w:val="20"/>
          <w:szCs w:val="20"/>
          <w:color w:val="auto"/>
        </w:rPr>
      </w:pPr>
      <w:r>
        <w:rPr>
          <w:rFonts w:ascii="Arial" w:cs="Arial" w:eastAsia="Arial" w:hAnsi="Arial"/>
          <w:sz w:val="20"/>
          <w:szCs w:val="20"/>
          <w:color w:val="auto"/>
        </w:rPr>
        <w:t>Title: CEO/CIO</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SYMPHONY CLO VIII, LIMITED PARTNERSHIP</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987" w:right="239" w:bottom="1440" w:gutter="0" w:footer="0" w:header="0"/>
        </w:sectPr>
      </w:pPr>
    </w:p>
    <w:bookmarkStart w:id="68" w:name="page69"/>
    <w:bookmarkEnd w:id="68"/>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Gunther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801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Gunther Stein</w:t>
      </w:r>
    </w:p>
    <w:p>
      <w:pPr>
        <w:ind w:left="1400"/>
        <w:spacing w:after="0"/>
        <w:rPr>
          <w:sz w:val="20"/>
          <w:szCs w:val="20"/>
          <w:color w:val="auto"/>
        </w:rPr>
      </w:pPr>
      <w:r>
        <w:rPr>
          <w:rFonts w:ascii="Arial" w:cs="Arial" w:eastAsia="Arial" w:hAnsi="Arial"/>
          <w:sz w:val="20"/>
          <w:szCs w:val="20"/>
          <w:color w:val="auto"/>
        </w:rPr>
        <w:t>Title: CEO/CIO</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AZB FUNDING 7</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Anthony Pui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17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Anthony Pui</w:t>
      </w:r>
    </w:p>
    <w:p>
      <w:pPr>
        <w:ind w:left="1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VII CDO LIMITED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its investment advisor, MJX Asset Management, LLC</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Atha 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823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8239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VIII CDO LIMITED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its investment advisor, MJX Asset Management, LLC</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Atha 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823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8239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WASATCH CLO LTD,</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Invesco Senior Secured Management, Inc. as Portfolio Manager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Scott Baskind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801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Scott Baskind</w:t>
      </w:r>
    </w:p>
    <w:p>
      <w:pPr>
        <w:ind w:left="1400"/>
        <w:spacing w:after="0"/>
        <w:rPr>
          <w:sz w:val="20"/>
          <w:szCs w:val="20"/>
          <w:color w:val="auto"/>
        </w:rPr>
      </w:pPr>
      <w:r>
        <w:rPr>
          <w:rFonts w:ascii="Arial" w:cs="Arial" w:eastAsia="Arial" w:hAnsi="Arial"/>
          <w:sz w:val="20"/>
          <w:szCs w:val="20"/>
          <w:color w:val="auto"/>
        </w:rPr>
        <w:t>Title: Authorized Individual</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PINNACLE PARK CLO, LTD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GSO/Blackstone Debt Funds Management LLC as Collateral Manager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Iannarone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7170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704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Thoma Iannarone</w:t>
      </w:r>
    </w:p>
    <w:p>
      <w:pPr>
        <w:ind w:left="1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758" w:right="239" w:bottom="1440" w:gutter="0" w:footer="0" w:header="0"/>
        </w:sectPr>
      </w:pPr>
    </w:p>
    <w:bookmarkStart w:id="69" w:name="page70"/>
    <w:bookmarkEnd w:id="69"/>
    <w:p>
      <w:pPr>
        <w:ind w:left="1400"/>
        <w:spacing w:after="0"/>
        <w:rPr>
          <w:sz w:val="20"/>
          <w:szCs w:val="20"/>
          <w:color w:val="auto"/>
        </w:rPr>
      </w:pPr>
      <w:r>
        <w:rPr>
          <w:rFonts w:ascii="Arial" w:cs="Arial" w:eastAsia="Arial" w:hAnsi="Arial"/>
          <w:sz w:val="20"/>
          <w:szCs w:val="20"/>
          <w:color w:val="auto"/>
        </w:rPr>
        <w:t>SENEFA PARKS CLO, LTD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GSO/Blackstone Debt Funds Management LLC as Collateral Manager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Iannarone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7170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704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Thomas Iannarone</w:t>
      </w:r>
    </w:p>
    <w:p>
      <w:pPr>
        <w:ind w:left="140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400"/>
        <w:spacing w:after="0" w:line="247" w:lineRule="auto"/>
        <w:rPr>
          <w:sz w:val="20"/>
          <w:szCs w:val="20"/>
          <w:color w:val="auto"/>
        </w:rPr>
      </w:pPr>
      <w:r>
        <w:rPr>
          <w:rFonts w:ascii="Arial" w:cs="Arial" w:eastAsia="Arial" w:hAnsi="Arial"/>
          <w:sz w:val="20"/>
          <w:szCs w:val="20"/>
          <w:color w:val="auto"/>
        </w:rPr>
        <w:t>55 LOAN STRATEGY FUND A SERIES TRUST OF MULTI MANAGER GLOBAL INVESTMENT TRUST</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BlackRock Financial Management Inc., Its Investment Manager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404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Rob Jacobi</w:t>
      </w:r>
    </w:p>
    <w:p>
      <w:pPr>
        <w:ind w:left="140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400"/>
        <w:spacing w:after="0" w:line="247" w:lineRule="auto"/>
        <w:rPr>
          <w:sz w:val="20"/>
          <w:szCs w:val="20"/>
          <w:color w:val="auto"/>
        </w:rPr>
      </w:pPr>
      <w:r>
        <w:rPr>
          <w:rFonts w:ascii="Arial" w:cs="Arial" w:eastAsia="Arial" w:hAnsi="Arial"/>
          <w:sz w:val="20"/>
          <w:szCs w:val="20"/>
          <w:color w:val="auto"/>
        </w:rPr>
        <w:t>55 LOAN STRATEGY FUND 2 A SERIES TRUST OF MULTI MANAGER GLOBAL INVESTMENT TRUST</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BlackRock Financial Management Inc., Its Investment Manager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40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Rob Jacobi</w:t>
      </w:r>
    </w:p>
    <w:p>
      <w:pPr>
        <w:ind w:left="1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1400"/>
        <w:spacing w:after="0" w:line="247" w:lineRule="auto"/>
        <w:rPr>
          <w:sz w:val="20"/>
          <w:szCs w:val="20"/>
          <w:color w:val="auto"/>
        </w:rPr>
      </w:pPr>
      <w:r>
        <w:rPr>
          <w:rFonts w:ascii="Arial" w:cs="Arial" w:eastAsia="Arial" w:hAnsi="Arial"/>
          <w:sz w:val="20"/>
          <w:szCs w:val="20"/>
          <w:color w:val="auto"/>
        </w:rPr>
        <w:t>55 LOAN STRATEGY FUND 3 A SERIES TRUST OF MULTI MANAGER GLOBAL INVESTMENT TRUST</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BlackRock Financial Management Inc., Its Investment Manager</w:t>
      </w:r>
    </w:p>
    <w:p>
      <w:pPr>
        <w:spacing w:after="0" w:line="200" w:lineRule="exact"/>
        <w:rPr>
          <w:sz w:val="20"/>
          <w:szCs w:val="20"/>
          <w:color w:val="auto"/>
        </w:rPr>
      </w:pPr>
    </w:p>
    <w:p>
      <w:pPr>
        <w:spacing w:after="0" w:line="24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404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Rob Jacobi</w:t>
      </w:r>
    </w:p>
    <w:p>
      <w:pPr>
        <w:ind w:left="1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JFIN US INVERSTMENT GRADE &amp; LEVERAGED LOAN BUY AND MAINTAIN FUND (FX AND IR</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HEDGED)</w:t>
      </w: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BlackRock Financial Management Inc., Its Investment Manager</w:t>
      </w:r>
    </w:p>
    <w:p>
      <w:pPr>
        <w:spacing w:after="0" w:line="200" w:lineRule="exact"/>
        <w:rPr>
          <w:sz w:val="20"/>
          <w:szCs w:val="20"/>
          <w:color w:val="auto"/>
        </w:rPr>
      </w:pPr>
    </w:p>
    <w:p>
      <w:pPr>
        <w:spacing w:after="0" w:line="24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3404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Rob Jacobi</w:t>
      </w:r>
    </w:p>
    <w:p>
      <w:pPr>
        <w:ind w:left="1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987" w:right="239" w:bottom="1440" w:gutter="0" w:footer="0" w:header="0"/>
        </w:sectPr>
      </w:pPr>
    </w:p>
    <w:bookmarkStart w:id="70" w:name="page71"/>
    <w:bookmarkEnd w:id="70"/>
    <w:p>
      <w:pPr>
        <w:ind w:left="1400"/>
        <w:spacing w:after="0"/>
        <w:rPr>
          <w:sz w:val="20"/>
          <w:szCs w:val="20"/>
          <w:color w:val="auto"/>
        </w:rPr>
      </w:pPr>
      <w:r>
        <w:rPr>
          <w:rFonts w:ascii="Arial" w:cs="Arial" w:eastAsia="Arial" w:hAnsi="Arial"/>
          <w:sz w:val="20"/>
          <w:szCs w:val="20"/>
          <w:color w:val="auto"/>
        </w:rPr>
        <w:t>LIME STREET CLO, LTD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Scott D’Orsi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417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Scott D’Orsi</w:t>
      </w:r>
    </w:p>
    <w:p>
      <w:pPr>
        <w:ind w:left="1400"/>
        <w:spacing w:after="0"/>
        <w:rPr>
          <w:sz w:val="20"/>
          <w:szCs w:val="20"/>
          <w:color w:val="auto"/>
        </w:rPr>
      </w:pPr>
      <w:r>
        <w:rPr>
          <w:rFonts w:ascii="Arial" w:cs="Arial" w:eastAsia="Arial" w:hAnsi="Arial"/>
          <w:sz w:val="20"/>
          <w:szCs w:val="20"/>
          <w:color w:val="auto"/>
        </w:rPr>
        <w:t>Title: Portfolio Manager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PALMER SQUARE CLO 2013-1, LTD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Palmer Square Capital Management LLC, as Portfolio Manager</w:t>
      </w:r>
    </w:p>
    <w:p>
      <w:pPr>
        <w:spacing w:after="0" w:line="15"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Bloomfield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-24765</wp:posOffset>
            </wp:positionV>
            <wp:extent cx="16198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Matt Bloomfield</w:t>
      </w:r>
    </w:p>
    <w:p>
      <w:pPr>
        <w:ind w:left="1400"/>
        <w:spacing w:after="0"/>
        <w:rPr>
          <w:sz w:val="20"/>
          <w:szCs w:val="20"/>
          <w:color w:val="auto"/>
        </w:rPr>
      </w:pPr>
      <w:r>
        <w:rPr>
          <w:rFonts w:ascii="Arial" w:cs="Arial" w:eastAsia="Arial" w:hAnsi="Arial"/>
          <w:sz w:val="20"/>
          <w:szCs w:val="20"/>
          <w:color w:val="auto"/>
        </w:rPr>
        <w:t>Title: Managing Director/Portfolio Manager</w:t>
      </w:r>
    </w:p>
    <w:p>
      <w:pPr>
        <w:spacing w:after="0" w:line="200" w:lineRule="exact"/>
        <w:rPr>
          <w:sz w:val="20"/>
          <w:szCs w:val="20"/>
          <w:color w:val="auto"/>
        </w:rPr>
      </w:pPr>
    </w:p>
    <w:p>
      <w:pPr>
        <w:spacing w:after="0" w:line="243" w:lineRule="exact"/>
        <w:rPr>
          <w:sz w:val="20"/>
          <w:szCs w:val="20"/>
          <w:color w:val="auto"/>
        </w:rPr>
      </w:pPr>
    </w:p>
    <w:p>
      <w:pPr>
        <w:ind w:left="1400" w:right="1720"/>
        <w:spacing w:after="0" w:line="260" w:lineRule="auto"/>
        <w:rPr>
          <w:sz w:val="20"/>
          <w:szCs w:val="20"/>
          <w:color w:val="auto"/>
        </w:rPr>
      </w:pPr>
      <w:r>
        <w:rPr>
          <w:rFonts w:ascii="Arial" w:cs="Arial" w:eastAsia="Arial" w:hAnsi="Arial"/>
          <w:sz w:val="20"/>
          <w:szCs w:val="20"/>
          <w:color w:val="auto"/>
        </w:rPr>
        <w:t>AXA IM PARIS SA FOR AND ON BEHALF OF MATIGNON DETIVATIVES LOANS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Xavier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79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Xavier Boucher</w:t>
      </w:r>
    </w:p>
    <w:p>
      <w:pPr>
        <w:ind w:left="1400"/>
        <w:spacing w:after="0"/>
        <w:rPr>
          <w:sz w:val="20"/>
          <w:szCs w:val="20"/>
          <w:color w:val="auto"/>
        </w:rPr>
      </w:pPr>
      <w:r>
        <w:rPr>
          <w:rFonts w:ascii="Arial" w:cs="Arial" w:eastAsia="Arial" w:hAnsi="Arial"/>
          <w:sz w:val="20"/>
          <w:szCs w:val="20"/>
          <w:color w:val="auto"/>
        </w:rPr>
        <w:t>Title: Senior Portfolio Manager</w:t>
      </w:r>
    </w:p>
    <w:p>
      <w:pPr>
        <w:spacing w:after="0" w:line="213" w:lineRule="exact"/>
        <w:rPr>
          <w:sz w:val="20"/>
          <w:szCs w:val="20"/>
          <w:color w:val="auto"/>
        </w:rPr>
      </w:pPr>
    </w:p>
    <w:p>
      <w:pPr>
        <w:ind w:left="1400" w:right="920"/>
        <w:spacing w:after="0" w:line="260" w:lineRule="auto"/>
        <w:rPr>
          <w:sz w:val="20"/>
          <w:szCs w:val="20"/>
          <w:color w:val="auto"/>
        </w:rPr>
      </w:pPr>
      <w:r>
        <w:rPr>
          <w:rFonts w:ascii="Arial" w:cs="Arial" w:eastAsia="Arial" w:hAnsi="Arial"/>
          <w:sz w:val="20"/>
          <w:szCs w:val="20"/>
          <w:color w:val="auto"/>
        </w:rPr>
        <w:t>AXA IM PARIS SA FOR AND ON BEHALF OF MATIGNON LEVERAGED LOANS LIMITED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Xavier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79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Xavier Boucher</w:t>
      </w:r>
    </w:p>
    <w:p>
      <w:pPr>
        <w:ind w:left="1400"/>
        <w:spacing w:after="0"/>
        <w:rPr>
          <w:sz w:val="20"/>
          <w:szCs w:val="20"/>
          <w:color w:val="auto"/>
        </w:rPr>
      </w:pPr>
      <w:r>
        <w:rPr>
          <w:rFonts w:ascii="Arial" w:cs="Arial" w:eastAsia="Arial" w:hAnsi="Arial"/>
          <w:sz w:val="20"/>
          <w:szCs w:val="20"/>
          <w:color w:val="auto"/>
        </w:rPr>
        <w:t>Title: Senior Portfolio Manager</w:t>
      </w:r>
    </w:p>
    <w:p>
      <w:pPr>
        <w:spacing w:after="0" w:line="213" w:lineRule="exact"/>
        <w:rPr>
          <w:sz w:val="20"/>
          <w:szCs w:val="20"/>
          <w:color w:val="auto"/>
        </w:rPr>
      </w:pPr>
    </w:p>
    <w:p>
      <w:pPr>
        <w:ind w:left="1400" w:right="2440"/>
        <w:spacing w:after="0" w:line="260" w:lineRule="auto"/>
        <w:rPr>
          <w:sz w:val="20"/>
          <w:szCs w:val="20"/>
          <w:color w:val="auto"/>
        </w:rPr>
      </w:pPr>
      <w:r>
        <w:rPr>
          <w:rFonts w:ascii="Arial" w:cs="Arial" w:eastAsia="Arial" w:hAnsi="Arial"/>
          <w:sz w:val="20"/>
          <w:szCs w:val="20"/>
          <w:color w:val="auto"/>
        </w:rPr>
        <w:t>AXA IM PARIS SA FOR AND ON BEHALF OF MATIGNON LOANS FUND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Xavier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79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Xavier Boucher</w:t>
      </w:r>
    </w:p>
    <w:p>
      <w:pPr>
        <w:ind w:left="1400"/>
        <w:spacing w:after="0"/>
        <w:rPr>
          <w:sz w:val="20"/>
          <w:szCs w:val="20"/>
          <w:color w:val="auto"/>
        </w:rPr>
      </w:pPr>
      <w:r>
        <w:rPr>
          <w:rFonts w:ascii="Arial" w:cs="Arial" w:eastAsia="Arial" w:hAnsi="Arial"/>
          <w:sz w:val="20"/>
          <w:szCs w:val="20"/>
          <w:color w:val="auto"/>
        </w:rPr>
        <w:t>Title: Senior Portfolio Manager</w:t>
      </w:r>
    </w:p>
    <w:p>
      <w:pPr>
        <w:spacing w:after="0" w:line="213" w:lineRule="exact"/>
        <w:rPr>
          <w:sz w:val="20"/>
          <w:szCs w:val="20"/>
          <w:color w:val="auto"/>
        </w:rPr>
      </w:pPr>
    </w:p>
    <w:p>
      <w:pPr>
        <w:ind w:left="1400" w:right="780"/>
        <w:spacing w:after="0" w:line="260" w:lineRule="auto"/>
        <w:rPr>
          <w:sz w:val="20"/>
          <w:szCs w:val="20"/>
          <w:color w:val="auto"/>
        </w:rPr>
      </w:pPr>
      <w:r>
        <w:rPr>
          <w:rFonts w:ascii="Arial" w:cs="Arial" w:eastAsia="Arial" w:hAnsi="Arial"/>
          <w:sz w:val="20"/>
          <w:szCs w:val="20"/>
          <w:color w:val="auto"/>
        </w:rPr>
        <w:t>AXA IM PARIS SA FOR AND ON BEHALF OF AXA GERMANY LEVERAGED LOANS FUND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Xavier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79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Xavier Boucher</w:t>
      </w:r>
    </w:p>
    <w:p>
      <w:pPr>
        <w:ind w:left="1400"/>
        <w:spacing w:after="0"/>
        <w:rPr>
          <w:sz w:val="20"/>
          <w:szCs w:val="20"/>
          <w:color w:val="auto"/>
        </w:rPr>
      </w:pPr>
      <w:r>
        <w:rPr>
          <w:rFonts w:ascii="Arial" w:cs="Arial" w:eastAsia="Arial" w:hAnsi="Arial"/>
          <w:sz w:val="20"/>
          <w:szCs w:val="20"/>
          <w:color w:val="auto"/>
        </w:rPr>
        <w:t>Title: Senior Portfolio Manager</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987" w:right="239" w:bottom="1440" w:gutter="0" w:footer="0" w:header="0"/>
        </w:sectPr>
      </w:pPr>
    </w:p>
    <w:bookmarkStart w:id="71" w:name="page72"/>
    <w:bookmarkEnd w:id="71"/>
    <w:p>
      <w:pPr>
        <w:ind w:left="1400" w:right="20"/>
        <w:spacing w:after="0" w:line="247" w:lineRule="auto"/>
        <w:rPr>
          <w:sz w:val="20"/>
          <w:szCs w:val="20"/>
          <w:color w:val="auto"/>
        </w:rPr>
      </w:pPr>
      <w:r>
        <w:rPr>
          <w:rFonts w:ascii="Arial" w:cs="Arial" w:eastAsia="Arial" w:hAnsi="Arial"/>
          <w:sz w:val="20"/>
          <w:szCs w:val="20"/>
          <w:color w:val="auto"/>
        </w:rPr>
        <w:t>AXA IM PARIS SA FOR AND ON BEHALF OF FCP COLUMBUS DIVERSIFIED LEVERAGED LOANS FUND</w:t>
      </w:r>
    </w:p>
    <w:p>
      <w:pPr>
        <w:spacing w:after="0" w:line="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Xavier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79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Xavier Boucher</w:t>
      </w:r>
    </w:p>
    <w:p>
      <w:pPr>
        <w:ind w:left="1400"/>
        <w:spacing w:after="0"/>
        <w:rPr>
          <w:sz w:val="20"/>
          <w:szCs w:val="20"/>
          <w:color w:val="auto"/>
        </w:rPr>
      </w:pPr>
      <w:r>
        <w:rPr>
          <w:rFonts w:ascii="Arial" w:cs="Arial" w:eastAsia="Arial" w:hAnsi="Arial"/>
          <w:sz w:val="20"/>
          <w:szCs w:val="20"/>
          <w:color w:val="auto"/>
        </w:rPr>
        <w:t>Title: Senior Portfolio Manager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AXA IM PARIS SA FOR AND ON BEHALF OF FCP COLUMBUS GLOBAL DEBT FUND</w:t>
      </w:r>
    </w:p>
    <w:p>
      <w:pPr>
        <w:spacing w:after="0" w:line="229"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Xavier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79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Xavier Boucher</w:t>
      </w:r>
    </w:p>
    <w:p>
      <w:pPr>
        <w:ind w:left="1400"/>
        <w:spacing w:after="0"/>
        <w:rPr>
          <w:sz w:val="20"/>
          <w:szCs w:val="20"/>
          <w:color w:val="auto"/>
        </w:rPr>
      </w:pPr>
      <w:r>
        <w:rPr>
          <w:rFonts w:ascii="Arial" w:cs="Arial" w:eastAsia="Arial" w:hAnsi="Arial"/>
          <w:sz w:val="20"/>
          <w:szCs w:val="20"/>
          <w:color w:val="auto"/>
        </w:rPr>
        <w:t>Title: Senior Portfolio Manager</w:t>
      </w:r>
    </w:p>
    <w:p>
      <w:pPr>
        <w:spacing w:after="0" w:line="213" w:lineRule="exact"/>
        <w:rPr>
          <w:sz w:val="20"/>
          <w:szCs w:val="20"/>
          <w:color w:val="auto"/>
        </w:rPr>
      </w:pPr>
    </w:p>
    <w:p>
      <w:pPr>
        <w:ind w:left="1400" w:right="2560"/>
        <w:spacing w:after="0" w:line="260" w:lineRule="auto"/>
        <w:rPr>
          <w:sz w:val="20"/>
          <w:szCs w:val="20"/>
          <w:color w:val="auto"/>
        </w:rPr>
      </w:pPr>
      <w:r>
        <w:rPr>
          <w:rFonts w:ascii="Arial" w:cs="Arial" w:eastAsia="Arial" w:hAnsi="Arial"/>
          <w:sz w:val="20"/>
          <w:szCs w:val="20"/>
          <w:color w:val="auto"/>
        </w:rPr>
        <w:t>AXA IM PARIS SA FOR AND ON BEHALF OF AMA IM LOAN LIMITED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Xavier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79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Xavier Boucher</w:t>
      </w:r>
    </w:p>
    <w:p>
      <w:pPr>
        <w:ind w:left="1400"/>
        <w:spacing w:after="0"/>
        <w:rPr>
          <w:sz w:val="20"/>
          <w:szCs w:val="20"/>
          <w:color w:val="auto"/>
        </w:rPr>
      </w:pPr>
      <w:r>
        <w:rPr>
          <w:rFonts w:ascii="Arial" w:cs="Arial" w:eastAsia="Arial" w:hAnsi="Arial"/>
          <w:sz w:val="20"/>
          <w:szCs w:val="20"/>
          <w:color w:val="auto"/>
        </w:rPr>
        <w:t>Title: Senior Portfolio Manager</w:t>
      </w:r>
    </w:p>
    <w:p>
      <w:pPr>
        <w:spacing w:after="0" w:line="200" w:lineRule="exact"/>
        <w:rPr>
          <w:sz w:val="20"/>
          <w:szCs w:val="20"/>
          <w:color w:val="auto"/>
        </w:rPr>
      </w:pPr>
    </w:p>
    <w:p>
      <w:pPr>
        <w:spacing w:after="0" w:line="243" w:lineRule="exact"/>
        <w:rPr>
          <w:sz w:val="20"/>
          <w:szCs w:val="20"/>
          <w:color w:val="auto"/>
        </w:rPr>
      </w:pPr>
    </w:p>
    <w:p>
      <w:pPr>
        <w:ind w:left="1400" w:right="2340"/>
        <w:spacing w:after="0" w:line="260" w:lineRule="auto"/>
        <w:rPr>
          <w:sz w:val="20"/>
          <w:szCs w:val="20"/>
          <w:color w:val="auto"/>
        </w:rPr>
      </w:pPr>
      <w:r>
        <w:rPr>
          <w:rFonts w:ascii="Arial" w:cs="Arial" w:eastAsia="Arial" w:hAnsi="Arial"/>
          <w:sz w:val="20"/>
          <w:szCs w:val="20"/>
          <w:color w:val="auto"/>
        </w:rPr>
        <w:t>AXA IM PARIS SA FOR AND ON BEHALF OF FCP ACM US LOANS FUND As a Lender</w:t>
      </w:r>
    </w:p>
    <w:p>
      <w:pPr>
        <w:spacing w:after="0" w:line="190"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Xavier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5779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Xavier Boucher</w:t>
      </w:r>
    </w:p>
    <w:p>
      <w:pPr>
        <w:ind w:left="1400"/>
        <w:spacing w:after="0"/>
        <w:rPr>
          <w:sz w:val="20"/>
          <w:szCs w:val="20"/>
          <w:color w:val="auto"/>
        </w:rPr>
      </w:pPr>
      <w:r>
        <w:rPr>
          <w:rFonts w:ascii="Arial" w:cs="Arial" w:eastAsia="Arial" w:hAnsi="Arial"/>
          <w:sz w:val="20"/>
          <w:szCs w:val="20"/>
          <w:color w:val="auto"/>
        </w:rPr>
        <w:t>Title: Senior Portfolio Manager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BAWAG P.S.K.</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Bank fur Arbcit und Wirtschaft und Osterreichische Postsparkassc AG</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Christian BeBenroth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8154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1546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Christian BeBenroth</w:t>
      </w:r>
    </w:p>
    <w:p>
      <w:pPr>
        <w:ind w:left="140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Stephen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16383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8300"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 Stephen Schaffer</w:t>
      </w:r>
    </w:p>
    <w:p>
      <w:pPr>
        <w:ind w:left="14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FLEETCOR TECHNOLOGIES OPERATING COMPANY,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THIRD AMENDMENT TO CREDIT AGREEMENT</w:t>
      </w:r>
    </w:p>
    <w:p>
      <w:pPr>
        <w:sectPr>
          <w:pgSz w:w="11900" w:h="16838" w:orient="portrait"/>
          <w:cols w:equalWidth="0" w:num="1">
            <w:col w:w="10220"/>
          </w:cols>
          <w:pgMar w:left="1440" w:top="1217" w:right="239" w:bottom="1440" w:gutter="0" w:footer="0" w:header="0"/>
        </w:sectPr>
      </w:pPr>
    </w:p>
    <w:bookmarkStart w:id="72" w:name="page73"/>
    <w:bookmarkEnd w:id="72"/>
    <w:p>
      <w:pPr>
        <w:spacing w:after="0" w:line="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[_____________________],</w:t>
      </w:r>
    </w:p>
    <w:p>
      <w:pPr>
        <w:spacing w:after="0" w:line="39"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-14605</wp:posOffset>
            </wp:positionV>
            <wp:extent cx="7473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47395" cy="88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20"/>
          <w:szCs w:val="20"/>
          <w:color w:val="auto"/>
        </w:rPr>
        <w:t>Name:</w:t>
      </w:r>
    </w:p>
    <w:p>
      <w:pPr>
        <w:ind w:left="14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40" w:right="1440"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311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115" cy="8890"/>
                    </a:xfrm>
                    <a:prstGeom prst="rect">
                      <a:avLst/>
                    </a:prstGeom>
                    <a:noFill/>
                  </pic:spPr>
                </pic:pic>
              </a:graphicData>
            </a:graphic>
          </wp:anchor>
        </w:drawing>
        <w:t>Annex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9019"/>
          </w:cols>
          <w:pgMar w:left="1440" w:top="981" w:right="1440"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20"/>
          <w:szCs w:val="20"/>
          <w:b w:val="1"/>
          <w:bCs w:val="1"/>
          <w:u w:val="single" w:color="auto"/>
          <w:color w:val="auto"/>
        </w:rPr>
        <w:t>Schedule 2.01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Commitments and Applicable Percentages</w:t>
      </w: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900" w:type="dxa"/>
            <w:vAlign w:val="bottom"/>
            <w:tcBorders>
              <w:top w:val="single" w:sz="8" w:color="00000A"/>
              <w:left w:val="single" w:sz="8" w:color="00000A"/>
              <w:right w:val="single" w:sz="8" w:color="00000A"/>
            </w:tcBorders>
          </w:tcPr>
          <w:p>
            <w:pPr>
              <w:spacing w:after="0"/>
              <w:rPr>
                <w:sz w:val="19"/>
                <w:szCs w:val="19"/>
                <w:color w:val="auto"/>
              </w:rPr>
            </w:pPr>
          </w:p>
        </w:tc>
        <w:tc>
          <w:tcPr>
            <w:tcW w:w="1200" w:type="dxa"/>
            <w:vAlign w:val="bottom"/>
            <w:tcBorders>
              <w:top w:val="single" w:sz="8" w:color="00000A"/>
              <w:right w:val="single" w:sz="8" w:color="00000A"/>
            </w:tcBorders>
          </w:tcPr>
          <w:p>
            <w:pPr>
              <w:spacing w:after="0"/>
              <w:rPr>
                <w:sz w:val="19"/>
                <w:szCs w:val="19"/>
                <w:color w:val="auto"/>
              </w:rPr>
            </w:pPr>
          </w:p>
        </w:tc>
        <w:tc>
          <w:tcPr>
            <w:tcW w:w="1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Applicable</w:t>
            </w:r>
          </w:p>
        </w:tc>
        <w:tc>
          <w:tcPr>
            <w:tcW w:w="1200" w:type="dxa"/>
            <w:vAlign w:val="bottom"/>
            <w:tcBorders>
              <w:top w:val="single" w:sz="8" w:color="00000A"/>
              <w:right w:val="single" w:sz="8" w:color="00000A"/>
            </w:tcBorders>
          </w:tcPr>
          <w:p>
            <w:pPr>
              <w:spacing w:after="0"/>
              <w:rPr>
                <w:sz w:val="19"/>
                <w:szCs w:val="19"/>
                <w:color w:val="auto"/>
              </w:rPr>
            </w:pPr>
          </w:p>
        </w:tc>
        <w:tc>
          <w:tcPr>
            <w:tcW w:w="11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Applicable</w:t>
            </w:r>
          </w:p>
        </w:tc>
        <w:tc>
          <w:tcPr>
            <w:tcW w:w="1180" w:type="dxa"/>
            <w:vAlign w:val="bottom"/>
            <w:tcBorders>
              <w:top w:val="single" w:sz="8" w:color="00000A"/>
              <w:right w:val="single" w:sz="8" w:color="00000A"/>
            </w:tcBorders>
          </w:tcPr>
          <w:p>
            <w:pPr>
              <w:spacing w:after="0"/>
              <w:rPr>
                <w:sz w:val="19"/>
                <w:szCs w:val="19"/>
                <w:color w:val="auto"/>
              </w:rPr>
            </w:pPr>
          </w:p>
        </w:tc>
        <w:tc>
          <w:tcPr>
            <w:tcW w:w="11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Applicable</w:t>
            </w:r>
          </w:p>
        </w:tc>
        <w:tc>
          <w:tcPr>
            <w:tcW w:w="1260" w:type="dxa"/>
            <w:vAlign w:val="bottom"/>
            <w:tcBorders>
              <w:top w:val="single" w:sz="8" w:color="00000A"/>
              <w:right w:val="single" w:sz="8" w:color="00000A"/>
            </w:tcBorders>
          </w:tcPr>
          <w:p>
            <w:pPr>
              <w:spacing w:after="0"/>
              <w:rPr>
                <w:sz w:val="19"/>
                <w:szCs w:val="19"/>
                <w:color w:val="auto"/>
              </w:rPr>
            </w:pPr>
          </w:p>
        </w:tc>
        <w:tc>
          <w:tcPr>
            <w:tcW w:w="11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3"/>
              </w:rPr>
              <w:t>Applicable</w:t>
            </w:r>
          </w:p>
        </w:tc>
        <w:tc>
          <w:tcPr>
            <w:tcW w:w="0" w:type="dxa"/>
            <w:vAlign w:val="bottom"/>
          </w:tcPr>
          <w:p>
            <w:pPr>
              <w:spacing w:after="0"/>
              <w:rPr>
                <w:sz w:val="1"/>
                <w:szCs w:val="1"/>
                <w:color w:val="auto"/>
              </w:rPr>
            </w:pPr>
          </w:p>
        </w:tc>
      </w:tr>
      <w:tr>
        <w:trPr>
          <w:trHeight w:val="203"/>
        </w:trPr>
        <w:tc>
          <w:tcPr>
            <w:tcW w:w="1900" w:type="dxa"/>
            <w:vAlign w:val="bottom"/>
            <w:tcBorders>
              <w:left w:val="single" w:sz="8" w:color="00000A"/>
              <w:right w:val="single" w:sz="8" w:color="00000A"/>
            </w:tcBorders>
          </w:tcPr>
          <w:p>
            <w:pPr>
              <w:spacing w:after="0"/>
              <w:rPr>
                <w:sz w:val="17"/>
                <w:szCs w:val="17"/>
                <w:color w:val="auto"/>
              </w:rPr>
            </w:pPr>
          </w:p>
        </w:tc>
        <w:tc>
          <w:tcPr>
            <w:tcW w:w="120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00" w:type="dxa"/>
            <w:vAlign w:val="bottom"/>
            <w:tcBorders>
              <w:right w:val="single" w:sz="8" w:color="00000A"/>
            </w:tcBorders>
          </w:tcPr>
          <w:p>
            <w:pPr>
              <w:spacing w:after="0"/>
              <w:rPr>
                <w:sz w:val="17"/>
                <w:szCs w:val="17"/>
                <w:color w:val="auto"/>
              </w:rPr>
            </w:pP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180" w:type="dxa"/>
            <w:vAlign w:val="bottom"/>
            <w:tcBorders>
              <w:right w:val="single" w:sz="8" w:color="00000A"/>
            </w:tcBorders>
          </w:tcPr>
          <w:p>
            <w:pPr>
              <w:spacing w:after="0"/>
              <w:rPr>
                <w:sz w:val="17"/>
                <w:szCs w:val="17"/>
                <w:color w:val="auto"/>
              </w:rPr>
            </w:pP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60" w:type="dxa"/>
            <w:vAlign w:val="bottom"/>
            <w:tcBorders>
              <w:right w:val="single" w:sz="8" w:color="00000A"/>
            </w:tcBorders>
          </w:tcPr>
          <w:p>
            <w:pPr>
              <w:spacing w:after="0"/>
              <w:rPr>
                <w:sz w:val="17"/>
                <w:szCs w:val="17"/>
                <w:color w:val="auto"/>
              </w:rPr>
            </w:pP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6"/>
              </w:rPr>
              <w:t>Percentage of</w:t>
            </w:r>
          </w:p>
        </w:tc>
        <w:tc>
          <w:tcPr>
            <w:tcW w:w="0" w:type="dxa"/>
            <w:vAlign w:val="bottom"/>
          </w:tcPr>
          <w:p>
            <w:pPr>
              <w:spacing w:after="0"/>
              <w:rPr>
                <w:sz w:val="1"/>
                <w:szCs w:val="1"/>
                <w:color w:val="auto"/>
              </w:rPr>
            </w:pPr>
          </w:p>
        </w:tc>
      </w:tr>
      <w:tr>
        <w:trPr>
          <w:trHeight w:val="203"/>
        </w:trPr>
        <w:tc>
          <w:tcPr>
            <w:tcW w:w="1900" w:type="dxa"/>
            <w:vAlign w:val="bottom"/>
            <w:tcBorders>
              <w:left w:val="single" w:sz="8" w:color="00000A"/>
              <w:right w:val="single" w:sz="8" w:color="00000A"/>
            </w:tcBorders>
            <w:vMerge w:val="restart"/>
          </w:tcPr>
          <w:p>
            <w:pPr>
              <w:ind w:left="680"/>
              <w:spacing w:after="0"/>
              <w:rPr>
                <w:sz w:val="20"/>
                <w:szCs w:val="20"/>
                <w:color w:val="auto"/>
              </w:rPr>
            </w:pPr>
            <w:r>
              <w:rPr>
                <w:rFonts w:ascii="Arial" w:cs="Arial" w:eastAsia="Arial" w:hAnsi="Arial"/>
                <w:sz w:val="18"/>
                <w:szCs w:val="18"/>
                <w:b w:val="1"/>
                <w:bCs w:val="1"/>
                <w:color w:val="auto"/>
              </w:rPr>
              <w:t>Lender</w:t>
            </w:r>
          </w:p>
        </w:tc>
        <w:tc>
          <w:tcPr>
            <w:tcW w:w="1200" w:type="dxa"/>
            <w:vAlign w:val="bottom"/>
            <w:tcBorders>
              <w:right w:val="single" w:sz="8" w:color="00000A"/>
            </w:tcBorders>
          </w:tcPr>
          <w:p>
            <w:pPr>
              <w:jc w:val="right"/>
              <w:ind w:right="99"/>
              <w:spacing w:after="0"/>
              <w:rPr>
                <w:sz w:val="20"/>
                <w:szCs w:val="20"/>
                <w:color w:val="auto"/>
              </w:rPr>
            </w:pPr>
            <w:r>
              <w:rPr>
                <w:rFonts w:ascii="Arial" w:cs="Arial" w:eastAsia="Arial" w:hAnsi="Arial"/>
                <w:sz w:val="16"/>
                <w:szCs w:val="16"/>
                <w:b w:val="1"/>
                <w:bCs w:val="1"/>
                <w:color w:val="auto"/>
              </w:rPr>
              <w:t>Revolving A</w:t>
            </w:r>
          </w:p>
        </w:tc>
        <w:tc>
          <w:tcPr>
            <w:tcW w:w="116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2"/>
              </w:rPr>
              <w:t>Revolving A</w:t>
            </w:r>
          </w:p>
        </w:tc>
        <w:tc>
          <w:tcPr>
            <w:tcW w:w="1200" w:type="dxa"/>
            <w:vAlign w:val="bottom"/>
            <w:tcBorders>
              <w:right w:val="single" w:sz="8" w:color="00000A"/>
            </w:tcBorders>
          </w:tcPr>
          <w:p>
            <w:pPr>
              <w:jc w:val="right"/>
              <w:ind w:right="99"/>
              <w:spacing w:after="0"/>
              <w:rPr>
                <w:sz w:val="20"/>
                <w:szCs w:val="20"/>
                <w:color w:val="auto"/>
              </w:rPr>
            </w:pPr>
            <w:r>
              <w:rPr>
                <w:rFonts w:ascii="Arial" w:cs="Arial" w:eastAsia="Arial" w:hAnsi="Arial"/>
                <w:sz w:val="16"/>
                <w:szCs w:val="16"/>
                <w:b w:val="1"/>
                <w:bCs w:val="1"/>
                <w:color w:val="auto"/>
              </w:rPr>
              <w:t>Revolving B</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0"/>
              </w:rPr>
              <w:t>Revolving B</w:t>
            </w:r>
          </w:p>
        </w:tc>
        <w:tc>
          <w:tcPr>
            <w:tcW w:w="1180" w:type="dxa"/>
            <w:vAlign w:val="bottom"/>
            <w:tcBorders>
              <w:right w:val="single" w:sz="8" w:color="00000A"/>
            </w:tcBorders>
          </w:tcPr>
          <w:p>
            <w:pPr>
              <w:jc w:val="right"/>
              <w:ind w:right="99"/>
              <w:spacing w:after="0"/>
              <w:rPr>
                <w:sz w:val="20"/>
                <w:szCs w:val="20"/>
                <w:color w:val="auto"/>
              </w:rPr>
            </w:pPr>
            <w:r>
              <w:rPr>
                <w:rFonts w:ascii="Arial" w:cs="Arial" w:eastAsia="Arial" w:hAnsi="Arial"/>
                <w:sz w:val="16"/>
                <w:szCs w:val="16"/>
                <w:b w:val="1"/>
                <w:bCs w:val="1"/>
                <w:color w:val="auto"/>
              </w:rPr>
              <w:t>Revolving C</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2"/>
              </w:rPr>
              <w:t>Revolving C</w:t>
            </w:r>
          </w:p>
        </w:tc>
        <w:tc>
          <w:tcPr>
            <w:tcW w:w="1260" w:type="dxa"/>
            <w:vAlign w:val="bottom"/>
            <w:tcBorders>
              <w:right w:val="single" w:sz="8" w:color="00000A"/>
            </w:tcBorders>
          </w:tcPr>
          <w:p>
            <w:pPr>
              <w:jc w:val="right"/>
              <w:ind w:right="99"/>
              <w:spacing w:after="0"/>
              <w:rPr>
                <w:sz w:val="20"/>
                <w:szCs w:val="20"/>
                <w:color w:val="auto"/>
              </w:rPr>
            </w:pPr>
            <w:r>
              <w:rPr>
                <w:rFonts w:ascii="Arial" w:cs="Arial" w:eastAsia="Arial" w:hAnsi="Arial"/>
                <w:sz w:val="16"/>
                <w:szCs w:val="16"/>
                <w:b w:val="1"/>
                <w:bCs w:val="1"/>
                <w:color w:val="auto"/>
              </w:rPr>
              <w:t>Term A Loan</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4"/>
              </w:rPr>
              <w:t>Term A Loan</w:t>
            </w:r>
          </w:p>
        </w:tc>
        <w:tc>
          <w:tcPr>
            <w:tcW w:w="0" w:type="dxa"/>
            <w:vAlign w:val="bottom"/>
          </w:tcPr>
          <w:p>
            <w:pPr>
              <w:spacing w:after="0"/>
              <w:rPr>
                <w:sz w:val="1"/>
                <w:szCs w:val="1"/>
                <w:color w:val="auto"/>
              </w:rPr>
            </w:pPr>
          </w:p>
        </w:tc>
      </w:tr>
      <w:tr>
        <w:trPr>
          <w:trHeight w:val="216"/>
        </w:trPr>
        <w:tc>
          <w:tcPr>
            <w:tcW w:w="1900" w:type="dxa"/>
            <w:vAlign w:val="bottom"/>
            <w:tcBorders>
              <w:left w:val="single" w:sz="8" w:color="00000A"/>
              <w:right w:val="single" w:sz="8" w:color="00000A"/>
            </w:tcBorders>
            <w:vMerge w:val="continue"/>
          </w:tcPr>
          <w:p>
            <w:pPr>
              <w:spacing w:after="0"/>
              <w:rPr>
                <w:sz w:val="18"/>
                <w:szCs w:val="18"/>
                <w:color w:val="auto"/>
              </w:rPr>
            </w:pPr>
          </w:p>
        </w:tc>
        <w:tc>
          <w:tcPr>
            <w:tcW w:w="120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b w:val="1"/>
                <w:bCs w:val="1"/>
                <w:color w:val="auto"/>
                <w:w w:val="99"/>
              </w:rPr>
              <w:t>Commitments</w:t>
            </w:r>
          </w:p>
        </w:tc>
        <w:tc>
          <w:tcPr>
            <w:tcW w:w="116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120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b w:val="1"/>
                <w:bCs w:val="1"/>
                <w:color w:val="auto"/>
                <w:w w:val="99"/>
              </w:rPr>
              <w:t>Commitments</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118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b w:val="1"/>
                <w:bCs w:val="1"/>
                <w:color w:val="auto"/>
                <w:w w:val="97"/>
              </w:rPr>
              <w:t>Commitments</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1260" w:type="dxa"/>
            <w:vAlign w:val="bottom"/>
            <w:tcBorders>
              <w:right w:val="single" w:sz="8" w:color="00000A"/>
            </w:tcBorders>
          </w:tcPr>
          <w:p>
            <w:pPr>
              <w:jc w:val="right"/>
              <w:ind w:right="79"/>
              <w:spacing w:after="0"/>
              <w:rPr>
                <w:sz w:val="20"/>
                <w:szCs w:val="20"/>
                <w:color w:val="auto"/>
              </w:rPr>
            </w:pPr>
            <w:r>
              <w:rPr>
                <w:rFonts w:ascii="Arial" w:cs="Arial" w:eastAsia="Arial" w:hAnsi="Arial"/>
                <w:sz w:val="16"/>
                <w:szCs w:val="16"/>
                <w:b w:val="1"/>
                <w:bCs w:val="1"/>
                <w:color w:val="auto"/>
              </w:rPr>
              <w:t>Commitments</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 of America, N.A.</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$87,362,391.19</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w w:val="94"/>
              </w:rPr>
              <w:t>10.920298900%</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$73,454,660.80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w w:val="94"/>
              </w:rPr>
              <w:t>16.323257960%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5"/>
              </w:rPr>
              <w:t>$17,346,938.76</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w w:val="94"/>
              </w:rPr>
              <w:t>49.562682170%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$395,382,658.93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w w:val="96"/>
              </w:rPr>
              <w:t>14.698240110%</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PNC Bank, National</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Association</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$47,120,887.63</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5.890110954%</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$45,926,977.74</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w w:val="94"/>
              </w:rPr>
              <w:t>10.205995050%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$3,048,924.93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8.711214086%</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$188,903,209.70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7.022424152%</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The Bank of Tokyo-</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Mitsubishi UFJ, LTD.</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$61,501,945.79</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7.687743224%</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$34,594,844.51</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7.687743224%</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$188,903,209.70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7.022424152%</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Wells Fargo Bank,</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National Association</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$41,334,111.96</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5.166763995%</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$37,804,612.59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8.401025020%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$5,156,705.54</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w w:val="94"/>
              </w:rPr>
              <w:t>14.733444400%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$165,704,569.91</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6.160021186%</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TD Bank, N.A.</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$31,413,925.09</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3.926740636%</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$31,229,318.98</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6.939848662%</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$1,421,282.80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4.060808000%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$125,935,473.13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4.681616101%</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Regions Bank</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$31,413,925.09</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3.926740636%</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$29,544,278.89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6.565395309%</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$3,106,322.89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8.875208257%</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$125,935,473.13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4.681616101%</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Sumitomo Mitsui</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Banking Corporation</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$41,001,297.20</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5.125162150%</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$23,063,229.67</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5.125162149%</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$125,935,473.13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4.681616101%</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Credit Agricole</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Corporate and</w:t>
            </w:r>
          </w:p>
        </w:tc>
        <w:tc>
          <w:tcPr>
            <w:tcW w:w="120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Investment Bank</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$31,413,925.09</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3.926740636%</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$31,426,111.98</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6.983580440%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$1,224,489.80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3.498542286%</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$125,935,473.13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4.681616101%</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Mizuho Bank Ltd.</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$41,001,297.20</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5.125162150%</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$23,063,229.67</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5.125162149%</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$125,935,473.13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4.681616101%</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The Bank of Nova</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Scotia</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$41,001,297.20</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5.125162150%</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$23,063,229.67</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5.125162149%</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$125,935,473.13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4.681616101%</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Fifth Third Bank</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$41,001,297.20</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5.125162150%</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$23,063,229.67</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5.125162149%</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4"/>
              </w:rPr>
              <w:t>$125,935,473.13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4.681616101%</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5"/>
              </w:rPr>
              <w:t>JPMorgan Chase Bank,</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N.A.</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$16,533,644.79</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2.066705599%</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$13,489,191.97</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2.997598216%</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$3,695,335.28</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w w:val="94"/>
              </w:rPr>
              <w:t>10.558100800%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$66,281,827.96</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2.464008474%</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Barclays Bank PLC</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$64,000,000.00</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8.000000000%</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$36,000,000.00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8.000000000%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7"/>
              </w:rPr>
              <w:t>Capital One Bank, N.A.</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$21,579,630.11</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2.697453764%</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$12,138,541.93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2.697453762%</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$66,281,827.96</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2.464008474%</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Royal Bank of Canada</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$21,579,630.11</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2.697453764%</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$12,138,541.93</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2.697453762%</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$66,281,827.96</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2.464008474%</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Santander Bank, N.A.</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$25,288,629.03</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3.161078629%</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$49,711,370.97</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1.848006356%</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 of China New</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York Branch</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$30,000,000.00</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3.750000000%</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$30,000,000.00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1.115241636%</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3"/>
              </w:rPr>
              <w:t>The Huntington National</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$16,859,086.02</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2.107385753%</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$33,140,913.98</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1.232004237%</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Industrial and</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Commercial Bank of</w:t>
            </w:r>
          </w:p>
        </w:tc>
        <w:tc>
          <w:tcPr>
            <w:tcW w:w="120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China, New York</w:t>
            </w:r>
          </w:p>
        </w:tc>
        <w:tc>
          <w:tcPr>
            <w:tcW w:w="120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Branch</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$16,859,086.02</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2.107385753%</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$33,140,913.98</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1.232004237%</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Crédit Industriel Et</w:t>
            </w:r>
          </w:p>
        </w:tc>
        <w:tc>
          <w:tcPr>
            <w:tcW w:w="120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8"/>
              </w:rPr>
              <w:t>Commercial, New York</w:t>
            </w:r>
          </w:p>
        </w:tc>
        <w:tc>
          <w:tcPr>
            <w:tcW w:w="120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Branch</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$6,743,634.41</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0.842954301%</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$23,256,365.59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0.864548907%</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Synovus Bank</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w w:val="97"/>
              </w:rPr>
              <w:t>$10,115,451.61</w:t>
            </w:r>
          </w:p>
        </w:tc>
        <w:tc>
          <w:tcPr>
            <w:tcW w:w="11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1.264431451%</w:t>
            </w:r>
          </w:p>
        </w:tc>
        <w:tc>
          <w:tcPr>
            <w:tcW w:w="120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8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6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color w:val="auto"/>
              </w:rPr>
              <w:t>$19,884,548.39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0.739202542%</w:t>
            </w:r>
          </w:p>
        </w:tc>
        <w:tc>
          <w:tcPr>
            <w:tcW w:w="0" w:type="dxa"/>
            <w:vAlign w:val="bottom"/>
          </w:tcPr>
          <w:p>
            <w:pPr>
              <w:spacing w:after="0"/>
              <w:rPr>
                <w:sz w:val="1"/>
                <w:szCs w:val="1"/>
                <w:color w:val="auto"/>
              </w:rPr>
            </w:pPr>
          </w:p>
        </w:tc>
      </w:tr>
      <w:tr>
        <w:trPr>
          <w:trHeight w:val="27"/>
        </w:trPr>
        <w:tc>
          <w:tcPr>
            <w:tcW w:w="190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52" w:right="219" w:bottom="1440" w:gutter="0" w:footer="0" w:header="0"/>
        </w:sectPr>
      </w:pPr>
    </w:p>
    <w:bookmarkStart w:id="75" w:name="page76"/>
    <w:bookmarkEnd w:id="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40" w:type="dxa"/>
            <w:vAlign w:val="bottom"/>
            <w:tcBorders>
              <w:top w:val="single" w:sz="8" w:color="00000A"/>
              <w:left w:val="single" w:sz="8" w:color="00000A"/>
              <w:right w:val="single" w:sz="8" w:color="00000A"/>
            </w:tcBorders>
          </w:tcPr>
          <w:p>
            <w:pPr>
              <w:spacing w:after="0"/>
              <w:rPr>
                <w:sz w:val="19"/>
                <w:szCs w:val="19"/>
                <w:color w:val="auto"/>
              </w:rPr>
            </w:pPr>
          </w:p>
        </w:tc>
        <w:tc>
          <w:tcPr>
            <w:tcW w:w="1220" w:type="dxa"/>
            <w:vAlign w:val="bottom"/>
            <w:tcBorders>
              <w:top w:val="single" w:sz="8" w:color="00000A"/>
              <w:right w:val="single" w:sz="8" w:color="00000A"/>
            </w:tcBorders>
          </w:tcPr>
          <w:p>
            <w:pPr>
              <w:spacing w:after="0"/>
              <w:rPr>
                <w:sz w:val="19"/>
                <w:szCs w:val="19"/>
                <w:color w:val="auto"/>
              </w:rPr>
            </w:pPr>
          </w:p>
        </w:tc>
        <w:tc>
          <w:tcPr>
            <w:tcW w:w="1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Applicable</w:t>
            </w:r>
          </w:p>
        </w:tc>
        <w:tc>
          <w:tcPr>
            <w:tcW w:w="1120" w:type="dxa"/>
            <w:vAlign w:val="bottom"/>
            <w:tcBorders>
              <w:top w:val="single" w:sz="8" w:color="00000A"/>
              <w:right w:val="single" w:sz="8" w:color="00000A"/>
            </w:tcBorders>
          </w:tcPr>
          <w:p>
            <w:pPr>
              <w:spacing w:after="0"/>
              <w:rPr>
                <w:sz w:val="19"/>
                <w:szCs w:val="19"/>
                <w:color w:val="auto"/>
              </w:rPr>
            </w:pPr>
          </w:p>
        </w:tc>
        <w:tc>
          <w:tcPr>
            <w:tcW w:w="11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3"/>
              </w:rPr>
              <w:t>Applicable</w:t>
            </w:r>
          </w:p>
        </w:tc>
        <w:tc>
          <w:tcPr>
            <w:tcW w:w="1020" w:type="dxa"/>
            <w:vAlign w:val="bottom"/>
            <w:tcBorders>
              <w:top w:val="single" w:sz="8" w:color="00000A"/>
              <w:right w:val="single" w:sz="8" w:color="00000A"/>
            </w:tcBorders>
          </w:tcPr>
          <w:p>
            <w:pPr>
              <w:spacing w:after="0"/>
              <w:rPr>
                <w:sz w:val="19"/>
                <w:szCs w:val="19"/>
                <w:color w:val="auto"/>
              </w:rPr>
            </w:pPr>
          </w:p>
        </w:tc>
        <w:tc>
          <w:tcPr>
            <w:tcW w:w="11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3"/>
              </w:rPr>
              <w:t>Applicable</w:t>
            </w:r>
          </w:p>
        </w:tc>
        <w:tc>
          <w:tcPr>
            <w:tcW w:w="1240" w:type="dxa"/>
            <w:vAlign w:val="bottom"/>
            <w:tcBorders>
              <w:top w:val="single" w:sz="8" w:color="00000A"/>
              <w:right w:val="single" w:sz="8" w:color="00000A"/>
            </w:tcBorders>
          </w:tcPr>
          <w:p>
            <w:pPr>
              <w:spacing w:after="0"/>
              <w:rPr>
                <w:sz w:val="19"/>
                <w:szCs w:val="19"/>
                <w:color w:val="auto"/>
              </w:rPr>
            </w:pPr>
          </w:p>
        </w:tc>
        <w:tc>
          <w:tcPr>
            <w:tcW w:w="11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3"/>
              </w:rPr>
              <w:t>Applicable</w:t>
            </w:r>
          </w:p>
        </w:tc>
        <w:tc>
          <w:tcPr>
            <w:tcW w:w="0" w:type="dxa"/>
            <w:vAlign w:val="bottom"/>
          </w:tcPr>
          <w:p>
            <w:pPr>
              <w:spacing w:after="0"/>
              <w:rPr>
                <w:sz w:val="1"/>
                <w:szCs w:val="1"/>
                <w:color w:val="auto"/>
              </w:rPr>
            </w:pPr>
          </w:p>
        </w:tc>
      </w:tr>
      <w:tr>
        <w:trPr>
          <w:trHeight w:val="203"/>
        </w:trPr>
        <w:tc>
          <w:tcPr>
            <w:tcW w:w="2140" w:type="dxa"/>
            <w:vAlign w:val="bottom"/>
            <w:tcBorders>
              <w:left w:val="single" w:sz="8" w:color="00000A"/>
              <w:right w:val="single" w:sz="8" w:color="00000A"/>
            </w:tcBorders>
          </w:tcPr>
          <w:p>
            <w:pPr>
              <w:spacing w:after="0"/>
              <w:rPr>
                <w:sz w:val="17"/>
                <w:szCs w:val="17"/>
                <w:color w:val="auto"/>
              </w:rPr>
            </w:pPr>
          </w:p>
        </w:tc>
        <w:tc>
          <w:tcPr>
            <w:tcW w:w="122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120" w:type="dxa"/>
            <w:vAlign w:val="bottom"/>
            <w:tcBorders>
              <w:right w:val="single" w:sz="8" w:color="00000A"/>
            </w:tcBorders>
          </w:tcPr>
          <w:p>
            <w:pPr>
              <w:spacing w:after="0"/>
              <w:rPr>
                <w:sz w:val="17"/>
                <w:szCs w:val="17"/>
                <w:color w:val="auto"/>
              </w:rPr>
            </w:pP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6"/>
              </w:rPr>
              <w:t>Percentage of</w:t>
            </w:r>
          </w:p>
        </w:tc>
        <w:tc>
          <w:tcPr>
            <w:tcW w:w="1020" w:type="dxa"/>
            <w:vAlign w:val="bottom"/>
            <w:tcBorders>
              <w:right w:val="single" w:sz="8" w:color="00000A"/>
            </w:tcBorders>
          </w:tcPr>
          <w:p>
            <w:pPr>
              <w:spacing w:after="0"/>
              <w:rPr>
                <w:sz w:val="17"/>
                <w:szCs w:val="17"/>
                <w:color w:val="auto"/>
              </w:rPr>
            </w:pP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40" w:type="dxa"/>
            <w:vAlign w:val="bottom"/>
            <w:tcBorders>
              <w:right w:val="single" w:sz="8" w:color="00000A"/>
            </w:tcBorders>
          </w:tcPr>
          <w:p>
            <w:pPr>
              <w:spacing w:after="0"/>
              <w:rPr>
                <w:sz w:val="17"/>
                <w:szCs w:val="17"/>
                <w:color w:val="auto"/>
              </w:rPr>
            </w:pP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6"/>
              </w:rPr>
              <w:t>Percentage of</w:t>
            </w:r>
          </w:p>
        </w:tc>
        <w:tc>
          <w:tcPr>
            <w:tcW w:w="0" w:type="dxa"/>
            <w:vAlign w:val="bottom"/>
          </w:tcPr>
          <w:p>
            <w:pPr>
              <w:spacing w:after="0"/>
              <w:rPr>
                <w:sz w:val="1"/>
                <w:szCs w:val="1"/>
                <w:color w:val="auto"/>
              </w:rPr>
            </w:pPr>
          </w:p>
        </w:tc>
      </w:tr>
      <w:tr>
        <w:trPr>
          <w:trHeight w:val="203"/>
        </w:trPr>
        <w:tc>
          <w:tcPr>
            <w:tcW w:w="2140" w:type="dxa"/>
            <w:vAlign w:val="bottom"/>
            <w:tcBorders>
              <w:left w:val="single" w:sz="8" w:color="00000A"/>
              <w:right w:val="single" w:sz="8" w:color="00000A"/>
            </w:tcBorders>
            <w:vMerge w:val="restart"/>
          </w:tcPr>
          <w:p>
            <w:pPr>
              <w:ind w:left="780"/>
              <w:spacing w:after="0"/>
              <w:rPr>
                <w:sz w:val="20"/>
                <w:szCs w:val="20"/>
                <w:color w:val="auto"/>
              </w:rPr>
            </w:pPr>
            <w:r>
              <w:rPr>
                <w:rFonts w:ascii="Arial" w:cs="Arial" w:eastAsia="Arial" w:hAnsi="Arial"/>
                <w:sz w:val="18"/>
                <w:szCs w:val="18"/>
                <w:b w:val="1"/>
                <w:bCs w:val="1"/>
                <w:color w:val="auto"/>
              </w:rPr>
              <w:t>Lender</w:t>
            </w:r>
          </w:p>
        </w:tc>
        <w:tc>
          <w:tcPr>
            <w:tcW w:w="1220" w:type="dxa"/>
            <w:vAlign w:val="bottom"/>
            <w:tcBorders>
              <w:right w:val="single" w:sz="8" w:color="00000A"/>
            </w:tcBorders>
          </w:tcPr>
          <w:p>
            <w:pPr>
              <w:jc w:val="right"/>
              <w:ind w:right="119"/>
              <w:spacing w:after="0"/>
              <w:rPr>
                <w:sz w:val="20"/>
                <w:szCs w:val="20"/>
                <w:color w:val="auto"/>
              </w:rPr>
            </w:pPr>
            <w:r>
              <w:rPr>
                <w:rFonts w:ascii="Arial" w:cs="Arial" w:eastAsia="Arial" w:hAnsi="Arial"/>
                <w:sz w:val="16"/>
                <w:szCs w:val="16"/>
                <w:b w:val="1"/>
                <w:bCs w:val="1"/>
                <w:color w:val="auto"/>
              </w:rPr>
              <w:t>Revolving A</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b w:val="1"/>
                <w:bCs w:val="1"/>
                <w:color w:val="auto"/>
              </w:rPr>
              <w:t>Revolving A</w:t>
            </w:r>
          </w:p>
        </w:tc>
        <w:tc>
          <w:tcPr>
            <w:tcW w:w="1120" w:type="dxa"/>
            <w:vAlign w:val="bottom"/>
            <w:tcBorders>
              <w:right w:val="single" w:sz="8" w:color="00000A"/>
            </w:tcBorders>
          </w:tcPr>
          <w:p>
            <w:pPr>
              <w:jc w:val="right"/>
              <w:ind w:right="59"/>
              <w:spacing w:after="0"/>
              <w:rPr>
                <w:sz w:val="20"/>
                <w:szCs w:val="20"/>
                <w:color w:val="auto"/>
              </w:rPr>
            </w:pPr>
            <w:r>
              <w:rPr>
                <w:rFonts w:ascii="Arial" w:cs="Arial" w:eastAsia="Arial" w:hAnsi="Arial"/>
                <w:sz w:val="16"/>
                <w:szCs w:val="16"/>
                <w:b w:val="1"/>
                <w:bCs w:val="1"/>
                <w:color w:val="auto"/>
              </w:rPr>
              <w:t>Revolving B</w:t>
            </w:r>
          </w:p>
        </w:tc>
        <w:tc>
          <w:tcPr>
            <w:tcW w:w="1180" w:type="dxa"/>
            <w:vAlign w:val="bottom"/>
            <w:tcBorders>
              <w:right w:val="single" w:sz="8" w:color="00000A"/>
            </w:tcBorders>
          </w:tcPr>
          <w:p>
            <w:pPr>
              <w:ind w:left="160"/>
              <w:spacing w:after="0"/>
              <w:rPr>
                <w:sz w:val="20"/>
                <w:szCs w:val="20"/>
                <w:color w:val="auto"/>
              </w:rPr>
            </w:pPr>
            <w:r>
              <w:rPr>
                <w:rFonts w:ascii="Arial" w:cs="Arial" w:eastAsia="Arial" w:hAnsi="Arial"/>
                <w:sz w:val="16"/>
                <w:szCs w:val="16"/>
                <w:b w:val="1"/>
                <w:bCs w:val="1"/>
                <w:color w:val="auto"/>
              </w:rPr>
              <w:t>Revolving B</w:t>
            </w:r>
          </w:p>
        </w:tc>
        <w:tc>
          <w:tcPr>
            <w:tcW w:w="102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b w:val="1"/>
                <w:bCs w:val="1"/>
                <w:color w:val="auto"/>
                <w:w w:val="97"/>
              </w:rPr>
              <w:t>Revolving C</w:t>
            </w:r>
          </w:p>
        </w:tc>
        <w:tc>
          <w:tcPr>
            <w:tcW w:w="1180" w:type="dxa"/>
            <w:vAlign w:val="bottom"/>
            <w:tcBorders>
              <w:right w:val="single" w:sz="8" w:color="00000A"/>
            </w:tcBorders>
          </w:tcPr>
          <w:p>
            <w:pPr>
              <w:ind w:left="160"/>
              <w:spacing w:after="0"/>
              <w:rPr>
                <w:sz w:val="20"/>
                <w:szCs w:val="20"/>
                <w:color w:val="auto"/>
              </w:rPr>
            </w:pPr>
            <w:r>
              <w:rPr>
                <w:rFonts w:ascii="Arial" w:cs="Arial" w:eastAsia="Arial" w:hAnsi="Arial"/>
                <w:sz w:val="16"/>
                <w:szCs w:val="16"/>
                <w:b w:val="1"/>
                <w:bCs w:val="1"/>
                <w:color w:val="auto"/>
              </w:rPr>
              <w:t>Revolving C</w:t>
            </w:r>
          </w:p>
        </w:tc>
        <w:tc>
          <w:tcPr>
            <w:tcW w:w="1240" w:type="dxa"/>
            <w:vAlign w:val="bottom"/>
            <w:tcBorders>
              <w:right w:val="single" w:sz="8" w:color="00000A"/>
            </w:tcBorders>
          </w:tcPr>
          <w:p>
            <w:pPr>
              <w:jc w:val="right"/>
              <w:ind w:right="79"/>
              <w:spacing w:after="0"/>
              <w:rPr>
                <w:sz w:val="20"/>
                <w:szCs w:val="20"/>
                <w:color w:val="auto"/>
              </w:rPr>
            </w:pPr>
            <w:r>
              <w:rPr>
                <w:rFonts w:ascii="Arial" w:cs="Arial" w:eastAsia="Arial" w:hAnsi="Arial"/>
                <w:sz w:val="16"/>
                <w:szCs w:val="16"/>
                <w:b w:val="1"/>
                <w:bCs w:val="1"/>
                <w:color w:val="auto"/>
              </w:rPr>
              <w:t>Term A Loan</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4"/>
              </w:rPr>
              <w:t>Term A Loan</w:t>
            </w:r>
          </w:p>
        </w:tc>
        <w:tc>
          <w:tcPr>
            <w:tcW w:w="0" w:type="dxa"/>
            <w:vAlign w:val="bottom"/>
          </w:tcPr>
          <w:p>
            <w:pPr>
              <w:spacing w:after="0"/>
              <w:rPr>
                <w:sz w:val="1"/>
                <w:szCs w:val="1"/>
                <w:color w:val="auto"/>
              </w:rPr>
            </w:pPr>
          </w:p>
        </w:tc>
      </w:tr>
      <w:tr>
        <w:trPr>
          <w:trHeight w:val="216"/>
        </w:trPr>
        <w:tc>
          <w:tcPr>
            <w:tcW w:w="2140" w:type="dxa"/>
            <w:vAlign w:val="bottom"/>
            <w:tcBorders>
              <w:left w:val="single" w:sz="8" w:color="00000A"/>
              <w:right w:val="single" w:sz="8" w:color="00000A"/>
            </w:tcBorders>
            <w:vMerge w:val="continue"/>
          </w:tcPr>
          <w:p>
            <w:pPr>
              <w:spacing w:after="0"/>
              <w:rPr>
                <w:sz w:val="18"/>
                <w:szCs w:val="18"/>
                <w:color w:val="auto"/>
              </w:rPr>
            </w:pPr>
          </w:p>
        </w:tc>
        <w:tc>
          <w:tcPr>
            <w:tcW w:w="1220" w:type="dxa"/>
            <w:vAlign w:val="bottom"/>
            <w:tcBorders>
              <w:right w:val="single" w:sz="8" w:color="00000A"/>
            </w:tcBorders>
          </w:tcPr>
          <w:p>
            <w:pPr>
              <w:jc w:val="right"/>
              <w:ind w:right="59"/>
              <w:spacing w:after="0"/>
              <w:rPr>
                <w:sz w:val="20"/>
                <w:szCs w:val="20"/>
                <w:color w:val="auto"/>
              </w:rPr>
            </w:pPr>
            <w:r>
              <w:rPr>
                <w:rFonts w:ascii="Arial" w:cs="Arial" w:eastAsia="Arial" w:hAnsi="Arial"/>
                <w:sz w:val="16"/>
                <w:szCs w:val="16"/>
                <w:b w:val="1"/>
                <w:bCs w:val="1"/>
                <w:color w:val="auto"/>
                <w:w w:val="99"/>
              </w:rPr>
              <w:t>Commitments</w:t>
            </w:r>
          </w:p>
        </w:tc>
        <w:tc>
          <w:tcPr>
            <w:tcW w:w="116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5"/>
              </w:rPr>
              <w:t>Commitments</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3"/>
              </w:rPr>
              <w:t>Commitments</w:t>
            </w:r>
          </w:p>
        </w:tc>
        <w:tc>
          <w:tcPr>
            <w:tcW w:w="102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1"/>
              </w:rPr>
              <w:t>Commitments</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1240" w:type="dxa"/>
            <w:vAlign w:val="bottom"/>
            <w:tcBorders>
              <w:right w:val="single" w:sz="8" w:color="00000A"/>
            </w:tcBorders>
          </w:tcPr>
          <w:p>
            <w:pPr>
              <w:jc w:val="right"/>
              <w:ind w:right="59"/>
              <w:spacing w:after="0"/>
              <w:rPr>
                <w:sz w:val="20"/>
                <w:szCs w:val="20"/>
                <w:color w:val="auto"/>
              </w:rPr>
            </w:pPr>
            <w:r>
              <w:rPr>
                <w:rFonts w:ascii="Arial" w:cs="Arial" w:eastAsia="Arial" w:hAnsi="Arial"/>
                <w:sz w:val="16"/>
                <w:szCs w:val="16"/>
                <w:b w:val="1"/>
                <w:bCs w:val="1"/>
                <w:color w:val="auto"/>
              </w:rPr>
              <w:t>Commitments</w:t>
            </w:r>
          </w:p>
        </w:tc>
        <w:tc>
          <w:tcPr>
            <w:tcW w:w="118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Capital Bank Corporation</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7"/>
              </w:rPr>
              <w:t>$10,115,451.61</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1.264431451%</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$19,884,548.39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0.739202542%</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State Bank of India, New</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York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$25,741,487.71</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0.956932629%</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Banco de Sabadell, S.A.,</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Miami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$25,812,500.00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0.959572491%</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Taiwan Business Bank, a</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Republic of China Bank</w:t>
            </w:r>
          </w:p>
        </w:tc>
        <w:tc>
          <w:tcPr>
            <w:tcW w:w="122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acting through its Los</w:t>
            </w:r>
          </w:p>
        </w:tc>
        <w:tc>
          <w:tcPr>
            <w:tcW w:w="122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Angeles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$8,429,543.01</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1.053692876%</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$16,570,456.99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0.616002119%</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8"/>
              </w:rPr>
              <w:t>Land Bank of Taiwan, Los</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Angeles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$8,429,543.01</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1.053692876%</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$16,570,456.99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0.616002119%</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7"/>
              </w:rPr>
              <w:t>Taiwan Cooperative Bank,</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Seattle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$8,429,543.01</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1.053692876%</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$16,570,456.99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0.616002119%</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Stifel Bank &amp; Trust</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$8,395,824.84</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1.049478105%</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$16,504,175.16</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0.613538110%</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Raymond James Bank,</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N.A.</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$23,391,858.00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0.869585799%</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 of Taiwan, acting</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through its Los Angeles</w:t>
            </w:r>
          </w:p>
        </w:tc>
        <w:tc>
          <w:tcPr>
            <w:tcW w:w="122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$21,451,239.76</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0.797443857%</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Eastern Bank</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$6,743,634.41</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0.842954301%</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$13,256,365.59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0.492801695%</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CTBC Bank Co., Ltd., New</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York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$6,743,634.41</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0.842954301%</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$13,256,365.59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0.492801695%</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Hua Nan Commercial</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 Ltd., New York</w:t>
            </w:r>
          </w:p>
        </w:tc>
        <w:tc>
          <w:tcPr>
            <w:tcW w:w="122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Agency</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$6,743,634.41</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0.842954301%</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$13,256,365.59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0.492801695%</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State Bank of India,</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London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$17,160,991.81</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0.637955086%</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First Commercial Bank,</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Ltd., New York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$5,786,372.74</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0.723296593%</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$11,374,619.07</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0.422848293%</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Banco De Credito E</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Inversiones, S.A. Miami</w:t>
            </w:r>
          </w:p>
        </w:tc>
        <w:tc>
          <w:tcPr>
            <w:tcW w:w="122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$16,814,117.21</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0.625060119%</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Chang Hwa Commercial</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 Ltd., Los Angeles</w:t>
            </w:r>
          </w:p>
        </w:tc>
        <w:tc>
          <w:tcPr>
            <w:tcW w:w="1220" w:type="dxa"/>
            <w:vAlign w:val="bottom"/>
            <w:tcBorders>
              <w:right w:val="single" w:sz="8" w:color="00000A"/>
            </w:tcBorders>
          </w:tcPr>
          <w:p>
            <w:pPr>
              <w:spacing w:after="0"/>
              <w:rPr>
                <w:sz w:val="18"/>
                <w:szCs w:val="18"/>
                <w:color w:val="auto"/>
              </w:rPr>
            </w:pPr>
          </w:p>
        </w:tc>
        <w:tc>
          <w:tcPr>
            <w:tcW w:w="11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02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$5,057,725.81</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0.632215726%</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$9,942,274.19</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0.369601271%</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First Hawaiian Bank</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w w:val="98"/>
              </w:rPr>
              <w:t>$12,870,743.85</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0.478466314%</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2"/>
              </w:rPr>
              <w:t>State Bank of India, Nassau</w:t>
            </w:r>
          </w:p>
        </w:tc>
        <w:tc>
          <w:tcPr>
            <w:tcW w:w="1220" w:type="dxa"/>
            <w:vAlign w:val="bottom"/>
            <w:tcBorders>
              <w:right w:val="single" w:sz="8" w:color="00000A"/>
            </w:tcBorders>
          </w:tcPr>
          <w:p>
            <w:pPr>
              <w:spacing w:after="0"/>
              <w:rPr>
                <w:sz w:val="19"/>
                <w:szCs w:val="19"/>
                <w:color w:val="auto"/>
              </w:rPr>
            </w:pPr>
          </w:p>
        </w:tc>
        <w:tc>
          <w:tcPr>
            <w:tcW w:w="11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02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1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(OBU) Branch</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$9,210,526.27</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0.342398746%</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Central Pacific Bank</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$9,000,000.00</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0.334572491%</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 of the Ozarks</w:t>
            </w:r>
          </w:p>
        </w:tc>
        <w:tc>
          <w:tcPr>
            <w:tcW w:w="12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6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1"/>
              </w:rPr>
              <w:t>0.000000000%</w:t>
            </w:r>
          </w:p>
        </w:tc>
        <w:tc>
          <w:tcPr>
            <w:tcW w:w="11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02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$0.00</w:t>
            </w:r>
          </w:p>
        </w:tc>
        <w:tc>
          <w:tcPr>
            <w:tcW w:w="1180" w:type="dxa"/>
            <w:vAlign w:val="bottom"/>
            <w:tcBorders>
              <w:right w:val="single" w:sz="8" w:color="00000A"/>
            </w:tcBorders>
          </w:tcPr>
          <w:p>
            <w:pPr>
              <w:ind w:left="140"/>
              <w:spacing w:after="0"/>
              <w:rPr>
                <w:sz w:val="20"/>
                <w:szCs w:val="20"/>
                <w:color w:val="auto"/>
              </w:rPr>
            </w:pPr>
            <w:r>
              <w:rPr>
                <w:rFonts w:ascii="Arial" w:cs="Arial" w:eastAsia="Arial" w:hAnsi="Arial"/>
                <w:sz w:val="16"/>
                <w:szCs w:val="16"/>
                <w:color w:val="auto"/>
                <w:w w:val="92"/>
              </w:rPr>
              <w:t>0.000000000%</w:t>
            </w:r>
          </w:p>
        </w:tc>
        <w:tc>
          <w:tcPr>
            <w:tcW w:w="124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color w:val="auto"/>
              </w:rPr>
              <w:t>$8,860,759.48</w:t>
            </w:r>
          </w:p>
        </w:tc>
        <w:tc>
          <w:tcPr>
            <w:tcW w:w="118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0.329396263%</w:t>
            </w:r>
          </w:p>
        </w:tc>
        <w:tc>
          <w:tcPr>
            <w:tcW w:w="0" w:type="dxa"/>
            <w:vAlign w:val="bottom"/>
          </w:tcPr>
          <w:p>
            <w:pPr>
              <w:spacing w:after="0"/>
              <w:rPr>
                <w:sz w:val="1"/>
                <w:szCs w:val="1"/>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02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89" w:right="219" w:bottom="1440" w:gutter="0" w:footer="0" w:header="0"/>
        </w:sectPr>
      </w:pPr>
    </w:p>
    <w:bookmarkStart w:id="76" w:name="page77"/>
    <w:bookmarkEnd w:id="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20" w:type="dxa"/>
            <w:vAlign w:val="bottom"/>
            <w:tcBorders>
              <w:top w:val="single" w:sz="8" w:color="00000A"/>
              <w:left w:val="single" w:sz="8" w:color="00000A"/>
              <w:right w:val="single" w:sz="8" w:color="00000A"/>
            </w:tcBorders>
          </w:tcPr>
          <w:p>
            <w:pPr>
              <w:spacing w:after="0"/>
              <w:rPr>
                <w:sz w:val="19"/>
                <w:szCs w:val="19"/>
                <w:color w:val="auto"/>
              </w:rPr>
            </w:pPr>
          </w:p>
        </w:tc>
        <w:tc>
          <w:tcPr>
            <w:tcW w:w="1200" w:type="dxa"/>
            <w:vAlign w:val="bottom"/>
            <w:tcBorders>
              <w:top w:val="single" w:sz="8" w:color="00000A"/>
              <w:right w:val="single" w:sz="8" w:color="00000A"/>
            </w:tcBorders>
          </w:tcPr>
          <w:p>
            <w:pPr>
              <w:spacing w:after="0"/>
              <w:rPr>
                <w:sz w:val="19"/>
                <w:szCs w:val="19"/>
                <w:color w:val="auto"/>
              </w:rPr>
            </w:pPr>
          </w:p>
        </w:tc>
        <w:tc>
          <w:tcPr>
            <w:tcW w:w="1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Applicable</w:t>
            </w:r>
          </w:p>
        </w:tc>
        <w:tc>
          <w:tcPr>
            <w:tcW w:w="1200" w:type="dxa"/>
            <w:vAlign w:val="bottom"/>
            <w:tcBorders>
              <w:top w:val="single" w:sz="8" w:color="00000A"/>
              <w:right w:val="single" w:sz="8" w:color="00000A"/>
            </w:tcBorders>
          </w:tcPr>
          <w:p>
            <w:pPr>
              <w:spacing w:after="0"/>
              <w:rPr>
                <w:sz w:val="19"/>
                <w:szCs w:val="19"/>
                <w:color w:val="auto"/>
              </w:rPr>
            </w:pPr>
          </w:p>
        </w:tc>
        <w:tc>
          <w:tcPr>
            <w:tcW w:w="12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Applicable</w:t>
            </w:r>
          </w:p>
        </w:tc>
        <w:tc>
          <w:tcPr>
            <w:tcW w:w="1120" w:type="dxa"/>
            <w:vAlign w:val="bottom"/>
            <w:tcBorders>
              <w:top w:val="single" w:sz="8" w:color="00000A"/>
              <w:right w:val="single" w:sz="8" w:color="00000A"/>
            </w:tcBorders>
          </w:tcPr>
          <w:p>
            <w:pPr>
              <w:spacing w:after="0"/>
              <w:rPr>
                <w:sz w:val="19"/>
                <w:szCs w:val="19"/>
                <w:color w:val="auto"/>
              </w:rPr>
            </w:pPr>
          </w:p>
        </w:tc>
        <w:tc>
          <w:tcPr>
            <w:tcW w:w="1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3"/>
              </w:rPr>
              <w:t>Applicable</w:t>
            </w:r>
          </w:p>
        </w:tc>
        <w:tc>
          <w:tcPr>
            <w:tcW w:w="1320" w:type="dxa"/>
            <w:vAlign w:val="bottom"/>
            <w:tcBorders>
              <w:top w:val="single" w:sz="8" w:color="00000A"/>
              <w:right w:val="single" w:sz="8" w:color="00000A"/>
            </w:tcBorders>
          </w:tcPr>
          <w:p>
            <w:pPr>
              <w:spacing w:after="0"/>
              <w:rPr>
                <w:sz w:val="19"/>
                <w:szCs w:val="19"/>
                <w:color w:val="auto"/>
              </w:rPr>
            </w:pPr>
          </w:p>
        </w:tc>
        <w:tc>
          <w:tcPr>
            <w:tcW w:w="1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Applicable</w:t>
            </w:r>
          </w:p>
        </w:tc>
        <w:tc>
          <w:tcPr>
            <w:tcW w:w="0" w:type="dxa"/>
            <w:vAlign w:val="bottom"/>
          </w:tcPr>
          <w:p>
            <w:pPr>
              <w:spacing w:after="0"/>
              <w:rPr>
                <w:sz w:val="1"/>
                <w:szCs w:val="1"/>
                <w:color w:val="auto"/>
              </w:rPr>
            </w:pPr>
          </w:p>
        </w:tc>
      </w:tr>
      <w:tr>
        <w:trPr>
          <w:trHeight w:val="203"/>
        </w:trPr>
        <w:tc>
          <w:tcPr>
            <w:tcW w:w="1620" w:type="dxa"/>
            <w:vAlign w:val="bottom"/>
            <w:tcBorders>
              <w:left w:val="single" w:sz="8" w:color="00000A"/>
              <w:right w:val="single" w:sz="8" w:color="00000A"/>
            </w:tcBorders>
          </w:tcPr>
          <w:p>
            <w:pPr>
              <w:spacing w:after="0"/>
              <w:rPr>
                <w:sz w:val="17"/>
                <w:szCs w:val="17"/>
                <w:color w:val="auto"/>
              </w:rPr>
            </w:pPr>
          </w:p>
        </w:tc>
        <w:tc>
          <w:tcPr>
            <w:tcW w:w="1200" w:type="dxa"/>
            <w:vAlign w:val="bottom"/>
            <w:tcBorders>
              <w:right w:val="single" w:sz="8" w:color="00000A"/>
            </w:tcBorders>
          </w:tcPr>
          <w:p>
            <w:pPr>
              <w:spacing w:after="0"/>
              <w:rPr>
                <w:sz w:val="17"/>
                <w:szCs w:val="17"/>
                <w:color w:val="auto"/>
              </w:rPr>
            </w:pP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00" w:type="dxa"/>
            <w:vAlign w:val="bottom"/>
            <w:tcBorders>
              <w:right w:val="single" w:sz="8" w:color="00000A"/>
            </w:tcBorders>
          </w:tcPr>
          <w:p>
            <w:pPr>
              <w:spacing w:after="0"/>
              <w:rPr>
                <w:sz w:val="17"/>
                <w:szCs w:val="17"/>
                <w:color w:val="auto"/>
              </w:rPr>
            </w:pP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120" w:type="dxa"/>
            <w:vAlign w:val="bottom"/>
            <w:tcBorders>
              <w:right w:val="single" w:sz="8" w:color="00000A"/>
            </w:tcBorders>
          </w:tcPr>
          <w:p>
            <w:pPr>
              <w:spacing w:after="0"/>
              <w:rPr>
                <w:sz w:val="17"/>
                <w:szCs w:val="17"/>
                <w:color w:val="auto"/>
              </w:rPr>
            </w:pP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6"/>
              </w:rPr>
              <w:t>Percentage of</w:t>
            </w:r>
          </w:p>
        </w:tc>
        <w:tc>
          <w:tcPr>
            <w:tcW w:w="1320" w:type="dxa"/>
            <w:vAlign w:val="bottom"/>
            <w:tcBorders>
              <w:right w:val="single" w:sz="8" w:color="00000A"/>
            </w:tcBorders>
          </w:tcPr>
          <w:p>
            <w:pPr>
              <w:spacing w:after="0"/>
              <w:rPr>
                <w:sz w:val="17"/>
                <w:szCs w:val="17"/>
                <w:color w:val="auto"/>
              </w:rPr>
            </w:pP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03"/>
        </w:trPr>
        <w:tc>
          <w:tcPr>
            <w:tcW w:w="1620" w:type="dxa"/>
            <w:vAlign w:val="bottom"/>
            <w:tcBorders>
              <w:left w:val="single" w:sz="8" w:color="00000A"/>
              <w:right w:val="single" w:sz="8" w:color="00000A"/>
            </w:tcBorders>
            <w:vMerge w:val="restart"/>
          </w:tcPr>
          <w:p>
            <w:pPr>
              <w:ind w:left="540"/>
              <w:spacing w:after="0"/>
              <w:rPr>
                <w:sz w:val="20"/>
                <w:szCs w:val="20"/>
                <w:color w:val="auto"/>
              </w:rPr>
            </w:pPr>
            <w:r>
              <w:rPr>
                <w:rFonts w:ascii="Arial" w:cs="Arial" w:eastAsia="Arial" w:hAnsi="Arial"/>
                <w:sz w:val="18"/>
                <w:szCs w:val="18"/>
                <w:b w:val="1"/>
                <w:bCs w:val="1"/>
                <w:color w:val="auto"/>
              </w:rPr>
              <w:t>Lender</w:t>
            </w:r>
          </w:p>
        </w:tc>
        <w:tc>
          <w:tcPr>
            <w:tcW w:w="1200" w:type="dxa"/>
            <w:vAlign w:val="bottom"/>
            <w:tcBorders>
              <w:right w:val="single" w:sz="8" w:color="00000A"/>
            </w:tcBorders>
          </w:tcPr>
          <w:p>
            <w:pPr>
              <w:jc w:val="right"/>
              <w:ind w:right="99"/>
              <w:spacing w:after="0"/>
              <w:rPr>
                <w:sz w:val="20"/>
                <w:szCs w:val="20"/>
                <w:color w:val="auto"/>
              </w:rPr>
            </w:pPr>
            <w:r>
              <w:rPr>
                <w:rFonts w:ascii="Arial" w:cs="Arial" w:eastAsia="Arial" w:hAnsi="Arial"/>
                <w:sz w:val="16"/>
                <w:szCs w:val="16"/>
                <w:b w:val="1"/>
                <w:bCs w:val="1"/>
                <w:color w:val="auto"/>
              </w:rPr>
              <w:t>Revolving A</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2"/>
              </w:rPr>
              <w:t>Revolving A</w:t>
            </w:r>
          </w:p>
        </w:tc>
        <w:tc>
          <w:tcPr>
            <w:tcW w:w="1200" w:type="dxa"/>
            <w:vAlign w:val="bottom"/>
            <w:tcBorders>
              <w:right w:val="single" w:sz="8" w:color="00000A"/>
            </w:tcBorders>
          </w:tcPr>
          <w:p>
            <w:pPr>
              <w:jc w:val="right"/>
              <w:ind w:right="99"/>
              <w:spacing w:after="0"/>
              <w:rPr>
                <w:sz w:val="20"/>
                <w:szCs w:val="20"/>
                <w:color w:val="auto"/>
              </w:rPr>
            </w:pPr>
            <w:r>
              <w:rPr>
                <w:rFonts w:ascii="Arial" w:cs="Arial" w:eastAsia="Arial" w:hAnsi="Arial"/>
                <w:sz w:val="16"/>
                <w:szCs w:val="16"/>
                <w:b w:val="1"/>
                <w:bCs w:val="1"/>
                <w:color w:val="auto"/>
              </w:rPr>
              <w:t>Revolving B</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0"/>
              </w:rPr>
              <w:t>Revolving B</w:t>
            </w:r>
          </w:p>
        </w:tc>
        <w:tc>
          <w:tcPr>
            <w:tcW w:w="1120" w:type="dxa"/>
            <w:vAlign w:val="bottom"/>
            <w:tcBorders>
              <w:right w:val="single" w:sz="8" w:color="00000A"/>
            </w:tcBorders>
          </w:tcPr>
          <w:p>
            <w:pPr>
              <w:jc w:val="right"/>
              <w:ind w:right="79"/>
              <w:spacing w:after="0"/>
              <w:rPr>
                <w:sz w:val="20"/>
                <w:szCs w:val="20"/>
                <w:color w:val="auto"/>
              </w:rPr>
            </w:pPr>
            <w:r>
              <w:rPr>
                <w:rFonts w:ascii="Arial" w:cs="Arial" w:eastAsia="Arial" w:hAnsi="Arial"/>
                <w:sz w:val="16"/>
                <w:szCs w:val="16"/>
                <w:b w:val="1"/>
                <w:bCs w:val="1"/>
                <w:color w:val="auto"/>
              </w:rPr>
              <w:t>Revolving C</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0"/>
              </w:rPr>
              <w:t>Revolving C</w:t>
            </w:r>
          </w:p>
        </w:tc>
        <w:tc>
          <w:tcPr>
            <w:tcW w:w="1320" w:type="dxa"/>
            <w:vAlign w:val="bottom"/>
            <w:tcBorders>
              <w:right w:val="single" w:sz="8" w:color="00000A"/>
            </w:tcBorders>
          </w:tcPr>
          <w:p>
            <w:pPr>
              <w:jc w:val="right"/>
              <w:ind w:right="139"/>
              <w:spacing w:after="0"/>
              <w:rPr>
                <w:sz w:val="20"/>
                <w:szCs w:val="20"/>
                <w:color w:val="auto"/>
              </w:rPr>
            </w:pPr>
            <w:r>
              <w:rPr>
                <w:rFonts w:ascii="Arial" w:cs="Arial" w:eastAsia="Arial" w:hAnsi="Arial"/>
                <w:sz w:val="16"/>
                <w:szCs w:val="16"/>
                <w:b w:val="1"/>
                <w:bCs w:val="1"/>
                <w:color w:val="auto"/>
              </w:rPr>
              <w:t>Term A Loan</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6"/>
              </w:rPr>
              <w:t>Term A Loan</w:t>
            </w:r>
          </w:p>
        </w:tc>
        <w:tc>
          <w:tcPr>
            <w:tcW w:w="0" w:type="dxa"/>
            <w:vAlign w:val="bottom"/>
          </w:tcPr>
          <w:p>
            <w:pPr>
              <w:spacing w:after="0"/>
              <w:rPr>
                <w:sz w:val="1"/>
                <w:szCs w:val="1"/>
                <w:color w:val="auto"/>
              </w:rPr>
            </w:pPr>
          </w:p>
        </w:tc>
      </w:tr>
      <w:tr>
        <w:trPr>
          <w:trHeight w:val="216"/>
        </w:trPr>
        <w:tc>
          <w:tcPr>
            <w:tcW w:w="1620" w:type="dxa"/>
            <w:vAlign w:val="bottom"/>
            <w:tcBorders>
              <w:left w:val="single" w:sz="8" w:color="00000A"/>
              <w:right w:val="single" w:sz="8" w:color="00000A"/>
            </w:tcBorders>
            <w:vMerge w:val="continue"/>
          </w:tcPr>
          <w:p>
            <w:pPr>
              <w:spacing w:after="0"/>
              <w:rPr>
                <w:sz w:val="18"/>
                <w:szCs w:val="18"/>
                <w:color w:val="auto"/>
              </w:rPr>
            </w:pPr>
          </w:p>
        </w:tc>
        <w:tc>
          <w:tcPr>
            <w:tcW w:w="120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b w:val="1"/>
                <w:bCs w:val="1"/>
                <w:color w:val="auto"/>
                <w:w w:val="99"/>
              </w:rPr>
              <w:t>Commitments</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1200" w:type="dxa"/>
            <w:vAlign w:val="bottom"/>
            <w:tcBorders>
              <w:right w:val="single" w:sz="8" w:color="00000A"/>
            </w:tcBorders>
          </w:tcPr>
          <w:p>
            <w:pPr>
              <w:jc w:val="right"/>
              <w:ind w:right="39"/>
              <w:spacing w:after="0"/>
              <w:rPr>
                <w:sz w:val="20"/>
                <w:szCs w:val="20"/>
                <w:color w:val="auto"/>
              </w:rPr>
            </w:pPr>
            <w:r>
              <w:rPr>
                <w:rFonts w:ascii="Arial" w:cs="Arial" w:eastAsia="Arial" w:hAnsi="Arial"/>
                <w:sz w:val="16"/>
                <w:szCs w:val="16"/>
                <w:b w:val="1"/>
                <w:bCs w:val="1"/>
                <w:color w:val="auto"/>
                <w:w w:val="99"/>
              </w:rPr>
              <w:t>Commitments</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1120" w:type="dxa"/>
            <w:vAlign w:val="bottom"/>
            <w:tcBorders>
              <w:right w:val="single" w:sz="8" w:color="00000A"/>
            </w:tcBorders>
          </w:tcPr>
          <w:p>
            <w:pPr>
              <w:jc w:val="right"/>
              <w:ind w:right="19"/>
              <w:spacing w:after="0"/>
              <w:rPr>
                <w:sz w:val="20"/>
                <w:szCs w:val="20"/>
                <w:color w:val="auto"/>
              </w:rPr>
            </w:pPr>
            <w:r>
              <w:rPr>
                <w:rFonts w:ascii="Arial" w:cs="Arial" w:eastAsia="Arial" w:hAnsi="Arial"/>
                <w:sz w:val="16"/>
                <w:szCs w:val="16"/>
                <w:b w:val="1"/>
                <w:bCs w:val="1"/>
                <w:color w:val="auto"/>
                <w:w w:val="93"/>
              </w:rPr>
              <w:t>Commitments</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3"/>
              </w:rPr>
              <w:t>Commitments</w:t>
            </w:r>
          </w:p>
        </w:tc>
        <w:tc>
          <w:tcPr>
            <w:tcW w:w="1320" w:type="dxa"/>
            <w:vAlign w:val="bottom"/>
            <w:tcBorders>
              <w:right w:val="single" w:sz="8" w:color="00000A"/>
            </w:tcBorders>
          </w:tcPr>
          <w:p>
            <w:pPr>
              <w:jc w:val="right"/>
              <w:ind w:right="99"/>
              <w:spacing w:after="0"/>
              <w:rPr>
                <w:sz w:val="20"/>
                <w:szCs w:val="20"/>
                <w:color w:val="auto"/>
              </w:rPr>
            </w:pPr>
            <w:r>
              <w:rPr>
                <w:rFonts w:ascii="Arial" w:cs="Arial" w:eastAsia="Arial" w:hAnsi="Arial"/>
                <w:sz w:val="16"/>
                <w:szCs w:val="16"/>
                <w:b w:val="1"/>
                <w:bCs w:val="1"/>
                <w:color w:val="auto"/>
              </w:rPr>
              <w:t>Commitments</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6"/>
                <w:szCs w:val="16"/>
                <w:b w:val="1"/>
                <w:bCs w:val="1"/>
                <w:color w:val="auto"/>
                <w:w w:val="91"/>
              </w:rPr>
              <w:t>Commitments</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Symphony Asset</w:t>
            </w:r>
          </w:p>
        </w:tc>
        <w:tc>
          <w:tcPr>
            <w:tcW w:w="120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3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Management LLC</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$7,619,400.24</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0.283249080%</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AZB Funding 7</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$25,950,000.00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0.964684015%</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MJX Asset</w:t>
            </w:r>
          </w:p>
        </w:tc>
        <w:tc>
          <w:tcPr>
            <w:tcW w:w="120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3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Management, LLC</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$6,650,640.41</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0.247235703%</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Invesco Senior</w:t>
            </w:r>
          </w:p>
        </w:tc>
        <w:tc>
          <w:tcPr>
            <w:tcW w:w="120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3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Secured</w:t>
            </w:r>
          </w:p>
        </w:tc>
        <w:tc>
          <w:tcPr>
            <w:tcW w:w="120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3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Management, Inc.</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$4,137,038.79</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0.153793264%</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GSO/Blackstone</w:t>
            </w:r>
          </w:p>
        </w:tc>
        <w:tc>
          <w:tcPr>
            <w:tcW w:w="120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3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Debt Funds</w:t>
            </w:r>
          </w:p>
        </w:tc>
        <w:tc>
          <w:tcPr>
            <w:tcW w:w="120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3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Management LLC</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$6,901,408.45</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0.256557935%</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5"/>
              </w:rPr>
              <w:t>BlackRock Financial</w:t>
            </w:r>
          </w:p>
        </w:tc>
        <w:tc>
          <w:tcPr>
            <w:tcW w:w="120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3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Management Inc.</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$19,250,344.63</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0.715626194%</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Lime Street CLO,</w:t>
            </w:r>
          </w:p>
        </w:tc>
        <w:tc>
          <w:tcPr>
            <w:tcW w:w="120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3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Ltd.</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$3,597,222.22</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0.133725733%</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Palmer Square</w:t>
            </w:r>
          </w:p>
        </w:tc>
        <w:tc>
          <w:tcPr>
            <w:tcW w:w="120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3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2"/>
              </w:rPr>
              <w:t>Capital Management</w:t>
            </w:r>
          </w:p>
        </w:tc>
        <w:tc>
          <w:tcPr>
            <w:tcW w:w="120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20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11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1320" w:type="dxa"/>
            <w:vAlign w:val="bottom"/>
            <w:tcBorders>
              <w:right w:val="single" w:sz="8" w:color="00000A"/>
            </w:tcBorders>
          </w:tcPr>
          <w:p>
            <w:pPr>
              <w:spacing w:after="0"/>
              <w:rPr>
                <w:sz w:val="18"/>
                <w:szCs w:val="18"/>
                <w:color w:val="auto"/>
              </w:rPr>
            </w:pPr>
          </w:p>
        </w:tc>
        <w:tc>
          <w:tcPr>
            <w:tcW w:w="124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LLC</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$1,971,830.99</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0.073302267%</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AXA Investment</w:t>
            </w:r>
          </w:p>
        </w:tc>
        <w:tc>
          <w:tcPr>
            <w:tcW w:w="120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1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32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Managers</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$42,545,703.24</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1.581624656%</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BAWAG P.S.K.</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$45,454,545.45</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color w:val="auto"/>
              </w:rPr>
              <w:t>1.689760054%</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3"/>
              </w:rPr>
              <w:t>$800,000,000.00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4"/>
              </w:rPr>
              <w:t>100.000000000%</w:t>
            </w:r>
          </w:p>
        </w:tc>
        <w:tc>
          <w:tcPr>
            <w:tcW w:w="120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3"/>
              </w:rPr>
              <w:t>$450,000,000.00</w:t>
            </w:r>
          </w:p>
        </w:tc>
        <w:tc>
          <w:tcPr>
            <w:tcW w:w="126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4"/>
              </w:rPr>
              <w:t>100.000000000%</w:t>
            </w:r>
          </w:p>
        </w:tc>
        <w:tc>
          <w:tcPr>
            <w:tcW w:w="112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3"/>
              </w:rPr>
              <w:t>$35,000,000.00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2"/>
              </w:rPr>
              <w:t>100.000000000%</w:t>
            </w:r>
          </w:p>
        </w:tc>
        <w:tc>
          <w:tcPr>
            <w:tcW w:w="132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2"/>
              </w:rPr>
              <w:t>$2,690,000,000.00</w:t>
            </w:r>
          </w:p>
        </w:tc>
        <w:tc>
          <w:tcPr>
            <w:tcW w:w="1240" w:type="dxa"/>
            <w:vAlign w:val="bottom"/>
            <w:tcBorders>
              <w:right w:val="single" w:sz="8" w:color="00000A"/>
            </w:tcBorders>
          </w:tcPr>
          <w:p>
            <w:pPr>
              <w:jc w:val="right"/>
              <w:spacing w:after="0"/>
              <w:rPr>
                <w:sz w:val="20"/>
                <w:szCs w:val="20"/>
                <w:color w:val="auto"/>
              </w:rPr>
            </w:pPr>
            <w:r>
              <w:rPr>
                <w:rFonts w:ascii="Arial" w:cs="Arial" w:eastAsia="Arial" w:hAnsi="Arial"/>
                <w:sz w:val="16"/>
                <w:szCs w:val="16"/>
                <w:b w:val="1"/>
                <w:bCs w:val="1"/>
                <w:color w:val="auto"/>
                <w:w w:val="94"/>
              </w:rPr>
              <w:t>100.000000000%</w:t>
            </w:r>
          </w:p>
        </w:tc>
        <w:tc>
          <w:tcPr>
            <w:tcW w:w="0" w:type="dxa"/>
            <w:vAlign w:val="bottom"/>
          </w:tcPr>
          <w:p>
            <w:pPr>
              <w:spacing w:after="0"/>
              <w:rPr>
                <w:sz w:val="1"/>
                <w:szCs w:val="1"/>
                <w:color w:val="auto"/>
              </w:rPr>
            </w:pPr>
          </w:p>
        </w:tc>
      </w:tr>
      <w:tr>
        <w:trPr>
          <w:trHeight w:val="27"/>
        </w:trPr>
        <w:tc>
          <w:tcPr>
            <w:tcW w:w="1620" w:type="dxa"/>
            <w:vAlign w:val="bottom"/>
            <w:tcBorders>
              <w:left w:val="single" w:sz="8" w:color="00000A"/>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32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89" w:right="21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20"/>
          <w:szCs w:val="20"/>
          <w:b w:val="1"/>
          <w:bCs w:val="1"/>
          <w:u w:val="single" w:color="auto"/>
          <w:color w:val="auto"/>
        </w:rPr>
        <w:t>Schedule 6.13</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Subsidiaries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320" w:type="dxa"/>
            <w:vAlign w:val="bottom"/>
            <w:tcBorders>
              <w:top w:val="single" w:sz="8" w:color="00000A"/>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Name</w:t>
            </w:r>
          </w:p>
        </w:tc>
        <w:tc>
          <w:tcPr>
            <w:tcW w:w="580" w:type="dxa"/>
            <w:vAlign w:val="bottom"/>
            <w:tcBorders>
              <w:top w:val="single" w:sz="8" w:color="00000A"/>
              <w:right w:val="single" w:sz="8" w:color="00000A"/>
            </w:tcBorders>
          </w:tcPr>
          <w:p>
            <w:pPr>
              <w:spacing w:after="0"/>
              <w:rPr>
                <w:sz w:val="18"/>
                <w:szCs w:val="18"/>
                <w:color w:val="auto"/>
              </w:rPr>
            </w:pPr>
          </w:p>
        </w:tc>
        <w:tc>
          <w:tcPr>
            <w:tcW w:w="12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Jurisdiction</w:t>
            </w:r>
          </w:p>
        </w:tc>
        <w:tc>
          <w:tcPr>
            <w:tcW w:w="1140" w:type="dxa"/>
            <w:vAlign w:val="bottom"/>
            <w:tcBorders>
              <w:top w:val="single" w:sz="8" w:color="00000A"/>
              <w:right w:val="single" w:sz="8" w:color="00000A"/>
            </w:tcBorders>
            <w:vMerge w:val="restart"/>
          </w:tcPr>
          <w:p>
            <w:pPr>
              <w:ind w:left="20"/>
              <w:spacing w:after="0"/>
              <w:rPr>
                <w:sz w:val="20"/>
                <w:szCs w:val="20"/>
                <w:color w:val="auto"/>
              </w:rPr>
            </w:pPr>
            <w:r>
              <w:rPr>
                <w:rFonts w:ascii="Arial" w:cs="Arial" w:eastAsia="Arial" w:hAnsi="Arial"/>
                <w:sz w:val="14"/>
                <w:szCs w:val="14"/>
                <w:color w:val="auto"/>
              </w:rPr>
              <w:t>Legal form</w:t>
            </w:r>
          </w:p>
        </w:tc>
        <w:tc>
          <w:tcPr>
            <w:tcW w:w="3080" w:type="dxa"/>
            <w:vAlign w:val="bottom"/>
            <w:tcBorders>
              <w:top w:val="single" w:sz="8" w:color="00000A"/>
              <w:right w:val="single" w:sz="8" w:color="00000A"/>
            </w:tcBorders>
            <w:vMerge w:val="restart"/>
          </w:tcPr>
          <w:p>
            <w:pPr>
              <w:ind w:left="20"/>
              <w:spacing w:after="0"/>
              <w:rPr>
                <w:sz w:val="20"/>
                <w:szCs w:val="20"/>
                <w:color w:val="auto"/>
              </w:rPr>
            </w:pPr>
            <w:r>
              <w:rPr>
                <w:rFonts w:ascii="Arial" w:cs="Arial" w:eastAsia="Arial" w:hAnsi="Arial"/>
                <w:sz w:val="14"/>
                <w:szCs w:val="14"/>
                <w:color w:val="auto"/>
              </w:rPr>
              <w:t>Shareholder 1</w:t>
            </w:r>
          </w:p>
        </w:tc>
        <w:tc>
          <w:tcPr>
            <w:tcW w:w="1020" w:type="dxa"/>
            <w:vAlign w:val="bottom"/>
            <w:tcBorders>
              <w:top w:val="single" w:sz="8" w:color="00000A"/>
              <w:right w:val="single" w:sz="8" w:color="00000A"/>
            </w:tcBorders>
            <w:vMerge w:val="restart"/>
          </w:tcPr>
          <w:p>
            <w:pPr>
              <w:ind w:left="20"/>
              <w:spacing w:after="0"/>
              <w:rPr>
                <w:sz w:val="20"/>
                <w:szCs w:val="20"/>
                <w:color w:val="auto"/>
              </w:rPr>
            </w:pPr>
            <w:r>
              <w:rPr>
                <w:rFonts w:ascii="Arial" w:cs="Arial" w:eastAsia="Arial" w:hAnsi="Arial"/>
                <w:sz w:val="14"/>
                <w:szCs w:val="14"/>
                <w:color w:val="auto"/>
              </w:rPr>
              <w:t>Share</w:t>
            </w:r>
          </w:p>
        </w:tc>
        <w:tc>
          <w:tcPr>
            <w:tcW w:w="1240" w:type="dxa"/>
            <w:vAlign w:val="bottom"/>
            <w:tcBorders>
              <w:top w:val="single" w:sz="8" w:color="00000A"/>
              <w:right w:val="single" w:sz="8" w:color="00000A"/>
            </w:tcBorders>
            <w:vMerge w:val="restart"/>
          </w:tcPr>
          <w:p>
            <w:pPr>
              <w:ind w:left="160"/>
              <w:spacing w:after="0"/>
              <w:rPr>
                <w:sz w:val="20"/>
                <w:szCs w:val="20"/>
                <w:color w:val="auto"/>
              </w:rPr>
            </w:pPr>
            <w:r>
              <w:rPr>
                <w:rFonts w:ascii="Arial" w:cs="Arial" w:eastAsia="Arial" w:hAnsi="Arial"/>
                <w:sz w:val="14"/>
                <w:szCs w:val="14"/>
                <w:color w:val="auto"/>
              </w:rPr>
              <w:t>Shareholder 2</w:t>
            </w:r>
          </w:p>
        </w:tc>
        <w:tc>
          <w:tcPr>
            <w:tcW w:w="800" w:type="dxa"/>
            <w:vAlign w:val="bottom"/>
            <w:tcBorders>
              <w:top w:val="single" w:sz="8" w:color="00000A"/>
              <w:right w:val="single" w:sz="8" w:color="00000A"/>
            </w:tcBorders>
            <w:vMerge w:val="restart"/>
          </w:tcPr>
          <w:p>
            <w:pPr>
              <w:ind w:left="2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78"/>
        </w:trPr>
        <w:tc>
          <w:tcPr>
            <w:tcW w:w="2320" w:type="dxa"/>
            <w:vAlign w:val="bottom"/>
            <w:tcBorders>
              <w:left w:val="single" w:sz="8" w:color="00000A"/>
              <w:bottom w:val="single" w:sz="8" w:color="00000A"/>
              <w:right w:val="single" w:sz="8" w:color="00000A"/>
            </w:tcBorders>
            <w:vMerge w:val="continue"/>
          </w:tcPr>
          <w:p>
            <w:pPr>
              <w:spacing w:after="0"/>
              <w:rPr>
                <w:sz w:val="15"/>
                <w:szCs w:val="15"/>
                <w:color w:val="auto"/>
              </w:rPr>
            </w:pPr>
          </w:p>
        </w:tc>
        <w:tc>
          <w:tcPr>
            <w:tcW w:w="580" w:type="dxa"/>
            <w:vAlign w:val="bottom"/>
            <w:tcBorders>
              <w:bottom w:val="single" w:sz="8" w:color="00000A"/>
              <w:right w:val="single" w:sz="8" w:color="00000A"/>
            </w:tcBorders>
          </w:tcPr>
          <w:p>
            <w:pPr>
              <w:ind w:left="160"/>
              <w:spacing w:after="0"/>
              <w:rPr>
                <w:sz w:val="20"/>
                <w:szCs w:val="20"/>
                <w:color w:val="auto"/>
              </w:rPr>
            </w:pPr>
            <w:r>
              <w:rPr>
                <w:rFonts w:ascii="Arial" w:cs="Arial" w:eastAsia="Arial" w:hAnsi="Arial"/>
                <w:sz w:val="14"/>
                <w:szCs w:val="14"/>
                <w:color w:val="auto"/>
              </w:rPr>
              <w:t>No.</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(Foreign Country)</w:t>
            </w:r>
          </w:p>
        </w:tc>
        <w:tc>
          <w:tcPr>
            <w:tcW w:w="1140" w:type="dxa"/>
            <w:vAlign w:val="bottom"/>
            <w:tcBorders>
              <w:bottom w:val="single" w:sz="8" w:color="00000A"/>
              <w:right w:val="single" w:sz="8" w:color="00000A"/>
            </w:tcBorders>
            <w:vMerge w:val="continue"/>
          </w:tcPr>
          <w:p>
            <w:pPr>
              <w:spacing w:after="0"/>
              <w:rPr>
                <w:sz w:val="15"/>
                <w:szCs w:val="15"/>
                <w:color w:val="auto"/>
              </w:rPr>
            </w:pPr>
          </w:p>
        </w:tc>
        <w:tc>
          <w:tcPr>
            <w:tcW w:w="3080" w:type="dxa"/>
            <w:vAlign w:val="bottom"/>
            <w:tcBorders>
              <w:bottom w:val="single" w:sz="8" w:color="00000A"/>
              <w:right w:val="single" w:sz="8" w:color="00000A"/>
            </w:tcBorders>
            <w:vMerge w:val="continue"/>
          </w:tcPr>
          <w:p>
            <w:pPr>
              <w:spacing w:after="0"/>
              <w:rPr>
                <w:sz w:val="15"/>
                <w:szCs w:val="15"/>
                <w:color w:val="auto"/>
              </w:rPr>
            </w:pPr>
          </w:p>
        </w:tc>
        <w:tc>
          <w:tcPr>
            <w:tcW w:w="1020" w:type="dxa"/>
            <w:vAlign w:val="bottom"/>
            <w:tcBorders>
              <w:bottom w:val="single" w:sz="8" w:color="00000A"/>
              <w:right w:val="single" w:sz="8" w:color="00000A"/>
            </w:tcBorders>
            <w:vMerge w:val="continue"/>
          </w:tcPr>
          <w:p>
            <w:pPr>
              <w:spacing w:after="0"/>
              <w:rPr>
                <w:sz w:val="15"/>
                <w:szCs w:val="15"/>
                <w:color w:val="auto"/>
              </w:rPr>
            </w:pPr>
          </w:p>
        </w:tc>
        <w:tc>
          <w:tcPr>
            <w:tcW w:w="1240" w:type="dxa"/>
            <w:vAlign w:val="bottom"/>
            <w:tcBorders>
              <w:bottom w:val="single" w:sz="8" w:color="00000A"/>
              <w:right w:val="single" w:sz="8" w:color="00000A"/>
            </w:tcBorders>
            <w:vMerge w:val="continue"/>
          </w:tcPr>
          <w:p>
            <w:pPr>
              <w:spacing w:after="0"/>
              <w:rPr>
                <w:sz w:val="15"/>
                <w:szCs w:val="15"/>
                <w:color w:val="auto"/>
              </w:rPr>
            </w:pPr>
          </w:p>
        </w:tc>
        <w:tc>
          <w:tcPr>
            <w:tcW w:w="800" w:type="dxa"/>
            <w:vAlign w:val="bottom"/>
            <w:tcBorders>
              <w:bottom w:val="single" w:sz="8" w:color="00000A"/>
              <w:right w:val="single" w:sz="8" w:color="00000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Technologies Operating</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Georgia, United</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FleetCor Technologies, Inc.</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Company, LLC</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2</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States</w:t>
            </w: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Funding, LLC</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3</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Delaware, United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Technologies Operating Company,</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00000A"/>
              <w:bottom w:val="single" w:sz="8" w:color="00000A"/>
              <w:right w:val="single" w:sz="8" w:color="00000A"/>
            </w:tcBorders>
          </w:tcPr>
          <w:p>
            <w:pPr>
              <w:spacing w:after="0"/>
              <w:rPr>
                <w:sz w:val="11"/>
                <w:szCs w:val="11"/>
                <w:color w:val="auto"/>
              </w:rPr>
            </w:pPr>
          </w:p>
        </w:tc>
        <w:tc>
          <w:tcPr>
            <w:tcW w:w="580" w:type="dxa"/>
            <w:vAlign w:val="bottom"/>
            <w:tcBorders>
              <w:bottom w:val="single" w:sz="8" w:color="00000A"/>
              <w:right w:val="single" w:sz="8" w:color="00000A"/>
            </w:tcBorders>
            <w:vMerge w:val="continue"/>
          </w:tcPr>
          <w:p>
            <w:pPr>
              <w:spacing w:after="0"/>
              <w:rPr>
                <w:sz w:val="11"/>
                <w:szCs w:val="11"/>
                <w:color w:val="auto"/>
              </w:rPr>
            </w:pPr>
          </w:p>
        </w:tc>
        <w:tc>
          <w:tcPr>
            <w:tcW w:w="126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States</w:t>
            </w:r>
          </w:p>
        </w:tc>
        <w:tc>
          <w:tcPr>
            <w:tcW w:w="1140" w:type="dxa"/>
            <w:vAlign w:val="bottom"/>
            <w:tcBorders>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LLC</w:t>
            </w:r>
          </w:p>
        </w:tc>
        <w:tc>
          <w:tcPr>
            <w:tcW w:w="1020" w:type="dxa"/>
            <w:vAlign w:val="bottom"/>
            <w:tcBorders>
              <w:bottom w:val="single" w:sz="8" w:color="00000A"/>
              <w:right w:val="single" w:sz="8" w:color="00000A"/>
            </w:tcBorders>
          </w:tcPr>
          <w:p>
            <w:pPr>
              <w:spacing w:after="0"/>
              <w:rPr>
                <w:sz w:val="11"/>
                <w:szCs w:val="11"/>
                <w:color w:val="auto"/>
              </w:rPr>
            </w:pPr>
          </w:p>
        </w:tc>
        <w:tc>
          <w:tcPr>
            <w:tcW w:w="1240" w:type="dxa"/>
            <w:vAlign w:val="bottom"/>
            <w:tcBorders>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Mannatec, Inc.</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Georgia, United</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Corporation</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Technologies Operating Company,</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4</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States</w:t>
            </w: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vMerge w:val="continue"/>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CFN Holding Co.</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5</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Delaware, United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Corporation</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Technologies Operating Company,</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00000A"/>
              <w:bottom w:val="single" w:sz="8" w:color="00000A"/>
              <w:right w:val="single" w:sz="8" w:color="00000A"/>
            </w:tcBorders>
          </w:tcPr>
          <w:p>
            <w:pPr>
              <w:spacing w:after="0"/>
              <w:rPr>
                <w:sz w:val="11"/>
                <w:szCs w:val="11"/>
                <w:color w:val="auto"/>
              </w:rPr>
            </w:pPr>
          </w:p>
        </w:tc>
        <w:tc>
          <w:tcPr>
            <w:tcW w:w="580" w:type="dxa"/>
            <w:vAlign w:val="bottom"/>
            <w:tcBorders>
              <w:bottom w:val="single" w:sz="8" w:color="00000A"/>
              <w:right w:val="single" w:sz="8" w:color="00000A"/>
            </w:tcBorders>
            <w:vMerge w:val="continue"/>
          </w:tcPr>
          <w:p>
            <w:pPr>
              <w:spacing w:after="0"/>
              <w:rPr>
                <w:sz w:val="11"/>
                <w:szCs w:val="11"/>
                <w:color w:val="auto"/>
              </w:rPr>
            </w:pPr>
          </w:p>
        </w:tc>
        <w:tc>
          <w:tcPr>
            <w:tcW w:w="126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States</w:t>
            </w:r>
          </w:p>
        </w:tc>
        <w:tc>
          <w:tcPr>
            <w:tcW w:w="1140" w:type="dxa"/>
            <w:vAlign w:val="bottom"/>
            <w:tcBorders>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LLC</w:t>
            </w:r>
          </w:p>
        </w:tc>
        <w:tc>
          <w:tcPr>
            <w:tcW w:w="1020" w:type="dxa"/>
            <w:vAlign w:val="bottom"/>
            <w:tcBorders>
              <w:bottom w:val="single" w:sz="8" w:color="00000A"/>
              <w:right w:val="single" w:sz="8" w:color="00000A"/>
            </w:tcBorders>
          </w:tcPr>
          <w:p>
            <w:pPr>
              <w:spacing w:after="0"/>
              <w:rPr>
                <w:sz w:val="11"/>
                <w:szCs w:val="11"/>
                <w:color w:val="auto"/>
              </w:rPr>
            </w:pPr>
          </w:p>
        </w:tc>
        <w:tc>
          <w:tcPr>
            <w:tcW w:w="1240" w:type="dxa"/>
            <w:vAlign w:val="bottom"/>
            <w:tcBorders>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CLC Group, Inc.</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6</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Delaware, United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Corporation</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Technologies Operating Company,</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00000A"/>
              <w:bottom w:val="single" w:sz="8" w:color="00000A"/>
              <w:right w:val="single" w:sz="8" w:color="00000A"/>
            </w:tcBorders>
          </w:tcPr>
          <w:p>
            <w:pPr>
              <w:spacing w:after="0"/>
              <w:rPr>
                <w:sz w:val="11"/>
                <w:szCs w:val="11"/>
                <w:color w:val="auto"/>
              </w:rPr>
            </w:pPr>
          </w:p>
        </w:tc>
        <w:tc>
          <w:tcPr>
            <w:tcW w:w="580" w:type="dxa"/>
            <w:vAlign w:val="bottom"/>
            <w:tcBorders>
              <w:bottom w:val="single" w:sz="8" w:color="00000A"/>
              <w:right w:val="single" w:sz="8" w:color="00000A"/>
            </w:tcBorders>
            <w:vMerge w:val="continue"/>
          </w:tcPr>
          <w:p>
            <w:pPr>
              <w:spacing w:after="0"/>
              <w:rPr>
                <w:sz w:val="11"/>
                <w:szCs w:val="11"/>
                <w:color w:val="auto"/>
              </w:rPr>
            </w:pPr>
          </w:p>
        </w:tc>
        <w:tc>
          <w:tcPr>
            <w:tcW w:w="126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States</w:t>
            </w:r>
          </w:p>
        </w:tc>
        <w:tc>
          <w:tcPr>
            <w:tcW w:w="1140" w:type="dxa"/>
            <w:vAlign w:val="bottom"/>
            <w:tcBorders>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LLC</w:t>
            </w:r>
          </w:p>
        </w:tc>
        <w:tc>
          <w:tcPr>
            <w:tcW w:w="1020" w:type="dxa"/>
            <w:vAlign w:val="bottom"/>
            <w:tcBorders>
              <w:bottom w:val="single" w:sz="8" w:color="00000A"/>
              <w:right w:val="single" w:sz="8" w:color="00000A"/>
            </w:tcBorders>
          </w:tcPr>
          <w:p>
            <w:pPr>
              <w:spacing w:after="0"/>
              <w:rPr>
                <w:sz w:val="11"/>
                <w:szCs w:val="11"/>
                <w:color w:val="auto"/>
              </w:rPr>
            </w:pPr>
          </w:p>
        </w:tc>
        <w:tc>
          <w:tcPr>
            <w:tcW w:w="1240" w:type="dxa"/>
            <w:vAlign w:val="bottom"/>
            <w:tcBorders>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Corporate Lodging Consultants,</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Kansas, United</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Corporation</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CLC Group, Inc.</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Inc.</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7</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States</w:t>
            </w: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Crew Transportation Specialists,</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Kansas, United</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Corporation</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CLC Group, Inc.</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Inc.</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8</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States</w:t>
            </w: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Commercial Card</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British Columbia,</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Mannatec, Inc.</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Management (Canada) Ltd.</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9</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Canada</w:t>
            </w: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Technologies Operating</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Luxembourg</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S.e.n.c.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Technologies Operating Company,</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95.00%</w:t>
            </w: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CFN Holding Co.</w:t>
            </w:r>
          </w:p>
        </w:tc>
        <w:tc>
          <w:tcPr>
            <w:tcW w:w="8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Company - CFN Holding Co.</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10</w:t>
            </w: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vMerge w:val="continue"/>
          </w:tcPr>
          <w:p>
            <w:pPr>
              <w:spacing w:after="0"/>
              <w:rPr>
                <w:sz w:val="7"/>
                <w:szCs w:val="7"/>
                <w:color w:val="auto"/>
              </w:rPr>
            </w:pPr>
          </w:p>
        </w:tc>
        <w:tc>
          <w:tcPr>
            <w:tcW w:w="8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vMerge w:val="continue"/>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FleetCor Luxembourg Holding1</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Luxembourg</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S.à.r.l.</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Technologies Operating Company -</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11</w:t>
            </w: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CFN Holding Co.</w:t>
            </w: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vMerge w:val="continue"/>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Luxembourg Holding2</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12</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Luxembourg</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S.à.r.l.</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Luxembourg Holding1</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99.00%</w:t>
            </w:r>
          </w:p>
        </w:tc>
        <w:tc>
          <w:tcPr>
            <w:tcW w:w="12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CFN Holding Co.</w:t>
            </w:r>
          </w:p>
        </w:tc>
        <w:tc>
          <w:tcPr>
            <w:tcW w:w="8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6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Luxembourg Holding3</w:t>
            </w:r>
          </w:p>
        </w:tc>
        <w:tc>
          <w:tcPr>
            <w:tcW w:w="580" w:type="dxa"/>
            <w:vAlign w:val="bottom"/>
            <w:tcBorders>
              <w:right w:val="single" w:sz="8" w:color="00000A"/>
            </w:tcBorders>
          </w:tcPr>
          <w:p>
            <w:pPr>
              <w:spacing w:after="0"/>
              <w:rPr>
                <w:sz w:val="14"/>
                <w:szCs w:val="14"/>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Luxembourg</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S.à.r.l.</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Luxembourg Holding2.</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99.99%</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Luxembourg</w:t>
            </w:r>
          </w:p>
        </w:tc>
        <w:tc>
          <w:tcPr>
            <w:tcW w:w="800" w:type="dxa"/>
            <w:vAlign w:val="bottom"/>
            <w:tcBorders>
              <w:right w:val="single" w:sz="8" w:color="00000A"/>
            </w:tcBorders>
          </w:tcPr>
          <w:p>
            <w:pPr>
              <w:ind w:lef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78"/>
        </w:trPr>
        <w:tc>
          <w:tcPr>
            <w:tcW w:w="2320" w:type="dxa"/>
            <w:vAlign w:val="bottom"/>
            <w:tcBorders>
              <w:left w:val="single" w:sz="8" w:color="00000A"/>
              <w:bottom w:val="single" w:sz="8" w:color="00000A"/>
              <w:right w:val="single" w:sz="8" w:color="00000A"/>
            </w:tcBorders>
          </w:tcPr>
          <w:p>
            <w:pPr>
              <w:spacing w:after="0"/>
              <w:rPr>
                <w:sz w:val="15"/>
                <w:szCs w:val="15"/>
                <w:color w:val="auto"/>
              </w:rPr>
            </w:pP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13</w:t>
            </w:r>
          </w:p>
        </w:tc>
        <w:tc>
          <w:tcPr>
            <w:tcW w:w="1260" w:type="dxa"/>
            <w:vAlign w:val="bottom"/>
            <w:tcBorders>
              <w:bottom w:val="single" w:sz="8" w:color="00000A"/>
              <w:right w:val="single" w:sz="8" w:color="00000A"/>
            </w:tcBorders>
          </w:tcPr>
          <w:p>
            <w:pPr>
              <w:spacing w:after="0"/>
              <w:rPr>
                <w:sz w:val="15"/>
                <w:szCs w:val="15"/>
                <w:color w:val="auto"/>
              </w:rPr>
            </w:pPr>
          </w:p>
        </w:tc>
        <w:tc>
          <w:tcPr>
            <w:tcW w:w="1140" w:type="dxa"/>
            <w:vAlign w:val="bottom"/>
            <w:tcBorders>
              <w:bottom w:val="single" w:sz="8" w:color="00000A"/>
              <w:right w:val="single" w:sz="8" w:color="00000A"/>
            </w:tcBorders>
          </w:tcPr>
          <w:p>
            <w:pPr>
              <w:spacing w:after="0"/>
              <w:rPr>
                <w:sz w:val="15"/>
                <w:szCs w:val="15"/>
                <w:color w:val="auto"/>
              </w:rPr>
            </w:pPr>
          </w:p>
        </w:tc>
        <w:tc>
          <w:tcPr>
            <w:tcW w:w="3080" w:type="dxa"/>
            <w:vAlign w:val="bottom"/>
            <w:tcBorders>
              <w:bottom w:val="single" w:sz="8" w:color="00000A"/>
              <w:right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spacing w:after="0"/>
              <w:rPr>
                <w:sz w:val="15"/>
                <w:szCs w:val="15"/>
                <w:color w:val="auto"/>
              </w:rPr>
            </w:pPr>
          </w:p>
        </w:tc>
        <w:tc>
          <w:tcPr>
            <w:tcW w:w="12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Holding1</w:t>
            </w:r>
          </w:p>
        </w:tc>
        <w:tc>
          <w:tcPr>
            <w:tcW w:w="80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Luxembourg Holding4</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14</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Luxembourg</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S.à.r.l.</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Luxembourg Holding2</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Technologieën B.V.</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15</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The Netherlands</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Luxembourg Holding2</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UK Acquisition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16</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Luxembourg Holding2</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Europe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17</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CH Jones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18</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Europe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Fuel Vend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19</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CH Jones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Petro Vend (Europe)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20</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Fuel Vend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Croft Holdings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21</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Europe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Croft Fuels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22</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Croft Holdings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Croft Petroleum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23</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Croft Holdings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Fuelcards UK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25</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UK International</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Management Limited</w:t>
            </w: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Fambo UK Limited</w:t>
            </w:r>
          </w:p>
        </w:tc>
        <w:tc>
          <w:tcPr>
            <w:tcW w:w="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27</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The Fuelcard Company UK</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UK</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Fambo UK Limited</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Acquisition</w:t>
            </w:r>
          </w:p>
        </w:tc>
        <w:tc>
          <w:tcPr>
            <w:tcW w:w="800" w:type="dxa"/>
            <w:vAlign w:val="bottom"/>
            <w:tcBorders>
              <w:right w:val="single" w:sz="8" w:color="00000A"/>
            </w:tcBorders>
            <w:vMerge w:val="restart"/>
          </w:tcPr>
          <w:p>
            <w:pPr>
              <w:ind w:left="60"/>
              <w:spacing w:after="0"/>
              <w:rPr>
                <w:sz w:val="20"/>
                <w:szCs w:val="20"/>
                <w:color w:val="auto"/>
              </w:rPr>
            </w:pPr>
            <w:r>
              <w:rPr>
                <w:rFonts w:ascii="Arial" w:cs="Arial" w:eastAsia="Arial" w:hAnsi="Arial"/>
                <w:sz w:val="14"/>
                <w:szCs w:val="14"/>
                <w:color w:val="auto"/>
              </w:rPr>
              <w:t>1 share</w:t>
            </w: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Limited</w:t>
            </w: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vMerge w:val="continue"/>
          </w:tcPr>
          <w:p>
            <w:pPr>
              <w:spacing w:after="0"/>
              <w:rPr>
                <w:sz w:val="7"/>
                <w:szCs w:val="7"/>
                <w:color w:val="auto"/>
              </w:rPr>
            </w:pPr>
          </w:p>
        </w:tc>
        <w:tc>
          <w:tcPr>
            <w:tcW w:w="8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28</w:t>
            </w:r>
          </w:p>
        </w:tc>
        <w:tc>
          <w:tcPr>
            <w:tcW w:w="1260" w:type="dxa"/>
            <w:vAlign w:val="bottom"/>
            <w:tcBorders>
              <w:right w:val="single" w:sz="8" w:color="00000A"/>
            </w:tcBorders>
          </w:tcPr>
          <w:p>
            <w:pPr>
              <w:spacing w:after="0"/>
              <w:rPr>
                <w:sz w:val="7"/>
                <w:szCs w:val="7"/>
                <w:color w:val="auto"/>
              </w:rPr>
            </w:pPr>
          </w:p>
        </w:tc>
        <w:tc>
          <w:tcPr>
            <w:tcW w:w="1140" w:type="dxa"/>
            <w:vAlign w:val="bottom"/>
            <w:tcBorders>
              <w:right w:val="single" w:sz="8" w:color="00000A"/>
            </w:tcBorders>
          </w:tcPr>
          <w:p>
            <w:pPr>
              <w:spacing w:after="0"/>
              <w:rPr>
                <w:sz w:val="7"/>
                <w:szCs w:val="7"/>
                <w:color w:val="auto"/>
              </w:rPr>
            </w:pPr>
          </w:p>
        </w:tc>
        <w:tc>
          <w:tcPr>
            <w:tcW w:w="3080" w:type="dxa"/>
            <w:vAlign w:val="bottom"/>
            <w:tcBorders>
              <w:right w:val="single" w:sz="8" w:color="00000A"/>
            </w:tcBorders>
          </w:tcPr>
          <w:p>
            <w:pPr>
              <w:spacing w:after="0"/>
              <w:rPr>
                <w:sz w:val="7"/>
                <w:szCs w:val="7"/>
                <w:color w:val="auto"/>
              </w:rPr>
            </w:pPr>
          </w:p>
        </w:tc>
        <w:tc>
          <w:tcPr>
            <w:tcW w:w="1020" w:type="dxa"/>
            <w:vAlign w:val="bottom"/>
            <w:tcBorders>
              <w:right w:val="single" w:sz="8" w:color="00000A"/>
            </w:tcBorders>
          </w:tcPr>
          <w:p>
            <w:pPr>
              <w:spacing w:after="0"/>
              <w:rPr>
                <w:sz w:val="7"/>
                <w:szCs w:val="7"/>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Limited</w:t>
            </w: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vMerge w:val="continue"/>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40"/>
          </w:cols>
          <w:pgMar w:left="240" w:top="751" w:right="21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278"/>
        </w:trPr>
        <w:tc>
          <w:tcPr>
            <w:tcW w:w="23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Abbey Group (Oxon) Limited</w:t>
            </w:r>
          </w:p>
        </w:tc>
        <w:tc>
          <w:tcPr>
            <w:tcW w:w="580" w:type="dxa"/>
            <w:vAlign w:val="bottom"/>
            <w:tcBorders>
              <w:top w:val="single" w:sz="8" w:color="00000A"/>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29</w:t>
            </w:r>
          </w:p>
        </w:tc>
        <w:tc>
          <w:tcPr>
            <w:tcW w:w="12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top w:val="single" w:sz="8" w:color="00000A"/>
              <w:bottom w:val="single" w:sz="8" w:color="00000A"/>
              <w:right w:val="single" w:sz="8" w:color="00000A"/>
            </w:tcBorders>
          </w:tcPr>
          <w:p>
            <w:pPr>
              <w:spacing w:after="0"/>
              <w:rPr>
                <w:sz w:val="24"/>
                <w:szCs w:val="24"/>
                <w:color w:val="auto"/>
              </w:rPr>
            </w:pPr>
          </w:p>
        </w:tc>
        <w:tc>
          <w:tcPr>
            <w:tcW w:w="800" w:type="dxa"/>
            <w:vAlign w:val="bottom"/>
            <w:tcBorders>
              <w:top w:val="single" w:sz="8" w:color="00000A"/>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Abbey Fuelcards Limited</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30</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Ace Fuelcards Limited</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31</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Abbey Euro Diesel Limited</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32</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Fuel Supermarket Limited</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33</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Abbey Group (Oxon)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Fuelcard Supermarket Limited</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34</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Fuel Supermarket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Diesel Supermarket Limited</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35</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Fuel Supermarket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Petrol Supermarket Limited</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36</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Fuel Supermarket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Fuel Cards LLC</w:t>
            </w: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37</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Delaware, United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Technologies Operating Company,</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00000A"/>
              <w:bottom w:val="single" w:sz="8" w:color="00000A"/>
              <w:right w:val="single" w:sz="8" w:color="00000A"/>
            </w:tcBorders>
          </w:tcPr>
          <w:p>
            <w:pPr>
              <w:spacing w:after="0"/>
              <w:rPr>
                <w:sz w:val="11"/>
                <w:szCs w:val="11"/>
                <w:color w:val="auto"/>
              </w:rPr>
            </w:pPr>
          </w:p>
        </w:tc>
        <w:tc>
          <w:tcPr>
            <w:tcW w:w="580" w:type="dxa"/>
            <w:vAlign w:val="bottom"/>
            <w:tcBorders>
              <w:bottom w:val="single" w:sz="8" w:color="00000A"/>
              <w:right w:val="single" w:sz="8" w:color="00000A"/>
            </w:tcBorders>
            <w:vMerge w:val="continue"/>
          </w:tcPr>
          <w:p>
            <w:pPr>
              <w:spacing w:after="0"/>
              <w:rPr>
                <w:sz w:val="11"/>
                <w:szCs w:val="11"/>
                <w:color w:val="auto"/>
              </w:rPr>
            </w:pPr>
          </w:p>
        </w:tc>
        <w:tc>
          <w:tcPr>
            <w:tcW w:w="126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States</w:t>
            </w:r>
          </w:p>
        </w:tc>
        <w:tc>
          <w:tcPr>
            <w:tcW w:w="1140" w:type="dxa"/>
            <w:vAlign w:val="bottom"/>
            <w:tcBorders>
              <w:bottom w:val="single" w:sz="8" w:color="00000A"/>
              <w:right w:val="single" w:sz="8" w:color="00000A"/>
            </w:tcBorders>
          </w:tcPr>
          <w:p>
            <w:pPr>
              <w:spacing w:after="0"/>
              <w:rPr>
                <w:sz w:val="11"/>
                <w:szCs w:val="11"/>
                <w:color w:val="auto"/>
              </w:rPr>
            </w:pPr>
          </w:p>
        </w:tc>
        <w:tc>
          <w:tcPr>
            <w:tcW w:w="308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LLC</w:t>
            </w:r>
          </w:p>
        </w:tc>
        <w:tc>
          <w:tcPr>
            <w:tcW w:w="1020" w:type="dxa"/>
            <w:vAlign w:val="bottom"/>
            <w:tcBorders>
              <w:bottom w:val="single" w:sz="8" w:color="00000A"/>
              <w:right w:val="single" w:sz="8" w:color="00000A"/>
            </w:tcBorders>
          </w:tcPr>
          <w:p>
            <w:pPr>
              <w:spacing w:after="0"/>
              <w:rPr>
                <w:sz w:val="11"/>
                <w:szCs w:val="11"/>
                <w:color w:val="auto"/>
              </w:rPr>
            </w:pPr>
          </w:p>
        </w:tc>
        <w:tc>
          <w:tcPr>
            <w:tcW w:w="1240" w:type="dxa"/>
            <w:vAlign w:val="bottom"/>
            <w:tcBorders>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Fuel Cards Europe Ltd</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38</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FleetCor Fuel Cards LLC</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CCS Ceska spolecnost pro</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Czech Republic</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FleetCor Luxembourg Holding3</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platebni karty sro</w:t>
            </w: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44</w:t>
            </w: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CCS Slovenska společnost pro</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Slovakia</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CCS Ceska spolecnost pro platebni karty sro</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97.00%</w:t>
            </w: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Luxembourg</w:t>
            </w:r>
          </w:p>
        </w:tc>
        <w:tc>
          <w:tcPr>
            <w:tcW w:w="800" w:type="dxa"/>
            <w:vAlign w:val="bottom"/>
            <w:tcBorders>
              <w:right w:val="single" w:sz="8" w:color="00000A"/>
            </w:tcBorders>
            <w:vMerge w:val="restart"/>
          </w:tcPr>
          <w:p>
            <w:pPr>
              <w:jc w:val="right"/>
              <w:ind w:right="28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platebne karty sro</w:t>
            </w: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vMerge w:val="continue"/>
          </w:tcPr>
          <w:p>
            <w:pPr>
              <w:spacing w:after="0"/>
              <w:rPr>
                <w:sz w:val="7"/>
                <w:szCs w:val="7"/>
                <w:color w:val="auto"/>
              </w:rPr>
            </w:pPr>
          </w:p>
        </w:tc>
        <w:tc>
          <w:tcPr>
            <w:tcW w:w="8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45</w:t>
            </w:r>
          </w:p>
        </w:tc>
        <w:tc>
          <w:tcPr>
            <w:tcW w:w="1260" w:type="dxa"/>
            <w:vAlign w:val="bottom"/>
            <w:tcBorders>
              <w:right w:val="single" w:sz="8" w:color="00000A"/>
            </w:tcBorders>
          </w:tcPr>
          <w:p>
            <w:pPr>
              <w:spacing w:after="0"/>
              <w:rPr>
                <w:sz w:val="7"/>
                <w:szCs w:val="7"/>
                <w:color w:val="auto"/>
              </w:rPr>
            </w:pPr>
          </w:p>
        </w:tc>
        <w:tc>
          <w:tcPr>
            <w:tcW w:w="1140" w:type="dxa"/>
            <w:vAlign w:val="bottom"/>
            <w:tcBorders>
              <w:right w:val="single" w:sz="8" w:color="00000A"/>
            </w:tcBorders>
          </w:tcPr>
          <w:p>
            <w:pPr>
              <w:spacing w:after="0"/>
              <w:rPr>
                <w:sz w:val="7"/>
                <w:szCs w:val="7"/>
                <w:color w:val="auto"/>
              </w:rPr>
            </w:pPr>
          </w:p>
        </w:tc>
        <w:tc>
          <w:tcPr>
            <w:tcW w:w="3080" w:type="dxa"/>
            <w:vAlign w:val="bottom"/>
            <w:tcBorders>
              <w:right w:val="single" w:sz="8" w:color="00000A"/>
            </w:tcBorders>
          </w:tcPr>
          <w:p>
            <w:pPr>
              <w:spacing w:after="0"/>
              <w:rPr>
                <w:sz w:val="7"/>
                <w:szCs w:val="7"/>
                <w:color w:val="auto"/>
              </w:rPr>
            </w:pPr>
          </w:p>
        </w:tc>
        <w:tc>
          <w:tcPr>
            <w:tcW w:w="1020" w:type="dxa"/>
            <w:vAlign w:val="bottom"/>
            <w:tcBorders>
              <w:right w:val="single" w:sz="8" w:color="00000A"/>
            </w:tcBorders>
          </w:tcPr>
          <w:p>
            <w:pPr>
              <w:spacing w:after="0"/>
              <w:rPr>
                <w:sz w:val="7"/>
                <w:szCs w:val="7"/>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Holding3</w:t>
            </w: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vMerge w:val="continue"/>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6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LLC “Petro Plus Region”</w:t>
            </w:r>
          </w:p>
        </w:tc>
        <w:tc>
          <w:tcPr>
            <w:tcW w:w="580" w:type="dxa"/>
            <w:vAlign w:val="bottom"/>
            <w:tcBorders>
              <w:right w:val="single" w:sz="8" w:color="00000A"/>
            </w:tcBorders>
          </w:tcPr>
          <w:p>
            <w:pPr>
              <w:spacing w:after="0"/>
              <w:rPr>
                <w:sz w:val="14"/>
                <w:szCs w:val="14"/>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Russia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Luxembourg Holding2</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99.90%</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Luxembourg</w:t>
            </w:r>
          </w:p>
        </w:tc>
        <w:tc>
          <w:tcPr>
            <w:tcW w:w="800" w:type="dxa"/>
            <w:vAlign w:val="bottom"/>
            <w:tcBorders>
              <w:right w:val="single" w:sz="8" w:color="00000A"/>
            </w:tcBorders>
          </w:tcPr>
          <w:p>
            <w:pPr>
              <w:jc w:val="center"/>
              <w:ind w:right="18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78"/>
        </w:trPr>
        <w:tc>
          <w:tcPr>
            <w:tcW w:w="2320" w:type="dxa"/>
            <w:vAlign w:val="bottom"/>
            <w:tcBorders>
              <w:left w:val="single" w:sz="8" w:color="00000A"/>
              <w:bottom w:val="single" w:sz="8" w:color="00000A"/>
              <w:right w:val="single" w:sz="8" w:color="00000A"/>
            </w:tcBorders>
          </w:tcPr>
          <w:p>
            <w:pPr>
              <w:spacing w:after="0"/>
              <w:rPr>
                <w:sz w:val="15"/>
                <w:szCs w:val="15"/>
                <w:color w:val="auto"/>
              </w:rPr>
            </w:pP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48</w:t>
            </w:r>
          </w:p>
        </w:tc>
        <w:tc>
          <w:tcPr>
            <w:tcW w:w="1260" w:type="dxa"/>
            <w:vAlign w:val="bottom"/>
            <w:tcBorders>
              <w:bottom w:val="single" w:sz="8" w:color="00000A"/>
              <w:right w:val="single" w:sz="8" w:color="00000A"/>
            </w:tcBorders>
          </w:tcPr>
          <w:p>
            <w:pPr>
              <w:spacing w:after="0"/>
              <w:rPr>
                <w:sz w:val="15"/>
                <w:szCs w:val="15"/>
                <w:color w:val="auto"/>
              </w:rPr>
            </w:pPr>
          </w:p>
        </w:tc>
        <w:tc>
          <w:tcPr>
            <w:tcW w:w="1140" w:type="dxa"/>
            <w:vAlign w:val="bottom"/>
            <w:tcBorders>
              <w:bottom w:val="single" w:sz="8" w:color="00000A"/>
              <w:right w:val="single" w:sz="8" w:color="00000A"/>
            </w:tcBorders>
          </w:tcPr>
          <w:p>
            <w:pPr>
              <w:spacing w:after="0"/>
              <w:rPr>
                <w:sz w:val="15"/>
                <w:szCs w:val="15"/>
                <w:color w:val="auto"/>
              </w:rPr>
            </w:pPr>
          </w:p>
        </w:tc>
        <w:tc>
          <w:tcPr>
            <w:tcW w:w="3080" w:type="dxa"/>
            <w:vAlign w:val="bottom"/>
            <w:tcBorders>
              <w:bottom w:val="single" w:sz="8" w:color="00000A"/>
              <w:right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spacing w:after="0"/>
              <w:rPr>
                <w:sz w:val="15"/>
                <w:szCs w:val="15"/>
                <w:color w:val="auto"/>
              </w:rPr>
            </w:pPr>
          </w:p>
        </w:tc>
        <w:tc>
          <w:tcPr>
            <w:tcW w:w="12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Holding1</w:t>
            </w:r>
          </w:p>
        </w:tc>
        <w:tc>
          <w:tcPr>
            <w:tcW w:w="80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UAB “Transit Card International”</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49</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Lithuania</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CJSC/LLC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 “Petro Plus Region”</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Transit Card Int’l Polska Sp. z.o.o.</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50</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Poland</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UAB “Transit Card International”</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bottom w:val="single" w:sz="8" w:color="00000A"/>
              <w:right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OU Transit Cargo International</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Estonia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Private Limited</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UAB “Transit Card International”</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52</w:t>
            </w: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vMerge w:val="continue"/>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LLC "OILCARD"</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Russia</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CJSC "Processingovaya companiya "Eltop"</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51.00%</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 “Petro Plus</w:t>
            </w:r>
          </w:p>
        </w:tc>
        <w:tc>
          <w:tcPr>
            <w:tcW w:w="800" w:type="dxa"/>
            <w:vAlign w:val="bottom"/>
            <w:tcBorders>
              <w:right w:val="single" w:sz="8" w:color="00000A"/>
            </w:tcBorders>
            <w:vMerge w:val="restart"/>
          </w:tcPr>
          <w:p>
            <w:pPr>
              <w:jc w:val="center"/>
              <w:ind w:right="188"/>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54</w:t>
            </w: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Region”</w:t>
            </w:r>
          </w:p>
        </w:tc>
        <w:tc>
          <w:tcPr>
            <w:tcW w:w="8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vMerge w:val="continue"/>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FleetCor Technologies Mexico S.</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59</w:t>
            </w:r>
          </w:p>
        </w:tc>
        <w:tc>
          <w:tcPr>
            <w:tcW w:w="1260" w:type="dxa"/>
            <w:vAlign w:val="bottom"/>
            <w:tcBorders>
              <w:right w:val="single" w:sz="8" w:color="00000A"/>
            </w:tcBorders>
          </w:tcPr>
          <w:p>
            <w:pPr>
              <w:spacing w:after="0"/>
              <w:rPr>
                <w:sz w:val="7"/>
                <w:szCs w:val="7"/>
                <w:color w:val="auto"/>
              </w:rPr>
            </w:pP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FleetCor Luxembourg Holding2</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99.90%</w:t>
            </w: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Luxembourg</w:t>
            </w:r>
          </w:p>
        </w:tc>
        <w:tc>
          <w:tcPr>
            <w:tcW w:w="800" w:type="dxa"/>
            <w:vAlign w:val="bottom"/>
            <w:tcBorders>
              <w:right w:val="single" w:sz="8" w:color="00000A"/>
            </w:tcBorders>
            <w:vMerge w:val="restart"/>
          </w:tcPr>
          <w:p>
            <w:pPr>
              <w:jc w:val="center"/>
              <w:ind w:right="18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de R.L. de C.V.</w:t>
            </w: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vMerge w:val="continue"/>
          </w:tcPr>
          <w:p>
            <w:pPr>
              <w:spacing w:after="0"/>
              <w:rPr>
                <w:sz w:val="7"/>
                <w:szCs w:val="7"/>
                <w:color w:val="auto"/>
              </w:rPr>
            </w:pPr>
          </w:p>
        </w:tc>
        <w:tc>
          <w:tcPr>
            <w:tcW w:w="8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Mexico</w:t>
            </w:r>
          </w:p>
        </w:tc>
        <w:tc>
          <w:tcPr>
            <w:tcW w:w="1140" w:type="dxa"/>
            <w:vAlign w:val="bottom"/>
            <w:tcBorders>
              <w:right w:val="single" w:sz="8" w:color="00000A"/>
            </w:tcBorders>
          </w:tcPr>
          <w:p>
            <w:pPr>
              <w:spacing w:after="0"/>
              <w:rPr>
                <w:sz w:val="7"/>
                <w:szCs w:val="7"/>
                <w:color w:val="auto"/>
              </w:rPr>
            </w:pPr>
          </w:p>
        </w:tc>
        <w:tc>
          <w:tcPr>
            <w:tcW w:w="3080" w:type="dxa"/>
            <w:vAlign w:val="bottom"/>
            <w:tcBorders>
              <w:right w:val="single" w:sz="8" w:color="00000A"/>
            </w:tcBorders>
          </w:tcPr>
          <w:p>
            <w:pPr>
              <w:spacing w:after="0"/>
              <w:rPr>
                <w:sz w:val="7"/>
                <w:szCs w:val="7"/>
                <w:color w:val="auto"/>
              </w:rPr>
            </w:pPr>
          </w:p>
        </w:tc>
        <w:tc>
          <w:tcPr>
            <w:tcW w:w="1020" w:type="dxa"/>
            <w:vAlign w:val="bottom"/>
            <w:tcBorders>
              <w:right w:val="single" w:sz="8" w:color="00000A"/>
            </w:tcBorders>
          </w:tcPr>
          <w:p>
            <w:pPr>
              <w:spacing w:after="0"/>
              <w:rPr>
                <w:sz w:val="7"/>
                <w:szCs w:val="7"/>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Holding1</w:t>
            </w: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vMerge w:val="continue"/>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FleetCor Technologies Mexico S. de R.L. de</w:t>
            </w: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6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Efectivale, S.de R.L. de C.V.</w:t>
            </w: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60</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Mexico</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Corp</w:t>
            </w: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99.99%</w:t>
            </w: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Luxembourg</w:t>
            </w:r>
          </w:p>
        </w:tc>
        <w:tc>
          <w:tcPr>
            <w:tcW w:w="800" w:type="dxa"/>
            <w:vAlign w:val="bottom"/>
            <w:tcBorders>
              <w:right w:val="single" w:sz="8" w:color="00000A"/>
            </w:tcBorders>
            <w:vMerge w:val="restart"/>
          </w:tcPr>
          <w:p>
            <w:pPr>
              <w:jc w:val="center"/>
              <w:ind w:right="18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C.V.</w:t>
            </w: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vMerge w:val="continue"/>
          </w:tcPr>
          <w:p>
            <w:pPr>
              <w:spacing w:after="0"/>
              <w:rPr>
                <w:sz w:val="7"/>
                <w:szCs w:val="7"/>
                <w:color w:val="auto"/>
              </w:rPr>
            </w:pPr>
          </w:p>
        </w:tc>
        <w:tc>
          <w:tcPr>
            <w:tcW w:w="8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tcPr>
          <w:p>
            <w:pPr>
              <w:spacing w:after="0"/>
              <w:rPr>
                <w:sz w:val="7"/>
                <w:szCs w:val="7"/>
                <w:color w:val="auto"/>
              </w:rPr>
            </w:pP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tcPr>
          <w:p>
            <w:pPr>
              <w:spacing w:after="0"/>
              <w:rPr>
                <w:sz w:val="7"/>
                <w:szCs w:val="7"/>
                <w:color w:val="auto"/>
              </w:rPr>
            </w:pPr>
          </w:p>
        </w:tc>
        <w:tc>
          <w:tcPr>
            <w:tcW w:w="1140" w:type="dxa"/>
            <w:vAlign w:val="bottom"/>
            <w:tcBorders>
              <w:right w:val="single" w:sz="8" w:color="00000A"/>
            </w:tcBorders>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tcPr>
          <w:p>
            <w:pPr>
              <w:spacing w:after="0"/>
              <w:rPr>
                <w:sz w:val="7"/>
                <w:szCs w:val="7"/>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Holding2</w:t>
            </w: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vMerge w:val="continue"/>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Efectivale Servicios, S.A. de C.V.</w:t>
            </w: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61</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Mexico</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Corp</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Efectivale, S.de R.L. de C.V.</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99.99%</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Technologies</w:t>
            </w:r>
          </w:p>
        </w:tc>
        <w:tc>
          <w:tcPr>
            <w:tcW w:w="800" w:type="dxa"/>
            <w:vAlign w:val="bottom"/>
            <w:tcBorders>
              <w:right w:val="single" w:sz="8" w:color="00000A"/>
            </w:tcBorders>
            <w:vMerge w:val="restart"/>
          </w:tcPr>
          <w:p>
            <w:pPr>
              <w:jc w:val="center"/>
              <w:ind w:right="18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vMerge w:val="continue"/>
          </w:tcPr>
          <w:p>
            <w:pPr>
              <w:spacing w:after="0"/>
              <w:rPr>
                <w:sz w:val="14"/>
                <w:szCs w:val="14"/>
                <w:color w:val="auto"/>
              </w:rPr>
            </w:pPr>
          </w:p>
        </w:tc>
        <w:tc>
          <w:tcPr>
            <w:tcW w:w="580" w:type="dxa"/>
            <w:vAlign w:val="bottom"/>
            <w:tcBorders>
              <w:right w:val="single" w:sz="8" w:color="00000A"/>
            </w:tcBorders>
            <w:vMerge w:val="continue"/>
          </w:tcPr>
          <w:p>
            <w:pPr>
              <w:spacing w:after="0"/>
              <w:rPr>
                <w:sz w:val="14"/>
                <w:szCs w:val="14"/>
                <w:color w:val="auto"/>
              </w:rPr>
            </w:pPr>
          </w:p>
        </w:tc>
        <w:tc>
          <w:tcPr>
            <w:tcW w:w="1260" w:type="dxa"/>
            <w:vAlign w:val="bottom"/>
            <w:tcBorders>
              <w:right w:val="single" w:sz="8" w:color="00000A"/>
            </w:tcBorders>
            <w:vMerge w:val="continue"/>
          </w:tcPr>
          <w:p>
            <w:pPr>
              <w:spacing w:after="0"/>
              <w:rPr>
                <w:sz w:val="14"/>
                <w:szCs w:val="14"/>
                <w:color w:val="auto"/>
              </w:rPr>
            </w:pPr>
          </w:p>
        </w:tc>
        <w:tc>
          <w:tcPr>
            <w:tcW w:w="1140" w:type="dxa"/>
            <w:vAlign w:val="bottom"/>
            <w:tcBorders>
              <w:right w:val="single" w:sz="8" w:color="00000A"/>
            </w:tcBorders>
            <w:vMerge w:val="continue"/>
          </w:tcPr>
          <w:p>
            <w:pPr>
              <w:spacing w:after="0"/>
              <w:rPr>
                <w:sz w:val="14"/>
                <w:szCs w:val="14"/>
                <w:color w:val="auto"/>
              </w:rPr>
            </w:pPr>
          </w:p>
        </w:tc>
        <w:tc>
          <w:tcPr>
            <w:tcW w:w="3080" w:type="dxa"/>
            <w:vAlign w:val="bottom"/>
            <w:tcBorders>
              <w:right w:val="single" w:sz="8" w:color="00000A"/>
            </w:tcBorders>
            <w:vMerge w:val="continue"/>
          </w:tcPr>
          <w:p>
            <w:pPr>
              <w:spacing w:after="0"/>
              <w:rPr>
                <w:sz w:val="14"/>
                <w:szCs w:val="14"/>
                <w:color w:val="auto"/>
              </w:rPr>
            </w:pPr>
          </w:p>
        </w:tc>
        <w:tc>
          <w:tcPr>
            <w:tcW w:w="1020" w:type="dxa"/>
            <w:vAlign w:val="bottom"/>
            <w:tcBorders>
              <w:right w:val="single" w:sz="8" w:color="00000A"/>
            </w:tcBorders>
            <w:vMerge w:val="continue"/>
          </w:tcPr>
          <w:p>
            <w:pPr>
              <w:spacing w:after="0"/>
              <w:rPr>
                <w:sz w:val="14"/>
                <w:szCs w:val="14"/>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Mexico S. de R.L.</w:t>
            </w:r>
          </w:p>
        </w:tc>
        <w:tc>
          <w:tcPr>
            <w:tcW w:w="800" w:type="dxa"/>
            <w:vAlign w:val="bottom"/>
            <w:tcBorders>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tcBorders>
              <w:left w:val="single" w:sz="8" w:color="00000A"/>
              <w:bottom w:val="single" w:sz="8" w:color="00000A"/>
              <w:right w:val="single" w:sz="8" w:color="00000A"/>
            </w:tcBorders>
          </w:tcPr>
          <w:p>
            <w:pPr>
              <w:spacing w:after="0"/>
              <w:rPr>
                <w:sz w:val="15"/>
                <w:szCs w:val="15"/>
                <w:color w:val="auto"/>
              </w:rPr>
            </w:pPr>
          </w:p>
        </w:tc>
        <w:tc>
          <w:tcPr>
            <w:tcW w:w="580" w:type="dxa"/>
            <w:vAlign w:val="bottom"/>
            <w:tcBorders>
              <w:bottom w:val="single" w:sz="8" w:color="00000A"/>
              <w:right w:val="single" w:sz="8" w:color="00000A"/>
            </w:tcBorders>
          </w:tcPr>
          <w:p>
            <w:pPr>
              <w:spacing w:after="0"/>
              <w:rPr>
                <w:sz w:val="15"/>
                <w:szCs w:val="15"/>
                <w:color w:val="auto"/>
              </w:rPr>
            </w:pPr>
          </w:p>
        </w:tc>
        <w:tc>
          <w:tcPr>
            <w:tcW w:w="1260" w:type="dxa"/>
            <w:vAlign w:val="bottom"/>
            <w:tcBorders>
              <w:bottom w:val="single" w:sz="8" w:color="00000A"/>
              <w:right w:val="single" w:sz="8" w:color="00000A"/>
            </w:tcBorders>
          </w:tcPr>
          <w:p>
            <w:pPr>
              <w:spacing w:after="0"/>
              <w:rPr>
                <w:sz w:val="15"/>
                <w:szCs w:val="15"/>
                <w:color w:val="auto"/>
              </w:rPr>
            </w:pPr>
          </w:p>
        </w:tc>
        <w:tc>
          <w:tcPr>
            <w:tcW w:w="1140" w:type="dxa"/>
            <w:vAlign w:val="bottom"/>
            <w:tcBorders>
              <w:bottom w:val="single" w:sz="8" w:color="00000A"/>
              <w:right w:val="single" w:sz="8" w:color="00000A"/>
            </w:tcBorders>
          </w:tcPr>
          <w:p>
            <w:pPr>
              <w:spacing w:after="0"/>
              <w:rPr>
                <w:sz w:val="15"/>
                <w:szCs w:val="15"/>
                <w:color w:val="auto"/>
              </w:rPr>
            </w:pPr>
          </w:p>
        </w:tc>
        <w:tc>
          <w:tcPr>
            <w:tcW w:w="3080" w:type="dxa"/>
            <w:vAlign w:val="bottom"/>
            <w:tcBorders>
              <w:bottom w:val="single" w:sz="8" w:color="00000A"/>
              <w:right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spacing w:after="0"/>
              <w:rPr>
                <w:sz w:val="15"/>
                <w:szCs w:val="15"/>
                <w:color w:val="auto"/>
              </w:rPr>
            </w:pPr>
          </w:p>
        </w:tc>
        <w:tc>
          <w:tcPr>
            <w:tcW w:w="12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de C.V.</w:t>
            </w:r>
          </w:p>
        </w:tc>
        <w:tc>
          <w:tcPr>
            <w:tcW w:w="80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CTF Technologies (Canada), ULC</w:t>
            </w:r>
          </w:p>
        </w:tc>
        <w:tc>
          <w:tcPr>
            <w:tcW w:w="580" w:type="dxa"/>
            <w:vAlign w:val="bottom"/>
            <w:tcBorders>
              <w:right w:val="single" w:sz="8" w:color="00000A"/>
            </w:tcBorders>
          </w:tcPr>
          <w:p>
            <w:pPr>
              <w:jc w:val="right"/>
              <w:ind w:right="148"/>
              <w:spacing w:after="0"/>
              <w:rPr>
                <w:sz w:val="20"/>
                <w:szCs w:val="20"/>
                <w:color w:val="auto"/>
              </w:rPr>
            </w:pPr>
            <w:r>
              <w:rPr>
                <w:rFonts w:ascii="Arial" w:cs="Arial" w:eastAsia="Arial" w:hAnsi="Arial"/>
                <w:sz w:val="14"/>
                <w:szCs w:val="14"/>
                <w:color w:val="auto"/>
              </w:rPr>
              <w:t>62</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Canada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Luxembourg Holding2</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320" w:type="dxa"/>
            <w:vAlign w:val="bottom"/>
            <w:tcBorders>
              <w:left w:val="single" w:sz="8" w:color="00000A"/>
              <w:bottom w:val="single" w:sz="8" w:color="00000A"/>
              <w:right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1260" w:type="dxa"/>
            <w:vAlign w:val="bottom"/>
            <w:tcBorders>
              <w:bottom w:val="single" w:sz="8" w:color="00000A"/>
              <w:right w:val="single" w:sz="8" w:color="00000A"/>
            </w:tcBorders>
          </w:tcPr>
          <w:p>
            <w:pPr>
              <w:spacing w:after="0"/>
              <w:rPr>
                <w:sz w:val="3"/>
                <w:szCs w:val="3"/>
                <w:color w:val="auto"/>
              </w:rPr>
            </w:pPr>
          </w:p>
        </w:tc>
        <w:tc>
          <w:tcPr>
            <w:tcW w:w="1140" w:type="dxa"/>
            <w:vAlign w:val="bottom"/>
            <w:tcBorders>
              <w:bottom w:val="single" w:sz="8" w:color="00000A"/>
              <w:right w:val="single" w:sz="8" w:color="00000A"/>
            </w:tcBorders>
          </w:tcPr>
          <w:p>
            <w:pPr>
              <w:spacing w:after="0"/>
              <w:rPr>
                <w:sz w:val="3"/>
                <w:szCs w:val="3"/>
                <w:color w:val="auto"/>
              </w:rPr>
            </w:pPr>
          </w:p>
        </w:tc>
        <w:tc>
          <w:tcPr>
            <w:tcW w:w="3080" w:type="dxa"/>
            <w:vAlign w:val="bottom"/>
            <w:tcBorders>
              <w:bottom w:val="single" w:sz="8" w:color="00000A"/>
              <w:right w:val="single" w:sz="8" w:color="00000A"/>
            </w:tcBorders>
          </w:tcPr>
          <w:p>
            <w:pPr>
              <w:spacing w:after="0"/>
              <w:rPr>
                <w:sz w:val="3"/>
                <w:szCs w:val="3"/>
                <w:color w:val="auto"/>
              </w:rPr>
            </w:pPr>
          </w:p>
        </w:tc>
        <w:tc>
          <w:tcPr>
            <w:tcW w:w="1020" w:type="dxa"/>
            <w:vAlign w:val="bottom"/>
            <w:tcBorders>
              <w:bottom w:val="single" w:sz="8" w:color="00000A"/>
              <w:right w:val="single" w:sz="8" w:color="00000A"/>
            </w:tcBorders>
          </w:tcPr>
          <w:p>
            <w:pPr>
              <w:spacing w:after="0"/>
              <w:rPr>
                <w:sz w:val="3"/>
                <w:szCs w:val="3"/>
                <w:color w:val="auto"/>
              </w:rPr>
            </w:pPr>
          </w:p>
        </w:tc>
        <w:tc>
          <w:tcPr>
            <w:tcW w:w="1240" w:type="dxa"/>
            <w:vAlign w:val="bottom"/>
            <w:tcBorders>
              <w:bottom w:val="single" w:sz="8" w:color="00000A"/>
              <w:right w:val="single" w:sz="8" w:color="00000A"/>
            </w:tcBorders>
          </w:tcPr>
          <w:p>
            <w:pPr>
              <w:spacing w:after="0"/>
              <w:rPr>
                <w:sz w:val="3"/>
                <w:szCs w:val="3"/>
                <w:color w:val="auto"/>
              </w:rPr>
            </w:pPr>
          </w:p>
        </w:tc>
        <w:tc>
          <w:tcPr>
            <w:tcW w:w="80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00000A"/>
              <w:right w:val="single" w:sz="8" w:color="00000A"/>
            </w:tcBorders>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CTF Technologies Do Brasil, Ltda</w:t>
            </w:r>
          </w:p>
        </w:tc>
        <w:tc>
          <w:tcPr>
            <w:tcW w:w="580" w:type="dxa"/>
            <w:vAlign w:val="bottom"/>
            <w:tcBorders>
              <w:right w:val="single" w:sz="8" w:color="00000A"/>
            </w:tcBorders>
          </w:tcPr>
          <w:p>
            <w:pPr>
              <w:jc w:val="right"/>
              <w:ind w:right="148"/>
              <w:spacing w:after="0"/>
              <w:rPr>
                <w:sz w:val="20"/>
                <w:szCs w:val="20"/>
                <w:color w:val="auto"/>
              </w:rPr>
            </w:pPr>
            <w:r>
              <w:rPr>
                <w:rFonts w:ascii="Arial" w:cs="Arial" w:eastAsia="Arial" w:hAnsi="Arial"/>
                <w:sz w:val="14"/>
                <w:szCs w:val="14"/>
                <w:color w:val="auto"/>
              </w:rPr>
              <w:t>63</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Brasil</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CTF Technologies (Canada), ULC</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99.00%</w:t>
            </w: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Luxembourg</w:t>
            </w:r>
          </w:p>
        </w:tc>
        <w:tc>
          <w:tcPr>
            <w:tcW w:w="800" w:type="dxa"/>
            <w:vAlign w:val="bottom"/>
            <w:tcBorders>
              <w:right w:val="single" w:sz="8" w:color="00000A"/>
            </w:tcBorders>
          </w:tcPr>
          <w:p>
            <w:pPr>
              <w:jc w:val="center"/>
              <w:ind w:right="18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8"/>
        </w:trPr>
        <w:tc>
          <w:tcPr>
            <w:tcW w:w="2320" w:type="dxa"/>
            <w:vAlign w:val="bottom"/>
            <w:tcBorders>
              <w:left w:val="single" w:sz="8" w:color="00000A"/>
              <w:bottom w:val="single" w:sz="8" w:color="00000A"/>
              <w:right w:val="single" w:sz="8" w:color="00000A"/>
            </w:tcBorders>
          </w:tcPr>
          <w:p>
            <w:pPr>
              <w:spacing w:after="0"/>
              <w:rPr>
                <w:sz w:val="15"/>
                <w:szCs w:val="15"/>
                <w:color w:val="auto"/>
              </w:rPr>
            </w:pPr>
          </w:p>
        </w:tc>
        <w:tc>
          <w:tcPr>
            <w:tcW w:w="580" w:type="dxa"/>
            <w:vAlign w:val="bottom"/>
            <w:tcBorders>
              <w:bottom w:val="single" w:sz="8" w:color="00000A"/>
              <w:right w:val="single" w:sz="8" w:color="00000A"/>
            </w:tcBorders>
          </w:tcPr>
          <w:p>
            <w:pPr>
              <w:spacing w:after="0"/>
              <w:rPr>
                <w:sz w:val="15"/>
                <w:szCs w:val="15"/>
                <w:color w:val="auto"/>
              </w:rPr>
            </w:pPr>
          </w:p>
        </w:tc>
        <w:tc>
          <w:tcPr>
            <w:tcW w:w="1260" w:type="dxa"/>
            <w:vAlign w:val="bottom"/>
            <w:tcBorders>
              <w:bottom w:val="single" w:sz="8" w:color="00000A"/>
              <w:right w:val="single" w:sz="8" w:color="00000A"/>
            </w:tcBorders>
          </w:tcPr>
          <w:p>
            <w:pPr>
              <w:spacing w:after="0"/>
              <w:rPr>
                <w:sz w:val="15"/>
                <w:szCs w:val="15"/>
                <w:color w:val="auto"/>
              </w:rPr>
            </w:pPr>
          </w:p>
        </w:tc>
        <w:tc>
          <w:tcPr>
            <w:tcW w:w="1140" w:type="dxa"/>
            <w:vAlign w:val="bottom"/>
            <w:tcBorders>
              <w:bottom w:val="single" w:sz="8" w:color="00000A"/>
              <w:right w:val="single" w:sz="8" w:color="00000A"/>
            </w:tcBorders>
          </w:tcPr>
          <w:p>
            <w:pPr>
              <w:spacing w:after="0"/>
              <w:rPr>
                <w:sz w:val="15"/>
                <w:szCs w:val="15"/>
                <w:color w:val="auto"/>
              </w:rPr>
            </w:pPr>
          </w:p>
        </w:tc>
        <w:tc>
          <w:tcPr>
            <w:tcW w:w="3080" w:type="dxa"/>
            <w:vAlign w:val="bottom"/>
            <w:tcBorders>
              <w:bottom w:val="single" w:sz="8" w:color="00000A"/>
              <w:right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spacing w:after="0"/>
              <w:rPr>
                <w:sz w:val="15"/>
                <w:szCs w:val="15"/>
                <w:color w:val="auto"/>
              </w:rPr>
            </w:pPr>
          </w:p>
        </w:tc>
        <w:tc>
          <w:tcPr>
            <w:tcW w:w="12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Holding2</w:t>
            </w:r>
          </w:p>
        </w:tc>
        <w:tc>
          <w:tcPr>
            <w:tcW w:w="80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LLC "TD NCT" (NEW)</w:t>
            </w:r>
          </w:p>
        </w:tc>
        <w:tc>
          <w:tcPr>
            <w:tcW w:w="580" w:type="dxa"/>
            <w:vAlign w:val="bottom"/>
            <w:tcBorders>
              <w:right w:val="single" w:sz="8" w:color="00000A"/>
            </w:tcBorders>
          </w:tcPr>
          <w:p>
            <w:pPr>
              <w:jc w:val="right"/>
              <w:ind w:right="148"/>
              <w:spacing w:after="0"/>
              <w:rPr>
                <w:sz w:val="20"/>
                <w:szCs w:val="20"/>
                <w:color w:val="auto"/>
              </w:rPr>
            </w:pPr>
            <w:r>
              <w:rPr>
                <w:rFonts w:ascii="Arial" w:cs="Arial" w:eastAsia="Arial" w:hAnsi="Arial"/>
                <w:sz w:val="14"/>
                <w:szCs w:val="14"/>
                <w:color w:val="auto"/>
              </w:rPr>
              <w:t>68</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Russia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 “Petro Plus Region”</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320" w:type="dxa"/>
            <w:vAlign w:val="bottom"/>
            <w:tcBorders>
              <w:left w:val="single" w:sz="8" w:color="00000A"/>
              <w:bottom w:val="single" w:sz="8" w:color="00000A"/>
              <w:right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1260" w:type="dxa"/>
            <w:vAlign w:val="bottom"/>
            <w:tcBorders>
              <w:bottom w:val="single" w:sz="8" w:color="00000A"/>
              <w:right w:val="single" w:sz="8" w:color="00000A"/>
            </w:tcBorders>
          </w:tcPr>
          <w:p>
            <w:pPr>
              <w:spacing w:after="0"/>
              <w:rPr>
                <w:sz w:val="3"/>
                <w:szCs w:val="3"/>
                <w:color w:val="auto"/>
              </w:rPr>
            </w:pPr>
          </w:p>
        </w:tc>
        <w:tc>
          <w:tcPr>
            <w:tcW w:w="1140" w:type="dxa"/>
            <w:vAlign w:val="bottom"/>
            <w:tcBorders>
              <w:bottom w:val="single" w:sz="8" w:color="00000A"/>
              <w:right w:val="single" w:sz="8" w:color="00000A"/>
            </w:tcBorders>
          </w:tcPr>
          <w:p>
            <w:pPr>
              <w:spacing w:after="0"/>
              <w:rPr>
                <w:sz w:val="3"/>
                <w:szCs w:val="3"/>
                <w:color w:val="auto"/>
              </w:rPr>
            </w:pPr>
          </w:p>
        </w:tc>
        <w:tc>
          <w:tcPr>
            <w:tcW w:w="3080" w:type="dxa"/>
            <w:vAlign w:val="bottom"/>
            <w:tcBorders>
              <w:bottom w:val="single" w:sz="8" w:color="00000A"/>
              <w:right w:val="single" w:sz="8" w:color="00000A"/>
            </w:tcBorders>
          </w:tcPr>
          <w:p>
            <w:pPr>
              <w:spacing w:after="0"/>
              <w:rPr>
                <w:sz w:val="3"/>
                <w:szCs w:val="3"/>
                <w:color w:val="auto"/>
              </w:rPr>
            </w:pPr>
          </w:p>
        </w:tc>
        <w:tc>
          <w:tcPr>
            <w:tcW w:w="1020" w:type="dxa"/>
            <w:vAlign w:val="bottom"/>
            <w:tcBorders>
              <w:bottom w:val="single" w:sz="8" w:color="00000A"/>
              <w:right w:val="single" w:sz="8" w:color="00000A"/>
            </w:tcBorders>
          </w:tcPr>
          <w:p>
            <w:pPr>
              <w:spacing w:after="0"/>
              <w:rPr>
                <w:sz w:val="3"/>
                <w:szCs w:val="3"/>
                <w:color w:val="auto"/>
              </w:rPr>
            </w:pPr>
          </w:p>
        </w:tc>
        <w:tc>
          <w:tcPr>
            <w:tcW w:w="1240" w:type="dxa"/>
            <w:vAlign w:val="bottom"/>
            <w:tcBorders>
              <w:bottom w:val="single" w:sz="8" w:color="00000A"/>
              <w:right w:val="single" w:sz="8" w:color="00000A"/>
            </w:tcBorders>
          </w:tcPr>
          <w:p>
            <w:pPr>
              <w:spacing w:after="0"/>
              <w:rPr>
                <w:sz w:val="3"/>
                <w:szCs w:val="3"/>
                <w:color w:val="auto"/>
              </w:rPr>
            </w:pPr>
          </w:p>
        </w:tc>
        <w:tc>
          <w:tcPr>
            <w:tcW w:w="80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LLC "STC" "Petrol Plus" (NEW)</w:t>
            </w:r>
          </w:p>
        </w:tc>
        <w:tc>
          <w:tcPr>
            <w:tcW w:w="580" w:type="dxa"/>
            <w:vAlign w:val="bottom"/>
            <w:tcBorders>
              <w:right w:val="single" w:sz="8" w:color="00000A"/>
            </w:tcBorders>
          </w:tcPr>
          <w:p>
            <w:pPr>
              <w:jc w:val="right"/>
              <w:ind w:right="148"/>
              <w:spacing w:after="0"/>
              <w:rPr>
                <w:sz w:val="20"/>
                <w:szCs w:val="20"/>
                <w:color w:val="auto"/>
              </w:rPr>
            </w:pPr>
            <w:r>
              <w:rPr>
                <w:rFonts w:ascii="Arial" w:cs="Arial" w:eastAsia="Arial" w:hAnsi="Arial"/>
                <w:sz w:val="14"/>
                <w:szCs w:val="14"/>
                <w:color w:val="auto"/>
              </w:rPr>
              <w:t>69</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Russia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 “Petro Plus Region”</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320" w:type="dxa"/>
            <w:vAlign w:val="bottom"/>
            <w:tcBorders>
              <w:left w:val="single" w:sz="8" w:color="00000A"/>
              <w:bottom w:val="single" w:sz="8" w:color="00000A"/>
              <w:right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1260" w:type="dxa"/>
            <w:vAlign w:val="bottom"/>
            <w:tcBorders>
              <w:bottom w:val="single" w:sz="8" w:color="00000A"/>
              <w:right w:val="single" w:sz="8" w:color="00000A"/>
            </w:tcBorders>
          </w:tcPr>
          <w:p>
            <w:pPr>
              <w:spacing w:after="0"/>
              <w:rPr>
                <w:sz w:val="3"/>
                <w:szCs w:val="3"/>
                <w:color w:val="auto"/>
              </w:rPr>
            </w:pPr>
          </w:p>
        </w:tc>
        <w:tc>
          <w:tcPr>
            <w:tcW w:w="1140" w:type="dxa"/>
            <w:vAlign w:val="bottom"/>
            <w:tcBorders>
              <w:bottom w:val="single" w:sz="8" w:color="00000A"/>
              <w:right w:val="single" w:sz="8" w:color="00000A"/>
            </w:tcBorders>
          </w:tcPr>
          <w:p>
            <w:pPr>
              <w:spacing w:after="0"/>
              <w:rPr>
                <w:sz w:val="3"/>
                <w:szCs w:val="3"/>
                <w:color w:val="auto"/>
              </w:rPr>
            </w:pPr>
          </w:p>
        </w:tc>
        <w:tc>
          <w:tcPr>
            <w:tcW w:w="3080" w:type="dxa"/>
            <w:vAlign w:val="bottom"/>
            <w:tcBorders>
              <w:bottom w:val="single" w:sz="8" w:color="00000A"/>
              <w:right w:val="single" w:sz="8" w:color="00000A"/>
            </w:tcBorders>
          </w:tcPr>
          <w:p>
            <w:pPr>
              <w:spacing w:after="0"/>
              <w:rPr>
                <w:sz w:val="3"/>
                <w:szCs w:val="3"/>
                <w:color w:val="auto"/>
              </w:rPr>
            </w:pPr>
          </w:p>
        </w:tc>
        <w:tc>
          <w:tcPr>
            <w:tcW w:w="1020" w:type="dxa"/>
            <w:vAlign w:val="bottom"/>
            <w:tcBorders>
              <w:bottom w:val="single" w:sz="8" w:color="00000A"/>
              <w:right w:val="single" w:sz="8" w:color="00000A"/>
            </w:tcBorders>
          </w:tcPr>
          <w:p>
            <w:pPr>
              <w:spacing w:after="0"/>
              <w:rPr>
                <w:sz w:val="3"/>
                <w:szCs w:val="3"/>
                <w:color w:val="auto"/>
              </w:rPr>
            </w:pPr>
          </w:p>
        </w:tc>
        <w:tc>
          <w:tcPr>
            <w:tcW w:w="1240" w:type="dxa"/>
            <w:vAlign w:val="bottom"/>
            <w:tcBorders>
              <w:bottom w:val="single" w:sz="8" w:color="00000A"/>
              <w:right w:val="single" w:sz="8" w:color="00000A"/>
            </w:tcBorders>
          </w:tcPr>
          <w:p>
            <w:pPr>
              <w:spacing w:after="0"/>
              <w:rPr>
                <w:sz w:val="3"/>
                <w:szCs w:val="3"/>
                <w:color w:val="auto"/>
              </w:rPr>
            </w:pPr>
          </w:p>
        </w:tc>
        <w:tc>
          <w:tcPr>
            <w:tcW w:w="80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Feidossa Investments Limited</w:t>
            </w:r>
          </w:p>
        </w:tc>
        <w:tc>
          <w:tcPr>
            <w:tcW w:w="580" w:type="dxa"/>
            <w:vAlign w:val="bottom"/>
            <w:tcBorders>
              <w:right w:val="single" w:sz="8" w:color="00000A"/>
            </w:tcBorders>
          </w:tcPr>
          <w:p>
            <w:pPr>
              <w:jc w:val="right"/>
              <w:ind w:right="148"/>
              <w:spacing w:after="0"/>
              <w:rPr>
                <w:sz w:val="20"/>
                <w:szCs w:val="20"/>
                <w:color w:val="auto"/>
              </w:rPr>
            </w:pPr>
            <w:r>
              <w:rPr>
                <w:rFonts w:ascii="Arial" w:cs="Arial" w:eastAsia="Arial" w:hAnsi="Arial"/>
                <w:sz w:val="14"/>
                <w:szCs w:val="14"/>
                <w:color w:val="auto"/>
              </w:rPr>
              <w:t>70</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Cyprus</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 “Petro Plus Region”</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320" w:type="dxa"/>
            <w:vAlign w:val="bottom"/>
            <w:tcBorders>
              <w:left w:val="single" w:sz="8" w:color="00000A"/>
              <w:bottom w:val="single" w:sz="8" w:color="00000A"/>
              <w:right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1260" w:type="dxa"/>
            <w:vAlign w:val="bottom"/>
            <w:tcBorders>
              <w:bottom w:val="single" w:sz="8" w:color="00000A"/>
              <w:right w:val="single" w:sz="8" w:color="00000A"/>
            </w:tcBorders>
          </w:tcPr>
          <w:p>
            <w:pPr>
              <w:spacing w:after="0"/>
              <w:rPr>
                <w:sz w:val="3"/>
                <w:szCs w:val="3"/>
                <w:color w:val="auto"/>
              </w:rPr>
            </w:pPr>
          </w:p>
        </w:tc>
        <w:tc>
          <w:tcPr>
            <w:tcW w:w="1140" w:type="dxa"/>
            <w:vAlign w:val="bottom"/>
            <w:tcBorders>
              <w:bottom w:val="single" w:sz="8" w:color="00000A"/>
              <w:right w:val="single" w:sz="8" w:color="00000A"/>
            </w:tcBorders>
          </w:tcPr>
          <w:p>
            <w:pPr>
              <w:spacing w:after="0"/>
              <w:rPr>
                <w:sz w:val="3"/>
                <w:szCs w:val="3"/>
                <w:color w:val="auto"/>
              </w:rPr>
            </w:pPr>
          </w:p>
        </w:tc>
        <w:tc>
          <w:tcPr>
            <w:tcW w:w="3080" w:type="dxa"/>
            <w:vAlign w:val="bottom"/>
            <w:tcBorders>
              <w:bottom w:val="single" w:sz="8" w:color="00000A"/>
              <w:right w:val="single" w:sz="8" w:color="00000A"/>
            </w:tcBorders>
          </w:tcPr>
          <w:p>
            <w:pPr>
              <w:spacing w:after="0"/>
              <w:rPr>
                <w:sz w:val="3"/>
                <w:szCs w:val="3"/>
                <w:color w:val="auto"/>
              </w:rPr>
            </w:pPr>
          </w:p>
        </w:tc>
        <w:tc>
          <w:tcPr>
            <w:tcW w:w="1020" w:type="dxa"/>
            <w:vAlign w:val="bottom"/>
            <w:tcBorders>
              <w:bottom w:val="single" w:sz="8" w:color="00000A"/>
              <w:right w:val="single" w:sz="8" w:color="00000A"/>
            </w:tcBorders>
          </w:tcPr>
          <w:p>
            <w:pPr>
              <w:spacing w:after="0"/>
              <w:rPr>
                <w:sz w:val="3"/>
                <w:szCs w:val="3"/>
                <w:color w:val="auto"/>
              </w:rPr>
            </w:pPr>
          </w:p>
        </w:tc>
        <w:tc>
          <w:tcPr>
            <w:tcW w:w="1240" w:type="dxa"/>
            <w:vAlign w:val="bottom"/>
            <w:tcBorders>
              <w:bottom w:val="single" w:sz="8" w:color="00000A"/>
              <w:right w:val="single" w:sz="8" w:color="00000A"/>
            </w:tcBorders>
          </w:tcPr>
          <w:p>
            <w:pPr>
              <w:spacing w:after="0"/>
              <w:rPr>
                <w:sz w:val="3"/>
                <w:szCs w:val="3"/>
                <w:color w:val="auto"/>
              </w:rPr>
            </w:pPr>
          </w:p>
        </w:tc>
        <w:tc>
          <w:tcPr>
            <w:tcW w:w="80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3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LLC "NCT Software"</w:t>
            </w:r>
          </w:p>
        </w:tc>
        <w:tc>
          <w:tcPr>
            <w:tcW w:w="580" w:type="dxa"/>
            <w:vAlign w:val="bottom"/>
            <w:tcBorders>
              <w:bottom w:val="single" w:sz="8" w:color="00000A"/>
              <w:right w:val="single" w:sz="8" w:color="00000A"/>
            </w:tcBorders>
          </w:tcPr>
          <w:p>
            <w:pPr>
              <w:jc w:val="right"/>
              <w:ind w:right="148"/>
              <w:spacing w:after="0"/>
              <w:rPr>
                <w:sz w:val="20"/>
                <w:szCs w:val="20"/>
                <w:color w:val="auto"/>
              </w:rPr>
            </w:pPr>
            <w:r>
              <w:rPr>
                <w:rFonts w:ascii="Arial" w:cs="Arial" w:eastAsia="Arial" w:hAnsi="Arial"/>
                <w:sz w:val="14"/>
                <w:szCs w:val="14"/>
                <w:color w:val="auto"/>
              </w:rPr>
              <w:t>73</w:t>
            </w:r>
          </w:p>
        </w:tc>
        <w:tc>
          <w:tcPr>
            <w:tcW w:w="1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Russia</w:t>
            </w: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Sabonor Management Limited</w:t>
            </w:r>
          </w:p>
        </w:tc>
        <w:tc>
          <w:tcPr>
            <w:tcW w:w="10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99.00%</w:t>
            </w:r>
          </w:p>
        </w:tc>
        <w:tc>
          <w:tcPr>
            <w:tcW w:w="12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LLC “OIL CARD”</w:t>
            </w:r>
          </w:p>
        </w:tc>
        <w:tc>
          <w:tcPr>
            <w:tcW w:w="800" w:type="dxa"/>
            <w:vAlign w:val="bottom"/>
            <w:tcBorders>
              <w:bottom w:val="single" w:sz="8" w:color="00000A"/>
              <w:right w:val="single" w:sz="8" w:color="00000A"/>
            </w:tcBorders>
          </w:tcPr>
          <w:p>
            <w:pPr>
              <w:jc w:val="center"/>
              <w:ind w:right="18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LLC "Smart Cards and Systems"</w:t>
            </w:r>
          </w:p>
        </w:tc>
        <w:tc>
          <w:tcPr>
            <w:tcW w:w="580" w:type="dxa"/>
            <w:vAlign w:val="bottom"/>
            <w:tcBorders>
              <w:right w:val="single" w:sz="8" w:color="00000A"/>
            </w:tcBorders>
            <w:vMerge w:val="restart"/>
          </w:tcPr>
          <w:p>
            <w:pPr>
              <w:jc w:val="right"/>
              <w:ind w:right="148"/>
              <w:spacing w:after="0"/>
              <w:rPr>
                <w:sz w:val="20"/>
                <w:szCs w:val="20"/>
                <w:color w:val="auto"/>
              </w:rPr>
            </w:pPr>
            <w:r>
              <w:rPr>
                <w:rFonts w:ascii="Arial" w:cs="Arial" w:eastAsia="Arial" w:hAnsi="Arial"/>
                <w:sz w:val="14"/>
                <w:szCs w:val="14"/>
                <w:color w:val="auto"/>
              </w:rPr>
              <w:t>75</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Ukraine</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 "NCT Software"</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(Ukraine)</w:t>
            </w: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LLC Petrol Plus Cards Ukraine</w:t>
            </w:r>
          </w:p>
        </w:tc>
        <w:tc>
          <w:tcPr>
            <w:tcW w:w="58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Ukraine</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 “Petro Plus Region”</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320" w:type="dxa"/>
            <w:vAlign w:val="bottom"/>
            <w:tcBorders>
              <w:left w:val="single" w:sz="8" w:color="00000A"/>
              <w:bottom w:val="single" w:sz="8" w:color="00000A"/>
              <w:right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1260" w:type="dxa"/>
            <w:vAlign w:val="bottom"/>
            <w:tcBorders>
              <w:bottom w:val="single" w:sz="8" w:color="00000A"/>
              <w:right w:val="single" w:sz="8" w:color="00000A"/>
            </w:tcBorders>
          </w:tcPr>
          <w:p>
            <w:pPr>
              <w:spacing w:after="0"/>
              <w:rPr>
                <w:sz w:val="3"/>
                <w:szCs w:val="3"/>
                <w:color w:val="auto"/>
              </w:rPr>
            </w:pPr>
          </w:p>
        </w:tc>
        <w:tc>
          <w:tcPr>
            <w:tcW w:w="1140" w:type="dxa"/>
            <w:vAlign w:val="bottom"/>
            <w:tcBorders>
              <w:bottom w:val="single" w:sz="8" w:color="00000A"/>
              <w:right w:val="single" w:sz="8" w:color="00000A"/>
            </w:tcBorders>
          </w:tcPr>
          <w:p>
            <w:pPr>
              <w:spacing w:after="0"/>
              <w:rPr>
                <w:sz w:val="3"/>
                <w:szCs w:val="3"/>
                <w:color w:val="auto"/>
              </w:rPr>
            </w:pPr>
          </w:p>
        </w:tc>
        <w:tc>
          <w:tcPr>
            <w:tcW w:w="3080" w:type="dxa"/>
            <w:vAlign w:val="bottom"/>
            <w:tcBorders>
              <w:bottom w:val="single" w:sz="8" w:color="00000A"/>
              <w:right w:val="single" w:sz="8" w:color="00000A"/>
            </w:tcBorders>
          </w:tcPr>
          <w:p>
            <w:pPr>
              <w:spacing w:after="0"/>
              <w:rPr>
                <w:sz w:val="3"/>
                <w:szCs w:val="3"/>
                <w:color w:val="auto"/>
              </w:rPr>
            </w:pPr>
          </w:p>
        </w:tc>
        <w:tc>
          <w:tcPr>
            <w:tcW w:w="1020" w:type="dxa"/>
            <w:vAlign w:val="bottom"/>
            <w:tcBorders>
              <w:bottom w:val="single" w:sz="8" w:color="00000A"/>
              <w:right w:val="single" w:sz="8" w:color="00000A"/>
            </w:tcBorders>
          </w:tcPr>
          <w:p>
            <w:pPr>
              <w:spacing w:after="0"/>
              <w:rPr>
                <w:sz w:val="3"/>
                <w:szCs w:val="3"/>
                <w:color w:val="auto"/>
              </w:rPr>
            </w:pPr>
          </w:p>
        </w:tc>
        <w:tc>
          <w:tcPr>
            <w:tcW w:w="1240" w:type="dxa"/>
            <w:vAlign w:val="bottom"/>
            <w:tcBorders>
              <w:bottom w:val="single" w:sz="8" w:color="00000A"/>
              <w:right w:val="single" w:sz="8" w:color="00000A"/>
            </w:tcBorders>
          </w:tcPr>
          <w:p>
            <w:pPr>
              <w:spacing w:after="0"/>
              <w:rPr>
                <w:sz w:val="3"/>
                <w:szCs w:val="3"/>
                <w:color w:val="auto"/>
              </w:rPr>
            </w:pPr>
          </w:p>
        </w:tc>
        <w:tc>
          <w:tcPr>
            <w:tcW w:w="80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LLC Petrol Plus Cards Asia</w:t>
            </w:r>
          </w:p>
        </w:tc>
        <w:tc>
          <w:tcPr>
            <w:tcW w:w="58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Asia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 “Petro Plus Region”</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320" w:type="dxa"/>
            <w:vAlign w:val="bottom"/>
            <w:tcBorders>
              <w:left w:val="single" w:sz="8" w:color="00000A"/>
              <w:bottom w:val="single" w:sz="8" w:color="00000A"/>
              <w:right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1260" w:type="dxa"/>
            <w:vAlign w:val="bottom"/>
            <w:tcBorders>
              <w:bottom w:val="single" w:sz="8" w:color="00000A"/>
              <w:right w:val="single" w:sz="8" w:color="00000A"/>
            </w:tcBorders>
          </w:tcPr>
          <w:p>
            <w:pPr>
              <w:spacing w:after="0"/>
              <w:rPr>
                <w:sz w:val="3"/>
                <w:szCs w:val="3"/>
                <w:color w:val="auto"/>
              </w:rPr>
            </w:pPr>
          </w:p>
        </w:tc>
        <w:tc>
          <w:tcPr>
            <w:tcW w:w="1140" w:type="dxa"/>
            <w:vAlign w:val="bottom"/>
            <w:tcBorders>
              <w:bottom w:val="single" w:sz="8" w:color="00000A"/>
              <w:right w:val="single" w:sz="8" w:color="00000A"/>
            </w:tcBorders>
          </w:tcPr>
          <w:p>
            <w:pPr>
              <w:spacing w:after="0"/>
              <w:rPr>
                <w:sz w:val="3"/>
                <w:szCs w:val="3"/>
                <w:color w:val="auto"/>
              </w:rPr>
            </w:pPr>
          </w:p>
        </w:tc>
        <w:tc>
          <w:tcPr>
            <w:tcW w:w="3080" w:type="dxa"/>
            <w:vAlign w:val="bottom"/>
            <w:tcBorders>
              <w:bottom w:val="single" w:sz="8" w:color="00000A"/>
              <w:right w:val="single" w:sz="8" w:color="00000A"/>
            </w:tcBorders>
          </w:tcPr>
          <w:p>
            <w:pPr>
              <w:spacing w:after="0"/>
              <w:rPr>
                <w:sz w:val="3"/>
                <w:szCs w:val="3"/>
                <w:color w:val="auto"/>
              </w:rPr>
            </w:pPr>
          </w:p>
        </w:tc>
        <w:tc>
          <w:tcPr>
            <w:tcW w:w="1020" w:type="dxa"/>
            <w:vAlign w:val="bottom"/>
            <w:tcBorders>
              <w:bottom w:val="single" w:sz="8" w:color="00000A"/>
              <w:right w:val="single" w:sz="8" w:color="00000A"/>
            </w:tcBorders>
          </w:tcPr>
          <w:p>
            <w:pPr>
              <w:spacing w:after="0"/>
              <w:rPr>
                <w:sz w:val="3"/>
                <w:szCs w:val="3"/>
                <w:color w:val="auto"/>
              </w:rPr>
            </w:pPr>
          </w:p>
        </w:tc>
        <w:tc>
          <w:tcPr>
            <w:tcW w:w="1240" w:type="dxa"/>
            <w:vAlign w:val="bottom"/>
            <w:tcBorders>
              <w:bottom w:val="single" w:sz="8" w:color="00000A"/>
              <w:right w:val="single" w:sz="8" w:color="00000A"/>
            </w:tcBorders>
          </w:tcPr>
          <w:p>
            <w:pPr>
              <w:spacing w:after="0"/>
              <w:rPr>
                <w:sz w:val="3"/>
                <w:szCs w:val="3"/>
                <w:color w:val="auto"/>
              </w:rPr>
            </w:pPr>
          </w:p>
        </w:tc>
        <w:tc>
          <w:tcPr>
            <w:tcW w:w="80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Allstar Business Solutions Limited</w:t>
            </w:r>
          </w:p>
        </w:tc>
        <w:tc>
          <w:tcPr>
            <w:tcW w:w="580" w:type="dxa"/>
            <w:vAlign w:val="bottom"/>
            <w:tcBorders>
              <w:right w:val="single" w:sz="8" w:color="00000A"/>
            </w:tcBorders>
          </w:tcPr>
          <w:p>
            <w:pPr>
              <w:jc w:val="right"/>
              <w:ind w:right="148"/>
              <w:spacing w:after="0"/>
              <w:rPr>
                <w:sz w:val="20"/>
                <w:szCs w:val="20"/>
                <w:color w:val="auto"/>
              </w:rPr>
            </w:pPr>
            <w:r>
              <w:rPr>
                <w:rFonts w:ascii="Arial" w:cs="Arial" w:eastAsia="Arial" w:hAnsi="Arial"/>
                <w:sz w:val="14"/>
                <w:szCs w:val="14"/>
                <w:color w:val="auto"/>
              </w:rPr>
              <w:t>76</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320" w:type="dxa"/>
            <w:vAlign w:val="bottom"/>
            <w:tcBorders>
              <w:left w:val="single" w:sz="8" w:color="00000A"/>
              <w:bottom w:val="single" w:sz="8" w:color="00000A"/>
              <w:right w:val="single" w:sz="8" w:color="00000A"/>
            </w:tcBorders>
          </w:tcPr>
          <w:p>
            <w:pPr>
              <w:spacing w:after="0"/>
              <w:rPr>
                <w:sz w:val="3"/>
                <w:szCs w:val="3"/>
                <w:color w:val="auto"/>
              </w:rPr>
            </w:pPr>
          </w:p>
        </w:tc>
        <w:tc>
          <w:tcPr>
            <w:tcW w:w="580" w:type="dxa"/>
            <w:vAlign w:val="bottom"/>
            <w:tcBorders>
              <w:bottom w:val="single" w:sz="8" w:color="00000A"/>
              <w:right w:val="single" w:sz="8" w:color="00000A"/>
            </w:tcBorders>
          </w:tcPr>
          <w:p>
            <w:pPr>
              <w:spacing w:after="0"/>
              <w:rPr>
                <w:sz w:val="3"/>
                <w:szCs w:val="3"/>
                <w:color w:val="auto"/>
              </w:rPr>
            </w:pPr>
          </w:p>
        </w:tc>
        <w:tc>
          <w:tcPr>
            <w:tcW w:w="1260" w:type="dxa"/>
            <w:vAlign w:val="bottom"/>
            <w:tcBorders>
              <w:bottom w:val="single" w:sz="8" w:color="00000A"/>
              <w:right w:val="single" w:sz="8" w:color="00000A"/>
            </w:tcBorders>
          </w:tcPr>
          <w:p>
            <w:pPr>
              <w:spacing w:after="0"/>
              <w:rPr>
                <w:sz w:val="3"/>
                <w:szCs w:val="3"/>
                <w:color w:val="auto"/>
              </w:rPr>
            </w:pPr>
          </w:p>
        </w:tc>
        <w:tc>
          <w:tcPr>
            <w:tcW w:w="1140" w:type="dxa"/>
            <w:vAlign w:val="bottom"/>
            <w:tcBorders>
              <w:bottom w:val="single" w:sz="8" w:color="00000A"/>
              <w:right w:val="single" w:sz="8" w:color="00000A"/>
            </w:tcBorders>
          </w:tcPr>
          <w:p>
            <w:pPr>
              <w:spacing w:after="0"/>
              <w:rPr>
                <w:sz w:val="3"/>
                <w:szCs w:val="3"/>
                <w:color w:val="auto"/>
              </w:rPr>
            </w:pPr>
          </w:p>
        </w:tc>
        <w:tc>
          <w:tcPr>
            <w:tcW w:w="3080" w:type="dxa"/>
            <w:vAlign w:val="bottom"/>
            <w:tcBorders>
              <w:bottom w:val="single" w:sz="8" w:color="00000A"/>
              <w:right w:val="single" w:sz="8" w:color="00000A"/>
            </w:tcBorders>
          </w:tcPr>
          <w:p>
            <w:pPr>
              <w:spacing w:after="0"/>
              <w:rPr>
                <w:sz w:val="3"/>
                <w:szCs w:val="3"/>
                <w:color w:val="auto"/>
              </w:rPr>
            </w:pPr>
          </w:p>
        </w:tc>
        <w:tc>
          <w:tcPr>
            <w:tcW w:w="1020" w:type="dxa"/>
            <w:vAlign w:val="bottom"/>
            <w:tcBorders>
              <w:bottom w:val="single" w:sz="8" w:color="00000A"/>
              <w:right w:val="single" w:sz="8" w:color="00000A"/>
            </w:tcBorders>
          </w:tcPr>
          <w:p>
            <w:pPr>
              <w:spacing w:after="0"/>
              <w:rPr>
                <w:sz w:val="3"/>
                <w:szCs w:val="3"/>
                <w:color w:val="auto"/>
              </w:rPr>
            </w:pPr>
          </w:p>
        </w:tc>
        <w:tc>
          <w:tcPr>
            <w:tcW w:w="1240" w:type="dxa"/>
            <w:vAlign w:val="bottom"/>
            <w:tcBorders>
              <w:bottom w:val="single" w:sz="8" w:color="00000A"/>
              <w:right w:val="single" w:sz="8" w:color="00000A"/>
            </w:tcBorders>
          </w:tcPr>
          <w:p>
            <w:pPr>
              <w:spacing w:after="0"/>
              <w:rPr>
                <w:sz w:val="3"/>
                <w:szCs w:val="3"/>
                <w:color w:val="auto"/>
              </w:rPr>
            </w:pPr>
          </w:p>
        </w:tc>
        <w:tc>
          <w:tcPr>
            <w:tcW w:w="800" w:type="dxa"/>
            <w:vAlign w:val="bottom"/>
            <w:tcBorders>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40"/>
          </w:cols>
          <w:pgMar w:left="240" w:top="889" w:right="219" w:bottom="1440" w:gutter="0" w:footer="0" w:header="0"/>
        </w:sectPr>
      </w:pPr>
    </w:p>
    <w:bookmarkStart w:id="79" w:name="page80"/>
    <w:bookmarkEnd w:id="79"/>
    <w:tbl>
      <w:tblPr>
        <w:tblLayout w:type="fixed"/>
        <w:tblInd w:w="10" w:type="dxa"/>
        <w:tblCellMar>
          <w:top w:w="0" w:type="dxa"/>
          <w:left w:w="0" w:type="dxa"/>
          <w:bottom w:w="0" w:type="dxa"/>
          <w:right w:w="0" w:type="dxa"/>
        </w:tblCellMar>
      </w:tblPr>
      <w:tr>
        <w:trPr>
          <w:trHeight w:val="207"/>
        </w:trPr>
        <w:tc>
          <w:tcPr>
            <w:tcW w:w="2320" w:type="dxa"/>
            <w:vAlign w:val="bottom"/>
            <w:tcBorders>
              <w:top w:val="single" w:sz="8" w:color="00000A"/>
              <w:left w:val="single" w:sz="8" w:color="00000A"/>
              <w:right w:val="single" w:sz="8" w:color="00000A"/>
            </w:tcBorders>
          </w:tcPr>
          <w:p>
            <w:pPr>
              <w:spacing w:after="0"/>
              <w:rPr>
                <w:sz w:val="18"/>
                <w:szCs w:val="18"/>
                <w:color w:val="auto"/>
              </w:rPr>
            </w:pPr>
          </w:p>
        </w:tc>
        <w:tc>
          <w:tcPr>
            <w:tcW w:w="580" w:type="dxa"/>
            <w:vAlign w:val="bottom"/>
            <w:tcBorders>
              <w:top w:val="single" w:sz="8" w:color="00000A"/>
              <w:right w:val="single" w:sz="8" w:color="00000A"/>
            </w:tcBorders>
          </w:tcPr>
          <w:p>
            <w:pPr>
              <w:spacing w:after="0"/>
              <w:rPr>
                <w:sz w:val="18"/>
                <w:szCs w:val="18"/>
                <w:color w:val="auto"/>
              </w:rPr>
            </w:pPr>
          </w:p>
        </w:tc>
        <w:tc>
          <w:tcPr>
            <w:tcW w:w="1260" w:type="dxa"/>
            <w:vAlign w:val="bottom"/>
            <w:tcBorders>
              <w:top w:val="single" w:sz="8" w:color="00000A"/>
              <w:right w:val="single" w:sz="8" w:color="00000A"/>
            </w:tcBorders>
          </w:tcPr>
          <w:p>
            <w:pPr>
              <w:spacing w:after="0"/>
              <w:rPr>
                <w:sz w:val="18"/>
                <w:szCs w:val="18"/>
                <w:color w:val="auto"/>
              </w:rPr>
            </w:pPr>
          </w:p>
        </w:tc>
        <w:tc>
          <w:tcPr>
            <w:tcW w:w="11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Australian</w:t>
            </w:r>
          </w:p>
        </w:tc>
        <w:tc>
          <w:tcPr>
            <w:tcW w:w="3080" w:type="dxa"/>
            <w:vAlign w:val="bottom"/>
            <w:tcBorders>
              <w:top w:val="single" w:sz="8" w:color="00000A"/>
              <w:right w:val="single" w:sz="8" w:color="00000A"/>
            </w:tcBorders>
          </w:tcPr>
          <w:p>
            <w:pPr>
              <w:spacing w:after="0"/>
              <w:rPr>
                <w:sz w:val="18"/>
                <w:szCs w:val="18"/>
                <w:color w:val="auto"/>
              </w:rPr>
            </w:pPr>
          </w:p>
        </w:tc>
        <w:tc>
          <w:tcPr>
            <w:tcW w:w="1020" w:type="dxa"/>
            <w:vAlign w:val="bottom"/>
            <w:tcBorders>
              <w:top w:val="single" w:sz="8" w:color="00000A"/>
              <w:right w:val="single" w:sz="8" w:color="00000A"/>
            </w:tcBorders>
          </w:tcPr>
          <w:p>
            <w:pPr>
              <w:spacing w:after="0"/>
              <w:rPr>
                <w:sz w:val="18"/>
                <w:szCs w:val="18"/>
                <w:color w:val="auto"/>
              </w:rPr>
            </w:pPr>
          </w:p>
        </w:tc>
        <w:tc>
          <w:tcPr>
            <w:tcW w:w="1240" w:type="dxa"/>
            <w:vAlign w:val="bottom"/>
            <w:tcBorders>
              <w:top w:val="single" w:sz="8" w:color="00000A"/>
              <w:right w:val="single" w:sz="8" w:color="00000A"/>
            </w:tcBorders>
          </w:tcPr>
          <w:p>
            <w:pPr>
              <w:spacing w:after="0"/>
              <w:rPr>
                <w:sz w:val="18"/>
                <w:szCs w:val="18"/>
                <w:color w:val="auto"/>
              </w:rPr>
            </w:pPr>
          </w:p>
        </w:tc>
        <w:tc>
          <w:tcPr>
            <w:tcW w:w="800" w:type="dxa"/>
            <w:vAlign w:val="bottom"/>
            <w:tcBorders>
              <w:top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spacing w:after="0"/>
              <w:rPr>
                <w:sz w:val="14"/>
                <w:szCs w:val="14"/>
                <w:color w:val="auto"/>
              </w:rPr>
            </w:pPr>
          </w:p>
        </w:tc>
        <w:tc>
          <w:tcPr>
            <w:tcW w:w="580" w:type="dxa"/>
            <w:vAlign w:val="bottom"/>
            <w:tcBorders>
              <w:right w:val="single" w:sz="8" w:color="00000A"/>
            </w:tcBorders>
          </w:tcPr>
          <w:p>
            <w:pPr>
              <w:spacing w:after="0"/>
              <w:rPr>
                <w:sz w:val="14"/>
                <w:szCs w:val="14"/>
                <w:color w:val="auto"/>
              </w:rPr>
            </w:pPr>
          </w:p>
        </w:tc>
        <w:tc>
          <w:tcPr>
            <w:tcW w:w="126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Proprietary</w:t>
            </w:r>
          </w:p>
        </w:tc>
        <w:tc>
          <w:tcPr>
            <w:tcW w:w="3080" w:type="dxa"/>
            <w:vAlign w:val="bottom"/>
            <w:tcBorders>
              <w:right w:val="single" w:sz="8" w:color="00000A"/>
            </w:tcBorders>
          </w:tcPr>
          <w:p>
            <w:pPr>
              <w:spacing w:after="0"/>
              <w:rPr>
                <w:sz w:val="14"/>
                <w:szCs w:val="14"/>
                <w:color w:val="auto"/>
              </w:rPr>
            </w:pPr>
          </w:p>
        </w:tc>
        <w:tc>
          <w:tcPr>
            <w:tcW w:w="1020" w:type="dxa"/>
            <w:vAlign w:val="bottom"/>
            <w:tcBorders>
              <w:right w:val="single" w:sz="8" w:color="00000A"/>
            </w:tcBorders>
          </w:tcPr>
          <w:p>
            <w:pPr>
              <w:spacing w:after="0"/>
              <w:rPr>
                <w:sz w:val="14"/>
                <w:szCs w:val="14"/>
                <w:color w:val="auto"/>
              </w:rPr>
            </w:pPr>
          </w:p>
        </w:tc>
        <w:tc>
          <w:tcPr>
            <w:tcW w:w="1240" w:type="dxa"/>
            <w:vAlign w:val="bottom"/>
            <w:tcBorders>
              <w:right w:val="single" w:sz="8" w:color="00000A"/>
            </w:tcBorders>
          </w:tcPr>
          <w:p>
            <w:pPr>
              <w:spacing w:after="0"/>
              <w:rPr>
                <w:sz w:val="14"/>
                <w:szCs w:val="14"/>
                <w:color w:val="auto"/>
              </w:rPr>
            </w:pPr>
          </w:p>
        </w:tc>
        <w:tc>
          <w:tcPr>
            <w:tcW w:w="8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Technologies Pty Limited</w:t>
            </w:r>
          </w:p>
        </w:tc>
        <w:tc>
          <w:tcPr>
            <w:tcW w:w="5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77</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Australia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4"/>
                <w:szCs w:val="14"/>
                <w:color w:val="auto"/>
              </w:rPr>
            </w:pPr>
          </w:p>
        </w:tc>
        <w:tc>
          <w:tcPr>
            <w:tcW w:w="8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spacing w:after="0"/>
              <w:rPr>
                <w:sz w:val="14"/>
                <w:szCs w:val="14"/>
                <w:color w:val="auto"/>
              </w:rPr>
            </w:pPr>
          </w:p>
        </w:tc>
        <w:tc>
          <w:tcPr>
            <w:tcW w:w="580" w:type="dxa"/>
            <w:vAlign w:val="bottom"/>
            <w:tcBorders>
              <w:right w:val="single" w:sz="8" w:color="00000A"/>
            </w:tcBorders>
          </w:tcPr>
          <w:p>
            <w:pPr>
              <w:spacing w:after="0"/>
              <w:rPr>
                <w:sz w:val="14"/>
                <w:szCs w:val="14"/>
                <w:color w:val="auto"/>
              </w:rPr>
            </w:pPr>
          </w:p>
        </w:tc>
        <w:tc>
          <w:tcPr>
            <w:tcW w:w="126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Limited by</w:t>
            </w:r>
          </w:p>
        </w:tc>
        <w:tc>
          <w:tcPr>
            <w:tcW w:w="3080" w:type="dxa"/>
            <w:vAlign w:val="bottom"/>
            <w:tcBorders>
              <w:right w:val="single" w:sz="8" w:color="00000A"/>
            </w:tcBorders>
          </w:tcPr>
          <w:p>
            <w:pPr>
              <w:spacing w:after="0"/>
              <w:rPr>
                <w:sz w:val="14"/>
                <w:szCs w:val="14"/>
                <w:color w:val="auto"/>
              </w:rPr>
            </w:pPr>
          </w:p>
        </w:tc>
        <w:tc>
          <w:tcPr>
            <w:tcW w:w="1020" w:type="dxa"/>
            <w:vAlign w:val="bottom"/>
            <w:tcBorders>
              <w:right w:val="single" w:sz="8" w:color="00000A"/>
            </w:tcBorders>
          </w:tcPr>
          <w:p>
            <w:pPr>
              <w:spacing w:after="0"/>
              <w:rPr>
                <w:sz w:val="14"/>
                <w:szCs w:val="14"/>
                <w:color w:val="auto"/>
              </w:rPr>
            </w:pPr>
          </w:p>
        </w:tc>
        <w:tc>
          <w:tcPr>
            <w:tcW w:w="1240" w:type="dxa"/>
            <w:vAlign w:val="bottom"/>
            <w:tcBorders>
              <w:right w:val="single" w:sz="8" w:color="00000A"/>
            </w:tcBorders>
          </w:tcPr>
          <w:p>
            <w:pPr>
              <w:spacing w:after="0"/>
              <w:rPr>
                <w:sz w:val="14"/>
                <w:szCs w:val="14"/>
                <w:color w:val="auto"/>
              </w:rPr>
            </w:pPr>
          </w:p>
        </w:tc>
        <w:tc>
          <w:tcPr>
            <w:tcW w:w="8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tcBorders>
              <w:left w:val="single" w:sz="8" w:color="00000A"/>
              <w:bottom w:val="single" w:sz="8" w:color="00000A"/>
              <w:right w:val="single" w:sz="8" w:color="00000A"/>
            </w:tcBorders>
          </w:tcPr>
          <w:p>
            <w:pPr>
              <w:spacing w:after="0"/>
              <w:rPr>
                <w:sz w:val="15"/>
                <w:szCs w:val="15"/>
                <w:color w:val="auto"/>
              </w:rPr>
            </w:pPr>
          </w:p>
        </w:tc>
        <w:tc>
          <w:tcPr>
            <w:tcW w:w="580" w:type="dxa"/>
            <w:vAlign w:val="bottom"/>
            <w:tcBorders>
              <w:bottom w:val="single" w:sz="8" w:color="00000A"/>
              <w:right w:val="single" w:sz="8" w:color="00000A"/>
            </w:tcBorders>
          </w:tcPr>
          <w:p>
            <w:pPr>
              <w:spacing w:after="0"/>
              <w:rPr>
                <w:sz w:val="15"/>
                <w:szCs w:val="15"/>
                <w:color w:val="auto"/>
              </w:rPr>
            </w:pPr>
          </w:p>
        </w:tc>
        <w:tc>
          <w:tcPr>
            <w:tcW w:w="1260" w:type="dxa"/>
            <w:vAlign w:val="bottom"/>
            <w:tcBorders>
              <w:bottom w:val="single" w:sz="8" w:color="00000A"/>
              <w:right w:val="single" w:sz="8" w:color="00000A"/>
            </w:tcBorders>
          </w:tcPr>
          <w:p>
            <w:pPr>
              <w:spacing w:after="0"/>
              <w:rPr>
                <w:sz w:val="15"/>
                <w:szCs w:val="15"/>
                <w:color w:val="auto"/>
              </w:rPr>
            </w:pP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Shares</w:t>
            </w:r>
          </w:p>
        </w:tc>
        <w:tc>
          <w:tcPr>
            <w:tcW w:w="3080" w:type="dxa"/>
            <w:vAlign w:val="bottom"/>
            <w:tcBorders>
              <w:bottom w:val="single" w:sz="8" w:color="00000A"/>
              <w:right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spacing w:after="0"/>
              <w:rPr>
                <w:sz w:val="15"/>
                <w:szCs w:val="15"/>
                <w:color w:val="auto"/>
              </w:rPr>
            </w:pPr>
          </w:p>
        </w:tc>
        <w:tc>
          <w:tcPr>
            <w:tcW w:w="1240" w:type="dxa"/>
            <w:vAlign w:val="bottom"/>
            <w:tcBorders>
              <w:bottom w:val="single" w:sz="8" w:color="00000A"/>
              <w:right w:val="single" w:sz="8" w:color="00000A"/>
            </w:tcBorders>
          </w:tcPr>
          <w:p>
            <w:pPr>
              <w:spacing w:after="0"/>
              <w:rPr>
                <w:sz w:val="15"/>
                <w:szCs w:val="15"/>
                <w:color w:val="auto"/>
              </w:rPr>
            </w:pPr>
          </w:p>
        </w:tc>
        <w:tc>
          <w:tcPr>
            <w:tcW w:w="80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spacing w:after="0"/>
              <w:rPr>
                <w:sz w:val="16"/>
                <w:szCs w:val="16"/>
                <w:color w:val="auto"/>
              </w:rPr>
            </w:pP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Australian</w:t>
            </w: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spacing w:after="0"/>
              <w:rPr>
                <w:sz w:val="14"/>
                <w:szCs w:val="14"/>
                <w:color w:val="auto"/>
              </w:rPr>
            </w:pPr>
          </w:p>
        </w:tc>
        <w:tc>
          <w:tcPr>
            <w:tcW w:w="580" w:type="dxa"/>
            <w:vAlign w:val="bottom"/>
            <w:tcBorders>
              <w:right w:val="single" w:sz="8" w:color="00000A"/>
            </w:tcBorders>
          </w:tcPr>
          <w:p>
            <w:pPr>
              <w:spacing w:after="0"/>
              <w:rPr>
                <w:sz w:val="14"/>
                <w:szCs w:val="14"/>
                <w:color w:val="auto"/>
              </w:rPr>
            </w:pPr>
          </w:p>
        </w:tc>
        <w:tc>
          <w:tcPr>
            <w:tcW w:w="126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Proprietary</w:t>
            </w:r>
          </w:p>
        </w:tc>
        <w:tc>
          <w:tcPr>
            <w:tcW w:w="3080" w:type="dxa"/>
            <w:vAlign w:val="bottom"/>
            <w:tcBorders>
              <w:right w:val="single" w:sz="8" w:color="00000A"/>
            </w:tcBorders>
          </w:tcPr>
          <w:p>
            <w:pPr>
              <w:spacing w:after="0"/>
              <w:rPr>
                <w:sz w:val="14"/>
                <w:szCs w:val="14"/>
                <w:color w:val="auto"/>
              </w:rPr>
            </w:pPr>
          </w:p>
        </w:tc>
        <w:tc>
          <w:tcPr>
            <w:tcW w:w="1020" w:type="dxa"/>
            <w:vAlign w:val="bottom"/>
            <w:tcBorders>
              <w:right w:val="single" w:sz="8" w:color="00000A"/>
            </w:tcBorders>
          </w:tcPr>
          <w:p>
            <w:pPr>
              <w:spacing w:after="0"/>
              <w:rPr>
                <w:sz w:val="14"/>
                <w:szCs w:val="14"/>
                <w:color w:val="auto"/>
              </w:rPr>
            </w:pPr>
          </w:p>
        </w:tc>
        <w:tc>
          <w:tcPr>
            <w:tcW w:w="1240" w:type="dxa"/>
            <w:vAlign w:val="bottom"/>
            <w:tcBorders>
              <w:right w:val="single" w:sz="8" w:color="00000A"/>
            </w:tcBorders>
          </w:tcPr>
          <w:p>
            <w:pPr>
              <w:spacing w:after="0"/>
              <w:rPr>
                <w:sz w:val="14"/>
                <w:szCs w:val="14"/>
                <w:color w:val="auto"/>
              </w:rPr>
            </w:pPr>
          </w:p>
        </w:tc>
        <w:tc>
          <w:tcPr>
            <w:tcW w:w="8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Business Fuel Cards Pty Limited</w:t>
            </w:r>
          </w:p>
        </w:tc>
        <w:tc>
          <w:tcPr>
            <w:tcW w:w="5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78</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Australia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 Technologies Pty Limited</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4"/>
                <w:szCs w:val="14"/>
                <w:color w:val="auto"/>
              </w:rPr>
            </w:pPr>
          </w:p>
        </w:tc>
        <w:tc>
          <w:tcPr>
            <w:tcW w:w="8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spacing w:after="0"/>
              <w:rPr>
                <w:sz w:val="14"/>
                <w:szCs w:val="14"/>
                <w:color w:val="auto"/>
              </w:rPr>
            </w:pPr>
          </w:p>
        </w:tc>
        <w:tc>
          <w:tcPr>
            <w:tcW w:w="580" w:type="dxa"/>
            <w:vAlign w:val="bottom"/>
            <w:tcBorders>
              <w:right w:val="single" w:sz="8" w:color="00000A"/>
            </w:tcBorders>
          </w:tcPr>
          <w:p>
            <w:pPr>
              <w:spacing w:after="0"/>
              <w:rPr>
                <w:sz w:val="14"/>
                <w:szCs w:val="14"/>
                <w:color w:val="auto"/>
              </w:rPr>
            </w:pPr>
          </w:p>
        </w:tc>
        <w:tc>
          <w:tcPr>
            <w:tcW w:w="126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Limited by</w:t>
            </w:r>
          </w:p>
        </w:tc>
        <w:tc>
          <w:tcPr>
            <w:tcW w:w="3080" w:type="dxa"/>
            <w:vAlign w:val="bottom"/>
            <w:tcBorders>
              <w:right w:val="single" w:sz="8" w:color="00000A"/>
            </w:tcBorders>
          </w:tcPr>
          <w:p>
            <w:pPr>
              <w:spacing w:after="0"/>
              <w:rPr>
                <w:sz w:val="14"/>
                <w:szCs w:val="14"/>
                <w:color w:val="auto"/>
              </w:rPr>
            </w:pPr>
          </w:p>
        </w:tc>
        <w:tc>
          <w:tcPr>
            <w:tcW w:w="1020" w:type="dxa"/>
            <w:vAlign w:val="bottom"/>
            <w:tcBorders>
              <w:right w:val="single" w:sz="8" w:color="00000A"/>
            </w:tcBorders>
          </w:tcPr>
          <w:p>
            <w:pPr>
              <w:spacing w:after="0"/>
              <w:rPr>
                <w:sz w:val="14"/>
                <w:szCs w:val="14"/>
                <w:color w:val="auto"/>
              </w:rPr>
            </w:pPr>
          </w:p>
        </w:tc>
        <w:tc>
          <w:tcPr>
            <w:tcW w:w="1240" w:type="dxa"/>
            <w:vAlign w:val="bottom"/>
            <w:tcBorders>
              <w:right w:val="single" w:sz="8" w:color="00000A"/>
            </w:tcBorders>
          </w:tcPr>
          <w:p>
            <w:pPr>
              <w:spacing w:after="0"/>
              <w:rPr>
                <w:sz w:val="14"/>
                <w:szCs w:val="14"/>
                <w:color w:val="auto"/>
              </w:rPr>
            </w:pPr>
          </w:p>
        </w:tc>
        <w:tc>
          <w:tcPr>
            <w:tcW w:w="8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tcBorders>
              <w:left w:val="single" w:sz="8" w:color="00000A"/>
              <w:bottom w:val="single" w:sz="8" w:color="00000A"/>
              <w:right w:val="single" w:sz="8" w:color="00000A"/>
            </w:tcBorders>
          </w:tcPr>
          <w:p>
            <w:pPr>
              <w:spacing w:after="0"/>
              <w:rPr>
                <w:sz w:val="15"/>
                <w:szCs w:val="15"/>
                <w:color w:val="auto"/>
              </w:rPr>
            </w:pPr>
          </w:p>
        </w:tc>
        <w:tc>
          <w:tcPr>
            <w:tcW w:w="580" w:type="dxa"/>
            <w:vAlign w:val="bottom"/>
            <w:tcBorders>
              <w:bottom w:val="single" w:sz="8" w:color="00000A"/>
              <w:right w:val="single" w:sz="8" w:color="00000A"/>
            </w:tcBorders>
          </w:tcPr>
          <w:p>
            <w:pPr>
              <w:spacing w:after="0"/>
              <w:rPr>
                <w:sz w:val="15"/>
                <w:szCs w:val="15"/>
                <w:color w:val="auto"/>
              </w:rPr>
            </w:pPr>
          </w:p>
        </w:tc>
        <w:tc>
          <w:tcPr>
            <w:tcW w:w="1260" w:type="dxa"/>
            <w:vAlign w:val="bottom"/>
            <w:tcBorders>
              <w:bottom w:val="single" w:sz="8" w:color="00000A"/>
              <w:right w:val="single" w:sz="8" w:color="00000A"/>
            </w:tcBorders>
          </w:tcPr>
          <w:p>
            <w:pPr>
              <w:spacing w:after="0"/>
              <w:rPr>
                <w:sz w:val="15"/>
                <w:szCs w:val="15"/>
                <w:color w:val="auto"/>
              </w:rPr>
            </w:pPr>
          </w:p>
        </w:tc>
        <w:tc>
          <w:tcPr>
            <w:tcW w:w="11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4"/>
                <w:szCs w:val="14"/>
                <w:color w:val="auto"/>
              </w:rPr>
              <w:t>Shares</w:t>
            </w:r>
          </w:p>
        </w:tc>
        <w:tc>
          <w:tcPr>
            <w:tcW w:w="3080" w:type="dxa"/>
            <w:vAlign w:val="bottom"/>
            <w:tcBorders>
              <w:bottom w:val="single" w:sz="8" w:color="00000A"/>
              <w:right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spacing w:after="0"/>
              <w:rPr>
                <w:sz w:val="15"/>
                <w:szCs w:val="15"/>
                <w:color w:val="auto"/>
              </w:rPr>
            </w:pPr>
          </w:p>
        </w:tc>
        <w:tc>
          <w:tcPr>
            <w:tcW w:w="1240" w:type="dxa"/>
            <w:vAlign w:val="bottom"/>
            <w:tcBorders>
              <w:bottom w:val="single" w:sz="8" w:color="00000A"/>
              <w:right w:val="single" w:sz="8" w:color="00000A"/>
            </w:tcBorders>
          </w:tcPr>
          <w:p>
            <w:pPr>
              <w:spacing w:after="0"/>
              <w:rPr>
                <w:sz w:val="15"/>
                <w:szCs w:val="15"/>
                <w:color w:val="auto"/>
              </w:rPr>
            </w:pPr>
          </w:p>
        </w:tc>
        <w:tc>
          <w:tcPr>
            <w:tcW w:w="800" w:type="dxa"/>
            <w:vAlign w:val="bottom"/>
            <w:tcBorders>
              <w:bottom w:val="single" w:sz="8" w:color="00000A"/>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FleetCor Technologies New</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79</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New Zealand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NZ Limited</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Business Fuel Cards Pty Limited</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Zealand Limited</w:t>
            </w: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vMerge w:val="continue"/>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Cardlink Systems Limited</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80</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New Zealand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NZ Limited</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FleetCor Technologies New Zealand Limited</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vMerge w:val="continue"/>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Strata Nova Holdings Limited</w:t>
            </w:r>
          </w:p>
        </w:tc>
        <w:tc>
          <w:tcPr>
            <w:tcW w:w="5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81</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Republic of</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Limited Liability</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Feidossa Investments Limited</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00000A"/>
              <w:bottom w:val="single" w:sz="8" w:color="00000A"/>
              <w:right w:val="single" w:sz="8" w:color="00000A"/>
            </w:tcBorders>
          </w:tcPr>
          <w:p>
            <w:pPr>
              <w:spacing w:after="0"/>
              <w:rPr>
                <w:sz w:val="11"/>
                <w:szCs w:val="11"/>
                <w:color w:val="auto"/>
              </w:rPr>
            </w:pPr>
          </w:p>
        </w:tc>
        <w:tc>
          <w:tcPr>
            <w:tcW w:w="580" w:type="dxa"/>
            <w:vAlign w:val="bottom"/>
            <w:tcBorders>
              <w:bottom w:val="single" w:sz="8" w:color="00000A"/>
              <w:right w:val="single" w:sz="8" w:color="00000A"/>
            </w:tcBorders>
          </w:tcPr>
          <w:p>
            <w:pPr>
              <w:spacing w:after="0"/>
              <w:rPr>
                <w:sz w:val="11"/>
                <w:szCs w:val="11"/>
                <w:color w:val="auto"/>
              </w:rPr>
            </w:pPr>
          </w:p>
        </w:tc>
        <w:tc>
          <w:tcPr>
            <w:tcW w:w="126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Cyprus</w:t>
            </w:r>
          </w:p>
        </w:tc>
        <w:tc>
          <w:tcPr>
            <w:tcW w:w="114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Company</w:t>
            </w:r>
          </w:p>
        </w:tc>
        <w:tc>
          <w:tcPr>
            <w:tcW w:w="3080" w:type="dxa"/>
            <w:vAlign w:val="bottom"/>
            <w:tcBorders>
              <w:bottom w:val="single" w:sz="8" w:color="00000A"/>
              <w:right w:val="single" w:sz="8" w:color="00000A"/>
            </w:tcBorders>
          </w:tcPr>
          <w:p>
            <w:pPr>
              <w:spacing w:after="0"/>
              <w:rPr>
                <w:sz w:val="11"/>
                <w:szCs w:val="11"/>
                <w:color w:val="auto"/>
              </w:rPr>
            </w:pPr>
          </w:p>
        </w:tc>
        <w:tc>
          <w:tcPr>
            <w:tcW w:w="1020" w:type="dxa"/>
            <w:vAlign w:val="bottom"/>
            <w:tcBorders>
              <w:bottom w:val="single" w:sz="8" w:color="00000A"/>
              <w:right w:val="single" w:sz="8" w:color="00000A"/>
            </w:tcBorders>
          </w:tcPr>
          <w:p>
            <w:pPr>
              <w:spacing w:after="0"/>
              <w:rPr>
                <w:sz w:val="11"/>
                <w:szCs w:val="11"/>
                <w:color w:val="auto"/>
              </w:rPr>
            </w:pPr>
          </w:p>
        </w:tc>
        <w:tc>
          <w:tcPr>
            <w:tcW w:w="1240" w:type="dxa"/>
            <w:vAlign w:val="bottom"/>
            <w:tcBorders>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Dlodax Investments Limited</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Republic of</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Limited Liability</w:t>
            </w: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Sabonor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20" w:type="dxa"/>
            <w:vAlign w:val="bottom"/>
            <w:tcBorders>
              <w:left w:val="single" w:sz="8" w:color="00000A"/>
              <w:right w:val="single" w:sz="8" w:color="00000A"/>
            </w:tcBorders>
            <w:vMerge w:val="continue"/>
          </w:tcPr>
          <w:p>
            <w:pPr>
              <w:spacing w:after="0"/>
              <w:rPr>
                <w:sz w:val="11"/>
                <w:szCs w:val="11"/>
                <w:color w:val="auto"/>
              </w:rPr>
            </w:pPr>
          </w:p>
        </w:tc>
        <w:tc>
          <w:tcPr>
            <w:tcW w:w="580" w:type="dxa"/>
            <w:vAlign w:val="bottom"/>
            <w:tcBorders>
              <w:right w:val="single" w:sz="8" w:color="00000A"/>
            </w:tcBorders>
          </w:tcPr>
          <w:p>
            <w:pPr>
              <w:jc w:val="center"/>
              <w:spacing w:after="0" w:line="131" w:lineRule="exact"/>
              <w:rPr>
                <w:sz w:val="20"/>
                <w:szCs w:val="20"/>
                <w:color w:val="auto"/>
              </w:rPr>
            </w:pPr>
            <w:r>
              <w:rPr>
                <w:rFonts w:ascii="Arial" w:cs="Arial" w:eastAsia="Arial" w:hAnsi="Arial"/>
                <w:sz w:val="14"/>
                <w:szCs w:val="14"/>
                <w:color w:val="auto"/>
              </w:rPr>
              <w:t>86</w:t>
            </w:r>
          </w:p>
        </w:tc>
        <w:tc>
          <w:tcPr>
            <w:tcW w:w="1260" w:type="dxa"/>
            <w:vAlign w:val="bottom"/>
            <w:tcBorders>
              <w:right w:val="single" w:sz="8" w:color="00000A"/>
            </w:tcBorders>
            <w:vMerge w:val="continue"/>
          </w:tcPr>
          <w:p>
            <w:pPr>
              <w:spacing w:after="0"/>
              <w:rPr>
                <w:sz w:val="11"/>
                <w:szCs w:val="11"/>
                <w:color w:val="auto"/>
              </w:rPr>
            </w:pPr>
          </w:p>
        </w:tc>
        <w:tc>
          <w:tcPr>
            <w:tcW w:w="1140" w:type="dxa"/>
            <w:vAlign w:val="bottom"/>
            <w:tcBorders>
              <w:right w:val="single" w:sz="8" w:color="00000A"/>
            </w:tcBorders>
            <w:vMerge w:val="continue"/>
          </w:tcPr>
          <w:p>
            <w:pPr>
              <w:spacing w:after="0"/>
              <w:rPr>
                <w:sz w:val="11"/>
                <w:szCs w:val="11"/>
                <w:color w:val="auto"/>
              </w:rPr>
            </w:pPr>
          </w:p>
        </w:tc>
        <w:tc>
          <w:tcPr>
            <w:tcW w:w="308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UAB “Transit Card International”</w:t>
            </w:r>
          </w:p>
        </w:tc>
        <w:tc>
          <w:tcPr>
            <w:tcW w:w="102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99.975%</w:t>
            </w:r>
          </w:p>
        </w:tc>
        <w:tc>
          <w:tcPr>
            <w:tcW w:w="124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Management</w:t>
            </w:r>
          </w:p>
        </w:tc>
        <w:tc>
          <w:tcPr>
            <w:tcW w:w="80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0.025%</w:t>
            </w: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(Cyprus)</w:t>
            </w:r>
          </w:p>
        </w:tc>
        <w:tc>
          <w:tcPr>
            <w:tcW w:w="580" w:type="dxa"/>
            <w:vAlign w:val="bottom"/>
            <w:tcBorders>
              <w:right w:val="single" w:sz="8" w:color="00000A"/>
            </w:tcBorders>
          </w:tcPr>
          <w:p>
            <w:pPr>
              <w:spacing w:after="0"/>
              <w:rPr>
                <w:sz w:val="14"/>
                <w:szCs w:val="14"/>
                <w:color w:val="auto"/>
              </w:rPr>
            </w:pP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Cyprus</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tcPr>
          <w:p>
            <w:pPr>
              <w:spacing w:after="0"/>
              <w:rPr>
                <w:sz w:val="14"/>
                <w:szCs w:val="14"/>
                <w:color w:val="auto"/>
              </w:rPr>
            </w:pPr>
          </w:p>
        </w:tc>
        <w:tc>
          <w:tcPr>
            <w:tcW w:w="1020" w:type="dxa"/>
            <w:vAlign w:val="bottom"/>
            <w:tcBorders>
              <w:right w:val="single" w:sz="8" w:color="00000A"/>
            </w:tcBorders>
          </w:tcPr>
          <w:p>
            <w:pPr>
              <w:spacing w:after="0"/>
              <w:rPr>
                <w:sz w:val="14"/>
                <w:szCs w:val="14"/>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Limited</w:t>
            </w:r>
          </w:p>
        </w:tc>
        <w:tc>
          <w:tcPr>
            <w:tcW w:w="8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20" w:type="dxa"/>
            <w:vAlign w:val="bottom"/>
            <w:tcBorders>
              <w:left w:val="single" w:sz="8" w:color="00000A"/>
              <w:bottom w:val="single" w:sz="8" w:color="00000A"/>
              <w:right w:val="single" w:sz="8" w:color="00000A"/>
            </w:tcBorders>
          </w:tcPr>
          <w:p>
            <w:pPr>
              <w:spacing w:after="0"/>
              <w:rPr>
                <w:sz w:val="4"/>
                <w:szCs w:val="4"/>
                <w:color w:val="auto"/>
              </w:rPr>
            </w:pPr>
          </w:p>
        </w:tc>
        <w:tc>
          <w:tcPr>
            <w:tcW w:w="580" w:type="dxa"/>
            <w:vAlign w:val="bottom"/>
            <w:tcBorders>
              <w:bottom w:val="single" w:sz="8" w:color="00000A"/>
              <w:right w:val="single" w:sz="8" w:color="00000A"/>
            </w:tcBorders>
          </w:tcPr>
          <w:p>
            <w:pPr>
              <w:spacing w:after="0"/>
              <w:rPr>
                <w:sz w:val="4"/>
                <w:szCs w:val="4"/>
                <w:color w:val="auto"/>
              </w:rPr>
            </w:pPr>
          </w:p>
        </w:tc>
        <w:tc>
          <w:tcPr>
            <w:tcW w:w="1260" w:type="dxa"/>
            <w:vAlign w:val="bottom"/>
            <w:tcBorders>
              <w:bottom w:val="single" w:sz="8" w:color="00000A"/>
              <w:right w:val="single" w:sz="8" w:color="00000A"/>
            </w:tcBorders>
          </w:tcPr>
          <w:p>
            <w:pPr>
              <w:spacing w:after="0"/>
              <w:rPr>
                <w:sz w:val="4"/>
                <w:szCs w:val="4"/>
                <w:color w:val="auto"/>
              </w:rPr>
            </w:pPr>
          </w:p>
        </w:tc>
        <w:tc>
          <w:tcPr>
            <w:tcW w:w="1140" w:type="dxa"/>
            <w:vAlign w:val="bottom"/>
            <w:tcBorders>
              <w:bottom w:val="single" w:sz="8" w:color="00000A"/>
              <w:right w:val="single" w:sz="8" w:color="00000A"/>
            </w:tcBorders>
          </w:tcPr>
          <w:p>
            <w:pPr>
              <w:spacing w:after="0"/>
              <w:rPr>
                <w:sz w:val="4"/>
                <w:szCs w:val="4"/>
                <w:color w:val="auto"/>
              </w:rPr>
            </w:pPr>
          </w:p>
        </w:tc>
        <w:tc>
          <w:tcPr>
            <w:tcW w:w="3080" w:type="dxa"/>
            <w:vAlign w:val="bottom"/>
            <w:tcBorders>
              <w:bottom w:val="single" w:sz="8" w:color="00000A"/>
              <w:right w:val="single" w:sz="8" w:color="00000A"/>
            </w:tcBorders>
          </w:tcPr>
          <w:p>
            <w:pPr>
              <w:spacing w:after="0"/>
              <w:rPr>
                <w:sz w:val="4"/>
                <w:szCs w:val="4"/>
                <w:color w:val="auto"/>
              </w:rPr>
            </w:pPr>
          </w:p>
        </w:tc>
        <w:tc>
          <w:tcPr>
            <w:tcW w:w="1020" w:type="dxa"/>
            <w:vAlign w:val="bottom"/>
            <w:tcBorders>
              <w:bottom w:val="single" w:sz="8" w:color="00000A"/>
              <w:right w:val="single" w:sz="8" w:color="00000A"/>
            </w:tcBorders>
          </w:tcPr>
          <w:p>
            <w:pPr>
              <w:spacing w:after="0"/>
              <w:rPr>
                <w:sz w:val="4"/>
                <w:szCs w:val="4"/>
                <w:color w:val="auto"/>
              </w:rPr>
            </w:pPr>
          </w:p>
        </w:tc>
        <w:tc>
          <w:tcPr>
            <w:tcW w:w="1240" w:type="dxa"/>
            <w:vAlign w:val="bottom"/>
            <w:tcBorders>
              <w:bottom w:val="single" w:sz="8" w:color="00000A"/>
              <w:right w:val="single" w:sz="8" w:color="00000A"/>
            </w:tcBorders>
            <w:vMerge w:val="continue"/>
          </w:tcPr>
          <w:p>
            <w:pPr>
              <w:spacing w:after="0"/>
              <w:rPr>
                <w:sz w:val="4"/>
                <w:szCs w:val="4"/>
                <w:color w:val="auto"/>
              </w:rPr>
            </w:pPr>
          </w:p>
        </w:tc>
        <w:tc>
          <w:tcPr>
            <w:tcW w:w="8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LLC Avto-Kart neft</w:t>
            </w:r>
          </w:p>
        </w:tc>
        <w:tc>
          <w:tcPr>
            <w:tcW w:w="58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87</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Russia</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Limited Liability</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Dlodax Investments Limited (Cyprus)</w:t>
            </w:r>
          </w:p>
        </w:tc>
        <w:tc>
          <w:tcPr>
            <w:tcW w:w="102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00000A"/>
              <w:bottom w:val="single" w:sz="8" w:color="00000A"/>
              <w:right w:val="single" w:sz="8" w:color="00000A"/>
            </w:tcBorders>
          </w:tcPr>
          <w:p>
            <w:pPr>
              <w:spacing w:after="0"/>
              <w:rPr>
                <w:sz w:val="11"/>
                <w:szCs w:val="11"/>
                <w:color w:val="auto"/>
              </w:rPr>
            </w:pPr>
          </w:p>
        </w:tc>
        <w:tc>
          <w:tcPr>
            <w:tcW w:w="580" w:type="dxa"/>
            <w:vAlign w:val="bottom"/>
            <w:tcBorders>
              <w:bottom w:val="single" w:sz="8" w:color="00000A"/>
              <w:right w:val="single" w:sz="8" w:color="00000A"/>
            </w:tcBorders>
          </w:tcPr>
          <w:p>
            <w:pPr>
              <w:spacing w:after="0"/>
              <w:rPr>
                <w:sz w:val="11"/>
                <w:szCs w:val="11"/>
                <w:color w:val="auto"/>
              </w:rPr>
            </w:pPr>
          </w:p>
        </w:tc>
        <w:tc>
          <w:tcPr>
            <w:tcW w:w="1260" w:type="dxa"/>
            <w:vAlign w:val="bottom"/>
            <w:tcBorders>
              <w:bottom w:val="single" w:sz="8" w:color="00000A"/>
              <w:right w:val="single" w:sz="8" w:color="00000A"/>
            </w:tcBorders>
          </w:tcPr>
          <w:p>
            <w:pPr>
              <w:spacing w:after="0"/>
              <w:rPr>
                <w:sz w:val="11"/>
                <w:szCs w:val="11"/>
                <w:color w:val="auto"/>
              </w:rPr>
            </w:pPr>
          </w:p>
        </w:tc>
        <w:tc>
          <w:tcPr>
            <w:tcW w:w="1140" w:type="dxa"/>
            <w:vAlign w:val="bottom"/>
            <w:tcBorders>
              <w:bottom w:val="single" w:sz="8" w:color="00000A"/>
              <w:right w:val="single" w:sz="8" w:color="00000A"/>
            </w:tcBorders>
          </w:tcPr>
          <w:p>
            <w:pPr>
              <w:ind w:left="20"/>
              <w:spacing w:after="0" w:line="135" w:lineRule="exact"/>
              <w:rPr>
                <w:sz w:val="20"/>
                <w:szCs w:val="20"/>
                <w:color w:val="auto"/>
              </w:rPr>
            </w:pPr>
            <w:r>
              <w:rPr>
                <w:rFonts w:ascii="Arial" w:cs="Arial" w:eastAsia="Arial" w:hAnsi="Arial"/>
                <w:sz w:val="14"/>
                <w:szCs w:val="14"/>
                <w:color w:val="auto"/>
              </w:rPr>
              <w:t>Company</w:t>
            </w:r>
          </w:p>
        </w:tc>
        <w:tc>
          <w:tcPr>
            <w:tcW w:w="3080" w:type="dxa"/>
            <w:vAlign w:val="bottom"/>
            <w:tcBorders>
              <w:bottom w:val="single" w:sz="8" w:color="00000A"/>
              <w:right w:val="single" w:sz="8" w:color="00000A"/>
            </w:tcBorders>
          </w:tcPr>
          <w:p>
            <w:pPr>
              <w:spacing w:after="0"/>
              <w:rPr>
                <w:sz w:val="11"/>
                <w:szCs w:val="11"/>
                <w:color w:val="auto"/>
              </w:rPr>
            </w:pPr>
          </w:p>
        </w:tc>
        <w:tc>
          <w:tcPr>
            <w:tcW w:w="1020" w:type="dxa"/>
            <w:vAlign w:val="bottom"/>
            <w:tcBorders>
              <w:bottom w:val="single" w:sz="8" w:color="00000A"/>
              <w:right w:val="single" w:sz="8" w:color="00000A"/>
            </w:tcBorders>
          </w:tcPr>
          <w:p>
            <w:pPr>
              <w:spacing w:after="0"/>
              <w:rPr>
                <w:sz w:val="11"/>
                <w:szCs w:val="11"/>
                <w:color w:val="auto"/>
              </w:rPr>
            </w:pPr>
          </w:p>
        </w:tc>
        <w:tc>
          <w:tcPr>
            <w:tcW w:w="1240" w:type="dxa"/>
            <w:vAlign w:val="bottom"/>
            <w:tcBorders>
              <w:bottom w:val="single" w:sz="8" w:color="00000A"/>
              <w:right w:val="single" w:sz="8" w:color="00000A"/>
            </w:tcBorders>
          </w:tcPr>
          <w:p>
            <w:pPr>
              <w:spacing w:after="0"/>
              <w:rPr>
                <w:sz w:val="11"/>
                <w:szCs w:val="11"/>
                <w:color w:val="auto"/>
              </w:rPr>
            </w:pPr>
          </w:p>
        </w:tc>
        <w:tc>
          <w:tcPr>
            <w:tcW w:w="80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VB – SERVIÇIOS, COMÉRCIO E</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Limited Liability</w:t>
            </w: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20" w:type="dxa"/>
            <w:vAlign w:val="bottom"/>
            <w:tcBorders>
              <w:left w:val="single" w:sz="8" w:color="00000A"/>
              <w:right w:val="single" w:sz="8" w:color="00000A"/>
            </w:tcBorders>
            <w:vMerge w:val="continue"/>
          </w:tcPr>
          <w:p>
            <w:pPr>
              <w:spacing w:after="0"/>
              <w:rPr>
                <w:sz w:val="11"/>
                <w:szCs w:val="11"/>
                <w:color w:val="auto"/>
              </w:rPr>
            </w:pPr>
          </w:p>
        </w:tc>
        <w:tc>
          <w:tcPr>
            <w:tcW w:w="580" w:type="dxa"/>
            <w:vAlign w:val="bottom"/>
            <w:tcBorders>
              <w:right w:val="single" w:sz="8" w:color="00000A"/>
            </w:tcBorders>
          </w:tcPr>
          <w:p>
            <w:pPr>
              <w:jc w:val="center"/>
              <w:spacing w:after="0" w:line="131" w:lineRule="exact"/>
              <w:rPr>
                <w:sz w:val="20"/>
                <w:szCs w:val="20"/>
                <w:color w:val="auto"/>
              </w:rPr>
            </w:pPr>
            <w:r>
              <w:rPr>
                <w:rFonts w:ascii="Arial" w:cs="Arial" w:eastAsia="Arial" w:hAnsi="Arial"/>
                <w:sz w:val="14"/>
                <w:szCs w:val="14"/>
                <w:color w:val="auto"/>
              </w:rPr>
              <w:t>88</w:t>
            </w:r>
          </w:p>
        </w:tc>
        <w:tc>
          <w:tcPr>
            <w:tcW w:w="126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BRAZIL</w:t>
            </w:r>
          </w:p>
        </w:tc>
        <w:tc>
          <w:tcPr>
            <w:tcW w:w="1140" w:type="dxa"/>
            <w:vAlign w:val="bottom"/>
            <w:tcBorders>
              <w:right w:val="single" w:sz="8" w:color="00000A"/>
            </w:tcBorders>
            <w:vMerge w:val="continue"/>
          </w:tcPr>
          <w:p>
            <w:pPr>
              <w:spacing w:after="0"/>
              <w:rPr>
                <w:sz w:val="11"/>
                <w:szCs w:val="11"/>
                <w:color w:val="auto"/>
              </w:rPr>
            </w:pPr>
          </w:p>
        </w:tc>
        <w:tc>
          <w:tcPr>
            <w:tcW w:w="308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FleetCor Luxemburg Holding 2</w:t>
            </w:r>
          </w:p>
        </w:tc>
        <w:tc>
          <w:tcPr>
            <w:tcW w:w="102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99.90%</w:t>
            </w:r>
          </w:p>
        </w:tc>
        <w:tc>
          <w:tcPr>
            <w:tcW w:w="124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Luxemburg</w:t>
            </w:r>
          </w:p>
        </w:tc>
        <w:tc>
          <w:tcPr>
            <w:tcW w:w="800" w:type="dxa"/>
            <w:vAlign w:val="bottom"/>
            <w:tcBorders>
              <w:right w:val="single" w:sz="8" w:color="00000A"/>
            </w:tcBorders>
          </w:tcPr>
          <w:p>
            <w:pPr>
              <w:ind w:left="20"/>
              <w:spacing w:after="0" w:line="131"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6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ADMINISTRAÇÃO LTDA</w:t>
            </w:r>
          </w:p>
        </w:tc>
        <w:tc>
          <w:tcPr>
            <w:tcW w:w="580" w:type="dxa"/>
            <w:vAlign w:val="bottom"/>
            <w:tcBorders>
              <w:right w:val="single" w:sz="8" w:color="00000A"/>
            </w:tcBorders>
          </w:tcPr>
          <w:p>
            <w:pPr>
              <w:spacing w:after="0"/>
              <w:rPr>
                <w:sz w:val="14"/>
                <w:szCs w:val="14"/>
                <w:color w:val="auto"/>
              </w:rPr>
            </w:pPr>
          </w:p>
        </w:tc>
        <w:tc>
          <w:tcPr>
            <w:tcW w:w="1260" w:type="dxa"/>
            <w:vAlign w:val="bottom"/>
            <w:tcBorders>
              <w:right w:val="single" w:sz="8" w:color="00000A"/>
            </w:tcBorders>
          </w:tcPr>
          <w:p>
            <w:pPr>
              <w:spacing w:after="0"/>
              <w:rPr>
                <w:sz w:val="14"/>
                <w:szCs w:val="14"/>
                <w:color w:val="auto"/>
              </w:rPr>
            </w:pP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tcPr>
          <w:p>
            <w:pPr>
              <w:spacing w:after="0"/>
              <w:rPr>
                <w:sz w:val="14"/>
                <w:szCs w:val="14"/>
                <w:color w:val="auto"/>
              </w:rPr>
            </w:pPr>
          </w:p>
        </w:tc>
        <w:tc>
          <w:tcPr>
            <w:tcW w:w="1020" w:type="dxa"/>
            <w:vAlign w:val="bottom"/>
            <w:tcBorders>
              <w:right w:val="single" w:sz="8" w:color="00000A"/>
            </w:tcBorders>
          </w:tcPr>
          <w:p>
            <w:pPr>
              <w:spacing w:after="0"/>
              <w:rPr>
                <w:sz w:val="14"/>
                <w:szCs w:val="14"/>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Holding 1</w:t>
            </w:r>
          </w:p>
        </w:tc>
        <w:tc>
          <w:tcPr>
            <w:tcW w:w="80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20" w:type="dxa"/>
            <w:vAlign w:val="bottom"/>
            <w:tcBorders>
              <w:left w:val="single" w:sz="8" w:color="00000A"/>
              <w:bottom w:val="single" w:sz="8" w:color="00000A"/>
              <w:right w:val="single" w:sz="8" w:color="00000A"/>
            </w:tcBorders>
          </w:tcPr>
          <w:p>
            <w:pPr>
              <w:spacing w:after="0"/>
              <w:rPr>
                <w:sz w:val="4"/>
                <w:szCs w:val="4"/>
                <w:color w:val="auto"/>
              </w:rPr>
            </w:pPr>
          </w:p>
        </w:tc>
        <w:tc>
          <w:tcPr>
            <w:tcW w:w="580" w:type="dxa"/>
            <w:vAlign w:val="bottom"/>
            <w:tcBorders>
              <w:bottom w:val="single" w:sz="8" w:color="00000A"/>
              <w:right w:val="single" w:sz="8" w:color="00000A"/>
            </w:tcBorders>
          </w:tcPr>
          <w:p>
            <w:pPr>
              <w:spacing w:after="0"/>
              <w:rPr>
                <w:sz w:val="4"/>
                <w:szCs w:val="4"/>
                <w:color w:val="auto"/>
              </w:rPr>
            </w:pPr>
          </w:p>
        </w:tc>
        <w:tc>
          <w:tcPr>
            <w:tcW w:w="1260" w:type="dxa"/>
            <w:vAlign w:val="bottom"/>
            <w:tcBorders>
              <w:bottom w:val="single" w:sz="8" w:color="00000A"/>
              <w:right w:val="single" w:sz="8" w:color="00000A"/>
            </w:tcBorders>
          </w:tcPr>
          <w:p>
            <w:pPr>
              <w:spacing w:after="0"/>
              <w:rPr>
                <w:sz w:val="4"/>
                <w:szCs w:val="4"/>
                <w:color w:val="auto"/>
              </w:rPr>
            </w:pPr>
          </w:p>
        </w:tc>
        <w:tc>
          <w:tcPr>
            <w:tcW w:w="1140" w:type="dxa"/>
            <w:vAlign w:val="bottom"/>
            <w:tcBorders>
              <w:bottom w:val="single" w:sz="8" w:color="00000A"/>
              <w:right w:val="single" w:sz="8" w:color="00000A"/>
            </w:tcBorders>
          </w:tcPr>
          <w:p>
            <w:pPr>
              <w:spacing w:after="0"/>
              <w:rPr>
                <w:sz w:val="4"/>
                <w:szCs w:val="4"/>
                <w:color w:val="auto"/>
              </w:rPr>
            </w:pPr>
          </w:p>
        </w:tc>
        <w:tc>
          <w:tcPr>
            <w:tcW w:w="3080" w:type="dxa"/>
            <w:vAlign w:val="bottom"/>
            <w:tcBorders>
              <w:bottom w:val="single" w:sz="8" w:color="00000A"/>
              <w:right w:val="single" w:sz="8" w:color="00000A"/>
            </w:tcBorders>
          </w:tcPr>
          <w:p>
            <w:pPr>
              <w:spacing w:after="0"/>
              <w:rPr>
                <w:sz w:val="4"/>
                <w:szCs w:val="4"/>
                <w:color w:val="auto"/>
              </w:rPr>
            </w:pPr>
          </w:p>
        </w:tc>
        <w:tc>
          <w:tcPr>
            <w:tcW w:w="1020" w:type="dxa"/>
            <w:vAlign w:val="bottom"/>
            <w:tcBorders>
              <w:bottom w:val="single" w:sz="8" w:color="00000A"/>
              <w:right w:val="single" w:sz="8" w:color="00000A"/>
            </w:tcBorders>
          </w:tcPr>
          <w:p>
            <w:pPr>
              <w:spacing w:after="0"/>
              <w:rPr>
                <w:sz w:val="4"/>
                <w:szCs w:val="4"/>
                <w:color w:val="auto"/>
              </w:rPr>
            </w:pPr>
          </w:p>
        </w:tc>
        <w:tc>
          <w:tcPr>
            <w:tcW w:w="1240" w:type="dxa"/>
            <w:vAlign w:val="bottom"/>
            <w:tcBorders>
              <w:bottom w:val="single" w:sz="8" w:color="00000A"/>
              <w:right w:val="single" w:sz="8" w:color="00000A"/>
            </w:tcBorders>
            <w:vMerge w:val="continue"/>
          </w:tcPr>
          <w:p>
            <w:pPr>
              <w:spacing w:after="0"/>
              <w:rPr>
                <w:sz w:val="4"/>
                <w:szCs w:val="4"/>
                <w:color w:val="auto"/>
              </w:rPr>
            </w:pPr>
          </w:p>
        </w:tc>
        <w:tc>
          <w:tcPr>
            <w:tcW w:w="8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GESTREK – SERVIÇO DE</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Limited Liability</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VB – SERVIÇIOS, COMÉRCIO E</w:t>
            </w: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GESTÃO, CALL CENTER E</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89</w:t>
            </w: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BRAZIL</w:t>
            </w: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99.90%</w:t>
            </w: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Luxemburg</w:t>
            </w:r>
          </w:p>
        </w:tc>
        <w:tc>
          <w:tcPr>
            <w:tcW w:w="8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ADMINISTRAÇÃO LTDA</w:t>
            </w: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vMerge w:val="continue"/>
          </w:tcPr>
          <w:p>
            <w:pPr>
              <w:spacing w:after="0"/>
              <w:rPr>
                <w:sz w:val="7"/>
                <w:szCs w:val="7"/>
                <w:color w:val="auto"/>
              </w:rPr>
            </w:pPr>
          </w:p>
        </w:tc>
        <w:tc>
          <w:tcPr>
            <w:tcW w:w="8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LOGÍSTICA EMPRESARIAL LTDA</w:t>
            </w: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tcPr>
          <w:p>
            <w:pPr>
              <w:spacing w:after="0"/>
              <w:rPr>
                <w:sz w:val="7"/>
                <w:szCs w:val="7"/>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Holding 2</w:t>
            </w: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vMerge w:val="continue"/>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DB Trans Administracao de Meios</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tcPr>
          <w:p>
            <w:pPr>
              <w:spacing w:after="0"/>
              <w:rPr>
                <w:sz w:val="16"/>
                <w:szCs w:val="16"/>
                <w:color w:val="auto"/>
              </w:rPr>
            </w:pPr>
          </w:p>
        </w:tc>
        <w:tc>
          <w:tcPr>
            <w:tcW w:w="1140" w:type="dxa"/>
            <w:vAlign w:val="bottom"/>
            <w:tcBorders>
              <w:right w:val="single" w:sz="8" w:color="00000A"/>
            </w:tcBorders>
          </w:tcPr>
          <w:p>
            <w:pPr>
              <w:spacing w:after="0"/>
              <w:rPr>
                <w:sz w:val="16"/>
                <w:szCs w:val="16"/>
                <w:color w:val="auto"/>
              </w:rPr>
            </w:pPr>
          </w:p>
        </w:tc>
        <w:tc>
          <w:tcPr>
            <w:tcW w:w="3080" w:type="dxa"/>
            <w:vAlign w:val="bottom"/>
            <w:tcBorders>
              <w:right w:val="single" w:sz="8" w:color="00000A"/>
            </w:tcBorders>
          </w:tcPr>
          <w:p>
            <w:pPr>
              <w:spacing w:after="0"/>
              <w:rPr>
                <w:sz w:val="16"/>
                <w:szCs w:val="16"/>
                <w:color w:val="auto"/>
              </w:rPr>
            </w:pPr>
          </w:p>
        </w:tc>
        <w:tc>
          <w:tcPr>
            <w:tcW w:w="1020" w:type="dxa"/>
            <w:vAlign w:val="bottom"/>
            <w:tcBorders>
              <w:right w:val="single" w:sz="8" w:color="00000A"/>
            </w:tcBorders>
          </w:tcPr>
          <w:p>
            <w:pPr>
              <w:spacing w:after="0"/>
              <w:rPr>
                <w:sz w:val="16"/>
                <w:szCs w:val="16"/>
                <w:color w:val="auto"/>
              </w:rPr>
            </w:pPr>
          </w:p>
        </w:tc>
        <w:tc>
          <w:tcPr>
            <w:tcW w:w="12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FleetCor</w:t>
            </w: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Brazil</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LLC</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Fleetcor Luxembourg Holding 2 SARL</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99.90%</w:t>
            </w: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Luxemburg</w:t>
            </w:r>
          </w:p>
        </w:tc>
        <w:tc>
          <w:tcPr>
            <w:tcW w:w="8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8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de Pagamento Ltda.</w:t>
            </w: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vMerge w:val="continue"/>
          </w:tcPr>
          <w:p>
            <w:pPr>
              <w:spacing w:after="0"/>
              <w:rPr>
                <w:sz w:val="7"/>
                <w:szCs w:val="7"/>
                <w:color w:val="auto"/>
              </w:rPr>
            </w:pPr>
          </w:p>
        </w:tc>
        <w:tc>
          <w:tcPr>
            <w:tcW w:w="80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tcPr>
          <w:p>
            <w:pPr>
              <w:spacing w:after="0"/>
              <w:rPr>
                <w:sz w:val="7"/>
                <w:szCs w:val="7"/>
                <w:color w:val="auto"/>
              </w:rPr>
            </w:pPr>
          </w:p>
        </w:tc>
        <w:tc>
          <w:tcPr>
            <w:tcW w:w="1140" w:type="dxa"/>
            <w:vAlign w:val="bottom"/>
            <w:tcBorders>
              <w:right w:val="single" w:sz="8" w:color="00000A"/>
            </w:tcBorders>
          </w:tcPr>
          <w:p>
            <w:pPr>
              <w:spacing w:after="0"/>
              <w:rPr>
                <w:sz w:val="7"/>
                <w:szCs w:val="7"/>
                <w:color w:val="auto"/>
              </w:rPr>
            </w:pPr>
          </w:p>
        </w:tc>
        <w:tc>
          <w:tcPr>
            <w:tcW w:w="3080" w:type="dxa"/>
            <w:vAlign w:val="bottom"/>
            <w:tcBorders>
              <w:right w:val="single" w:sz="8" w:color="00000A"/>
            </w:tcBorders>
          </w:tcPr>
          <w:p>
            <w:pPr>
              <w:spacing w:after="0"/>
              <w:rPr>
                <w:sz w:val="7"/>
                <w:szCs w:val="7"/>
                <w:color w:val="auto"/>
              </w:rPr>
            </w:pPr>
          </w:p>
        </w:tc>
        <w:tc>
          <w:tcPr>
            <w:tcW w:w="1020" w:type="dxa"/>
            <w:vAlign w:val="bottom"/>
            <w:tcBorders>
              <w:right w:val="single" w:sz="8" w:color="00000A"/>
            </w:tcBorders>
          </w:tcPr>
          <w:p>
            <w:pPr>
              <w:spacing w:after="0"/>
              <w:rPr>
                <w:sz w:val="7"/>
                <w:szCs w:val="7"/>
                <w:color w:val="auto"/>
              </w:rPr>
            </w:pPr>
          </w:p>
        </w:tc>
        <w:tc>
          <w:tcPr>
            <w:tcW w:w="12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Holding 1</w:t>
            </w: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vMerge w:val="continue"/>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Auto Expresso Technologia S.A.</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Brazil</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Corp</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DB Trans Administracao De Meios De</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Pagamento LTDA</w:t>
            </w: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vMerge w:val="continue"/>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CGMP Centro de Gestao de</w:t>
            </w:r>
          </w:p>
        </w:tc>
        <w:tc>
          <w:tcPr>
            <w:tcW w:w="580" w:type="dxa"/>
            <w:vAlign w:val="bottom"/>
            <w:tcBorders>
              <w:right w:val="single" w:sz="8" w:color="00000A"/>
            </w:tcBorders>
          </w:tcPr>
          <w:p>
            <w:pPr>
              <w:spacing w:after="0"/>
              <w:rPr>
                <w:sz w:val="16"/>
                <w:szCs w:val="16"/>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Brazil</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Corp</w:t>
            </w:r>
          </w:p>
        </w:tc>
        <w:tc>
          <w:tcPr>
            <w:tcW w:w="308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DB Trans Administracao De Meios De</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Meios de Pagamentos S.A.</w:t>
            </w:r>
          </w:p>
        </w:tc>
        <w:tc>
          <w:tcPr>
            <w:tcW w:w="580" w:type="dxa"/>
            <w:vAlign w:val="bottom"/>
            <w:tcBorders>
              <w:right w:val="single" w:sz="8" w:color="00000A"/>
            </w:tcBorders>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140" w:type="dxa"/>
            <w:vAlign w:val="bottom"/>
            <w:tcBorders>
              <w:right w:val="single" w:sz="8" w:color="00000A"/>
            </w:tcBorders>
            <w:vMerge w:val="continue"/>
          </w:tcPr>
          <w:p>
            <w:pPr>
              <w:spacing w:after="0"/>
              <w:rPr>
                <w:sz w:val="7"/>
                <w:szCs w:val="7"/>
                <w:color w:val="auto"/>
              </w:rPr>
            </w:pP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Pagamento LTDA</w:t>
            </w: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140" w:type="dxa"/>
            <w:vAlign w:val="bottom"/>
            <w:tcBorders>
              <w:bottom w:val="single" w:sz="8" w:color="00000A"/>
              <w:right w:val="single" w:sz="8" w:color="00000A"/>
            </w:tcBorders>
          </w:tcPr>
          <w:p>
            <w:pPr>
              <w:spacing w:after="0"/>
              <w:rPr>
                <w:sz w:val="7"/>
                <w:szCs w:val="7"/>
                <w:color w:val="auto"/>
              </w:rPr>
            </w:pPr>
          </w:p>
        </w:tc>
        <w:tc>
          <w:tcPr>
            <w:tcW w:w="3080" w:type="dxa"/>
            <w:vAlign w:val="bottom"/>
            <w:tcBorders>
              <w:bottom w:val="single" w:sz="8" w:color="00000A"/>
              <w:right w:val="single" w:sz="8" w:color="00000A"/>
            </w:tcBorders>
            <w:vMerge w:val="continue"/>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Quadrum Investments Group</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94</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England and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Private Limited</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FleetCor UK Acquisition Limited</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Limited</w:t>
            </w: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Wales</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vMerge w:val="continue"/>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vMerge w:val="continue"/>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Epyx Limited</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99</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England and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Private Limited</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Quadrum Investments Limited</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Wales</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vMerge w:val="continue"/>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Your Car Limited</w:t>
            </w:r>
          </w:p>
        </w:tc>
        <w:tc>
          <w:tcPr>
            <w:tcW w:w="5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rPr>
              <w:t>100</w:t>
            </w:r>
          </w:p>
        </w:tc>
        <w:tc>
          <w:tcPr>
            <w:tcW w:w="126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England and</w:t>
            </w:r>
          </w:p>
        </w:tc>
        <w:tc>
          <w:tcPr>
            <w:tcW w:w="1140" w:type="dxa"/>
            <w:vAlign w:val="bottom"/>
            <w:tcBorders>
              <w:right w:val="single" w:sz="8" w:color="00000A"/>
            </w:tcBorders>
          </w:tcPr>
          <w:p>
            <w:pPr>
              <w:ind w:left="20"/>
              <w:spacing w:after="0"/>
              <w:rPr>
                <w:sz w:val="20"/>
                <w:szCs w:val="20"/>
                <w:color w:val="auto"/>
              </w:rPr>
            </w:pPr>
            <w:r>
              <w:rPr>
                <w:rFonts w:ascii="Arial" w:cs="Arial" w:eastAsia="Arial" w:hAnsi="Arial"/>
                <w:sz w:val="14"/>
                <w:szCs w:val="14"/>
                <w:color w:val="auto"/>
              </w:rPr>
              <w:t>Private Limited</w:t>
            </w:r>
          </w:p>
        </w:tc>
        <w:tc>
          <w:tcPr>
            <w:tcW w:w="30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Quadrum Investments Limited</w:t>
            </w:r>
          </w:p>
        </w:tc>
        <w:tc>
          <w:tcPr>
            <w:tcW w:w="102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100.00%</w:t>
            </w:r>
          </w:p>
        </w:tc>
        <w:tc>
          <w:tcPr>
            <w:tcW w:w="1240" w:type="dxa"/>
            <w:vAlign w:val="bottom"/>
            <w:tcBorders>
              <w:right w:val="single" w:sz="8" w:color="00000A"/>
            </w:tcBorders>
          </w:tcPr>
          <w:p>
            <w:pPr>
              <w:spacing w:after="0"/>
              <w:rPr>
                <w:sz w:val="16"/>
                <w:szCs w:val="16"/>
                <w:color w:val="auto"/>
              </w:rPr>
            </w:pPr>
          </w:p>
        </w:tc>
        <w:tc>
          <w:tcPr>
            <w:tcW w:w="800" w:type="dxa"/>
            <w:vAlign w:val="bottom"/>
            <w:tcBorders>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20" w:type="dxa"/>
            <w:vAlign w:val="bottom"/>
            <w:tcBorders>
              <w:left w:val="single" w:sz="8" w:color="00000A"/>
              <w:right w:val="single" w:sz="8" w:color="00000A"/>
            </w:tcBorders>
            <w:vMerge w:val="continue"/>
          </w:tcPr>
          <w:p>
            <w:pPr>
              <w:spacing w:after="0"/>
              <w:rPr>
                <w:sz w:val="7"/>
                <w:szCs w:val="7"/>
                <w:color w:val="auto"/>
              </w:rPr>
            </w:pPr>
          </w:p>
        </w:tc>
        <w:tc>
          <w:tcPr>
            <w:tcW w:w="58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Wales</w:t>
            </w:r>
          </w:p>
        </w:tc>
        <w:tc>
          <w:tcPr>
            <w:tcW w:w="11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080" w:type="dxa"/>
            <w:vAlign w:val="bottom"/>
            <w:tcBorders>
              <w:right w:val="single" w:sz="8" w:color="00000A"/>
            </w:tcBorders>
            <w:vMerge w:val="continue"/>
          </w:tcPr>
          <w:p>
            <w:pPr>
              <w:spacing w:after="0"/>
              <w:rPr>
                <w:sz w:val="7"/>
                <w:szCs w:val="7"/>
                <w:color w:val="auto"/>
              </w:rPr>
            </w:pPr>
          </w:p>
        </w:tc>
        <w:tc>
          <w:tcPr>
            <w:tcW w:w="1020" w:type="dxa"/>
            <w:vAlign w:val="bottom"/>
            <w:tcBorders>
              <w:right w:val="single" w:sz="8" w:color="00000A"/>
            </w:tcBorders>
            <w:vMerge w:val="continue"/>
          </w:tcPr>
          <w:p>
            <w:pPr>
              <w:spacing w:after="0"/>
              <w:rPr>
                <w:sz w:val="7"/>
                <w:szCs w:val="7"/>
                <w:color w:val="auto"/>
              </w:rPr>
            </w:pPr>
          </w:p>
        </w:tc>
        <w:tc>
          <w:tcPr>
            <w:tcW w:w="1240" w:type="dxa"/>
            <w:vAlign w:val="bottom"/>
            <w:tcBorders>
              <w:right w:val="single" w:sz="8" w:color="00000A"/>
            </w:tcBorders>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20" w:type="dxa"/>
            <w:vAlign w:val="bottom"/>
            <w:tcBorders>
              <w:left w:val="single" w:sz="8" w:color="00000A"/>
              <w:bottom w:val="single" w:sz="8" w:color="00000A"/>
              <w:right w:val="single" w:sz="8" w:color="00000A"/>
            </w:tcBorders>
          </w:tcPr>
          <w:p>
            <w:pPr>
              <w:spacing w:after="0"/>
              <w:rPr>
                <w:sz w:val="7"/>
                <w:szCs w:val="7"/>
                <w:color w:val="auto"/>
              </w:rPr>
            </w:pPr>
          </w:p>
        </w:tc>
        <w:tc>
          <w:tcPr>
            <w:tcW w:w="58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140" w:type="dxa"/>
            <w:vAlign w:val="bottom"/>
            <w:tcBorders>
              <w:bottom w:val="single" w:sz="8" w:color="00000A"/>
              <w:right w:val="single" w:sz="8" w:color="00000A"/>
            </w:tcBorders>
            <w:vMerge w:val="continue"/>
          </w:tcPr>
          <w:p>
            <w:pPr>
              <w:spacing w:after="0"/>
              <w:rPr>
                <w:sz w:val="7"/>
                <w:szCs w:val="7"/>
                <w:color w:val="auto"/>
              </w:rPr>
            </w:pPr>
          </w:p>
        </w:tc>
        <w:tc>
          <w:tcPr>
            <w:tcW w:w="3080" w:type="dxa"/>
            <w:vAlign w:val="bottom"/>
            <w:tcBorders>
              <w:bottom w:val="single" w:sz="8" w:color="00000A"/>
              <w:right w:val="single" w:sz="8" w:color="00000A"/>
            </w:tcBorders>
          </w:tcPr>
          <w:p>
            <w:pPr>
              <w:spacing w:after="0"/>
              <w:rPr>
                <w:sz w:val="7"/>
                <w:szCs w:val="7"/>
                <w:color w:val="auto"/>
              </w:rPr>
            </w:pPr>
          </w:p>
        </w:tc>
        <w:tc>
          <w:tcPr>
            <w:tcW w:w="102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80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40"/>
          </w:cols>
          <w:pgMar w:left="240" w:top="889" w:right="21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207"/>
        </w:trPr>
        <w:tc>
          <w:tcPr>
            <w:tcW w:w="25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Oasis Global Systems Limited</w:t>
            </w:r>
          </w:p>
        </w:tc>
        <w:tc>
          <w:tcPr>
            <w:tcW w:w="580" w:type="dxa"/>
            <w:vAlign w:val="bottom"/>
            <w:tcBorders>
              <w:top w:val="single" w:sz="8" w:color="auto"/>
              <w:right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101</w:t>
            </w: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England and</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Private Limited</w:t>
            </w:r>
          </w:p>
        </w:tc>
        <w:tc>
          <w:tcPr>
            <w:tcW w:w="32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Epyx Limited</w:t>
            </w:r>
          </w:p>
        </w:tc>
        <w:tc>
          <w:tcPr>
            <w:tcW w:w="10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continue"/>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Wales</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vMerge w:val="continue"/>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Société Par</w:t>
            </w:r>
          </w:p>
        </w:tc>
        <w:tc>
          <w:tcPr>
            <w:tcW w:w="32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Actions</w:t>
            </w:r>
          </w:p>
        </w:tc>
        <w:tc>
          <w:tcPr>
            <w:tcW w:w="32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Epyx France SAS</w:t>
            </w:r>
          </w:p>
        </w:tc>
        <w:tc>
          <w:tcPr>
            <w:tcW w:w="5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102</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France</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Simplifiée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Epyx Limited</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(simplified joint-</w:t>
            </w:r>
          </w:p>
        </w:tc>
        <w:tc>
          <w:tcPr>
            <w:tcW w:w="32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40" w:type="dxa"/>
            <w:vAlign w:val="bottom"/>
            <w:tcBorders>
              <w:left w:val="single" w:sz="8" w:color="auto"/>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stock company)</w:t>
            </w:r>
          </w:p>
        </w:tc>
        <w:tc>
          <w:tcPr>
            <w:tcW w:w="32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Pacific Pride Services, LLC</w:t>
            </w:r>
          </w:p>
        </w:tc>
        <w:tc>
          <w:tcPr>
            <w:tcW w:w="5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105</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Delaware, United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Technologies Operating Company, LLC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States</w:t>
            </w:r>
          </w:p>
        </w:tc>
        <w:tc>
          <w:tcPr>
            <w:tcW w:w="11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FleetCor Deutschland GmbH</w:t>
            </w:r>
          </w:p>
        </w:tc>
        <w:tc>
          <w:tcPr>
            <w:tcW w:w="5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106</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Masternaut Luxembourg Holding,</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Luxembourg</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S.a.r.l.</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Technologies Operating Company -</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44.00%</w:t>
            </w: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S.a.r.l.</w:t>
            </w:r>
          </w:p>
        </w:tc>
        <w:tc>
          <w:tcPr>
            <w:tcW w:w="5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3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CFN Holding Co.</w:t>
            </w: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Masternaut Bidco Limited</w:t>
            </w:r>
          </w:p>
        </w:tc>
        <w:tc>
          <w:tcPr>
            <w:tcW w:w="5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Masternaut Luxembourg Holding, S.a.r.l.</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Masternaut Group Holding Ltd</w:t>
            </w:r>
          </w:p>
        </w:tc>
        <w:tc>
          <w:tcPr>
            <w:tcW w:w="5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Masternaut Bidco Limited</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Masternaut Holding Limited</w:t>
            </w:r>
          </w:p>
        </w:tc>
        <w:tc>
          <w:tcPr>
            <w:tcW w:w="5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UK</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Masternaut Group Holding Ltd</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FCHC Holding Company LLC</w:t>
            </w:r>
          </w:p>
        </w:tc>
        <w:tc>
          <w:tcPr>
            <w:tcW w:w="58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Delaware</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Technologies Operating Company, LLC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FleetCor Tankkarten GmbH</w:t>
            </w:r>
          </w:p>
        </w:tc>
        <w:tc>
          <w:tcPr>
            <w:tcW w:w="5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Austria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Comdata Inc.</w:t>
            </w:r>
          </w:p>
        </w:tc>
        <w:tc>
          <w:tcPr>
            <w:tcW w:w="5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Delaware</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FCHC Holding Company LLC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Comdata TN, Inc.</w:t>
            </w:r>
          </w:p>
        </w:tc>
        <w:tc>
          <w:tcPr>
            <w:tcW w:w="5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Tennessee</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Comdata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Comdata Network Inc. of California</w:t>
            </w:r>
          </w:p>
        </w:tc>
        <w:tc>
          <w:tcPr>
            <w:tcW w:w="5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California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Comdata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Permicom Permits Services Inc.</w:t>
            </w:r>
          </w:p>
        </w:tc>
        <w:tc>
          <w:tcPr>
            <w:tcW w:w="5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Canada (Ontario)</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Comdata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Stored Value Solutions International</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Netherlands</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Private Limited</w:t>
            </w:r>
          </w:p>
        </w:tc>
        <w:tc>
          <w:tcPr>
            <w:tcW w:w="3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Comdata Inc.</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B.V.</w:t>
            </w:r>
          </w:p>
        </w:tc>
        <w:tc>
          <w:tcPr>
            <w:tcW w:w="5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vMerge w:val="continue"/>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Stored Value Solutions GmbH</w:t>
            </w:r>
          </w:p>
        </w:tc>
        <w:tc>
          <w:tcPr>
            <w:tcW w:w="5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Stored Value Solutions International B.V.</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Société Par</w:t>
            </w:r>
          </w:p>
        </w:tc>
        <w:tc>
          <w:tcPr>
            <w:tcW w:w="32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Actions</w:t>
            </w:r>
          </w:p>
        </w:tc>
        <w:tc>
          <w:tcPr>
            <w:tcW w:w="32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Stored Value Solutions France SAS</w:t>
            </w:r>
          </w:p>
        </w:tc>
        <w:tc>
          <w:tcPr>
            <w:tcW w:w="5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France</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Simplifiée</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Stored Value Solutions International B.V.</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(simplified joint-</w:t>
            </w:r>
          </w:p>
        </w:tc>
        <w:tc>
          <w:tcPr>
            <w:tcW w:w="32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40" w:type="dxa"/>
            <w:vAlign w:val="bottom"/>
            <w:tcBorders>
              <w:left w:val="single" w:sz="8" w:color="auto"/>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stock company</w:t>
            </w:r>
          </w:p>
        </w:tc>
        <w:tc>
          <w:tcPr>
            <w:tcW w:w="32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Stored Value Solutions Hong Kong</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Limited Liability</w:t>
            </w:r>
          </w:p>
        </w:tc>
        <w:tc>
          <w:tcPr>
            <w:tcW w:w="3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Stored Value Solutions International B.V.</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Limited</w:t>
            </w:r>
          </w:p>
        </w:tc>
        <w:tc>
          <w:tcPr>
            <w:tcW w:w="5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vMerge w:val="continue"/>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Stored Value Solutions Canada Ltd.</w:t>
            </w:r>
          </w:p>
        </w:tc>
        <w:tc>
          <w:tcPr>
            <w:tcW w:w="5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Stored Value Solutions International B.V.</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Shanghai Stored Value Solutions</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Limited Liability</w:t>
            </w:r>
          </w:p>
        </w:tc>
        <w:tc>
          <w:tcPr>
            <w:tcW w:w="3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Stored Value Solutions Hong Kong Limited</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Information Technology Co., Ltd.</w:t>
            </w:r>
          </w:p>
        </w:tc>
        <w:tc>
          <w:tcPr>
            <w:tcW w:w="5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vMerge w:val="continue"/>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Ceridian SVS GmbH</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Austria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Limited Liability</w:t>
            </w:r>
          </w:p>
        </w:tc>
        <w:tc>
          <w:tcPr>
            <w:tcW w:w="3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Stored Value Solutions International B.V.</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vMerge w:val="continue"/>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Stored Value Solutions UK Limited</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United Kingdom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Private</w:t>
            </w:r>
          </w:p>
        </w:tc>
        <w:tc>
          <w:tcPr>
            <w:tcW w:w="3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Stored Value Solutions International B.V.</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Company</w:t>
            </w:r>
          </w:p>
        </w:tc>
        <w:tc>
          <w:tcPr>
            <w:tcW w:w="3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vMerge w:val="continue"/>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Venturo Technologies Swiss GmbH</w:t>
            </w:r>
          </w:p>
        </w:tc>
        <w:tc>
          <w:tcPr>
            <w:tcW w:w="5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FleetCor Belgium Société Privée à</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Belgium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Responsabilité Limitée</w:t>
            </w:r>
          </w:p>
        </w:tc>
        <w:tc>
          <w:tcPr>
            <w:tcW w:w="5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FleetCor POLAND SPÓ£KA</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ZOGRANICZONA</w:t>
            </w:r>
          </w:p>
        </w:tc>
        <w:tc>
          <w:tcPr>
            <w:tcW w:w="5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Poland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ODPOWIEDZIALNOSC</w:t>
            </w:r>
          </w:p>
        </w:tc>
        <w:tc>
          <w:tcPr>
            <w:tcW w:w="5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FleetCor Hungary Korlátolt</w:t>
            </w:r>
          </w:p>
        </w:tc>
        <w:tc>
          <w:tcPr>
            <w:tcW w:w="5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Hungary</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Felelõsségû Társaság</w:t>
            </w:r>
          </w:p>
        </w:tc>
        <w:tc>
          <w:tcPr>
            <w:tcW w:w="58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Venturo Technologies S.a r.l.</w:t>
            </w:r>
          </w:p>
        </w:tc>
        <w:tc>
          <w:tcPr>
            <w:tcW w:w="5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Luxembourg</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S.à.r.l.</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FleetCor Czech Republic sro</w:t>
            </w:r>
          </w:p>
        </w:tc>
        <w:tc>
          <w:tcPr>
            <w:tcW w:w="5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Czech Republic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100.00%</w:t>
            </w:r>
          </w:p>
        </w:tc>
        <w:tc>
          <w:tcPr>
            <w:tcW w:w="8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40"/>
          </w:cols>
          <w:pgMar w:left="240" w:top="889" w:right="219" w:bottom="1440" w:gutter="0" w:footer="0" w:header="0"/>
        </w:sectPr>
      </w:pPr>
    </w:p>
    <w:bookmarkStart w:id="81" w:name="page82"/>
    <w:bookmarkEnd w:id="81"/>
    <w:tbl>
      <w:tblPr>
        <w:tblLayout w:type="fixed"/>
        <w:tblInd w:w="10" w:type="dxa"/>
        <w:tblCellMar>
          <w:top w:w="0" w:type="dxa"/>
          <w:left w:w="0" w:type="dxa"/>
          <w:bottom w:w="0" w:type="dxa"/>
          <w:right w:w="0" w:type="dxa"/>
        </w:tblCellMar>
      </w:tblPr>
      <w:tr>
        <w:trPr>
          <w:trHeight w:val="245"/>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FleetCor Slovakia s.r.o.</w:t>
            </w:r>
          </w:p>
        </w:tc>
        <w:tc>
          <w:tcPr>
            <w:tcW w:w="58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Slovakia</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3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FleetCor Luxembourg Holding 2</w:t>
            </w:r>
          </w:p>
        </w:tc>
        <w:tc>
          <w:tcPr>
            <w:tcW w:w="1020" w:type="dxa"/>
            <w:vAlign w:val="bottom"/>
            <w:tcBorders>
              <w:top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100.00%</w:t>
            </w:r>
          </w:p>
        </w:tc>
        <w:tc>
          <w:tcPr>
            <w:tcW w:w="800" w:type="dxa"/>
            <w:vAlign w:val="bottom"/>
            <w:tcBorders>
              <w:top w:val="single" w:sz="8" w:color="auto"/>
              <w:right w:val="single" w:sz="8" w:color="auto"/>
            </w:tcBorders>
          </w:tcPr>
          <w:p>
            <w:pPr>
              <w:spacing w:after="0"/>
              <w:rPr>
                <w:sz w:val="21"/>
                <w:szCs w:val="21"/>
                <w:color w:val="auto"/>
              </w:rPr>
            </w:pPr>
          </w:p>
        </w:tc>
        <w:tc>
          <w:tcPr>
            <w:tcW w:w="900" w:type="dxa"/>
            <w:vAlign w:val="bottom"/>
            <w:tcBorders>
              <w:top w:val="single" w:sz="8" w:color="auto"/>
              <w:right w:val="single" w:sz="8" w:color="auto"/>
            </w:tcBorders>
          </w:tcPr>
          <w:p>
            <w:pPr>
              <w:spacing w:after="0"/>
              <w:rPr>
                <w:sz w:val="21"/>
                <w:szCs w:val="21"/>
                <w:color w:val="auto"/>
              </w:rPr>
            </w:pPr>
          </w:p>
        </w:tc>
      </w:tr>
      <w:tr>
        <w:trPr>
          <w:trHeight w:val="39"/>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40"/>
          </w:cols>
          <w:pgMar w:left="240" w:top="889" w:right="21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20"/>
          <w:szCs w:val="20"/>
          <w:b w:val="1"/>
          <w:bCs w:val="1"/>
          <w:u w:val="single" w:color="auto"/>
          <w:color w:val="auto"/>
        </w:rPr>
        <w:t>Schedule 6.17</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FleetCor Technologies Operating Company,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Patents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Issued Patents</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1820" w:type="dxa"/>
            <w:vAlign w:val="bottom"/>
            <w:tcBorders>
              <w:top w:val="single" w:sz="8" w:color="auto"/>
              <w:left w:val="single" w:sz="8" w:color="auto"/>
              <w:bottom w:val="single" w:sz="8" w:color="BFBFBF"/>
            </w:tcBorders>
            <w:shd w:val="clear" w:color="auto" w:fill="BFBFBF"/>
          </w:tcPr>
          <w:p>
            <w:pPr>
              <w:spacing w:after="0"/>
              <w:rPr>
                <w:sz w:val="24"/>
                <w:szCs w:val="24"/>
                <w:color w:val="auto"/>
              </w:rPr>
            </w:pPr>
          </w:p>
        </w:tc>
        <w:tc>
          <w:tcPr>
            <w:tcW w:w="4960" w:type="dxa"/>
            <w:vAlign w:val="bottom"/>
            <w:tcBorders>
              <w:top w:val="single" w:sz="8" w:color="auto"/>
              <w:bottom w:val="single" w:sz="8" w:color="BFBFBF"/>
              <w:right w:val="single" w:sz="8" w:color="auto"/>
            </w:tcBorders>
            <w:shd w:val="clear" w:color="auto" w:fill="BFBFBF"/>
          </w:tcPr>
          <w:p>
            <w:pPr>
              <w:ind w:left="1360"/>
              <w:spacing w:after="0"/>
              <w:rPr>
                <w:sz w:val="20"/>
                <w:szCs w:val="20"/>
                <w:color w:val="auto"/>
              </w:rPr>
            </w:pPr>
            <w:r>
              <w:rPr>
                <w:rFonts w:ascii="Arial" w:cs="Arial" w:eastAsia="Arial" w:hAnsi="Arial"/>
                <w:sz w:val="20"/>
                <w:szCs w:val="20"/>
                <w:b w:val="1"/>
                <w:bCs w:val="1"/>
                <w:color w:val="auto"/>
              </w:rPr>
              <w:t>Title</w:t>
            </w:r>
          </w:p>
        </w:tc>
        <w:tc>
          <w:tcPr>
            <w:tcW w:w="23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Patent No.</w:t>
            </w:r>
          </w:p>
        </w:tc>
        <w:tc>
          <w:tcPr>
            <w:tcW w:w="22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7"/>
              </w:rPr>
              <w:t>Issue Date</w:t>
            </w:r>
          </w:p>
        </w:tc>
      </w:tr>
      <w:tr>
        <w:trPr>
          <w:trHeight w:val="240"/>
        </w:trPr>
        <w:tc>
          <w:tcPr>
            <w:tcW w:w="6780" w:type="dxa"/>
            <w:vAlign w:val="bottom"/>
            <w:tcBorders>
              <w:top w:val="single" w:sz="8" w:color="auto"/>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METHOD AND SYSTEM FOR DETECTION OF A FUEL CARD USAGE</w:t>
            </w:r>
          </w:p>
        </w:tc>
        <w:tc>
          <w:tcPr>
            <w:tcW w:w="2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9576291</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02/21/17</w:t>
            </w:r>
          </w:p>
        </w:tc>
      </w:tr>
      <w:tr>
        <w:trPr>
          <w:trHeight w:val="250"/>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EXCEPTION</w:t>
            </w:r>
          </w:p>
        </w:tc>
        <w:tc>
          <w:tcPr>
            <w:tcW w:w="2380" w:type="dxa"/>
            <w:vAlign w:val="bottom"/>
            <w:tcBorders>
              <w:right w:val="single" w:sz="8" w:color="00000A"/>
            </w:tcBorders>
          </w:tcPr>
          <w:p>
            <w:pPr>
              <w:spacing w:after="0"/>
              <w:rPr>
                <w:sz w:val="21"/>
                <w:szCs w:val="21"/>
                <w:color w:val="auto"/>
              </w:rPr>
            </w:pPr>
          </w:p>
        </w:tc>
        <w:tc>
          <w:tcPr>
            <w:tcW w:w="2280" w:type="dxa"/>
            <w:vAlign w:val="bottom"/>
            <w:tcBorders>
              <w:right w:val="single" w:sz="8" w:color="00000A"/>
            </w:tcBorders>
          </w:tcPr>
          <w:p>
            <w:pPr>
              <w:spacing w:after="0"/>
              <w:rPr>
                <w:sz w:val="21"/>
                <w:szCs w:val="21"/>
                <w:color w:val="auto"/>
              </w:rPr>
            </w:pPr>
          </w:p>
        </w:tc>
      </w:tr>
      <w:tr>
        <w:trPr>
          <w:trHeight w:val="23"/>
        </w:trPr>
        <w:tc>
          <w:tcPr>
            <w:tcW w:w="1820" w:type="dxa"/>
            <w:vAlign w:val="bottom"/>
            <w:tcBorders>
              <w:left w:val="single" w:sz="8" w:color="00000A"/>
              <w:bottom w:val="single" w:sz="8" w:color="auto"/>
            </w:tcBorders>
          </w:tcPr>
          <w:p>
            <w:pPr>
              <w:spacing w:after="0"/>
              <w:rPr>
                <w:sz w:val="2"/>
                <w:szCs w:val="2"/>
                <w:color w:val="auto"/>
              </w:rPr>
            </w:pPr>
          </w:p>
        </w:tc>
        <w:tc>
          <w:tcPr>
            <w:tcW w:w="496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33"/>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METHOD AND SYSTEM FOR DETECTION OF A FUEL CARD USAGE</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9563893</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02/07/17</w:t>
            </w:r>
          </w:p>
        </w:tc>
      </w:tr>
      <w:tr>
        <w:trPr>
          <w:trHeight w:val="250"/>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EXCEPTION</w:t>
            </w:r>
          </w:p>
        </w:tc>
        <w:tc>
          <w:tcPr>
            <w:tcW w:w="2380" w:type="dxa"/>
            <w:vAlign w:val="bottom"/>
            <w:tcBorders>
              <w:right w:val="single" w:sz="8" w:color="00000A"/>
            </w:tcBorders>
          </w:tcPr>
          <w:p>
            <w:pPr>
              <w:spacing w:after="0"/>
              <w:rPr>
                <w:sz w:val="21"/>
                <w:szCs w:val="21"/>
                <w:color w:val="auto"/>
              </w:rPr>
            </w:pPr>
          </w:p>
        </w:tc>
        <w:tc>
          <w:tcPr>
            <w:tcW w:w="2280" w:type="dxa"/>
            <w:vAlign w:val="bottom"/>
            <w:tcBorders>
              <w:right w:val="single" w:sz="8" w:color="00000A"/>
            </w:tcBorders>
          </w:tcPr>
          <w:p>
            <w:pPr>
              <w:spacing w:after="0"/>
              <w:rPr>
                <w:sz w:val="21"/>
                <w:szCs w:val="21"/>
                <w:color w:val="auto"/>
              </w:rPr>
            </w:pPr>
          </w:p>
        </w:tc>
      </w:tr>
      <w:tr>
        <w:trPr>
          <w:trHeight w:val="23"/>
        </w:trPr>
        <w:tc>
          <w:tcPr>
            <w:tcW w:w="1820" w:type="dxa"/>
            <w:vAlign w:val="bottom"/>
            <w:tcBorders>
              <w:left w:val="single" w:sz="8" w:color="00000A"/>
              <w:bottom w:val="single" w:sz="8" w:color="auto"/>
            </w:tcBorders>
          </w:tcPr>
          <w:p>
            <w:pPr>
              <w:spacing w:after="0"/>
              <w:rPr>
                <w:sz w:val="2"/>
                <w:szCs w:val="2"/>
                <w:color w:val="auto"/>
              </w:rPr>
            </w:pPr>
          </w:p>
        </w:tc>
        <w:tc>
          <w:tcPr>
            <w:tcW w:w="496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412"/>
        </w:trPr>
        <w:tc>
          <w:tcPr>
            <w:tcW w:w="18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Pending Applications</w:t>
            </w:r>
          </w:p>
        </w:tc>
        <w:tc>
          <w:tcPr>
            <w:tcW w:w="4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6780" w:type="dxa"/>
            <w:vAlign w:val="bottom"/>
            <w:tcBorders>
              <w:top w:val="single" w:sz="8" w:color="auto"/>
              <w:left w:val="single" w:sz="8" w:color="auto"/>
              <w:bottom w:val="single" w:sz="8" w:color="BFBFBF"/>
              <w:right w:val="single" w:sz="8" w:color="auto"/>
            </w:tcBorders>
            <w:shd w:val="clear" w:color="auto" w:fill="BFBFBF"/>
          </w:tcPr>
          <w:p>
            <w:pPr>
              <w:ind w:left="3180"/>
              <w:spacing w:after="0"/>
              <w:rPr>
                <w:sz w:val="20"/>
                <w:szCs w:val="20"/>
                <w:color w:val="auto"/>
              </w:rPr>
            </w:pPr>
            <w:r>
              <w:rPr>
                <w:rFonts w:ascii="Arial" w:cs="Arial" w:eastAsia="Arial" w:hAnsi="Arial"/>
                <w:sz w:val="20"/>
                <w:szCs w:val="20"/>
                <w:b w:val="1"/>
                <w:bCs w:val="1"/>
                <w:color w:val="auto"/>
              </w:rPr>
              <w:t>Title</w:t>
            </w:r>
          </w:p>
        </w:tc>
        <w:tc>
          <w:tcPr>
            <w:tcW w:w="2380" w:type="dxa"/>
            <w:vAlign w:val="bottom"/>
            <w:tcBorders>
              <w:top w:val="single" w:sz="8" w:color="auto"/>
              <w:bottom w:val="single" w:sz="8" w:color="BFBFBF"/>
              <w:right w:val="single" w:sz="8" w:color="auto"/>
            </w:tcBorders>
            <w:shd w:val="clear" w:color="auto" w:fill="BFBFBF"/>
          </w:tcPr>
          <w:p>
            <w:pPr>
              <w:ind w:left="760"/>
              <w:spacing w:after="0"/>
              <w:rPr>
                <w:sz w:val="20"/>
                <w:szCs w:val="20"/>
                <w:color w:val="auto"/>
              </w:rPr>
            </w:pPr>
            <w:r>
              <w:rPr>
                <w:rFonts w:ascii="Arial" w:cs="Arial" w:eastAsia="Arial" w:hAnsi="Arial"/>
                <w:sz w:val="20"/>
                <w:szCs w:val="20"/>
                <w:b w:val="1"/>
                <w:bCs w:val="1"/>
                <w:color w:val="auto"/>
              </w:rPr>
              <w:t>Appl. No.</w:t>
            </w:r>
          </w:p>
        </w:tc>
        <w:tc>
          <w:tcPr>
            <w:tcW w:w="22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Filing Date</w:t>
            </w:r>
          </w:p>
        </w:tc>
      </w:tr>
      <w:tr>
        <w:trPr>
          <w:trHeight w:val="240"/>
        </w:trPr>
        <w:tc>
          <w:tcPr>
            <w:tcW w:w="6780" w:type="dxa"/>
            <w:vAlign w:val="bottom"/>
            <w:tcBorders>
              <w:top w:val="single" w:sz="8" w:color="auto"/>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COMMUNICATION OF PROMOTIONS BASED ON DATA ASSOCIATED</w:t>
            </w:r>
          </w:p>
        </w:tc>
        <w:tc>
          <w:tcPr>
            <w:tcW w:w="2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7"/>
              </w:rPr>
              <w:t>14054257</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10/15/13</w:t>
            </w:r>
          </w:p>
        </w:tc>
      </w:tr>
      <w:tr>
        <w:trPr>
          <w:trHeight w:val="250"/>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WITH A VEHICLE</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20140108155</w:t>
            </w:r>
          </w:p>
        </w:tc>
        <w:tc>
          <w:tcPr>
            <w:tcW w:w="2280" w:type="dxa"/>
            <w:vAlign w:val="bottom"/>
            <w:tcBorders>
              <w:right w:val="single" w:sz="8" w:color="00000A"/>
            </w:tcBorders>
          </w:tcPr>
          <w:p>
            <w:pPr>
              <w:spacing w:after="0"/>
              <w:rPr>
                <w:sz w:val="21"/>
                <w:szCs w:val="21"/>
                <w:color w:val="auto"/>
              </w:rPr>
            </w:pP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33"/>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AUTOMATED PAIRING OF PAYMENT PRODUCTS AND MOBILE TO</w:t>
            </w:r>
          </w:p>
        </w:tc>
        <w:tc>
          <w:tcPr>
            <w:tcW w:w="2380" w:type="dxa"/>
            <w:vAlign w:val="bottom"/>
            <w:tcBorders>
              <w:right w:val="single" w:sz="8" w:color="00000A"/>
            </w:tcBorders>
          </w:tcPr>
          <w:p>
            <w:pPr>
              <w:ind w:left="740"/>
              <w:spacing w:after="0"/>
              <w:rPr>
                <w:sz w:val="20"/>
                <w:szCs w:val="20"/>
                <w:color w:val="auto"/>
              </w:rPr>
            </w:pPr>
            <w:r>
              <w:rPr>
                <w:rFonts w:ascii="Arial" w:cs="Arial" w:eastAsia="Arial" w:hAnsi="Arial"/>
                <w:sz w:val="20"/>
                <w:szCs w:val="20"/>
                <w:color w:val="auto"/>
              </w:rPr>
              <w:t>14680606</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04/07/15</w:t>
            </w:r>
          </w:p>
        </w:tc>
      </w:tr>
      <w:tr>
        <w:trPr>
          <w:trHeight w:val="250"/>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MOBILE DEVICES</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20150213432</w:t>
            </w:r>
          </w:p>
        </w:tc>
        <w:tc>
          <w:tcPr>
            <w:tcW w:w="2280" w:type="dxa"/>
            <w:vAlign w:val="bottom"/>
            <w:tcBorders>
              <w:right w:val="single" w:sz="8" w:color="00000A"/>
            </w:tcBorders>
          </w:tcPr>
          <w:p>
            <w:pPr>
              <w:spacing w:after="0"/>
              <w:rPr>
                <w:sz w:val="21"/>
                <w:szCs w:val="21"/>
                <w:color w:val="auto"/>
              </w:rPr>
            </w:pP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33"/>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AUTOMATED PAIRING OF PAYMENT PRODUCTS AND MOBILE TO</w:t>
            </w:r>
          </w:p>
        </w:tc>
        <w:tc>
          <w:tcPr>
            <w:tcW w:w="2380" w:type="dxa"/>
            <w:vAlign w:val="bottom"/>
            <w:tcBorders>
              <w:right w:val="single" w:sz="8" w:color="00000A"/>
            </w:tcBorders>
          </w:tcPr>
          <w:p>
            <w:pPr>
              <w:ind w:left="740"/>
              <w:spacing w:after="0"/>
              <w:rPr>
                <w:sz w:val="20"/>
                <w:szCs w:val="20"/>
                <w:color w:val="auto"/>
              </w:rPr>
            </w:pPr>
            <w:r>
              <w:rPr>
                <w:rFonts w:ascii="Arial" w:cs="Arial" w:eastAsia="Arial" w:hAnsi="Arial"/>
                <w:sz w:val="20"/>
                <w:szCs w:val="20"/>
                <w:color w:val="auto"/>
              </w:rPr>
              <w:t>14494035</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09/23/14</w:t>
            </w:r>
          </w:p>
        </w:tc>
      </w:tr>
      <w:tr>
        <w:trPr>
          <w:trHeight w:val="250"/>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MOBILE DEVICES</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20150026047</w:t>
            </w:r>
          </w:p>
        </w:tc>
        <w:tc>
          <w:tcPr>
            <w:tcW w:w="2280" w:type="dxa"/>
            <w:vAlign w:val="bottom"/>
            <w:tcBorders>
              <w:right w:val="single" w:sz="8" w:color="00000A"/>
            </w:tcBorders>
          </w:tcPr>
          <w:p>
            <w:pPr>
              <w:spacing w:after="0"/>
              <w:rPr>
                <w:sz w:val="21"/>
                <w:szCs w:val="21"/>
                <w:color w:val="auto"/>
              </w:rPr>
            </w:pP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FleetCor Technologies Operating Company,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Trademarks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Registered Marks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40"/>
          </w:cols>
          <w:pgMar w:left="240" w:top="751" w:right="219"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323"/>
        </w:trPr>
        <w:tc>
          <w:tcPr>
            <w:tcW w:w="1740" w:type="dxa"/>
            <w:vAlign w:val="bottom"/>
            <w:tcBorders>
              <w:top w:val="single" w:sz="8" w:color="auto"/>
              <w:left w:val="single" w:sz="8" w:color="auto"/>
              <w:bottom w:val="single" w:sz="8" w:color="BFBFBF"/>
            </w:tcBorders>
            <w:shd w:val="clear" w:color="auto" w:fill="BFBFBF"/>
          </w:tcPr>
          <w:p>
            <w:pPr>
              <w:spacing w:after="0"/>
              <w:rPr>
                <w:sz w:val="24"/>
                <w:szCs w:val="24"/>
                <w:color w:val="auto"/>
              </w:rPr>
            </w:pPr>
          </w:p>
        </w:tc>
        <w:tc>
          <w:tcPr>
            <w:tcW w:w="504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Arial" w:cs="Arial" w:eastAsia="Arial" w:hAnsi="Arial"/>
                <w:sz w:val="20"/>
                <w:szCs w:val="20"/>
                <w:b w:val="1"/>
                <w:bCs w:val="1"/>
                <w:color w:val="auto"/>
              </w:rPr>
              <w:t>Mark</w:t>
            </w:r>
          </w:p>
        </w:tc>
        <w:tc>
          <w:tcPr>
            <w:tcW w:w="2380" w:type="dxa"/>
            <w:vAlign w:val="bottom"/>
            <w:tcBorders>
              <w:top w:val="single" w:sz="8" w:color="auto"/>
              <w:bottom w:val="single" w:sz="8" w:color="BFBFBF"/>
              <w:right w:val="single" w:sz="8" w:color="auto"/>
            </w:tcBorders>
            <w:shd w:val="clear" w:color="auto" w:fill="BFBFBF"/>
          </w:tcPr>
          <w:p>
            <w:pPr>
              <w:ind w:left="800"/>
              <w:spacing w:after="0"/>
              <w:rPr>
                <w:sz w:val="20"/>
                <w:szCs w:val="20"/>
                <w:color w:val="auto"/>
              </w:rPr>
            </w:pPr>
            <w:r>
              <w:rPr>
                <w:rFonts w:ascii="Arial" w:cs="Arial" w:eastAsia="Arial" w:hAnsi="Arial"/>
                <w:sz w:val="20"/>
                <w:szCs w:val="20"/>
                <w:b w:val="1"/>
                <w:bCs w:val="1"/>
                <w:color w:val="auto"/>
              </w:rPr>
              <w:t>Reg. No.</w:t>
            </w:r>
          </w:p>
        </w:tc>
        <w:tc>
          <w:tcPr>
            <w:tcW w:w="22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Reg. Date</w:t>
            </w:r>
          </w:p>
        </w:tc>
      </w:tr>
      <w:tr>
        <w:trPr>
          <w:trHeight w:val="261"/>
        </w:trPr>
        <w:tc>
          <w:tcPr>
            <w:tcW w:w="6780" w:type="dxa"/>
            <w:vAlign w:val="bottom"/>
            <w:tcBorders>
              <w:top w:val="single" w:sz="8" w:color="auto"/>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 NET</w:t>
            </w:r>
          </w:p>
        </w:tc>
        <w:tc>
          <w:tcPr>
            <w:tcW w:w="2380" w:type="dxa"/>
            <w:vAlign w:val="bottom"/>
            <w:tcBorders>
              <w:top w:val="single" w:sz="8" w:color="auto"/>
              <w:right w:val="single" w:sz="8" w:color="00000A"/>
            </w:tcBorders>
          </w:tcPr>
          <w:p>
            <w:pPr>
              <w:ind w:left="820"/>
              <w:spacing w:after="0"/>
              <w:rPr>
                <w:sz w:val="20"/>
                <w:szCs w:val="20"/>
                <w:color w:val="auto"/>
              </w:rPr>
            </w:pPr>
            <w:r>
              <w:rPr>
                <w:rFonts w:ascii="Arial" w:cs="Arial" w:eastAsia="Arial" w:hAnsi="Arial"/>
                <w:sz w:val="20"/>
                <w:szCs w:val="20"/>
                <w:color w:val="auto"/>
              </w:rPr>
              <w:t>2540691</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02/19/02</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FLEETCARD and Design</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1364841</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10/08/85</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FUELMAN</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2914249</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12/28/04</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MANNANET</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2407627</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11/28/00</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MANNATEC</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1968102</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04/16/96</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Design only</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2941155</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04/19/05</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EFUELMAN</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3522074</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10/21/08</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FLEETMATCH</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3841447</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08/31/10</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IFLEET</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3849114</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09/14/10</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IFLEET.COM</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3849113</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09/14/10</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FLEETSOURCE</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3314008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10/16/07</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FLEETSOURCE and Design</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3314007</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10/16/07</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w w:val="96"/>
              </w:rPr>
              <w:t>THE FIRST AND ONLY SOURCE FOR GROWING YOUR FLEET BUSINESS</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3314009</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10/16/07</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FLEETCARDSUSA</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4504829</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04/01/14</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FLEETNET</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3205560</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02/06/07</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FUELMAN NETWORK and Design</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3293718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09/18/07</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FUELMAN and Design</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1363666</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10/01/85</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MANNATEC</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5068748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10/25/16</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FLEETCOR and Design</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4751423</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06/09/15</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FLEETCOR</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4751422</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06/09/15</w:t>
            </w:r>
          </w:p>
        </w:tc>
      </w:tr>
      <w:tr>
        <w:trPr>
          <w:trHeight w:val="23"/>
        </w:trPr>
        <w:tc>
          <w:tcPr>
            <w:tcW w:w="1740" w:type="dxa"/>
            <w:vAlign w:val="bottom"/>
            <w:tcBorders>
              <w:left w:val="single" w:sz="8" w:color="00000A"/>
              <w:bottom w:val="single" w:sz="8" w:color="auto"/>
            </w:tcBorders>
          </w:tcPr>
          <w:p>
            <w:pPr>
              <w:spacing w:after="0"/>
              <w:rPr>
                <w:sz w:val="2"/>
                <w:szCs w:val="2"/>
                <w:color w:val="auto"/>
              </w:rPr>
            </w:pPr>
          </w:p>
        </w:tc>
        <w:tc>
          <w:tcPr>
            <w:tcW w:w="504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412"/>
        </w:trPr>
        <w:tc>
          <w:tcPr>
            <w:tcW w:w="6780" w:type="dxa"/>
            <w:vAlign w:val="bottom"/>
            <w:gridSpan w:val="2"/>
          </w:tcPr>
          <w:p>
            <w:pPr>
              <w:spacing w:after="0"/>
              <w:rPr>
                <w:sz w:val="20"/>
                <w:szCs w:val="20"/>
                <w:color w:val="auto"/>
              </w:rPr>
            </w:pPr>
            <w:r>
              <w:rPr>
                <w:rFonts w:ascii="Arial" w:cs="Arial" w:eastAsia="Arial" w:hAnsi="Arial"/>
                <w:sz w:val="20"/>
                <w:szCs w:val="20"/>
                <w:b w:val="1"/>
                <w:bCs w:val="1"/>
                <w:color w:val="auto"/>
              </w:rPr>
              <w:t>Pending Application</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1740" w:type="dxa"/>
            <w:vAlign w:val="bottom"/>
            <w:tcBorders>
              <w:left w:val="single" w:sz="8" w:color="auto"/>
            </w:tcBorders>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1520" w:type="dxa"/>
            <w:vAlign w:val="bottom"/>
            <w:tcBorders>
              <w:top w:val="single" w:sz="8" w:color="auto"/>
              <w:left w:val="single" w:sz="8" w:color="auto"/>
              <w:bottom w:val="single" w:sz="8" w:color="BFBFBF"/>
            </w:tcBorders>
            <w:shd w:val="clear" w:color="auto" w:fill="BFBFBF"/>
          </w:tcPr>
          <w:p>
            <w:pPr>
              <w:spacing w:after="0"/>
              <w:rPr>
                <w:sz w:val="24"/>
                <w:szCs w:val="24"/>
                <w:color w:val="auto"/>
              </w:rPr>
            </w:pPr>
          </w:p>
        </w:tc>
        <w:tc>
          <w:tcPr>
            <w:tcW w:w="5280" w:type="dxa"/>
            <w:vAlign w:val="bottom"/>
            <w:tcBorders>
              <w:top w:val="single" w:sz="8" w:color="auto"/>
              <w:bottom w:val="single" w:sz="8" w:color="BFBFBF"/>
              <w:right w:val="single" w:sz="8" w:color="auto"/>
            </w:tcBorders>
            <w:shd w:val="clear" w:color="auto" w:fill="BFBFBF"/>
          </w:tcPr>
          <w:p>
            <w:pPr>
              <w:ind w:left="1620"/>
              <w:spacing w:after="0"/>
              <w:rPr>
                <w:sz w:val="20"/>
                <w:szCs w:val="20"/>
                <w:color w:val="auto"/>
              </w:rPr>
            </w:pPr>
            <w:r>
              <w:rPr>
                <w:rFonts w:ascii="Arial" w:cs="Arial" w:eastAsia="Arial" w:hAnsi="Arial"/>
                <w:sz w:val="20"/>
                <w:szCs w:val="20"/>
                <w:b w:val="1"/>
                <w:bCs w:val="1"/>
                <w:color w:val="auto"/>
              </w:rPr>
              <w:t>Mark</w:t>
            </w:r>
          </w:p>
        </w:tc>
        <w:tc>
          <w:tcPr>
            <w:tcW w:w="236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Appl. No.</w:t>
            </w:r>
          </w:p>
        </w:tc>
        <w:tc>
          <w:tcPr>
            <w:tcW w:w="22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Filing Date</w:t>
            </w:r>
          </w:p>
        </w:tc>
      </w:tr>
      <w:tr>
        <w:trPr>
          <w:trHeight w:val="284"/>
        </w:trPr>
        <w:tc>
          <w:tcPr>
            <w:tcW w:w="6800" w:type="dxa"/>
            <w:vAlign w:val="bottom"/>
            <w:tcBorders>
              <w:top w:val="single" w:sz="8" w:color="auto"/>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BUILDERPRO</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7"/>
              </w:rPr>
              <w:t>86947535</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03/21/16</w:t>
            </w:r>
          </w:p>
        </w:tc>
      </w:tr>
      <w:tr>
        <w:trPr>
          <w:trHeight w:val="20"/>
        </w:trPr>
        <w:tc>
          <w:tcPr>
            <w:tcW w:w="1520" w:type="dxa"/>
            <w:vAlign w:val="bottom"/>
            <w:tcBorders>
              <w:left w:val="single" w:sz="8" w:color="00000A"/>
            </w:tcBorders>
            <w:shd w:val="clear" w:color="auto" w:fill="000000"/>
          </w:tcPr>
          <w:p>
            <w:pPr>
              <w:spacing w:after="0" w:line="20" w:lineRule="exact"/>
              <w:rPr>
                <w:sz w:val="1"/>
                <w:szCs w:val="1"/>
                <w:color w:val="auto"/>
              </w:rPr>
            </w:pPr>
          </w:p>
        </w:tc>
        <w:tc>
          <w:tcPr>
            <w:tcW w:w="5280" w:type="dxa"/>
            <w:vAlign w:val="bottom"/>
            <w:tcBorders>
              <w:right w:val="single" w:sz="8" w:color="auto"/>
            </w:tcBorders>
            <w:shd w:val="clear" w:color="auto" w:fill="000000"/>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r>
        <w:trPr>
          <w:trHeight w:val="659"/>
        </w:trPr>
        <w:tc>
          <w:tcPr>
            <w:tcW w:w="6800" w:type="dxa"/>
            <w:vAlign w:val="bottom"/>
            <w:gridSpan w:val="2"/>
          </w:tcPr>
          <w:p>
            <w:pPr>
              <w:spacing w:after="0"/>
              <w:rPr>
                <w:sz w:val="20"/>
                <w:szCs w:val="20"/>
                <w:color w:val="auto"/>
              </w:rPr>
            </w:pPr>
            <w:r>
              <w:rPr>
                <w:rFonts w:ascii="Arial" w:cs="Arial" w:eastAsia="Arial" w:hAnsi="Arial"/>
                <w:sz w:val="20"/>
                <w:szCs w:val="20"/>
                <w:b w:val="1"/>
                <w:bCs w:val="1"/>
                <w:color w:val="auto"/>
              </w:rPr>
              <w:t>CFN Holding Co.</w:t>
            </w: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6800" w:type="dxa"/>
            <w:vAlign w:val="bottom"/>
            <w:gridSpan w:val="2"/>
          </w:tcPr>
          <w:p>
            <w:pPr>
              <w:spacing w:after="0"/>
              <w:rPr>
                <w:sz w:val="20"/>
                <w:szCs w:val="20"/>
                <w:color w:val="auto"/>
              </w:rPr>
            </w:pPr>
            <w:r>
              <w:rPr>
                <w:rFonts w:ascii="Arial" w:cs="Arial" w:eastAsia="Arial" w:hAnsi="Arial"/>
                <w:sz w:val="20"/>
                <w:szCs w:val="20"/>
                <w:b w:val="1"/>
                <w:bCs w:val="1"/>
                <w:color w:val="auto"/>
              </w:rPr>
              <w:t>U.S. Trademarks</w:t>
            </w:r>
          </w:p>
        </w:tc>
        <w:tc>
          <w:tcPr>
            <w:tcW w:w="23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15"/>
        </w:trPr>
        <w:tc>
          <w:tcPr>
            <w:tcW w:w="6800" w:type="dxa"/>
            <w:vAlign w:val="bottom"/>
            <w:gridSpan w:val="2"/>
          </w:tcPr>
          <w:p>
            <w:pPr>
              <w:spacing w:after="0"/>
              <w:rPr>
                <w:sz w:val="20"/>
                <w:szCs w:val="20"/>
                <w:color w:val="auto"/>
              </w:rPr>
            </w:pPr>
            <w:r>
              <w:rPr>
                <w:rFonts w:ascii="Arial" w:cs="Arial" w:eastAsia="Arial" w:hAnsi="Arial"/>
                <w:sz w:val="20"/>
                <w:szCs w:val="20"/>
                <w:b w:val="1"/>
                <w:bCs w:val="1"/>
                <w:color w:val="auto"/>
              </w:rPr>
              <w:t>Registered Marks</w:t>
            </w: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1520" w:type="dxa"/>
            <w:vAlign w:val="bottom"/>
            <w:tcBorders>
              <w:top w:val="single" w:sz="8" w:color="auto"/>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96"/>
        </w:trPr>
        <w:tc>
          <w:tcPr>
            <w:tcW w:w="1520" w:type="dxa"/>
            <w:vAlign w:val="bottom"/>
            <w:tcBorders>
              <w:left w:val="single" w:sz="8" w:color="auto"/>
              <w:bottom w:val="single" w:sz="8" w:color="BFBFBF"/>
            </w:tcBorders>
            <w:shd w:val="clear" w:color="auto" w:fill="BFBFBF"/>
          </w:tcPr>
          <w:p>
            <w:pPr>
              <w:spacing w:after="0"/>
              <w:rPr>
                <w:sz w:val="24"/>
                <w:szCs w:val="24"/>
                <w:color w:val="auto"/>
              </w:rPr>
            </w:pPr>
          </w:p>
        </w:tc>
        <w:tc>
          <w:tcPr>
            <w:tcW w:w="5280" w:type="dxa"/>
            <w:vAlign w:val="bottom"/>
            <w:tcBorders>
              <w:bottom w:val="single" w:sz="8" w:color="BFBFBF"/>
              <w:right w:val="single" w:sz="8" w:color="auto"/>
            </w:tcBorders>
            <w:shd w:val="clear" w:color="auto" w:fill="BFBFBF"/>
          </w:tcPr>
          <w:p>
            <w:pPr>
              <w:ind w:left="1620"/>
              <w:spacing w:after="0"/>
              <w:rPr>
                <w:sz w:val="20"/>
                <w:szCs w:val="20"/>
                <w:color w:val="auto"/>
              </w:rPr>
            </w:pPr>
            <w:r>
              <w:rPr>
                <w:rFonts w:ascii="Arial" w:cs="Arial" w:eastAsia="Arial" w:hAnsi="Arial"/>
                <w:sz w:val="20"/>
                <w:szCs w:val="20"/>
                <w:b w:val="1"/>
                <w:bCs w:val="1"/>
                <w:color w:val="auto"/>
              </w:rPr>
              <w:t>Mark</w:t>
            </w:r>
          </w:p>
        </w:tc>
        <w:tc>
          <w:tcPr>
            <w:tcW w:w="236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Reg. No.</w:t>
            </w:r>
          </w:p>
        </w:tc>
        <w:tc>
          <w:tcPr>
            <w:tcW w:w="22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Reg. Date</w:t>
            </w:r>
          </w:p>
        </w:tc>
      </w:tr>
      <w:tr>
        <w:trPr>
          <w:trHeight w:val="261"/>
        </w:trPr>
        <w:tc>
          <w:tcPr>
            <w:tcW w:w="6800" w:type="dxa"/>
            <w:vAlign w:val="bottom"/>
            <w:tcBorders>
              <w:top w:val="single" w:sz="8" w:color="auto"/>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CFN</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1614811</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09/25/90</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5280" w:type="dxa"/>
            <w:vAlign w:val="bottom"/>
            <w:tcBorders>
              <w:bottom w:val="single" w:sz="8" w:color="auto"/>
              <w:right w:val="single" w:sz="8" w:color="00000A"/>
            </w:tcBorders>
          </w:tcPr>
          <w:p>
            <w:pPr>
              <w:spacing w:after="0"/>
              <w:rPr>
                <w:sz w:val="2"/>
                <w:szCs w:val="2"/>
                <w:color w:val="auto"/>
              </w:rPr>
            </w:pPr>
          </w:p>
        </w:tc>
        <w:tc>
          <w:tcPr>
            <w:tcW w:w="236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80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CFN COMMERCIAL FUELING NETWORK and Design</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1574809</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01/02/90</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5280" w:type="dxa"/>
            <w:vAlign w:val="bottom"/>
            <w:tcBorders>
              <w:bottom w:val="single" w:sz="8" w:color="auto"/>
              <w:right w:val="single" w:sz="8" w:color="00000A"/>
            </w:tcBorders>
          </w:tcPr>
          <w:p>
            <w:pPr>
              <w:spacing w:after="0"/>
              <w:rPr>
                <w:sz w:val="2"/>
                <w:szCs w:val="2"/>
                <w:color w:val="auto"/>
              </w:rPr>
            </w:pPr>
          </w:p>
        </w:tc>
        <w:tc>
          <w:tcPr>
            <w:tcW w:w="236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Pending Applications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40"/>
          </w:cols>
          <w:pgMar w:left="240" w:top="889" w:right="21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323"/>
        </w:trPr>
        <w:tc>
          <w:tcPr>
            <w:tcW w:w="1520" w:type="dxa"/>
            <w:vAlign w:val="bottom"/>
            <w:tcBorders>
              <w:top w:val="single" w:sz="8" w:color="auto"/>
              <w:left w:val="single" w:sz="8" w:color="auto"/>
              <w:bottom w:val="single" w:sz="8" w:color="BFBFBF"/>
            </w:tcBorders>
            <w:shd w:val="clear" w:color="auto" w:fill="BFBFBF"/>
          </w:tcPr>
          <w:p>
            <w:pPr>
              <w:spacing w:after="0"/>
              <w:rPr>
                <w:sz w:val="24"/>
                <w:szCs w:val="24"/>
                <w:color w:val="auto"/>
              </w:rPr>
            </w:pPr>
          </w:p>
        </w:tc>
        <w:tc>
          <w:tcPr>
            <w:tcW w:w="380" w:type="dxa"/>
            <w:vAlign w:val="bottom"/>
            <w:tcBorders>
              <w:top w:val="single" w:sz="8" w:color="auto"/>
              <w:bottom w:val="single" w:sz="8" w:color="BFBFBF"/>
            </w:tcBorders>
            <w:shd w:val="clear" w:color="auto" w:fill="BFBFBF"/>
          </w:tcPr>
          <w:p>
            <w:pPr>
              <w:spacing w:after="0"/>
              <w:rPr>
                <w:sz w:val="24"/>
                <w:szCs w:val="24"/>
                <w:color w:val="auto"/>
              </w:rPr>
            </w:pPr>
          </w:p>
        </w:tc>
        <w:tc>
          <w:tcPr>
            <w:tcW w:w="4880" w:type="dxa"/>
            <w:vAlign w:val="bottom"/>
            <w:tcBorders>
              <w:top w:val="single" w:sz="8" w:color="auto"/>
              <w:bottom w:val="single" w:sz="8" w:color="BFBFBF"/>
              <w:right w:val="single" w:sz="8" w:color="auto"/>
            </w:tcBorders>
            <w:shd w:val="clear" w:color="auto" w:fill="BFBFBF"/>
          </w:tcPr>
          <w:p>
            <w:pPr>
              <w:jc w:val="center"/>
              <w:ind w:right="1821"/>
              <w:spacing w:after="0"/>
              <w:rPr>
                <w:sz w:val="20"/>
                <w:szCs w:val="20"/>
                <w:color w:val="auto"/>
              </w:rPr>
            </w:pPr>
            <w:r>
              <w:rPr>
                <w:rFonts w:ascii="Arial" w:cs="Arial" w:eastAsia="Arial" w:hAnsi="Arial"/>
                <w:sz w:val="20"/>
                <w:szCs w:val="20"/>
                <w:b w:val="1"/>
                <w:bCs w:val="1"/>
                <w:color w:val="auto"/>
              </w:rPr>
              <w:t>Mark</w:t>
            </w:r>
          </w:p>
        </w:tc>
        <w:tc>
          <w:tcPr>
            <w:tcW w:w="23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Appl. No.</w:t>
            </w:r>
          </w:p>
        </w:tc>
        <w:tc>
          <w:tcPr>
            <w:tcW w:w="22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Filing Date</w:t>
            </w:r>
          </w:p>
        </w:tc>
      </w:tr>
      <w:tr>
        <w:trPr>
          <w:trHeight w:val="261"/>
        </w:trPr>
        <w:tc>
          <w:tcPr>
            <w:tcW w:w="6780" w:type="dxa"/>
            <w:vAlign w:val="bottom"/>
            <w:tcBorders>
              <w:top w:val="single" w:sz="8" w:color="auto"/>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FLEETWIDE (Stylized)</w:t>
            </w:r>
          </w:p>
        </w:tc>
        <w:tc>
          <w:tcPr>
            <w:tcW w:w="2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7"/>
              </w:rPr>
              <w:t>87433760</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05/02/17</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FLEETWIDE</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87433738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05/02/17</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FLEETWIDE</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87244274</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11/21/16</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FLEETWIDE (Stylized)</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87244258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11/21/16</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659"/>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Corporate Lodging Consultants, Inc.</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U.S. Trademarks</w:t>
            </w:r>
          </w:p>
        </w:tc>
        <w:tc>
          <w:tcPr>
            <w:tcW w:w="238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15"/>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Registered Marks</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152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96"/>
        </w:trPr>
        <w:tc>
          <w:tcPr>
            <w:tcW w:w="1520" w:type="dxa"/>
            <w:vAlign w:val="bottom"/>
            <w:tcBorders>
              <w:left w:val="single" w:sz="8" w:color="auto"/>
              <w:bottom w:val="single" w:sz="8" w:color="BFBFBF"/>
            </w:tcBorders>
            <w:shd w:val="clear" w:color="auto" w:fill="BFBFBF"/>
          </w:tcPr>
          <w:p>
            <w:pPr>
              <w:spacing w:after="0"/>
              <w:rPr>
                <w:sz w:val="24"/>
                <w:szCs w:val="24"/>
                <w:color w:val="auto"/>
              </w:rPr>
            </w:pPr>
          </w:p>
        </w:tc>
        <w:tc>
          <w:tcPr>
            <w:tcW w:w="380" w:type="dxa"/>
            <w:vAlign w:val="bottom"/>
            <w:tcBorders>
              <w:bottom w:val="single" w:sz="8" w:color="BFBFBF"/>
            </w:tcBorders>
            <w:shd w:val="clear" w:color="auto" w:fill="BFBFBF"/>
          </w:tcPr>
          <w:p>
            <w:pPr>
              <w:spacing w:after="0"/>
              <w:rPr>
                <w:sz w:val="24"/>
                <w:szCs w:val="24"/>
                <w:color w:val="auto"/>
              </w:rPr>
            </w:pPr>
          </w:p>
        </w:tc>
        <w:tc>
          <w:tcPr>
            <w:tcW w:w="4880" w:type="dxa"/>
            <w:vAlign w:val="bottom"/>
            <w:tcBorders>
              <w:bottom w:val="single" w:sz="8" w:color="BFBFBF"/>
              <w:right w:val="single" w:sz="8" w:color="auto"/>
            </w:tcBorders>
            <w:shd w:val="clear" w:color="auto" w:fill="BFBFBF"/>
          </w:tcPr>
          <w:p>
            <w:pPr>
              <w:jc w:val="center"/>
              <w:ind w:right="1821"/>
              <w:spacing w:after="0"/>
              <w:rPr>
                <w:sz w:val="20"/>
                <w:szCs w:val="20"/>
                <w:color w:val="auto"/>
              </w:rPr>
            </w:pPr>
            <w:r>
              <w:rPr>
                <w:rFonts w:ascii="Arial" w:cs="Arial" w:eastAsia="Arial" w:hAnsi="Arial"/>
                <w:sz w:val="20"/>
                <w:szCs w:val="20"/>
                <w:b w:val="1"/>
                <w:bCs w:val="1"/>
                <w:color w:val="auto"/>
              </w:rPr>
              <w:t>Mark</w:t>
            </w:r>
          </w:p>
        </w:tc>
        <w:tc>
          <w:tcPr>
            <w:tcW w:w="23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Reg. No.</w:t>
            </w:r>
          </w:p>
        </w:tc>
        <w:tc>
          <w:tcPr>
            <w:tcW w:w="22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Reg. Date</w:t>
            </w:r>
          </w:p>
        </w:tc>
      </w:tr>
      <w:tr>
        <w:trPr>
          <w:trHeight w:val="261"/>
        </w:trPr>
        <w:tc>
          <w:tcPr>
            <w:tcW w:w="6780" w:type="dxa"/>
            <w:vAlign w:val="bottom"/>
            <w:tcBorders>
              <w:top w:val="single" w:sz="8" w:color="auto"/>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CHECK INN and Design</w:t>
            </w:r>
          </w:p>
        </w:tc>
        <w:tc>
          <w:tcPr>
            <w:tcW w:w="2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1757134</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03/09/93</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CLC LODGING</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4872544</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12/22/15</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659"/>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CFN Holding Co.</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U.S. Copyrights</w:t>
            </w:r>
          </w:p>
        </w:tc>
        <w:tc>
          <w:tcPr>
            <w:tcW w:w="238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15"/>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Registered Copyrights</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15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96"/>
        </w:trPr>
        <w:tc>
          <w:tcPr>
            <w:tcW w:w="1520" w:type="dxa"/>
            <w:vAlign w:val="bottom"/>
            <w:tcBorders>
              <w:left w:val="single" w:sz="8" w:color="auto"/>
              <w:bottom w:val="single" w:sz="8" w:color="BFBFBF"/>
            </w:tcBorders>
            <w:shd w:val="clear" w:color="auto" w:fill="BFBFBF"/>
          </w:tcPr>
          <w:p>
            <w:pPr>
              <w:spacing w:after="0"/>
              <w:rPr>
                <w:sz w:val="24"/>
                <w:szCs w:val="24"/>
                <w:color w:val="auto"/>
              </w:rPr>
            </w:pPr>
          </w:p>
        </w:tc>
        <w:tc>
          <w:tcPr>
            <w:tcW w:w="380" w:type="dxa"/>
            <w:vAlign w:val="bottom"/>
            <w:tcBorders>
              <w:bottom w:val="single" w:sz="8" w:color="BFBFBF"/>
            </w:tcBorders>
            <w:shd w:val="clear" w:color="auto" w:fill="BFBFBF"/>
          </w:tcPr>
          <w:p>
            <w:pPr>
              <w:spacing w:after="0"/>
              <w:rPr>
                <w:sz w:val="24"/>
                <w:szCs w:val="24"/>
                <w:color w:val="auto"/>
              </w:rPr>
            </w:pPr>
          </w:p>
        </w:tc>
        <w:tc>
          <w:tcPr>
            <w:tcW w:w="4880" w:type="dxa"/>
            <w:vAlign w:val="bottom"/>
            <w:tcBorders>
              <w:bottom w:val="single" w:sz="8" w:color="BFBFBF"/>
              <w:right w:val="single" w:sz="8" w:color="auto"/>
            </w:tcBorders>
            <w:shd w:val="clear" w:color="auto" w:fill="BFBFBF"/>
          </w:tcPr>
          <w:p>
            <w:pPr>
              <w:jc w:val="center"/>
              <w:ind w:right="1821"/>
              <w:spacing w:after="0"/>
              <w:rPr>
                <w:sz w:val="20"/>
                <w:szCs w:val="20"/>
                <w:color w:val="auto"/>
              </w:rPr>
            </w:pPr>
            <w:r>
              <w:rPr>
                <w:rFonts w:ascii="Arial" w:cs="Arial" w:eastAsia="Arial" w:hAnsi="Arial"/>
                <w:sz w:val="20"/>
                <w:szCs w:val="20"/>
                <w:b w:val="1"/>
                <w:bCs w:val="1"/>
                <w:color w:val="auto"/>
                <w:w w:val="97"/>
              </w:rPr>
              <w:t>Title</w:t>
            </w:r>
          </w:p>
        </w:tc>
        <w:tc>
          <w:tcPr>
            <w:tcW w:w="23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Reg. No.</w:t>
            </w:r>
          </w:p>
        </w:tc>
        <w:tc>
          <w:tcPr>
            <w:tcW w:w="22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Reg. Date</w:t>
            </w:r>
          </w:p>
        </w:tc>
      </w:tr>
      <w:tr>
        <w:trPr>
          <w:trHeight w:val="261"/>
        </w:trPr>
        <w:tc>
          <w:tcPr>
            <w:tcW w:w="6780" w:type="dxa"/>
            <w:vAlign w:val="bottom"/>
            <w:tcBorders>
              <w:top w:val="single" w:sz="8" w:color="auto"/>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CFN 4.0 operations manual</w:t>
            </w:r>
          </w:p>
        </w:tc>
        <w:tc>
          <w:tcPr>
            <w:tcW w:w="2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92"/>
              </w:rPr>
              <w:t>TX0004943616</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03/01/99</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CFN 4.0 software</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TXu000895031</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03/01/99</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430"/>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FleetCor Technologies, Inc.</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U.S. Copyrights</w:t>
            </w:r>
          </w:p>
        </w:tc>
        <w:tc>
          <w:tcPr>
            <w:tcW w:w="238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15"/>
        </w:trPr>
        <w:tc>
          <w:tcPr>
            <w:tcW w:w="6780" w:type="dxa"/>
            <w:vAlign w:val="bottom"/>
            <w:gridSpan w:val="3"/>
          </w:tcPr>
          <w:p>
            <w:pPr>
              <w:spacing w:after="0"/>
              <w:rPr>
                <w:sz w:val="20"/>
                <w:szCs w:val="20"/>
                <w:color w:val="auto"/>
              </w:rPr>
            </w:pPr>
            <w:r>
              <w:rPr>
                <w:rFonts w:ascii="Arial" w:cs="Arial" w:eastAsia="Arial" w:hAnsi="Arial"/>
                <w:sz w:val="20"/>
                <w:szCs w:val="20"/>
                <w:b w:val="1"/>
                <w:bCs w:val="1"/>
                <w:color w:val="auto"/>
              </w:rPr>
              <w:t>Registered Copyrights</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15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96"/>
        </w:trPr>
        <w:tc>
          <w:tcPr>
            <w:tcW w:w="1520" w:type="dxa"/>
            <w:vAlign w:val="bottom"/>
            <w:tcBorders>
              <w:left w:val="single" w:sz="8" w:color="auto"/>
              <w:bottom w:val="single" w:sz="8" w:color="BFBFBF"/>
            </w:tcBorders>
            <w:shd w:val="clear" w:color="auto" w:fill="BFBFBF"/>
          </w:tcPr>
          <w:p>
            <w:pPr>
              <w:spacing w:after="0"/>
              <w:rPr>
                <w:sz w:val="24"/>
                <w:szCs w:val="24"/>
                <w:color w:val="auto"/>
              </w:rPr>
            </w:pPr>
          </w:p>
        </w:tc>
        <w:tc>
          <w:tcPr>
            <w:tcW w:w="380" w:type="dxa"/>
            <w:vAlign w:val="bottom"/>
            <w:tcBorders>
              <w:bottom w:val="single" w:sz="8" w:color="BFBFBF"/>
            </w:tcBorders>
            <w:shd w:val="clear" w:color="auto" w:fill="BFBFBF"/>
          </w:tcPr>
          <w:p>
            <w:pPr>
              <w:spacing w:after="0"/>
              <w:rPr>
                <w:sz w:val="24"/>
                <w:szCs w:val="24"/>
                <w:color w:val="auto"/>
              </w:rPr>
            </w:pPr>
          </w:p>
        </w:tc>
        <w:tc>
          <w:tcPr>
            <w:tcW w:w="4880" w:type="dxa"/>
            <w:vAlign w:val="bottom"/>
            <w:tcBorders>
              <w:bottom w:val="single" w:sz="8" w:color="BFBFBF"/>
              <w:right w:val="single" w:sz="8" w:color="auto"/>
            </w:tcBorders>
            <w:shd w:val="clear" w:color="auto" w:fill="BFBFBF"/>
          </w:tcPr>
          <w:p>
            <w:pPr>
              <w:jc w:val="center"/>
              <w:ind w:right="1821"/>
              <w:spacing w:after="0"/>
              <w:rPr>
                <w:sz w:val="20"/>
                <w:szCs w:val="20"/>
                <w:color w:val="auto"/>
              </w:rPr>
            </w:pPr>
            <w:r>
              <w:rPr>
                <w:rFonts w:ascii="Arial" w:cs="Arial" w:eastAsia="Arial" w:hAnsi="Arial"/>
                <w:sz w:val="20"/>
                <w:szCs w:val="20"/>
                <w:b w:val="1"/>
                <w:bCs w:val="1"/>
                <w:color w:val="auto"/>
                <w:w w:val="97"/>
              </w:rPr>
              <w:t>Title</w:t>
            </w:r>
          </w:p>
        </w:tc>
        <w:tc>
          <w:tcPr>
            <w:tcW w:w="23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Reg. No.</w:t>
            </w:r>
          </w:p>
        </w:tc>
        <w:tc>
          <w:tcPr>
            <w:tcW w:w="22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Reg. Date</w:t>
            </w:r>
          </w:p>
        </w:tc>
      </w:tr>
      <w:tr>
        <w:trPr>
          <w:trHeight w:val="261"/>
        </w:trPr>
        <w:tc>
          <w:tcPr>
            <w:tcW w:w="6780" w:type="dxa"/>
            <w:vAlign w:val="bottom"/>
            <w:tcBorders>
              <w:top w:val="single" w:sz="8" w:color="auto"/>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CheckMaint</w:t>
            </w:r>
          </w:p>
        </w:tc>
        <w:tc>
          <w:tcPr>
            <w:tcW w:w="2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92"/>
              </w:rPr>
              <w:t>TX0006065697</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07/12/04</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FleetAll report generator</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TX0006095578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07/09/04</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FleetAll statement generator</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TX0006095508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07/19/04</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Transaction reporter</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TX0006103446</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07/19/04</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AccountManager</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TX0006013579</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07/19/04</w:t>
            </w:r>
          </w:p>
        </w:tc>
      </w:tr>
      <w:tr>
        <w:trPr>
          <w:trHeight w:val="23"/>
        </w:trPr>
        <w:tc>
          <w:tcPr>
            <w:tcW w:w="1520" w:type="dxa"/>
            <w:vAlign w:val="bottom"/>
            <w:tcBorders>
              <w:left w:val="single" w:sz="8" w:color="00000A"/>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FleetCor Technologies Operating Company,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Copyright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Registered Copyright</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40"/>
          </w:cols>
          <w:pgMar w:left="240" w:top="889" w:right="219" w:bottom="1440" w:gutter="0" w:footer="0" w:header="0"/>
        </w:sectPr>
      </w:pPr>
    </w:p>
    <w:bookmarkStart w:id="85" w:name="page86"/>
    <w:bookmarkEnd w:id="85"/>
    <w:tbl>
      <w:tblPr>
        <w:tblLayout w:type="fixed"/>
        <w:tblInd w:w="10" w:type="dxa"/>
        <w:tblCellMar>
          <w:top w:w="0" w:type="dxa"/>
          <w:left w:w="0" w:type="dxa"/>
          <w:bottom w:w="0" w:type="dxa"/>
          <w:right w:w="0" w:type="dxa"/>
        </w:tblCellMar>
      </w:tblPr>
      <w:tr>
        <w:trPr>
          <w:trHeight w:val="323"/>
        </w:trPr>
        <w:tc>
          <w:tcPr>
            <w:tcW w:w="1220" w:type="dxa"/>
            <w:vAlign w:val="bottom"/>
            <w:tcBorders>
              <w:top w:val="single" w:sz="8" w:color="auto"/>
              <w:left w:val="single" w:sz="8" w:color="auto"/>
              <w:bottom w:val="single" w:sz="8" w:color="BFBFBF"/>
            </w:tcBorders>
            <w:shd w:val="clear" w:color="auto" w:fill="BFBFBF"/>
          </w:tcPr>
          <w:p>
            <w:pPr>
              <w:spacing w:after="0"/>
              <w:rPr>
                <w:sz w:val="24"/>
                <w:szCs w:val="24"/>
                <w:color w:val="auto"/>
              </w:rPr>
            </w:pPr>
          </w:p>
        </w:tc>
        <w:tc>
          <w:tcPr>
            <w:tcW w:w="300" w:type="dxa"/>
            <w:vAlign w:val="bottom"/>
            <w:tcBorders>
              <w:top w:val="single" w:sz="8" w:color="auto"/>
              <w:bottom w:val="single" w:sz="8" w:color="BFBFBF"/>
            </w:tcBorders>
            <w:shd w:val="clear" w:color="auto" w:fill="BFBFBF"/>
          </w:tcPr>
          <w:p>
            <w:pPr>
              <w:spacing w:after="0"/>
              <w:rPr>
                <w:sz w:val="24"/>
                <w:szCs w:val="24"/>
                <w:color w:val="auto"/>
              </w:rPr>
            </w:pPr>
          </w:p>
        </w:tc>
        <w:tc>
          <w:tcPr>
            <w:tcW w:w="300" w:type="dxa"/>
            <w:vAlign w:val="bottom"/>
            <w:tcBorders>
              <w:top w:val="single" w:sz="8" w:color="auto"/>
              <w:bottom w:val="single" w:sz="8" w:color="BFBFBF"/>
            </w:tcBorders>
            <w:shd w:val="clear" w:color="auto" w:fill="BFBFBF"/>
          </w:tcPr>
          <w:p>
            <w:pPr>
              <w:spacing w:after="0"/>
              <w:rPr>
                <w:sz w:val="24"/>
                <w:szCs w:val="24"/>
                <w:color w:val="auto"/>
              </w:rPr>
            </w:pPr>
          </w:p>
        </w:tc>
        <w:tc>
          <w:tcPr>
            <w:tcW w:w="4980" w:type="dxa"/>
            <w:vAlign w:val="bottom"/>
            <w:tcBorders>
              <w:top w:val="single" w:sz="8" w:color="auto"/>
              <w:bottom w:val="single" w:sz="8" w:color="BFBFBF"/>
              <w:right w:val="single" w:sz="8" w:color="auto"/>
            </w:tcBorders>
            <w:shd w:val="clear" w:color="auto" w:fill="BFBFBF"/>
          </w:tcPr>
          <w:p>
            <w:pPr>
              <w:ind w:left="1360"/>
              <w:spacing w:after="0"/>
              <w:rPr>
                <w:sz w:val="20"/>
                <w:szCs w:val="20"/>
                <w:color w:val="auto"/>
              </w:rPr>
            </w:pPr>
            <w:r>
              <w:rPr>
                <w:rFonts w:ascii="Arial" w:cs="Arial" w:eastAsia="Arial" w:hAnsi="Arial"/>
                <w:sz w:val="20"/>
                <w:szCs w:val="20"/>
                <w:b w:val="1"/>
                <w:bCs w:val="1"/>
                <w:color w:val="auto"/>
              </w:rPr>
              <w:t>Title</w:t>
            </w:r>
          </w:p>
        </w:tc>
        <w:tc>
          <w:tcPr>
            <w:tcW w:w="236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Reg. No.</w:t>
            </w:r>
          </w:p>
        </w:tc>
        <w:tc>
          <w:tcPr>
            <w:tcW w:w="22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Reg. Date</w:t>
            </w:r>
          </w:p>
        </w:tc>
      </w:tr>
      <w:tr>
        <w:trPr>
          <w:trHeight w:val="284"/>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Fleetnet</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92"/>
              </w:rPr>
              <w:t>TXu001050046</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10/02/02</w:t>
            </w:r>
          </w:p>
        </w:tc>
      </w:tr>
      <w:tr>
        <w:trPr>
          <w:trHeight w:val="20"/>
        </w:trPr>
        <w:tc>
          <w:tcPr>
            <w:tcW w:w="1220" w:type="dxa"/>
            <w:vAlign w:val="bottom"/>
            <w:tcBorders>
              <w:left w:val="single" w:sz="8" w:color="00000A"/>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80" w:type="dxa"/>
            <w:vAlign w:val="bottom"/>
            <w:tcBorders>
              <w:right w:val="single" w:sz="8" w:color="auto"/>
            </w:tcBorders>
            <w:shd w:val="clear" w:color="auto" w:fill="000000"/>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r>
        <w:trPr>
          <w:trHeight w:val="659"/>
        </w:trPr>
        <w:tc>
          <w:tcPr>
            <w:tcW w:w="6800" w:type="dxa"/>
            <w:vAlign w:val="bottom"/>
            <w:gridSpan w:val="4"/>
          </w:tcPr>
          <w:p>
            <w:pPr>
              <w:spacing w:after="0"/>
              <w:rPr>
                <w:sz w:val="20"/>
                <w:szCs w:val="20"/>
                <w:color w:val="auto"/>
              </w:rPr>
            </w:pPr>
            <w:r>
              <w:rPr>
                <w:rFonts w:ascii="Arial" w:cs="Arial" w:eastAsia="Arial" w:hAnsi="Arial"/>
                <w:sz w:val="20"/>
                <w:szCs w:val="20"/>
                <w:b w:val="1"/>
                <w:bCs w:val="1"/>
                <w:color w:val="auto"/>
              </w:rPr>
              <w:t>Comdata Inc.</w:t>
            </w: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6800" w:type="dxa"/>
            <w:vAlign w:val="bottom"/>
            <w:gridSpan w:val="4"/>
          </w:tcPr>
          <w:p>
            <w:pPr>
              <w:spacing w:after="0"/>
              <w:rPr>
                <w:sz w:val="20"/>
                <w:szCs w:val="20"/>
                <w:color w:val="auto"/>
              </w:rPr>
            </w:pPr>
            <w:r>
              <w:rPr>
                <w:rFonts w:ascii="Arial" w:cs="Arial" w:eastAsia="Arial" w:hAnsi="Arial"/>
                <w:sz w:val="20"/>
                <w:szCs w:val="20"/>
                <w:b w:val="1"/>
                <w:bCs w:val="1"/>
                <w:color w:val="auto"/>
              </w:rPr>
              <w:t>U.S. Patents</w:t>
            </w:r>
          </w:p>
        </w:tc>
        <w:tc>
          <w:tcPr>
            <w:tcW w:w="23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15"/>
        </w:trPr>
        <w:tc>
          <w:tcPr>
            <w:tcW w:w="6800" w:type="dxa"/>
            <w:vAlign w:val="bottom"/>
            <w:gridSpan w:val="4"/>
          </w:tcPr>
          <w:p>
            <w:pPr>
              <w:spacing w:after="0"/>
              <w:rPr>
                <w:sz w:val="20"/>
                <w:szCs w:val="20"/>
                <w:color w:val="auto"/>
              </w:rPr>
            </w:pPr>
            <w:r>
              <w:rPr>
                <w:rFonts w:ascii="Arial" w:cs="Arial" w:eastAsia="Arial" w:hAnsi="Arial"/>
                <w:sz w:val="20"/>
                <w:szCs w:val="20"/>
                <w:b w:val="1"/>
                <w:bCs w:val="1"/>
                <w:color w:val="auto"/>
              </w:rPr>
              <w:t>Issued Patents</w:t>
            </w: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12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96"/>
        </w:trPr>
        <w:tc>
          <w:tcPr>
            <w:tcW w:w="1220" w:type="dxa"/>
            <w:vAlign w:val="bottom"/>
            <w:tcBorders>
              <w:left w:val="single" w:sz="8" w:color="auto"/>
              <w:bottom w:val="single" w:sz="8" w:color="BFBFBF"/>
            </w:tcBorders>
            <w:shd w:val="clear" w:color="auto" w:fill="BFBFBF"/>
          </w:tcPr>
          <w:p>
            <w:pPr>
              <w:spacing w:after="0"/>
              <w:rPr>
                <w:sz w:val="24"/>
                <w:szCs w:val="24"/>
                <w:color w:val="auto"/>
              </w:rPr>
            </w:pPr>
          </w:p>
        </w:tc>
        <w:tc>
          <w:tcPr>
            <w:tcW w:w="300" w:type="dxa"/>
            <w:vAlign w:val="bottom"/>
            <w:tcBorders>
              <w:bottom w:val="single" w:sz="8" w:color="BFBFBF"/>
            </w:tcBorders>
            <w:shd w:val="clear" w:color="auto" w:fill="BFBFBF"/>
          </w:tcPr>
          <w:p>
            <w:pPr>
              <w:spacing w:after="0"/>
              <w:rPr>
                <w:sz w:val="24"/>
                <w:szCs w:val="24"/>
                <w:color w:val="auto"/>
              </w:rPr>
            </w:pPr>
          </w:p>
        </w:tc>
        <w:tc>
          <w:tcPr>
            <w:tcW w:w="300" w:type="dxa"/>
            <w:vAlign w:val="bottom"/>
            <w:tcBorders>
              <w:bottom w:val="single" w:sz="8" w:color="BFBFBF"/>
            </w:tcBorders>
            <w:shd w:val="clear" w:color="auto" w:fill="BFBFBF"/>
          </w:tcPr>
          <w:p>
            <w:pPr>
              <w:spacing w:after="0"/>
              <w:rPr>
                <w:sz w:val="24"/>
                <w:szCs w:val="24"/>
                <w:color w:val="auto"/>
              </w:rPr>
            </w:pPr>
          </w:p>
        </w:tc>
        <w:tc>
          <w:tcPr>
            <w:tcW w:w="4980" w:type="dxa"/>
            <w:vAlign w:val="bottom"/>
            <w:tcBorders>
              <w:bottom w:val="single" w:sz="8" w:color="BFBFBF"/>
              <w:right w:val="single" w:sz="8" w:color="auto"/>
            </w:tcBorders>
            <w:shd w:val="clear" w:color="auto" w:fill="BFBFBF"/>
          </w:tcPr>
          <w:p>
            <w:pPr>
              <w:ind w:left="1360"/>
              <w:spacing w:after="0"/>
              <w:rPr>
                <w:sz w:val="20"/>
                <w:szCs w:val="20"/>
                <w:color w:val="auto"/>
              </w:rPr>
            </w:pPr>
            <w:r>
              <w:rPr>
                <w:rFonts w:ascii="Arial" w:cs="Arial" w:eastAsia="Arial" w:hAnsi="Arial"/>
                <w:sz w:val="20"/>
                <w:szCs w:val="20"/>
                <w:b w:val="1"/>
                <w:bCs w:val="1"/>
                <w:color w:val="auto"/>
              </w:rPr>
              <w:t>Title</w:t>
            </w:r>
          </w:p>
        </w:tc>
        <w:tc>
          <w:tcPr>
            <w:tcW w:w="236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Patent No.</w:t>
            </w:r>
          </w:p>
        </w:tc>
        <w:tc>
          <w:tcPr>
            <w:tcW w:w="22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7"/>
              </w:rPr>
              <w:t>Issue Date</w:t>
            </w:r>
          </w:p>
        </w:tc>
      </w:tr>
      <w:tr>
        <w:trPr>
          <w:trHeight w:val="240"/>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METHOD OF PACKAGING AND ACTIVATING OPEN LOOP PREPAID</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8544734</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10/01/13</w:t>
            </w:r>
          </w:p>
        </w:tc>
      </w:tr>
      <w:tr>
        <w:trPr>
          <w:trHeight w:val="273"/>
        </w:trPr>
        <w:tc>
          <w:tcPr>
            <w:tcW w:w="6800" w:type="dxa"/>
            <w:vAlign w:val="bottom"/>
            <w:tcBorders>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CARDS</w:t>
            </w:r>
          </w:p>
        </w:tc>
        <w:tc>
          <w:tcPr>
            <w:tcW w:w="2360" w:type="dxa"/>
            <w:vAlign w:val="bottom"/>
            <w:tcBorders>
              <w:right w:val="single" w:sz="8" w:color="00000A"/>
            </w:tcBorders>
          </w:tcPr>
          <w:p>
            <w:pPr>
              <w:spacing w:after="0"/>
              <w:rPr>
                <w:sz w:val="23"/>
                <w:szCs w:val="23"/>
                <w:color w:val="auto"/>
              </w:rPr>
            </w:pPr>
          </w:p>
        </w:tc>
        <w:tc>
          <w:tcPr>
            <w:tcW w:w="2280" w:type="dxa"/>
            <w:vAlign w:val="bottom"/>
            <w:tcBorders>
              <w:right w:val="single" w:sz="8" w:color="00000A"/>
            </w:tcBorders>
          </w:tcPr>
          <w:p>
            <w:pPr>
              <w:spacing w:after="0"/>
              <w:rPr>
                <w:sz w:val="23"/>
                <w:szCs w:val="23"/>
                <w:color w:val="auto"/>
              </w:rPr>
            </w:pPr>
          </w:p>
        </w:tc>
      </w:tr>
      <w:tr>
        <w:trPr>
          <w:trHeight w:val="233"/>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w w:val="96"/>
              </w:rPr>
              <w:t>METHOD AND APPARATUS FOR PREPARING TAX INFORMATION IN THE</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7778894</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08/17/10</w:t>
            </w:r>
          </w:p>
        </w:tc>
      </w:tr>
      <w:tr>
        <w:trPr>
          <w:trHeight w:val="273"/>
        </w:trPr>
        <w:tc>
          <w:tcPr>
            <w:tcW w:w="6800" w:type="dxa"/>
            <w:vAlign w:val="bottom"/>
            <w:tcBorders>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TRUCKING INDUSTRY</w:t>
            </w:r>
          </w:p>
        </w:tc>
        <w:tc>
          <w:tcPr>
            <w:tcW w:w="2360" w:type="dxa"/>
            <w:vAlign w:val="bottom"/>
            <w:tcBorders>
              <w:right w:val="single" w:sz="8" w:color="00000A"/>
            </w:tcBorders>
          </w:tcPr>
          <w:p>
            <w:pPr>
              <w:spacing w:after="0"/>
              <w:rPr>
                <w:sz w:val="23"/>
                <w:szCs w:val="23"/>
                <w:color w:val="auto"/>
              </w:rPr>
            </w:pPr>
          </w:p>
        </w:tc>
        <w:tc>
          <w:tcPr>
            <w:tcW w:w="2280" w:type="dxa"/>
            <w:vAlign w:val="bottom"/>
            <w:tcBorders>
              <w:right w:val="single" w:sz="8" w:color="00000A"/>
            </w:tcBorders>
          </w:tcPr>
          <w:p>
            <w:pPr>
              <w:spacing w:after="0"/>
              <w:rPr>
                <w:sz w:val="23"/>
                <w:szCs w:val="23"/>
                <w:color w:val="auto"/>
              </w:rPr>
            </w:pPr>
          </w:p>
        </w:tc>
      </w:tr>
      <w:tr>
        <w:trPr>
          <w:trHeight w:val="277"/>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CO-BRANDED CORRELATED REDEEMABLE CARDS</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7584887</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09/08/09</w:t>
            </w:r>
          </w:p>
        </w:tc>
      </w:tr>
      <w:tr>
        <w:trPr>
          <w:trHeight w:val="277"/>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CARD DISPLAY PACKAGE</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6457649</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10/01/02</w:t>
            </w:r>
          </w:p>
        </w:tc>
      </w:tr>
      <w:tr>
        <w:trPr>
          <w:trHeight w:val="277"/>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SMART CARD WITH REPLACEABLE CHIP</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6554193</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4/29/03</w:t>
            </w:r>
          </w:p>
        </w:tc>
      </w:tr>
      <w:tr>
        <w:trPr>
          <w:trHeight w:val="233"/>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SYSTEM AND METHOD FOR AUTHORIZING TRANSACTIONS USING A</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9613482</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04/04/17</w:t>
            </w:r>
          </w:p>
        </w:tc>
      </w:tr>
      <w:tr>
        <w:trPr>
          <w:trHeight w:val="230"/>
        </w:trPr>
        <w:tc>
          <w:tcPr>
            <w:tcW w:w="6800" w:type="dxa"/>
            <w:vAlign w:val="bottom"/>
            <w:tcBorders>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w w:val="99"/>
              </w:rPr>
              <w:t>METALLIC COIN HAVING UNIVERSALLY MACHINE READABLE STORED</w:t>
            </w:r>
          </w:p>
        </w:tc>
        <w:tc>
          <w:tcPr>
            <w:tcW w:w="2360" w:type="dxa"/>
            <w:vAlign w:val="bottom"/>
            <w:tcBorders>
              <w:right w:val="single" w:sz="8" w:color="00000A"/>
            </w:tcBorders>
          </w:tcPr>
          <w:p>
            <w:pPr>
              <w:spacing w:after="0"/>
              <w:rPr>
                <w:sz w:val="19"/>
                <w:szCs w:val="19"/>
                <w:color w:val="auto"/>
              </w:rPr>
            </w:pPr>
          </w:p>
        </w:tc>
        <w:tc>
          <w:tcPr>
            <w:tcW w:w="2280" w:type="dxa"/>
            <w:vAlign w:val="bottom"/>
            <w:tcBorders>
              <w:right w:val="single" w:sz="8" w:color="00000A"/>
            </w:tcBorders>
          </w:tcPr>
          <w:p>
            <w:pPr>
              <w:spacing w:after="0"/>
              <w:rPr>
                <w:sz w:val="19"/>
                <w:szCs w:val="19"/>
                <w:color w:val="auto"/>
              </w:rPr>
            </w:pPr>
          </w:p>
        </w:tc>
      </w:tr>
      <w:tr>
        <w:trPr>
          <w:trHeight w:val="273"/>
        </w:trPr>
        <w:tc>
          <w:tcPr>
            <w:tcW w:w="6800" w:type="dxa"/>
            <w:vAlign w:val="bottom"/>
            <w:tcBorders>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VALUE INDICA</w:t>
            </w:r>
          </w:p>
        </w:tc>
        <w:tc>
          <w:tcPr>
            <w:tcW w:w="2360" w:type="dxa"/>
            <w:vAlign w:val="bottom"/>
            <w:tcBorders>
              <w:right w:val="single" w:sz="8" w:color="00000A"/>
            </w:tcBorders>
          </w:tcPr>
          <w:p>
            <w:pPr>
              <w:spacing w:after="0"/>
              <w:rPr>
                <w:sz w:val="23"/>
                <w:szCs w:val="23"/>
                <w:color w:val="auto"/>
              </w:rPr>
            </w:pPr>
          </w:p>
        </w:tc>
        <w:tc>
          <w:tcPr>
            <w:tcW w:w="2280" w:type="dxa"/>
            <w:vAlign w:val="bottom"/>
            <w:tcBorders>
              <w:right w:val="single" w:sz="8" w:color="00000A"/>
            </w:tcBorders>
          </w:tcPr>
          <w:p>
            <w:pPr>
              <w:spacing w:after="0"/>
              <w:rPr>
                <w:sz w:val="23"/>
                <w:szCs w:val="23"/>
                <w:color w:val="auto"/>
              </w:rPr>
            </w:pPr>
          </w:p>
        </w:tc>
      </w:tr>
      <w:tr>
        <w:trPr>
          <w:trHeight w:val="277"/>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METHOD OF TRANSACTION CARD RECOGNITION AND INTERACTION</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9607418</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03/28/17</w:t>
            </w:r>
          </w:p>
        </w:tc>
      </w:tr>
      <w:tr>
        <w:trPr>
          <w:trHeight w:val="277"/>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METALLIC STORED VALUE TOKEN AND METHOD OF MANUFACTURE</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9514594</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12/06/16</w:t>
            </w:r>
          </w:p>
        </w:tc>
      </w:tr>
      <w:tr>
        <w:trPr>
          <w:trHeight w:val="20"/>
        </w:trPr>
        <w:tc>
          <w:tcPr>
            <w:tcW w:w="1220" w:type="dxa"/>
            <w:vAlign w:val="bottom"/>
            <w:tcBorders>
              <w:left w:val="single" w:sz="8" w:color="00000A"/>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80" w:type="dxa"/>
            <w:vAlign w:val="bottom"/>
            <w:tcBorders>
              <w:right w:val="single" w:sz="8" w:color="auto"/>
            </w:tcBorders>
            <w:shd w:val="clear" w:color="auto" w:fill="000000"/>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r>
        <w:trPr>
          <w:trHeight w:val="412"/>
        </w:trPr>
        <w:tc>
          <w:tcPr>
            <w:tcW w:w="6800" w:type="dxa"/>
            <w:vAlign w:val="bottom"/>
            <w:gridSpan w:val="4"/>
          </w:tcPr>
          <w:p>
            <w:pPr>
              <w:spacing w:after="0"/>
              <w:rPr>
                <w:sz w:val="20"/>
                <w:szCs w:val="20"/>
                <w:color w:val="auto"/>
              </w:rPr>
            </w:pPr>
            <w:r>
              <w:rPr>
                <w:rFonts w:ascii="Arial" w:cs="Arial" w:eastAsia="Arial" w:hAnsi="Arial"/>
                <w:sz w:val="20"/>
                <w:szCs w:val="20"/>
                <w:b w:val="1"/>
                <w:bCs w:val="1"/>
                <w:color w:val="auto"/>
              </w:rPr>
              <w:t>Pending Applications</w:t>
            </w: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12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96"/>
        </w:trPr>
        <w:tc>
          <w:tcPr>
            <w:tcW w:w="1220" w:type="dxa"/>
            <w:vAlign w:val="bottom"/>
            <w:tcBorders>
              <w:left w:val="single" w:sz="8" w:color="auto"/>
              <w:bottom w:val="single" w:sz="8" w:color="BFBFBF"/>
            </w:tcBorders>
            <w:shd w:val="clear" w:color="auto" w:fill="BFBFBF"/>
          </w:tcPr>
          <w:p>
            <w:pPr>
              <w:spacing w:after="0"/>
              <w:rPr>
                <w:sz w:val="24"/>
                <w:szCs w:val="24"/>
                <w:color w:val="auto"/>
              </w:rPr>
            </w:pPr>
          </w:p>
        </w:tc>
        <w:tc>
          <w:tcPr>
            <w:tcW w:w="300" w:type="dxa"/>
            <w:vAlign w:val="bottom"/>
            <w:tcBorders>
              <w:bottom w:val="single" w:sz="8" w:color="BFBFBF"/>
            </w:tcBorders>
            <w:shd w:val="clear" w:color="auto" w:fill="BFBFBF"/>
          </w:tcPr>
          <w:p>
            <w:pPr>
              <w:spacing w:after="0"/>
              <w:rPr>
                <w:sz w:val="24"/>
                <w:szCs w:val="24"/>
                <w:color w:val="auto"/>
              </w:rPr>
            </w:pPr>
          </w:p>
        </w:tc>
        <w:tc>
          <w:tcPr>
            <w:tcW w:w="300" w:type="dxa"/>
            <w:vAlign w:val="bottom"/>
            <w:tcBorders>
              <w:bottom w:val="single" w:sz="8" w:color="BFBFBF"/>
            </w:tcBorders>
            <w:shd w:val="clear" w:color="auto" w:fill="BFBFBF"/>
          </w:tcPr>
          <w:p>
            <w:pPr>
              <w:spacing w:after="0"/>
              <w:rPr>
                <w:sz w:val="24"/>
                <w:szCs w:val="24"/>
                <w:color w:val="auto"/>
              </w:rPr>
            </w:pPr>
          </w:p>
        </w:tc>
        <w:tc>
          <w:tcPr>
            <w:tcW w:w="4980" w:type="dxa"/>
            <w:vAlign w:val="bottom"/>
            <w:tcBorders>
              <w:bottom w:val="single" w:sz="8" w:color="BFBFBF"/>
              <w:right w:val="single" w:sz="8" w:color="auto"/>
            </w:tcBorders>
            <w:shd w:val="clear" w:color="auto" w:fill="BFBFBF"/>
          </w:tcPr>
          <w:p>
            <w:pPr>
              <w:ind w:left="1360"/>
              <w:spacing w:after="0"/>
              <w:rPr>
                <w:sz w:val="20"/>
                <w:szCs w:val="20"/>
                <w:color w:val="auto"/>
              </w:rPr>
            </w:pPr>
            <w:r>
              <w:rPr>
                <w:rFonts w:ascii="Arial" w:cs="Arial" w:eastAsia="Arial" w:hAnsi="Arial"/>
                <w:sz w:val="20"/>
                <w:szCs w:val="20"/>
                <w:b w:val="1"/>
                <w:bCs w:val="1"/>
                <w:color w:val="auto"/>
              </w:rPr>
              <w:t>Title</w:t>
            </w:r>
          </w:p>
        </w:tc>
        <w:tc>
          <w:tcPr>
            <w:tcW w:w="236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Appl. No.</w:t>
            </w:r>
          </w:p>
        </w:tc>
        <w:tc>
          <w:tcPr>
            <w:tcW w:w="22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Filing Date</w:t>
            </w:r>
          </w:p>
        </w:tc>
      </w:tr>
      <w:tr>
        <w:trPr>
          <w:trHeight w:val="240"/>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SYSTEMS, METHODS, AND COMPUTER PROGRAM PRODUCTS FOR</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14/033,965</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09/23/13</w:t>
            </w:r>
          </w:p>
        </w:tc>
      </w:tr>
      <w:tr>
        <w:trPr>
          <w:trHeight w:val="273"/>
        </w:trPr>
        <w:tc>
          <w:tcPr>
            <w:tcW w:w="6800" w:type="dxa"/>
            <w:vAlign w:val="bottom"/>
            <w:tcBorders>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MANAGING FUEL COSTS</w:t>
            </w:r>
          </w:p>
        </w:tc>
        <w:tc>
          <w:tcPr>
            <w:tcW w:w="2360" w:type="dxa"/>
            <w:vAlign w:val="bottom"/>
            <w:tcBorders>
              <w:right w:val="single" w:sz="8" w:color="00000A"/>
            </w:tcBorders>
          </w:tcPr>
          <w:p>
            <w:pPr>
              <w:spacing w:after="0"/>
              <w:rPr>
                <w:sz w:val="23"/>
                <w:szCs w:val="23"/>
                <w:color w:val="auto"/>
              </w:rPr>
            </w:pPr>
          </w:p>
        </w:tc>
        <w:tc>
          <w:tcPr>
            <w:tcW w:w="2280" w:type="dxa"/>
            <w:vAlign w:val="bottom"/>
            <w:tcBorders>
              <w:right w:val="single" w:sz="8" w:color="00000A"/>
            </w:tcBorders>
          </w:tcPr>
          <w:p>
            <w:pPr>
              <w:spacing w:after="0"/>
              <w:rPr>
                <w:sz w:val="23"/>
                <w:szCs w:val="23"/>
                <w:color w:val="auto"/>
              </w:rPr>
            </w:pPr>
          </w:p>
        </w:tc>
      </w:tr>
      <w:tr>
        <w:trPr>
          <w:trHeight w:val="233"/>
        </w:trPr>
        <w:tc>
          <w:tcPr>
            <w:tcW w:w="6800" w:type="dxa"/>
            <w:vAlign w:val="bottom"/>
            <w:tcBorders>
              <w:top w:val="single" w:sz="8" w:color="auto"/>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SYSTEM AND METHOD OF INTEGRATING WITH CLIENT ERP</w:t>
            </w:r>
          </w:p>
        </w:tc>
        <w:tc>
          <w:tcPr>
            <w:tcW w:w="236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15/373,524</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12/09/2016</w:t>
            </w:r>
          </w:p>
        </w:tc>
      </w:tr>
      <w:tr>
        <w:trPr>
          <w:trHeight w:val="230"/>
        </w:trPr>
        <w:tc>
          <w:tcPr>
            <w:tcW w:w="6800" w:type="dxa"/>
            <w:vAlign w:val="bottom"/>
            <w:tcBorders>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w w:val="96"/>
              </w:rPr>
              <w:t>PLATFORMS FOR AUTOMATED VENDOR ENROLLMENT IN ELECTRONIC</w:t>
            </w:r>
          </w:p>
        </w:tc>
        <w:tc>
          <w:tcPr>
            <w:tcW w:w="2360" w:type="dxa"/>
            <w:vAlign w:val="bottom"/>
            <w:tcBorders>
              <w:right w:val="single" w:sz="8" w:color="00000A"/>
            </w:tcBorders>
          </w:tcPr>
          <w:p>
            <w:pPr>
              <w:spacing w:after="0"/>
              <w:rPr>
                <w:sz w:val="19"/>
                <w:szCs w:val="19"/>
                <w:color w:val="auto"/>
              </w:rPr>
            </w:pPr>
          </w:p>
        </w:tc>
        <w:tc>
          <w:tcPr>
            <w:tcW w:w="2280" w:type="dxa"/>
            <w:vAlign w:val="bottom"/>
            <w:tcBorders>
              <w:right w:val="single" w:sz="8" w:color="00000A"/>
            </w:tcBorders>
          </w:tcPr>
          <w:p>
            <w:pPr>
              <w:spacing w:after="0"/>
              <w:rPr>
                <w:sz w:val="19"/>
                <w:szCs w:val="19"/>
                <w:color w:val="auto"/>
              </w:rPr>
            </w:pPr>
          </w:p>
        </w:tc>
      </w:tr>
      <w:tr>
        <w:trPr>
          <w:trHeight w:val="273"/>
        </w:trPr>
        <w:tc>
          <w:tcPr>
            <w:tcW w:w="6800" w:type="dxa"/>
            <w:vAlign w:val="bottom"/>
            <w:tcBorders>
              <w:left w:val="single" w:sz="8" w:color="00000A"/>
              <w:right w:val="single" w:sz="8" w:color="00000A"/>
            </w:tcBorders>
            <w:gridSpan w:val="4"/>
          </w:tcPr>
          <w:p>
            <w:pPr>
              <w:ind w:left="40"/>
              <w:spacing w:after="0"/>
              <w:rPr>
                <w:sz w:val="20"/>
                <w:szCs w:val="20"/>
                <w:color w:val="auto"/>
              </w:rPr>
            </w:pPr>
            <w:r>
              <w:rPr>
                <w:rFonts w:ascii="Arial" w:cs="Arial" w:eastAsia="Arial" w:hAnsi="Arial"/>
                <w:sz w:val="20"/>
                <w:szCs w:val="20"/>
                <w:color w:val="auto"/>
              </w:rPr>
              <w:t>PAYMENT PROGRAMS</w:t>
            </w:r>
          </w:p>
        </w:tc>
        <w:tc>
          <w:tcPr>
            <w:tcW w:w="2360" w:type="dxa"/>
            <w:vAlign w:val="bottom"/>
            <w:tcBorders>
              <w:right w:val="single" w:sz="8" w:color="00000A"/>
            </w:tcBorders>
          </w:tcPr>
          <w:p>
            <w:pPr>
              <w:spacing w:after="0"/>
              <w:rPr>
                <w:sz w:val="23"/>
                <w:szCs w:val="23"/>
                <w:color w:val="auto"/>
              </w:rPr>
            </w:pPr>
          </w:p>
        </w:tc>
        <w:tc>
          <w:tcPr>
            <w:tcW w:w="2280" w:type="dxa"/>
            <w:vAlign w:val="bottom"/>
            <w:tcBorders>
              <w:right w:val="single" w:sz="8" w:color="00000A"/>
            </w:tcBorders>
          </w:tcPr>
          <w:p>
            <w:pPr>
              <w:spacing w:after="0"/>
              <w:rPr>
                <w:sz w:val="23"/>
                <w:szCs w:val="23"/>
                <w:color w:val="auto"/>
              </w:rPr>
            </w:pPr>
          </w:p>
        </w:tc>
      </w:tr>
      <w:tr>
        <w:trPr>
          <w:trHeight w:val="20"/>
        </w:trPr>
        <w:tc>
          <w:tcPr>
            <w:tcW w:w="1220" w:type="dxa"/>
            <w:vAlign w:val="bottom"/>
            <w:tcBorders>
              <w:left w:val="single" w:sz="8" w:color="00000A"/>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80" w:type="dxa"/>
            <w:vAlign w:val="bottom"/>
            <w:tcBorders>
              <w:right w:val="single" w:sz="8" w:color="auto"/>
            </w:tcBorders>
            <w:shd w:val="clear" w:color="auto" w:fill="000000"/>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r>
        <w:trPr>
          <w:trHeight w:val="659"/>
        </w:trPr>
        <w:tc>
          <w:tcPr>
            <w:tcW w:w="6800" w:type="dxa"/>
            <w:vAlign w:val="bottom"/>
            <w:gridSpan w:val="4"/>
          </w:tcPr>
          <w:p>
            <w:pPr>
              <w:spacing w:after="0"/>
              <w:rPr>
                <w:sz w:val="20"/>
                <w:szCs w:val="20"/>
                <w:color w:val="auto"/>
              </w:rPr>
            </w:pPr>
            <w:r>
              <w:rPr>
                <w:rFonts w:ascii="Arial" w:cs="Arial" w:eastAsia="Arial" w:hAnsi="Arial"/>
                <w:sz w:val="20"/>
                <w:szCs w:val="20"/>
                <w:b w:val="1"/>
                <w:bCs w:val="1"/>
                <w:color w:val="auto"/>
              </w:rPr>
              <w:t>Comdata Inc.</w:t>
            </w: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6800" w:type="dxa"/>
            <w:vAlign w:val="bottom"/>
            <w:gridSpan w:val="4"/>
          </w:tcPr>
          <w:p>
            <w:pPr>
              <w:spacing w:after="0"/>
              <w:rPr>
                <w:sz w:val="20"/>
                <w:szCs w:val="20"/>
                <w:color w:val="auto"/>
              </w:rPr>
            </w:pPr>
            <w:r>
              <w:rPr>
                <w:rFonts w:ascii="Arial" w:cs="Arial" w:eastAsia="Arial" w:hAnsi="Arial"/>
                <w:sz w:val="20"/>
                <w:szCs w:val="20"/>
                <w:b w:val="1"/>
                <w:bCs w:val="1"/>
                <w:color w:val="auto"/>
              </w:rPr>
              <w:t>U.S. Trademarks</w:t>
            </w:r>
          </w:p>
        </w:tc>
        <w:tc>
          <w:tcPr>
            <w:tcW w:w="23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1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89"/>
              </w:rPr>
              <w:t>Registered Marks</w:t>
            </w:r>
          </w:p>
        </w:tc>
        <w:tc>
          <w:tcPr>
            <w:tcW w:w="5280" w:type="dxa"/>
            <w:vAlign w:val="bottom"/>
            <w:gridSpan w:val="2"/>
          </w:tcPr>
          <w:p>
            <w:pPr>
              <w:spacing w:after="0"/>
              <w:rPr>
                <w:sz w:val="24"/>
                <w:szCs w:val="24"/>
                <w:color w:val="auto"/>
              </w:rPr>
            </w:pP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727"/>
        </w:trPr>
        <w:tc>
          <w:tcPr>
            <w:tcW w:w="6800" w:type="dxa"/>
            <w:vAlign w:val="bottom"/>
            <w:gridSpan w:val="4"/>
          </w:tcPr>
          <w:p>
            <w:pPr>
              <w:ind w:left="5620"/>
              <w:spacing w:after="0"/>
              <w:rPr>
                <w:sz w:val="20"/>
                <w:szCs w:val="20"/>
                <w:color w:val="auto"/>
              </w:rPr>
            </w:pPr>
            <w:r>
              <w:rPr>
                <w:rFonts w:ascii="Arial" w:cs="Arial" w:eastAsia="Arial" w:hAnsi="Arial"/>
                <w:sz w:val="20"/>
                <w:szCs w:val="20"/>
                <w:color w:val="auto"/>
              </w:rPr>
              <w:t>38</w:t>
            </w:r>
          </w:p>
        </w:tc>
        <w:tc>
          <w:tcPr>
            <w:tcW w:w="236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40"/>
          </w:cols>
          <w:pgMar w:left="240" w:top="889" w:right="219" w:bottom="1440" w:gutter="0" w:footer="0" w:header="0"/>
        </w:sectPr>
      </w:pPr>
    </w:p>
    <w:bookmarkStart w:id="86" w:name="page87"/>
    <w:bookmarkEnd w:id="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1900" w:type="dxa"/>
            <w:vAlign w:val="bottom"/>
            <w:tcBorders>
              <w:top w:val="single" w:sz="8" w:color="auto"/>
              <w:left w:val="single" w:sz="8" w:color="auto"/>
              <w:bottom w:val="single" w:sz="8" w:color="BFBFBF"/>
            </w:tcBorders>
            <w:shd w:val="clear" w:color="auto" w:fill="BFBFBF"/>
          </w:tcPr>
          <w:p>
            <w:pPr>
              <w:spacing w:after="0"/>
              <w:rPr>
                <w:sz w:val="24"/>
                <w:szCs w:val="24"/>
                <w:color w:val="auto"/>
              </w:rPr>
            </w:pPr>
          </w:p>
        </w:tc>
        <w:tc>
          <w:tcPr>
            <w:tcW w:w="4880" w:type="dxa"/>
            <w:vAlign w:val="bottom"/>
            <w:tcBorders>
              <w:top w:val="single" w:sz="8" w:color="auto"/>
              <w:bottom w:val="single" w:sz="8" w:color="BFBFBF"/>
              <w:right w:val="single" w:sz="8" w:color="auto"/>
            </w:tcBorders>
            <w:shd w:val="clear" w:color="auto" w:fill="BFBFBF"/>
          </w:tcPr>
          <w:p>
            <w:pPr>
              <w:jc w:val="center"/>
              <w:ind w:right="1821"/>
              <w:spacing w:after="0"/>
              <w:rPr>
                <w:sz w:val="20"/>
                <w:szCs w:val="20"/>
                <w:color w:val="auto"/>
              </w:rPr>
            </w:pPr>
            <w:r>
              <w:rPr>
                <w:rFonts w:ascii="Arial" w:cs="Arial" w:eastAsia="Arial" w:hAnsi="Arial"/>
                <w:sz w:val="20"/>
                <w:szCs w:val="20"/>
                <w:b w:val="1"/>
                <w:bCs w:val="1"/>
                <w:color w:val="auto"/>
              </w:rPr>
              <w:t>Mark</w:t>
            </w:r>
          </w:p>
        </w:tc>
        <w:tc>
          <w:tcPr>
            <w:tcW w:w="2380" w:type="dxa"/>
            <w:vAlign w:val="bottom"/>
            <w:tcBorders>
              <w:top w:val="single" w:sz="8" w:color="auto"/>
              <w:bottom w:val="single" w:sz="8" w:color="BFBFBF"/>
              <w:right w:val="single" w:sz="8" w:color="auto"/>
            </w:tcBorders>
            <w:shd w:val="clear" w:color="auto" w:fill="BFBFBF"/>
          </w:tcPr>
          <w:p>
            <w:pPr>
              <w:ind w:left="800"/>
              <w:spacing w:after="0"/>
              <w:rPr>
                <w:sz w:val="20"/>
                <w:szCs w:val="20"/>
                <w:color w:val="auto"/>
              </w:rPr>
            </w:pPr>
            <w:r>
              <w:rPr>
                <w:rFonts w:ascii="Arial" w:cs="Arial" w:eastAsia="Arial" w:hAnsi="Arial"/>
                <w:sz w:val="20"/>
                <w:szCs w:val="20"/>
                <w:b w:val="1"/>
                <w:bCs w:val="1"/>
                <w:color w:val="auto"/>
              </w:rPr>
              <w:t>Reg. No.</w:t>
            </w:r>
          </w:p>
        </w:tc>
        <w:tc>
          <w:tcPr>
            <w:tcW w:w="2280" w:type="dxa"/>
            <w:vAlign w:val="bottom"/>
            <w:tcBorders>
              <w:top w:val="single" w:sz="8" w:color="auto"/>
              <w:bottom w:val="single" w:sz="8" w:color="BFBFBF"/>
              <w:right w:val="single" w:sz="8" w:color="auto"/>
            </w:tcBorders>
            <w:shd w:val="clear" w:color="auto" w:fill="BFBFBF"/>
          </w:tcPr>
          <w:p>
            <w:pPr>
              <w:ind w:left="700"/>
              <w:spacing w:after="0"/>
              <w:rPr>
                <w:sz w:val="20"/>
                <w:szCs w:val="20"/>
                <w:color w:val="auto"/>
              </w:rPr>
            </w:pPr>
            <w:r>
              <w:rPr>
                <w:rFonts w:ascii="Arial" w:cs="Arial" w:eastAsia="Arial" w:hAnsi="Arial"/>
                <w:sz w:val="20"/>
                <w:szCs w:val="20"/>
                <w:b w:val="1"/>
                <w:bCs w:val="1"/>
                <w:color w:val="auto"/>
              </w:rPr>
              <w:t>Reg. Date</w:t>
            </w:r>
          </w:p>
        </w:tc>
      </w:tr>
      <w:tr>
        <w:trPr>
          <w:trHeight w:val="261"/>
        </w:trPr>
        <w:tc>
          <w:tcPr>
            <w:tcW w:w="6780" w:type="dxa"/>
            <w:vAlign w:val="bottom"/>
            <w:tcBorders>
              <w:top w:val="single" w:sz="8" w:color="auto"/>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COMCHEK</w:t>
            </w:r>
          </w:p>
        </w:tc>
        <w:tc>
          <w:tcPr>
            <w:tcW w:w="2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6"/>
              </w:rPr>
              <w:t>992740</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09/03/74</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COMDATA and Design</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3327812</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10/30/07</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COMDATA</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3004711</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10/04/05</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COMDATA</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2977155</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07/26/05</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COMDATA</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2929328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03/01/05</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COMDATA</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2964371</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06/28/05</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COMDATA PAYMENT INNOVATION and Design</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3337276</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11/13/07</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COMSITE</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2381032</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08/29/00</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SMARTAUTHORIZE</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3971977</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05/31/11</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SMARTAUTHORIZE</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4059646</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11/22/11</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SMARTLOCK</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3932042</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03/15/11</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SVS</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3615714</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05/05/09</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SVS</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3615967</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05/05/09</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SMARTFUEL</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1820482</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02/08/94</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Design only</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3332626</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11/06/07</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659"/>
        </w:trPr>
        <w:tc>
          <w:tcPr>
            <w:tcW w:w="6780" w:type="dxa"/>
            <w:vAlign w:val="bottom"/>
            <w:gridSpan w:val="2"/>
          </w:tcPr>
          <w:p>
            <w:pPr>
              <w:spacing w:after="0"/>
              <w:rPr>
                <w:sz w:val="20"/>
                <w:szCs w:val="20"/>
                <w:color w:val="auto"/>
              </w:rPr>
            </w:pPr>
            <w:r>
              <w:rPr>
                <w:rFonts w:ascii="Arial" w:cs="Arial" w:eastAsia="Arial" w:hAnsi="Arial"/>
                <w:sz w:val="20"/>
                <w:szCs w:val="20"/>
                <w:b w:val="1"/>
                <w:bCs w:val="1"/>
                <w:color w:val="auto"/>
              </w:rPr>
              <w:t>Pacific Pride Services, Inc.</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6780" w:type="dxa"/>
            <w:vAlign w:val="bottom"/>
            <w:gridSpan w:val="2"/>
          </w:tcPr>
          <w:p>
            <w:pPr>
              <w:spacing w:after="0"/>
              <w:rPr>
                <w:sz w:val="20"/>
                <w:szCs w:val="20"/>
                <w:color w:val="auto"/>
              </w:rPr>
            </w:pPr>
            <w:r>
              <w:rPr>
                <w:rFonts w:ascii="Arial" w:cs="Arial" w:eastAsia="Arial" w:hAnsi="Arial"/>
                <w:sz w:val="20"/>
                <w:szCs w:val="20"/>
                <w:b w:val="1"/>
                <w:bCs w:val="1"/>
                <w:color w:val="auto"/>
              </w:rPr>
              <w:t>U.S. Copyrights</w:t>
            </w:r>
          </w:p>
        </w:tc>
        <w:tc>
          <w:tcPr>
            <w:tcW w:w="238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15"/>
        </w:trPr>
        <w:tc>
          <w:tcPr>
            <w:tcW w:w="6780" w:type="dxa"/>
            <w:vAlign w:val="bottom"/>
            <w:gridSpan w:val="2"/>
          </w:tcPr>
          <w:p>
            <w:pPr>
              <w:spacing w:after="0"/>
              <w:rPr>
                <w:sz w:val="20"/>
                <w:szCs w:val="20"/>
                <w:color w:val="auto"/>
              </w:rPr>
            </w:pPr>
            <w:r>
              <w:rPr>
                <w:rFonts w:ascii="Arial" w:cs="Arial" w:eastAsia="Arial" w:hAnsi="Arial"/>
                <w:sz w:val="20"/>
                <w:szCs w:val="20"/>
                <w:b w:val="1"/>
                <w:bCs w:val="1"/>
                <w:color w:val="auto"/>
              </w:rPr>
              <w:t>Registered Copyrights</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1900" w:type="dxa"/>
            <w:vAlign w:val="bottom"/>
            <w:tcBorders>
              <w:top w:val="single" w:sz="8" w:color="auto"/>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96"/>
        </w:trPr>
        <w:tc>
          <w:tcPr>
            <w:tcW w:w="1900" w:type="dxa"/>
            <w:vAlign w:val="bottom"/>
            <w:tcBorders>
              <w:left w:val="single" w:sz="8" w:color="auto"/>
              <w:bottom w:val="single" w:sz="8" w:color="BFBFBF"/>
            </w:tcBorders>
            <w:shd w:val="clear" w:color="auto" w:fill="BFBFBF"/>
          </w:tcPr>
          <w:p>
            <w:pPr>
              <w:spacing w:after="0"/>
              <w:rPr>
                <w:sz w:val="24"/>
                <w:szCs w:val="24"/>
                <w:color w:val="auto"/>
              </w:rPr>
            </w:pPr>
          </w:p>
        </w:tc>
        <w:tc>
          <w:tcPr>
            <w:tcW w:w="4880" w:type="dxa"/>
            <w:vAlign w:val="bottom"/>
            <w:tcBorders>
              <w:bottom w:val="single" w:sz="8" w:color="BFBFBF"/>
              <w:right w:val="single" w:sz="8" w:color="auto"/>
            </w:tcBorders>
            <w:shd w:val="clear" w:color="auto" w:fill="BFBFBF"/>
          </w:tcPr>
          <w:p>
            <w:pPr>
              <w:jc w:val="center"/>
              <w:ind w:right="1821"/>
              <w:spacing w:after="0"/>
              <w:rPr>
                <w:sz w:val="20"/>
                <w:szCs w:val="20"/>
                <w:color w:val="auto"/>
              </w:rPr>
            </w:pPr>
            <w:r>
              <w:rPr>
                <w:rFonts w:ascii="Arial" w:cs="Arial" w:eastAsia="Arial" w:hAnsi="Arial"/>
                <w:sz w:val="20"/>
                <w:szCs w:val="20"/>
                <w:b w:val="1"/>
                <w:bCs w:val="1"/>
                <w:color w:val="auto"/>
                <w:w w:val="97"/>
              </w:rPr>
              <w:t>Title</w:t>
            </w:r>
          </w:p>
        </w:tc>
        <w:tc>
          <w:tcPr>
            <w:tcW w:w="2380" w:type="dxa"/>
            <w:vAlign w:val="bottom"/>
            <w:tcBorders>
              <w:bottom w:val="single" w:sz="8" w:color="BFBFBF"/>
              <w:right w:val="single" w:sz="8" w:color="auto"/>
            </w:tcBorders>
            <w:shd w:val="clear" w:color="auto" w:fill="BFBFBF"/>
          </w:tcPr>
          <w:p>
            <w:pPr>
              <w:ind w:left="800"/>
              <w:spacing w:after="0"/>
              <w:rPr>
                <w:sz w:val="20"/>
                <w:szCs w:val="20"/>
                <w:color w:val="auto"/>
              </w:rPr>
            </w:pPr>
            <w:r>
              <w:rPr>
                <w:rFonts w:ascii="Arial" w:cs="Arial" w:eastAsia="Arial" w:hAnsi="Arial"/>
                <w:sz w:val="20"/>
                <w:szCs w:val="20"/>
                <w:b w:val="1"/>
                <w:bCs w:val="1"/>
                <w:color w:val="auto"/>
              </w:rPr>
              <w:t>Reg. No.</w:t>
            </w:r>
          </w:p>
        </w:tc>
        <w:tc>
          <w:tcPr>
            <w:tcW w:w="2280" w:type="dxa"/>
            <w:vAlign w:val="bottom"/>
            <w:tcBorders>
              <w:bottom w:val="single" w:sz="8" w:color="BFBFBF"/>
              <w:right w:val="single" w:sz="8" w:color="auto"/>
            </w:tcBorders>
            <w:shd w:val="clear" w:color="auto" w:fill="BFBFBF"/>
          </w:tcPr>
          <w:p>
            <w:pPr>
              <w:ind w:left="700"/>
              <w:spacing w:after="0"/>
              <w:rPr>
                <w:sz w:val="20"/>
                <w:szCs w:val="20"/>
                <w:color w:val="auto"/>
              </w:rPr>
            </w:pPr>
            <w:r>
              <w:rPr>
                <w:rFonts w:ascii="Arial" w:cs="Arial" w:eastAsia="Arial" w:hAnsi="Arial"/>
                <w:sz w:val="20"/>
                <w:szCs w:val="20"/>
                <w:b w:val="1"/>
                <w:bCs w:val="1"/>
                <w:color w:val="auto"/>
              </w:rPr>
              <w:t>Reg. Date</w:t>
            </w:r>
          </w:p>
        </w:tc>
      </w:tr>
      <w:tr>
        <w:trPr>
          <w:trHeight w:val="261"/>
        </w:trPr>
        <w:tc>
          <w:tcPr>
            <w:tcW w:w="6780" w:type="dxa"/>
            <w:vAlign w:val="bottom"/>
            <w:tcBorders>
              <w:top w:val="single" w:sz="8" w:color="auto"/>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Join the frequent fuelers with Pacific Pride</w:t>
            </w:r>
          </w:p>
        </w:tc>
        <w:tc>
          <w:tcPr>
            <w:tcW w:w="23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92"/>
              </w:rPr>
              <w:t>TXu000272448</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01/16/87</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Pacific Pride controller operations manual</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TXu000282532</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05/18/87</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w w:val="93"/>
              </w:rPr>
              <w:t>Pacific Pride : the commercial fueling system / produced by Corporate Video, Inc.</w:t>
            </w:r>
          </w:p>
        </w:tc>
        <w:tc>
          <w:tcPr>
            <w:tcW w:w="23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TXu000276854</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01/16/87</w:t>
            </w:r>
          </w:p>
        </w:tc>
      </w:tr>
      <w:tr>
        <w:trPr>
          <w:trHeight w:val="23"/>
        </w:trPr>
        <w:tc>
          <w:tcPr>
            <w:tcW w:w="1900" w:type="dxa"/>
            <w:vAlign w:val="bottom"/>
            <w:tcBorders>
              <w:left w:val="single" w:sz="8" w:color="00000A"/>
              <w:bottom w:val="single" w:sz="8" w:color="auto"/>
            </w:tcBorders>
          </w:tcPr>
          <w:p>
            <w:pPr>
              <w:spacing w:after="0"/>
              <w:rPr>
                <w:sz w:val="2"/>
                <w:szCs w:val="2"/>
                <w:color w:val="auto"/>
              </w:rPr>
            </w:pPr>
          </w:p>
        </w:tc>
        <w:tc>
          <w:tcPr>
            <w:tcW w:w="4880" w:type="dxa"/>
            <w:vAlign w:val="bottom"/>
            <w:tcBorders>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700"/>
        </w:trPr>
        <w:tc>
          <w:tcPr>
            <w:tcW w:w="6780" w:type="dxa"/>
            <w:vAlign w:val="bottom"/>
            <w:gridSpan w:val="2"/>
          </w:tcPr>
          <w:p>
            <w:pPr>
              <w:ind w:left="5620"/>
              <w:spacing w:after="0"/>
              <w:rPr>
                <w:sz w:val="20"/>
                <w:szCs w:val="20"/>
                <w:color w:val="auto"/>
              </w:rPr>
            </w:pPr>
            <w:r>
              <w:rPr>
                <w:rFonts w:ascii="Arial" w:cs="Arial" w:eastAsia="Arial" w:hAnsi="Arial"/>
                <w:sz w:val="20"/>
                <w:szCs w:val="20"/>
                <w:color w:val="auto"/>
              </w:rPr>
              <w:t>39</w:t>
            </w: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40"/>
          </w:cols>
          <w:pgMar w:left="240" w:top="889" w:right="21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Pacific Pride Services,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Trademarks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Registered Marks</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6780" w:type="dxa"/>
            <w:vAlign w:val="bottom"/>
            <w:tcBorders>
              <w:top w:val="single" w:sz="8" w:color="auto"/>
              <w:left w:val="single" w:sz="8" w:color="auto"/>
              <w:bottom w:val="single" w:sz="8" w:color="BFBFBF"/>
              <w:right w:val="single" w:sz="8" w:color="auto"/>
            </w:tcBorders>
            <w:shd w:val="clear" w:color="auto" w:fill="BFBFBF"/>
          </w:tcPr>
          <w:p>
            <w:pPr>
              <w:ind w:left="3140"/>
              <w:spacing w:after="0"/>
              <w:rPr>
                <w:sz w:val="20"/>
                <w:szCs w:val="20"/>
                <w:color w:val="auto"/>
              </w:rPr>
            </w:pPr>
            <w:r>
              <w:rPr>
                <w:rFonts w:ascii="Arial" w:cs="Arial" w:eastAsia="Arial" w:hAnsi="Arial"/>
                <w:sz w:val="20"/>
                <w:szCs w:val="20"/>
                <w:b w:val="1"/>
                <w:bCs w:val="1"/>
                <w:color w:val="auto"/>
              </w:rPr>
              <w:t>Mark</w:t>
            </w:r>
          </w:p>
        </w:tc>
        <w:tc>
          <w:tcPr>
            <w:tcW w:w="2380" w:type="dxa"/>
            <w:vAlign w:val="bottom"/>
            <w:tcBorders>
              <w:top w:val="single" w:sz="8" w:color="auto"/>
              <w:bottom w:val="single" w:sz="8" w:color="BFBFBF"/>
              <w:right w:val="single" w:sz="8" w:color="auto"/>
            </w:tcBorders>
            <w:shd w:val="clear" w:color="auto" w:fill="BFBFBF"/>
          </w:tcPr>
          <w:p>
            <w:pPr>
              <w:ind w:left="800"/>
              <w:spacing w:after="0"/>
              <w:rPr>
                <w:sz w:val="20"/>
                <w:szCs w:val="20"/>
                <w:color w:val="auto"/>
              </w:rPr>
            </w:pPr>
            <w:r>
              <w:rPr>
                <w:rFonts w:ascii="Arial" w:cs="Arial" w:eastAsia="Arial" w:hAnsi="Arial"/>
                <w:sz w:val="20"/>
                <w:szCs w:val="20"/>
                <w:b w:val="1"/>
                <w:bCs w:val="1"/>
                <w:color w:val="auto"/>
              </w:rPr>
              <w:t>Reg. No.</w:t>
            </w:r>
          </w:p>
        </w:tc>
        <w:tc>
          <w:tcPr>
            <w:tcW w:w="22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Reg. Date</w:t>
            </w:r>
          </w:p>
        </w:tc>
      </w:tr>
      <w:tr>
        <w:trPr>
          <w:trHeight w:val="261"/>
        </w:trPr>
        <w:tc>
          <w:tcPr>
            <w:tcW w:w="6780" w:type="dxa"/>
            <w:vAlign w:val="bottom"/>
            <w:tcBorders>
              <w:top w:val="single" w:sz="8" w:color="auto"/>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PRIDEADVANTAGE and Design</w:t>
            </w:r>
          </w:p>
        </w:tc>
        <w:tc>
          <w:tcPr>
            <w:tcW w:w="2380" w:type="dxa"/>
            <w:vAlign w:val="bottom"/>
            <w:tcBorders>
              <w:top w:val="single" w:sz="8" w:color="auto"/>
              <w:right w:val="single" w:sz="8" w:color="00000A"/>
            </w:tcBorders>
          </w:tcPr>
          <w:p>
            <w:pPr>
              <w:ind w:left="820"/>
              <w:spacing w:after="0"/>
              <w:rPr>
                <w:sz w:val="20"/>
                <w:szCs w:val="20"/>
                <w:color w:val="auto"/>
              </w:rPr>
            </w:pPr>
            <w:r>
              <w:rPr>
                <w:rFonts w:ascii="Arial" w:cs="Arial" w:eastAsia="Arial" w:hAnsi="Arial"/>
                <w:sz w:val="20"/>
                <w:szCs w:val="20"/>
                <w:color w:val="auto"/>
              </w:rPr>
              <w:t>5240546</w:t>
            </w:r>
          </w:p>
        </w:tc>
        <w:tc>
          <w:tcPr>
            <w:tcW w:w="228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0"/>
                <w:szCs w:val="20"/>
                <w:color w:val="auto"/>
                <w:w w:val="89"/>
              </w:rPr>
              <w:t>07/11/17</w:t>
            </w: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PRIDEADVANTAGE</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5240544</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07/11/17</w:t>
            </w: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PACIFIC PRIDE</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3378756</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02/05/08</w:t>
            </w: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PRIDENET</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3268428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07/24/07</w:t>
            </w: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PACIFIC PRIDENET</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3268427</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07/24/07</w:t>
            </w: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PACIFIC PRIDE THE COMMERCIAL FUELING SYSTEM</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3559826</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01/13/09</w:t>
            </w: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54"/>
        </w:trPr>
        <w:tc>
          <w:tcPr>
            <w:tcW w:w="67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AMERINET and Design</w:t>
            </w:r>
          </w:p>
        </w:tc>
        <w:tc>
          <w:tcPr>
            <w:tcW w:w="2380" w:type="dxa"/>
            <w:vAlign w:val="bottom"/>
            <w:tcBorders>
              <w:right w:val="single" w:sz="8" w:color="00000A"/>
            </w:tcBorders>
          </w:tcPr>
          <w:p>
            <w:pPr>
              <w:ind w:left="820"/>
              <w:spacing w:after="0"/>
              <w:rPr>
                <w:sz w:val="20"/>
                <w:szCs w:val="20"/>
                <w:color w:val="auto"/>
              </w:rPr>
            </w:pPr>
            <w:r>
              <w:rPr>
                <w:rFonts w:ascii="Arial" w:cs="Arial" w:eastAsia="Arial" w:hAnsi="Arial"/>
                <w:sz w:val="20"/>
                <w:szCs w:val="20"/>
                <w:color w:val="auto"/>
              </w:rPr>
              <w:t>1783638</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07/20/93</w:t>
            </w:r>
          </w:p>
        </w:tc>
      </w:tr>
      <w:tr>
        <w:trPr>
          <w:trHeight w:val="23"/>
        </w:trPr>
        <w:tc>
          <w:tcPr>
            <w:tcW w:w="6780" w:type="dxa"/>
            <w:vAlign w:val="bottom"/>
            <w:tcBorders>
              <w:left w:val="single" w:sz="8" w:color="00000A"/>
              <w:bottom w:val="single" w:sz="8" w:color="auto"/>
              <w:right w:val="single" w:sz="8" w:color="00000A"/>
            </w:tcBorders>
          </w:tcPr>
          <w:p>
            <w:pPr>
              <w:spacing w:after="0"/>
              <w:rPr>
                <w:sz w:val="2"/>
                <w:szCs w:val="2"/>
                <w:color w:val="auto"/>
              </w:rPr>
            </w:pPr>
          </w:p>
        </w:tc>
        <w:tc>
          <w:tcPr>
            <w:tcW w:w="2380" w:type="dxa"/>
            <w:vAlign w:val="bottom"/>
            <w:tcBorders>
              <w:bottom w:val="single" w:sz="8" w:color="auto"/>
              <w:right w:val="single" w:sz="8" w:color="00000A"/>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40"/>
          </w:cols>
          <w:pgMar w:left="240" w:top="751" w:right="219" w:bottom="1440" w:gutter="0" w:footer="0" w:header="0"/>
        </w:sectPr>
      </w:pPr>
    </w:p>
    <w:bookmarkStart w:id="88" w:name="page89"/>
    <w:bookmarkEnd w:id="88"/>
    <w:p>
      <w:pPr>
        <w:jc w:val="center"/>
        <w:ind w:right="-1220"/>
        <w:spacing w:after="0"/>
        <w:rPr>
          <w:sz w:val="20"/>
          <w:szCs w:val="20"/>
          <w:color w:val="auto"/>
        </w:rPr>
      </w:pPr>
      <w:r>
        <w:rPr>
          <w:rFonts w:ascii="Arial" w:cs="Arial" w:eastAsia="Arial" w:hAnsi="Arial"/>
          <w:sz w:val="20"/>
          <w:szCs w:val="20"/>
          <w:b w:val="1"/>
          <w:bCs w:val="1"/>
          <w:u w:val="single" w:color="auto"/>
          <w:color w:val="auto"/>
        </w:rPr>
        <w:t>Schedule 6.20(a)</w:t>
      </w:r>
    </w:p>
    <w:p>
      <w:pPr>
        <w:spacing w:after="0" w:line="229" w:lineRule="exact"/>
        <w:rPr>
          <w:sz w:val="20"/>
          <w:szCs w:val="20"/>
          <w:color w:val="auto"/>
        </w:rPr>
      </w:pPr>
    </w:p>
    <w:p>
      <w:pPr>
        <w:jc w:val="right"/>
        <w:ind w:right="3359"/>
        <w:spacing w:after="0"/>
        <w:rPr>
          <w:sz w:val="20"/>
          <w:szCs w:val="20"/>
          <w:color w:val="auto"/>
        </w:rPr>
      </w:pPr>
      <w:r>
        <w:rPr>
          <w:rFonts w:ascii="Arial" w:cs="Arial" w:eastAsia="Arial" w:hAnsi="Arial"/>
          <w:sz w:val="20"/>
          <w:szCs w:val="20"/>
          <w:b w:val="1"/>
          <w:bCs w:val="1"/>
          <w:color w:val="auto"/>
        </w:rPr>
        <w:t>Locations of Real Property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219"/>
          </w:cols>
          <w:pgMar w:left="240" w:top="751" w:right="1440" w:bottom="1440" w:gutter="0" w:footer="0" w:header="0"/>
        </w:sectPr>
      </w:pPr>
    </w:p>
    <w:bookmarkStart w:id="89" w:name="page90"/>
    <w:bookmarkEnd w:id="89"/>
    <w:p>
      <w:pPr>
        <w:jc w:val="center"/>
        <w:ind w:right="40"/>
        <w:spacing w:after="0"/>
        <w:rPr>
          <w:sz w:val="20"/>
          <w:szCs w:val="20"/>
          <w:color w:val="auto"/>
        </w:rPr>
      </w:pPr>
      <w:r>
        <w:rPr>
          <w:rFonts w:ascii="Arial" w:cs="Arial" w:eastAsia="Arial" w:hAnsi="Arial"/>
          <w:sz w:val="20"/>
          <w:szCs w:val="20"/>
          <w:b w:val="1"/>
          <w:bCs w:val="1"/>
          <w:u w:val="single" w:color="auto"/>
          <w:color w:val="auto"/>
        </w:rPr>
        <w:t>Schedule 6.20(b)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Taxpayer and Organizational Identification Numbers</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7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Loan Party</w:t>
            </w:r>
          </w:p>
        </w:tc>
        <w:tc>
          <w:tcPr>
            <w:tcW w:w="19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8"/>
              </w:rPr>
              <w:t>Jurisdiction of Organization</w:t>
            </w:r>
          </w:p>
        </w:tc>
        <w:tc>
          <w:tcPr>
            <w:tcW w:w="1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Type of entity</w:t>
            </w:r>
          </w:p>
        </w:tc>
        <w:tc>
          <w:tcPr>
            <w:tcW w:w="25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Chief Executive Office</w:t>
            </w:r>
          </w:p>
        </w:tc>
        <w:tc>
          <w:tcPr>
            <w:tcW w:w="2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FEIN and Organizational IDs</w:t>
            </w: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FleetCor Technologies, Inc.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Delaware,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5445 Triangle Parkway</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72-1074903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Norcross, GA 30092</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2854298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FleetCor Technologies Operating</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Georgia,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LLC</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5445 Triangle Parkway</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72-1074903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Company, LLC</w:t>
            </w: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Norcross, GA 30092</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0465564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FleetCor Fuel Cards LLC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Delaware,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LLC</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5445 Triangle Parkway</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20-1912242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Norcross, GA 30092</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4715813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Mannatec, Inc.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Georgia,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5445 Triangle Parkway</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58-1731645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Norcross, GA 30092</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J706704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CFN Holding Co.</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Delaware,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5445 Triangle Parkway</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20-0216380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Norcross, GA 30092</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3690397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CLC Group, Inc.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Delaware,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8110 East 32nd Street North Wichita,</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05-0573704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KS 67226</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3668115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Corporate Lodging Consultants, Inc.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Kansas,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8110 East 32nd Street North Wichita,</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48-0866331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KS 67226</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0522276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Crew Transportation Specialists, Inc.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Kansas,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8110 East 32nd Street North Wichita,</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48-1237421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KS 67226</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2914141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 The FuelCard Co UK Limited,</w:t>
            </w: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FleetCor UK Acquisition Limited</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Kingdom</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LLC</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 3 St James Business Park,</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98-1082161</w:t>
            </w:r>
          </w:p>
        </w:tc>
        <w:tc>
          <w:tcPr>
            <w:tcW w:w="0" w:type="dxa"/>
            <w:vAlign w:val="bottom"/>
          </w:tcPr>
          <w:p>
            <w:pPr>
              <w:spacing w:after="0"/>
              <w:rPr>
                <w:sz w:val="1"/>
                <w:szCs w:val="1"/>
                <w:color w:val="auto"/>
              </w:rPr>
            </w:pPr>
          </w:p>
        </w:tc>
      </w:tr>
      <w:tr>
        <w:trPr>
          <w:trHeight w:val="203"/>
        </w:trPr>
        <w:tc>
          <w:tcPr>
            <w:tcW w:w="2740" w:type="dxa"/>
            <w:vAlign w:val="bottom"/>
            <w:tcBorders>
              <w:left w:val="single" w:sz="8" w:color="auto"/>
              <w:right w:val="single" w:sz="8" w:color="auto"/>
            </w:tcBorders>
            <w:vMerge w:val="continue"/>
          </w:tcPr>
          <w:p>
            <w:pPr>
              <w:spacing w:after="0"/>
              <w:rPr>
                <w:sz w:val="17"/>
                <w:szCs w:val="17"/>
                <w:color w:val="auto"/>
              </w:rPr>
            </w:pPr>
          </w:p>
        </w:tc>
        <w:tc>
          <w:tcPr>
            <w:tcW w:w="196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5"/>
              </w:rPr>
              <w:t>Grimbald Crag Court, Knaresborough</w:t>
            </w:r>
          </w:p>
        </w:tc>
        <w:tc>
          <w:tcPr>
            <w:tcW w:w="24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HG5 8QB</w:t>
            </w:r>
          </w:p>
        </w:tc>
        <w:tc>
          <w:tcPr>
            <w:tcW w:w="2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AllStar Business Solutions Limited</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Kingdom</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LLC</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 Box 1463, Windmill Hill,</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98-1082184</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Whitehill Way, Swindon SN5 6PS</w:t>
            </w:r>
          </w:p>
        </w:tc>
        <w:tc>
          <w:tcPr>
            <w:tcW w:w="2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Australian</w:t>
            </w:r>
          </w:p>
        </w:tc>
        <w:tc>
          <w:tcPr>
            <w:tcW w:w="258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proprietary</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5"/>
              </w:rPr>
              <w:t>C/O TMF Corporate Services (AUST)</w:t>
            </w:r>
          </w:p>
        </w:tc>
        <w:tc>
          <w:tcPr>
            <w:tcW w:w="2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Business Fuel Cards Pty Ltd</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PTY Limited, Level 16, 201 Elizabeth</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ACN 161 721 106</w:t>
            </w:r>
          </w:p>
        </w:tc>
        <w:tc>
          <w:tcPr>
            <w:tcW w:w="0" w:type="dxa"/>
            <w:vAlign w:val="bottom"/>
          </w:tcPr>
          <w:p>
            <w:pPr>
              <w:spacing w:after="0"/>
              <w:rPr>
                <w:sz w:val="1"/>
                <w:szCs w:val="1"/>
                <w:color w:val="auto"/>
              </w:rPr>
            </w:pPr>
          </w:p>
        </w:tc>
      </w:tr>
      <w:tr>
        <w:trPr>
          <w:trHeight w:val="203"/>
        </w:trPr>
        <w:tc>
          <w:tcPr>
            <w:tcW w:w="274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by</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Street, Sydney NSW 2000</w:t>
            </w:r>
          </w:p>
        </w:tc>
        <w:tc>
          <w:tcPr>
            <w:tcW w:w="2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shares</w:t>
            </w:r>
          </w:p>
        </w:tc>
        <w:tc>
          <w:tcPr>
            <w:tcW w:w="258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FleetCor Technologies New Zealand</w:t>
            </w:r>
          </w:p>
        </w:tc>
        <w:tc>
          <w:tcPr>
            <w:tcW w:w="1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NZ Limited</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 TMF Corporate Services New</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110800746 (Inland Revenue</w:t>
            </w:r>
          </w:p>
        </w:tc>
        <w:tc>
          <w:tcPr>
            <w:tcW w:w="0" w:type="dxa"/>
            <w:vAlign w:val="bottom"/>
          </w:tcPr>
          <w:p>
            <w:pPr>
              <w:spacing w:after="0"/>
              <w:rPr>
                <w:sz w:val="1"/>
                <w:szCs w:val="1"/>
                <w:color w:val="auto"/>
              </w:rPr>
            </w:pPr>
          </w:p>
        </w:tc>
      </w:tr>
      <w:tr>
        <w:trPr>
          <w:trHeight w:val="95"/>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New Zealand</w:t>
            </w: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Zealand, 21 Queen Street, Auckland</w:t>
            </w:r>
          </w:p>
        </w:tc>
        <w:tc>
          <w:tcPr>
            <w:tcW w:w="2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Limited</w:t>
            </w: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Company</w:t>
            </w: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Department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Central, Auckland 1010, NZ</w:t>
            </w:r>
          </w:p>
        </w:tc>
        <w:tc>
          <w:tcPr>
            <w:tcW w:w="2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Société à</w:t>
            </w:r>
          </w:p>
        </w:tc>
        <w:tc>
          <w:tcPr>
            <w:tcW w:w="258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FleetCor Luxembourg Holding2</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Luxembourg</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responsabilité</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L-1882 Luxemburg, 5, rue Guillaume</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98-1039677</w:t>
            </w:r>
          </w:p>
        </w:tc>
        <w:tc>
          <w:tcPr>
            <w:tcW w:w="0" w:type="dxa"/>
            <w:vAlign w:val="bottom"/>
          </w:tcPr>
          <w:p>
            <w:pPr>
              <w:spacing w:after="0"/>
              <w:rPr>
                <w:sz w:val="1"/>
                <w:szCs w:val="1"/>
                <w:color w:val="auto"/>
              </w:rPr>
            </w:pPr>
          </w:p>
        </w:tc>
      </w:tr>
      <w:tr>
        <w:trPr>
          <w:trHeight w:val="206"/>
        </w:trPr>
        <w:tc>
          <w:tcPr>
            <w:tcW w:w="274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limitée</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Kroll</w:t>
            </w:r>
          </w:p>
        </w:tc>
        <w:tc>
          <w:tcPr>
            <w:tcW w:w="2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Comdata Inc.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Delaware</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5301 Maryland Way</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46-2841258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Brentwood, TN 37027</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5338708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860"/>
          </w:cols>
          <w:pgMar w:left="540" w:top="751" w:right="499" w:bottom="1440" w:gutter="0" w:footer="0" w:header="0"/>
        </w:sectPr>
      </w:pPr>
    </w:p>
    <w:bookmarkStart w:id="90" w:name="page91"/>
    <w:bookmarkEnd w:id="90"/>
    <w:tbl>
      <w:tblPr>
        <w:tblLayout w:type="fixed"/>
        <w:tblInd w:w="10" w:type="dxa"/>
        <w:tblCellMar>
          <w:top w:w="0" w:type="dxa"/>
          <w:left w:w="0" w:type="dxa"/>
          <w:bottom w:w="0" w:type="dxa"/>
          <w:right w:w="0" w:type="dxa"/>
        </w:tblCellMar>
      </w:tblPr>
      <w:tr>
        <w:trPr>
          <w:trHeight w:val="220"/>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Comdata TN, Inc.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Tennessee,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5301 Maryland Way</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46-2588189 (Federal Tax Number)</w:t>
            </w:r>
          </w:p>
        </w:tc>
        <w:tc>
          <w:tcPr>
            <w:tcW w:w="0" w:type="dxa"/>
            <w:vAlign w:val="bottom"/>
          </w:tcPr>
          <w:p>
            <w:pPr>
              <w:spacing w:after="0"/>
              <w:rPr>
                <w:sz w:val="1"/>
                <w:szCs w:val="1"/>
                <w:color w:val="auto"/>
              </w:rPr>
            </w:pPr>
          </w:p>
        </w:tc>
      </w:tr>
      <w:tr>
        <w:trPr>
          <w:trHeight w:val="112"/>
        </w:trPr>
        <w:tc>
          <w:tcPr>
            <w:tcW w:w="274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Brentwood, TN 37027</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716732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Comdata Network, Inc. of California</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California,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corporation</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5301 Maryland Way</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62-1455497 (Federal Tax Number)</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Brentwood, TN 37027</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C1676618 (Org. ID)</w:t>
            </w: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Pacific Pride Services, LLC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Delaware,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LLC</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205 Columbia Street NE</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72-1074903</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Salem, OR 97301</w:t>
            </w:r>
          </w:p>
        </w:tc>
        <w:tc>
          <w:tcPr>
            <w:tcW w:w="2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FCHC Holding Company LLC</w:t>
            </w:r>
          </w:p>
        </w:tc>
        <w:tc>
          <w:tcPr>
            <w:tcW w:w="1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Delaware, United States</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LLC</w:t>
            </w:r>
          </w:p>
        </w:tc>
        <w:tc>
          <w:tcPr>
            <w:tcW w:w="25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5445 Triangle Parkway</w:t>
            </w:r>
          </w:p>
        </w:tc>
        <w:tc>
          <w:tcPr>
            <w:tcW w:w="2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72-1074903</w:t>
            </w:r>
          </w:p>
        </w:tc>
        <w:tc>
          <w:tcPr>
            <w:tcW w:w="0" w:type="dxa"/>
            <w:vAlign w:val="bottom"/>
          </w:tcPr>
          <w:p>
            <w:pPr>
              <w:spacing w:after="0"/>
              <w:rPr>
                <w:sz w:val="1"/>
                <w:szCs w:val="1"/>
                <w:color w:val="auto"/>
              </w:rPr>
            </w:pPr>
          </w:p>
        </w:tc>
      </w:tr>
      <w:tr>
        <w:trPr>
          <w:trHeight w:val="98"/>
        </w:trPr>
        <w:tc>
          <w:tcPr>
            <w:tcW w:w="274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Norcross, GA 30092</w:t>
            </w:r>
          </w:p>
        </w:tc>
        <w:tc>
          <w:tcPr>
            <w:tcW w:w="2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860"/>
          </w:cols>
          <w:pgMar w:left="540" w:top="889" w:right="499" w:bottom="1440" w:gutter="0" w:footer="0" w:header="0"/>
        </w:sectPr>
      </w:pPr>
    </w:p>
    <w:bookmarkStart w:id="91" w:name="page92"/>
    <w:bookmarkEnd w:id="91"/>
    <w:p>
      <w:pPr>
        <w:jc w:val="center"/>
        <w:ind w:right="-699"/>
        <w:spacing w:after="0"/>
        <w:rPr>
          <w:sz w:val="20"/>
          <w:szCs w:val="20"/>
          <w:color w:val="auto"/>
        </w:rPr>
      </w:pPr>
      <w:r>
        <w:rPr>
          <w:rFonts w:ascii="Arial" w:cs="Arial" w:eastAsia="Arial" w:hAnsi="Arial"/>
          <w:sz w:val="20"/>
          <w:szCs w:val="20"/>
          <w:b w:val="1"/>
          <w:bCs w:val="1"/>
          <w:u w:val="single" w:color="auto"/>
          <w:color w:val="auto"/>
        </w:rPr>
        <w:t>Schedule 6.20(c)</w:t>
      </w:r>
    </w:p>
    <w:p>
      <w:pPr>
        <w:spacing w:after="0" w:line="229"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Changes in Legal Name, State of Formation and Structure</w:t>
      </w:r>
    </w:p>
    <w:p>
      <w:pPr>
        <w:spacing w:after="0" w:line="249"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ReD Fuel Cards LLC changed its name to FleetCor Fuel Cards LLC</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firstLine="8"/>
        <w:spacing w:after="0" w:line="289" w:lineRule="auto"/>
        <w:tabs>
          <w:tab w:leader="none" w:pos="198" w:val="left"/>
        </w:tabs>
        <w:numPr>
          <w:ilvl w:val="0"/>
          <w:numId w:val="31"/>
        </w:numPr>
        <w:rPr>
          <w:rFonts w:ascii="Arial" w:cs="Arial" w:eastAsia="Arial" w:hAnsi="Arial"/>
          <w:sz w:val="20"/>
          <w:szCs w:val="20"/>
          <w:color w:val="auto"/>
        </w:rPr>
      </w:pPr>
      <w:r>
        <w:rPr>
          <w:rFonts w:ascii="Arial" w:cs="Arial" w:eastAsia="Arial" w:hAnsi="Arial"/>
          <w:sz w:val="20"/>
          <w:szCs w:val="20"/>
          <w:color w:val="auto"/>
        </w:rPr>
        <w:t>FleetCor Technologies, Inc. purchased Comdata Inc., a Delaware corporation on the Initial Borrowing Date, which has the following subsidiaries (among others):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Comdata TN, Inc., a Tennessee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Comdata Network, Inc. of California, a California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Permicom Permits Services Inc., a Canadian corporation (Ontario)</w:t>
      </w:r>
    </w:p>
    <w:p>
      <w:pPr>
        <w:spacing w:after="0" w:line="200" w:lineRule="exact"/>
        <w:rPr>
          <w:sz w:val="20"/>
          <w:szCs w:val="20"/>
          <w:color w:val="auto"/>
        </w:rPr>
      </w:pPr>
    </w:p>
    <w:p>
      <w:pPr>
        <w:spacing w:after="0" w:line="353"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FleetCor Technologies Australia Pty Ltd changed its name to Business Fuel Cards Pty Ltd</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left="200" w:hanging="192"/>
        <w:spacing w:after="0"/>
        <w:tabs>
          <w:tab w:leader="none" w:pos="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Comdata Inc. is the surviving corporation in a multi-step merger. Predecessor entities were: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Comdata Network, Inc., a Maryland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Ceridian Stored Value Solutions, Inc., a Delaware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Comdata Merger LLC, a Delaware LLC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CDN Holding Corp., a Minnesota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0720"/>
          </w:cols>
          <w:pgMar w:left="240" w:top="751" w:right="9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LOAN NOTICE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201__</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9" w:lineRule="exact"/>
        <w:rPr>
          <w:sz w:val="20"/>
          <w:szCs w:val="20"/>
          <w:color w:val="auto"/>
        </w:rPr>
      </w:pPr>
    </w:p>
    <w:p>
      <w:pPr>
        <w:jc w:val="both"/>
        <w:ind w:left="660" w:hanging="659"/>
        <w:spacing w:after="0" w:line="243" w:lineRule="auto"/>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Credit Agreement dated as of October 24, 2014 (as amended, modified, supplemented or extended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among FleetCor Technologies Operating Company, LLC (the “</w:t>
      </w:r>
      <w:r>
        <w:rPr>
          <w:rFonts w:ascii="Arial" w:cs="Arial" w:eastAsia="Arial" w:hAnsi="Arial"/>
          <w:sz w:val="20"/>
          <w:szCs w:val="20"/>
          <w:u w:val="single" w:color="auto"/>
          <w:color w:val="auto"/>
        </w:rPr>
        <w:t>Company</w:t>
      </w:r>
      <w:r>
        <w:rPr>
          <w:rFonts w:ascii="Arial" w:cs="Arial" w:eastAsia="Arial" w:hAnsi="Arial"/>
          <w:sz w:val="20"/>
          <w:szCs w:val="20"/>
          <w:color w:val="auto"/>
        </w:rPr>
        <w:t>”), FleetCor Technologies, Inc., a Delaware corporation (the “</w:t>
      </w:r>
      <w:r>
        <w:rPr>
          <w:rFonts w:ascii="Arial" w:cs="Arial" w:eastAsia="Arial" w:hAnsi="Arial"/>
          <w:sz w:val="20"/>
          <w:szCs w:val="20"/>
          <w:u w:val="single" w:color="auto"/>
          <w:color w:val="auto"/>
        </w:rPr>
        <w:t>Parent</w:t>
      </w:r>
      <w:r>
        <w:rPr>
          <w:rFonts w:ascii="Arial" w:cs="Arial" w:eastAsia="Arial" w:hAnsi="Arial"/>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requests (select one):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Borrowing of Revolving A Loans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Borrowing of Revolving B Loans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Borrowing of Revolving C Loans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Borrowing of the Term A Loan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Borrowing of the Term B-3 Loan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conversion or continuation of Revolving A Loans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conversion or continuation of Revolving B Loans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conversion or continuation of Revolving C Loans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 conversion or continuation of the Term A Loan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conversion or continuation of the Term B-3 Loan</w:t>
      </w:r>
    </w:p>
    <w:p>
      <w:pPr>
        <w:spacing w:after="0" w:line="200" w:lineRule="exact"/>
        <w:rPr>
          <w:sz w:val="20"/>
          <w:szCs w:val="20"/>
          <w:color w:val="auto"/>
        </w:rPr>
      </w:pPr>
    </w:p>
    <w:p>
      <w:pPr>
        <w:spacing w:after="0" w:line="259"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On _______________, 201__ (which is a Business Day).</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the amount of $__________.</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765" w:right="239" w:bottom="1440" w:gutter="0" w:footer="0" w:header="0"/>
        </w:sectPr>
      </w:pPr>
    </w:p>
    <w:bookmarkStart w:id="93" w:name="page94"/>
    <w:bookmarkEnd w:id="93"/>
    <w:p>
      <w:pPr>
        <w:ind w:left="360" w:hanging="352"/>
        <w:spacing w:after="0"/>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Comprised of ______________ (Type of Loan requested).</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 the following currency: ________________________</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 Eurocurrency Rate Loans: with an Interest Period of __________ months.</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On behalf of ____________________________ </w:t>
      </w:r>
      <w:r>
        <w:rPr>
          <w:rFonts w:ascii="Arial" w:cs="Arial" w:eastAsia="Arial" w:hAnsi="Arial"/>
          <w:sz w:val="20"/>
          <w:szCs w:val="20"/>
          <w:i w:val="1"/>
          <w:iCs w:val="1"/>
          <w:color w:val="auto"/>
        </w:rPr>
        <w:t>[insert name of applicable Borrower].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Company hereby represents and warrants that (a) after giving effect to any Borrowing of Revolving Loans, (i) the Total Revolving Outstandings shall not exceed the Aggregate Revolving Commitments, (ii) the Total Revolving A Outstandings shall not exceed the Aggregate Revolving A Commitments, (iii) the Total Revolving B Outstandings shall not exceed the Aggregate Revolving B Commitments, (iv) the Total Revolving C Outstandings shall not exceed the Aggregate Revolving C Commitments, (v) the aggregate Outstanding Amount of the Revolving A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Domestic Swing Line Loans shall not exceed such Lender’s Revolving A Commitment, (vi) the aggregate Outstanding Amount of the Revolving B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Foreign Swing Line Loans shall not exceed such Lender’s Revolving B Commitment and (vii) the aggregate Outstanding Amount of the Revolving C Loans of any Lender shall not exceed such Lender’s Revolving C Commitment; and (b) each of the conditions set forth in </w:t>
      </w:r>
      <w:r>
        <w:rPr>
          <w:rFonts w:ascii="Arial" w:cs="Arial" w:eastAsia="Arial" w:hAnsi="Arial"/>
          <w:sz w:val="18"/>
          <w:szCs w:val="18"/>
          <w:u w:val="single" w:color="auto"/>
          <w:color w:val="auto"/>
        </w:rPr>
        <w:t>Sections 5.03(a)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Credit Agreement has been satisfied on and as of the date of such Borrowing.</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[Insert Borrower Name]</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628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757"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SWING LINE LOAN NOTICE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201_</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Swing Line Lender</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Cc:</w:t>
      </w:r>
      <w:r>
        <w:rPr>
          <w:sz w:val="20"/>
          <w:szCs w:val="20"/>
          <w:color w:val="auto"/>
        </w:rPr>
        <w:tab/>
      </w:r>
      <w:r>
        <w:rPr>
          <w:rFonts w:ascii="Arial" w:cs="Arial" w:eastAsia="Arial" w:hAnsi="Arial"/>
          <w:sz w:val="18"/>
          <w:szCs w:val="18"/>
          <w:color w:val="auto"/>
        </w:rPr>
        <w:t>Bank of America, N.A., as Administrative Agent</w:t>
      </w:r>
    </w:p>
    <w:p>
      <w:pPr>
        <w:spacing w:after="0" w:line="229" w:lineRule="exact"/>
        <w:rPr>
          <w:sz w:val="20"/>
          <w:szCs w:val="20"/>
          <w:color w:val="auto"/>
        </w:rPr>
      </w:pPr>
    </w:p>
    <w:p>
      <w:pPr>
        <w:jc w:val="both"/>
        <w:ind w:left="660" w:hanging="659"/>
        <w:spacing w:after="0" w:line="243" w:lineRule="auto"/>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Credit Agreement dated as of October 24, 2014 (as amended, modified, supplemented or extended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among FleetCor Technologies Operating Company, LLC (the “</w:t>
      </w:r>
      <w:r>
        <w:rPr>
          <w:rFonts w:ascii="Arial" w:cs="Arial" w:eastAsia="Arial" w:hAnsi="Arial"/>
          <w:sz w:val="20"/>
          <w:szCs w:val="20"/>
          <w:u w:val="single" w:color="auto"/>
          <w:color w:val="auto"/>
        </w:rPr>
        <w:t>Company</w:t>
      </w:r>
      <w:r>
        <w:rPr>
          <w:rFonts w:ascii="Arial" w:cs="Arial" w:eastAsia="Arial" w:hAnsi="Arial"/>
          <w:sz w:val="20"/>
          <w:szCs w:val="20"/>
          <w:color w:val="auto"/>
        </w:rPr>
        <w:t>”), FleetCor Technologies, Inc., a Delaware corporation (the “</w:t>
      </w:r>
      <w:r>
        <w:rPr>
          <w:rFonts w:ascii="Arial" w:cs="Arial" w:eastAsia="Arial" w:hAnsi="Arial"/>
          <w:sz w:val="20"/>
          <w:szCs w:val="20"/>
          <w:u w:val="single" w:color="auto"/>
          <w:color w:val="auto"/>
        </w:rPr>
        <w:t>Parent</w:t>
      </w:r>
      <w:r>
        <w:rPr>
          <w:rFonts w:ascii="Arial" w:cs="Arial" w:eastAsia="Arial" w:hAnsi="Arial"/>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requests a [Domestic] [Foreign] Swing Line Loan: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1.</w:t>
            </w:r>
          </w:p>
        </w:tc>
        <w:tc>
          <w:tcPr>
            <w:tcW w:w="7500" w:type="dxa"/>
            <w:vAlign w:val="bottom"/>
            <w:gridSpan w:val="3"/>
          </w:tcPr>
          <w:p>
            <w:pPr>
              <w:ind w:left="80"/>
              <w:spacing w:after="0"/>
              <w:rPr>
                <w:sz w:val="20"/>
                <w:szCs w:val="20"/>
                <w:color w:val="auto"/>
              </w:rPr>
            </w:pPr>
            <w:r>
              <w:rPr>
                <w:rFonts w:ascii="Arial" w:cs="Arial" w:eastAsia="Arial" w:hAnsi="Arial"/>
                <w:sz w:val="20"/>
                <w:szCs w:val="20"/>
                <w:color w:val="auto"/>
              </w:rPr>
              <w:t>On __________  , 201__ (a Business Day).</w:t>
            </w:r>
          </w:p>
        </w:tc>
      </w:tr>
      <w:tr>
        <w:trPr>
          <w:trHeight w:val="20"/>
        </w:trPr>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484"/>
        </w:trPr>
        <w:tc>
          <w:tcPr>
            <w:tcW w:w="280" w:type="dxa"/>
            <w:vAlign w:val="bottom"/>
          </w:tcPr>
          <w:p>
            <w:pPr>
              <w:spacing w:after="0"/>
              <w:rPr>
                <w:sz w:val="20"/>
                <w:szCs w:val="20"/>
                <w:color w:val="auto"/>
              </w:rPr>
            </w:pPr>
            <w:r>
              <w:rPr>
                <w:rFonts w:ascii="Arial" w:cs="Arial" w:eastAsia="Arial" w:hAnsi="Arial"/>
                <w:sz w:val="20"/>
                <w:szCs w:val="20"/>
                <w:color w:val="auto"/>
              </w:rPr>
              <w:t>[2.</w:t>
            </w:r>
          </w:p>
        </w:tc>
        <w:tc>
          <w:tcPr>
            <w:tcW w:w="7500" w:type="dxa"/>
            <w:vAlign w:val="bottom"/>
            <w:gridSpan w:val="3"/>
          </w:tcPr>
          <w:p>
            <w:pPr>
              <w:ind w:left="140"/>
              <w:spacing w:after="0"/>
              <w:rPr>
                <w:sz w:val="20"/>
                <w:szCs w:val="20"/>
                <w:color w:val="auto"/>
              </w:rPr>
            </w:pPr>
            <w:r>
              <w:rPr>
                <w:rFonts w:ascii="Arial" w:cs="Arial" w:eastAsia="Arial" w:hAnsi="Arial"/>
                <w:sz w:val="20"/>
                <w:szCs w:val="20"/>
                <w:color w:val="auto"/>
              </w:rPr>
              <w:t>In the amount of $__________.]</w:t>
            </w:r>
          </w:p>
        </w:tc>
      </w:tr>
      <w:tr>
        <w:trPr>
          <w:trHeight w:val="459"/>
        </w:trPr>
        <w:tc>
          <w:tcPr>
            <w:tcW w:w="280" w:type="dxa"/>
            <w:vAlign w:val="bottom"/>
          </w:tcPr>
          <w:p>
            <w:pPr>
              <w:spacing w:after="0"/>
              <w:rPr>
                <w:sz w:val="20"/>
                <w:szCs w:val="20"/>
                <w:color w:val="auto"/>
              </w:rPr>
            </w:pPr>
            <w:r>
              <w:rPr>
                <w:rFonts w:ascii="Arial" w:cs="Arial" w:eastAsia="Arial" w:hAnsi="Arial"/>
                <w:sz w:val="20"/>
                <w:szCs w:val="20"/>
                <w:color w:val="auto"/>
              </w:rPr>
              <w:t>[2.</w:t>
            </w:r>
          </w:p>
        </w:tc>
        <w:tc>
          <w:tcPr>
            <w:tcW w:w="7500" w:type="dxa"/>
            <w:vAlign w:val="bottom"/>
            <w:gridSpan w:val="3"/>
          </w:tcPr>
          <w:p>
            <w:pPr>
              <w:ind w:left="140"/>
              <w:spacing w:after="0"/>
              <w:rPr>
                <w:sz w:val="20"/>
                <w:szCs w:val="20"/>
                <w:color w:val="auto"/>
              </w:rPr>
            </w:pPr>
            <w:r>
              <w:rPr>
                <w:rFonts w:ascii="Arial" w:cs="Arial" w:eastAsia="Arial" w:hAnsi="Arial"/>
                <w:sz w:val="20"/>
                <w:szCs w:val="20"/>
                <w:color w:val="auto"/>
                <w:w w:val="91"/>
              </w:rPr>
              <w:t>In [Euros] [Sterling] in the amount of the Alternative Currency Equivalent of $__________.]</w:t>
            </w:r>
          </w:p>
        </w:tc>
      </w:tr>
    </w:tbl>
    <w:p>
      <w:pPr>
        <w:spacing w:after="0" w:line="200" w:lineRule="exact"/>
        <w:rPr>
          <w:sz w:val="20"/>
          <w:szCs w:val="20"/>
          <w:color w:val="auto"/>
        </w:rPr>
      </w:pP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With respect to such Borrowing of Swing Line Loans, the undersigned Borrower hereby represents and warrants that (a) after giving effect to such Borrowing of Swing Line Loans, (i) the Total Revolving Outstandings shall not exceed the Aggregate Revolving Commitments, (ii) the Total Revolving A Outstandings shall not exceed the Aggregate Revolving A Commitments, (iii) the Total Revolving B Outstandings shall not exceed the Aggregate Revolving B Commitments, (iv) the aggregate Outstanding Amount of the Revolving A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Domestic Swing Line Loans shall not exceed such Lender’s Revolving A Commitment, (v) the aggregate Outstanding Amount of the Revolving B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Foreign Swing Line Loans shall not exceed such Lender’s Revolving B Commitment, (vi) the aggregate Outstanding Amount of all Foreign Swing Line Loans shall not exceed the Foreign Swing Line Loan Sublimit, and (vii) the aggregate Outstanding Amount of all Domestic Swing Line Loans shall not exceed the Domestic Swing Line Loan Sublimit; and (b) each of the conditions set forth in </w:t>
      </w:r>
      <w:r>
        <w:rPr>
          <w:rFonts w:ascii="Arial" w:cs="Arial" w:eastAsia="Arial" w:hAnsi="Arial"/>
          <w:sz w:val="18"/>
          <w:szCs w:val="18"/>
          <w:u w:val="single" w:color="auto"/>
          <w:color w:val="auto"/>
        </w:rPr>
        <w:t>Sections 5.03(a)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Credit Agreement has been satisfied on and as of the date of such Borrowing of Swing Line Loans.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751" w:right="239" w:bottom="1440" w:gutter="0" w:footer="0" w:header="0"/>
        </w:sectPr>
      </w:pPr>
    </w:p>
    <w:bookmarkStart w:id="95" w:name="page96"/>
    <w:bookmarkEnd w:id="95"/>
    <w:p>
      <w:pPr>
        <w:ind w:left="2700"/>
        <w:spacing w:after="0"/>
        <w:rPr>
          <w:sz w:val="20"/>
          <w:szCs w:val="20"/>
          <w:color w:val="auto"/>
        </w:rPr>
      </w:pPr>
      <w:r>
        <w:rPr>
          <w:rFonts w:ascii="Arial" w:cs="Arial" w:eastAsia="Arial" w:hAnsi="Arial"/>
          <w:sz w:val="18"/>
          <w:szCs w:val="18"/>
          <w:color w:val="auto"/>
        </w:rPr>
        <w:t>[Insert Borrower Name]</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628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019"/>
          </w:cols>
          <w:pgMar w:left="1440" w:top="757"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COMPLIANCE CERTIFICATE</w:t>
      </w:r>
    </w:p>
    <w:p>
      <w:pPr>
        <w:spacing w:after="0" w:line="200" w:lineRule="exact"/>
        <w:rPr>
          <w:sz w:val="20"/>
          <w:szCs w:val="20"/>
          <w:color w:val="auto"/>
        </w:rPr>
      </w:pPr>
    </w:p>
    <w:p>
      <w:pPr>
        <w:spacing w:after="0" w:line="25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Check for distribution to PUBLIC </w:t>
      </w:r>
      <w:r>
        <w:rPr>
          <w:rFonts w:ascii="Arial" w:cs="Arial" w:eastAsia="Arial" w:hAnsi="Arial"/>
          <w:sz w:val="20"/>
          <w:szCs w:val="20"/>
          <w:b w:val="1"/>
          <w:bCs w:val="1"/>
          <w:u w:val="single" w:color="auto"/>
          <w:color w:val="auto"/>
        </w:rPr>
        <w:t>and</w:t>
      </w:r>
      <w:r>
        <w:rPr>
          <w:rFonts w:ascii="Arial" w:cs="Arial" w:eastAsia="Arial" w:hAnsi="Arial"/>
          <w:sz w:val="20"/>
          <w:szCs w:val="20"/>
          <w:b w:val="1"/>
          <w:bCs w:val="1"/>
          <w:color w:val="auto"/>
        </w:rPr>
        <w:t xml:space="preserve"> Private side Lenders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Financial Statement Date: __________, 201__</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9" w:lineRule="exact"/>
        <w:rPr>
          <w:sz w:val="20"/>
          <w:szCs w:val="20"/>
          <w:color w:val="auto"/>
        </w:rPr>
      </w:pPr>
    </w:p>
    <w:p>
      <w:pPr>
        <w:jc w:val="both"/>
        <w:ind w:left="660" w:hanging="659"/>
        <w:spacing w:after="0" w:line="243" w:lineRule="auto"/>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Credit Agreement dated as of October 24, 2014 (as amended, modified, supplemented or extended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among FleetCor Technologies Operating Company, LLC (the “</w:t>
      </w:r>
      <w:r>
        <w:rPr>
          <w:rFonts w:ascii="Arial" w:cs="Arial" w:eastAsia="Arial" w:hAnsi="Arial"/>
          <w:sz w:val="20"/>
          <w:szCs w:val="20"/>
          <w:u w:val="single" w:color="auto"/>
          <w:color w:val="auto"/>
        </w:rPr>
        <w:t>Company</w:t>
      </w:r>
      <w:r>
        <w:rPr>
          <w:rFonts w:ascii="Arial" w:cs="Arial" w:eastAsia="Arial" w:hAnsi="Arial"/>
          <w:sz w:val="20"/>
          <w:szCs w:val="20"/>
          <w:color w:val="auto"/>
        </w:rPr>
        <w:t>”), FleetCor Technologies, Inc., a Delaware corporation (the “</w:t>
      </w:r>
      <w:r>
        <w:rPr>
          <w:rFonts w:ascii="Arial" w:cs="Arial" w:eastAsia="Arial" w:hAnsi="Arial"/>
          <w:sz w:val="20"/>
          <w:szCs w:val="20"/>
          <w:u w:val="single" w:color="auto"/>
          <w:color w:val="auto"/>
        </w:rPr>
        <w:t>Parent</w:t>
      </w:r>
      <w:r>
        <w:rPr>
          <w:rFonts w:ascii="Arial" w:cs="Arial" w:eastAsia="Arial" w:hAnsi="Arial"/>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Responsible Officer hereby certifies as of the date hereof that [he/she] is the _______________ of the Parent, and that, in</w:t>
      </w:r>
    </w:p>
    <w:p>
      <w:pPr>
        <w:spacing w:after="0" w:line="3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[his/her] capacity as such, [he/she] is authorized to execute and deliver this Certificate to the Administrative Agent on behalf of the Parent, and that:</w:t>
      </w:r>
    </w:p>
    <w:p>
      <w:pPr>
        <w:spacing w:after="0" w:line="205"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[Use following paragraph 1 for the fiscal year</w:t>
      </w:r>
      <w:r>
        <w:rPr>
          <w:rFonts w:ascii="MS PGothic" w:cs="MS PGothic" w:eastAsia="MS PGothic" w:hAnsi="MS PGothic"/>
          <w:sz w:val="20"/>
          <w:szCs w:val="20"/>
          <w:color w:val="auto"/>
        </w:rPr>
        <w:t>‑</w:t>
      </w:r>
      <w:r>
        <w:rPr>
          <w:rFonts w:ascii="Arial" w:cs="Arial" w:eastAsia="Arial" w:hAnsi="Arial"/>
          <w:sz w:val="20"/>
          <w:szCs w:val="20"/>
          <w:color w:val="auto"/>
        </w:rPr>
        <w:t>end financial statements:]</w:t>
      </w:r>
    </w:p>
    <w:p>
      <w:pPr>
        <w:spacing w:after="0" w:line="229" w:lineRule="exact"/>
        <w:rPr>
          <w:sz w:val="20"/>
          <w:szCs w:val="20"/>
          <w:color w:val="auto"/>
        </w:rPr>
      </w:pPr>
    </w:p>
    <w:p>
      <w:pPr>
        <w:jc w:val="both"/>
        <w:spacing w:after="0" w:line="236" w:lineRule="exact"/>
        <w:rPr>
          <w:sz w:val="20"/>
          <w:szCs w:val="20"/>
          <w:color w:val="auto"/>
        </w:rPr>
      </w:pPr>
      <w:r>
        <w:rPr>
          <w:rFonts w:ascii="Arial" w:cs="Arial" w:eastAsia="Arial" w:hAnsi="Arial"/>
          <w:sz w:val="20"/>
          <w:szCs w:val="20"/>
          <w:color w:val="auto"/>
        </w:rPr>
        <w:t xml:space="preserve">[1. Attached hereto as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are the year</w:t>
      </w:r>
      <w:r>
        <w:rPr>
          <w:rFonts w:ascii="MS PGothic" w:cs="MS PGothic" w:eastAsia="MS PGothic" w:hAnsi="MS PGothic"/>
          <w:sz w:val="20"/>
          <w:szCs w:val="20"/>
          <w:color w:val="auto"/>
        </w:rPr>
        <w:t>‑</w:t>
      </w:r>
      <w:r>
        <w:rPr>
          <w:rFonts w:ascii="Arial" w:cs="Arial" w:eastAsia="Arial" w:hAnsi="Arial"/>
          <w:sz w:val="20"/>
          <w:szCs w:val="20"/>
          <w:color w:val="auto"/>
        </w:rPr>
        <w:t xml:space="preserve">end audited consolidated financial statements required by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of the Credit Agreement for the fiscal year of the Parent and its Subsidiaries ended as of the above date, together with the report and opinion of an independent certified public accountant required by such section.]</w:t>
      </w:r>
    </w:p>
    <w:p>
      <w:pPr>
        <w:spacing w:after="0" w:line="211"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[Use following paragraph 1 for fiscal quarter</w:t>
      </w:r>
      <w:r>
        <w:rPr>
          <w:rFonts w:ascii="MS PGothic" w:cs="MS PGothic" w:eastAsia="MS PGothic" w:hAnsi="MS PGothic"/>
          <w:sz w:val="20"/>
          <w:szCs w:val="20"/>
          <w:color w:val="auto"/>
        </w:rPr>
        <w:t>‑</w:t>
      </w:r>
      <w:r>
        <w:rPr>
          <w:rFonts w:ascii="Arial" w:cs="Arial" w:eastAsia="Arial" w:hAnsi="Arial"/>
          <w:sz w:val="20"/>
          <w:szCs w:val="20"/>
          <w:color w:val="auto"/>
        </w:rPr>
        <w:t>end financial statements:]</w:t>
      </w:r>
    </w:p>
    <w:p>
      <w:pPr>
        <w:spacing w:after="0" w:line="229" w:lineRule="exact"/>
        <w:rPr>
          <w:sz w:val="20"/>
          <w:szCs w:val="20"/>
          <w:color w:val="auto"/>
        </w:rPr>
      </w:pPr>
    </w:p>
    <w:p>
      <w:pPr>
        <w:jc w:val="both"/>
        <w:spacing w:after="0" w:line="235" w:lineRule="exact"/>
        <w:rPr>
          <w:sz w:val="20"/>
          <w:szCs w:val="20"/>
          <w:color w:val="auto"/>
        </w:rPr>
      </w:pPr>
      <w:r>
        <w:rPr>
          <w:rFonts w:ascii="Arial" w:cs="Arial" w:eastAsia="Arial" w:hAnsi="Arial"/>
          <w:sz w:val="18"/>
          <w:szCs w:val="18"/>
          <w:color w:val="auto"/>
        </w:rPr>
        <w:t xml:space="preserve">[1.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unaudited consolidated financial statements required by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of the Credit Agreement for the fiscal quarter of the Parent and its Subsidiaries ended as of the above date. Such financial statements fairly present in all material respects the financial condition, results of operations, shareholders’ equity and cash flows of the Parent and its Subsidiaries in accordance with GAAP as at such date and for such period, subject only to normal year</w:t>
      </w:r>
      <w:r>
        <w:rPr>
          <w:rFonts w:ascii="MS PGothic" w:cs="MS PGothic" w:eastAsia="MS PGothic" w:hAnsi="MS PGothic"/>
          <w:sz w:val="18"/>
          <w:szCs w:val="18"/>
          <w:color w:val="auto"/>
        </w:rPr>
        <w:t>‑</w:t>
      </w:r>
      <w:r>
        <w:rPr>
          <w:rFonts w:ascii="Arial" w:cs="Arial" w:eastAsia="Arial" w:hAnsi="Arial"/>
          <w:sz w:val="18"/>
          <w:szCs w:val="18"/>
          <w:color w:val="auto"/>
        </w:rPr>
        <w:t>end audit adjustments and the absence of footnotes.]</w:t>
      </w:r>
    </w:p>
    <w:p>
      <w:pPr>
        <w:spacing w:after="0" w:line="210" w:lineRule="exact"/>
        <w:rPr>
          <w:sz w:val="20"/>
          <w:szCs w:val="20"/>
          <w:color w:val="auto"/>
        </w:rPr>
      </w:pPr>
    </w:p>
    <w:p>
      <w:pPr>
        <w:jc w:val="both"/>
        <w:ind w:firstLine="8"/>
        <w:spacing w:after="0" w:line="250" w:lineRule="auto"/>
        <w:tabs>
          <w:tab w:leader="none" w:pos="376"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undersigned has reviewed and is familiar with the terms of the Credit Agreement and has made, or has caused to be made, a detailed review of the transactions and condition (financial or otherwise) of the Company during the accounting period covered by the attached financial statements.</w:t>
      </w:r>
    </w:p>
    <w:p>
      <w:pPr>
        <w:spacing w:after="0" w:line="199" w:lineRule="exact"/>
        <w:rPr>
          <w:rFonts w:ascii="Arial" w:cs="Arial" w:eastAsia="Arial" w:hAnsi="Arial"/>
          <w:sz w:val="20"/>
          <w:szCs w:val="20"/>
          <w:color w:val="auto"/>
        </w:rPr>
      </w:pPr>
    </w:p>
    <w:p>
      <w:pPr>
        <w:ind w:firstLine="8"/>
        <w:spacing w:after="0" w:line="260" w:lineRule="auto"/>
        <w:tabs>
          <w:tab w:leader="none" w:pos="35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review of the activities of the Company has been made under the supervision of the undersigned with a view to determining whether the Company is in compliance with its obligations under the Loan Documents,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751" w:right="23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[select one:]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 the best knowledge of the undersigned, as of the date hereof no Default has occurred and is continuing.]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list of each Default which has occurred and is continuing as of the date hereof and its nature and status:]</w:t>
      </w:r>
    </w:p>
    <w:p>
      <w:pPr>
        <w:spacing w:after="0" w:line="229" w:lineRule="exact"/>
        <w:rPr>
          <w:sz w:val="20"/>
          <w:szCs w:val="20"/>
          <w:color w:val="auto"/>
        </w:rPr>
      </w:pPr>
    </w:p>
    <w:p>
      <w:pPr>
        <w:ind w:right="20" w:firstLine="8"/>
        <w:spacing w:after="0" w:line="260" w:lineRule="auto"/>
        <w:tabs>
          <w:tab w:leader="none" w:pos="353"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financial covenant analyses and calculation of the Consolidated Interest Coverage Ratio and the Consolidated Leverage Ratio set forth on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attached hereto are true and accurate on and as of the date of this Certificate.</w:t>
      </w:r>
    </w:p>
    <w:p>
      <w:pPr>
        <w:spacing w:after="0" w:line="190" w:lineRule="exact"/>
        <w:rPr>
          <w:rFonts w:ascii="Arial" w:cs="Arial" w:eastAsia="Arial" w:hAnsi="Arial"/>
          <w:sz w:val="20"/>
          <w:szCs w:val="20"/>
          <w:color w:val="auto"/>
        </w:rPr>
      </w:pPr>
    </w:p>
    <w:p>
      <w:pPr>
        <w:ind w:right="20" w:firstLine="8"/>
        <w:spacing w:after="0" w:line="260" w:lineRule="auto"/>
        <w:tabs>
          <w:tab w:leader="none" w:pos="451"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analyses and calculation of the Cumulative Credit [and Excess Cash Flow] set forth on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attached hereto are true and accurate on and as of the date of this Certificate.</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[6. The following is a summary of material changes in GAAP and in the consistent application thereof as required by </w:t>
      </w:r>
      <w:r>
        <w:rPr>
          <w:rFonts w:ascii="Arial" w:cs="Arial" w:eastAsia="Arial" w:hAnsi="Arial"/>
          <w:sz w:val="20"/>
          <w:szCs w:val="20"/>
          <w:u w:val="single" w:color="auto"/>
          <w:color w:val="auto"/>
        </w:rPr>
        <w:t>Section 1.03(b)</w:t>
      </w:r>
      <w:r>
        <w:rPr>
          <w:rFonts w:ascii="Arial" w:cs="Arial" w:eastAsia="Arial" w:hAnsi="Arial"/>
          <w:sz w:val="20"/>
          <w:szCs w:val="20"/>
          <w:color w:val="auto"/>
        </w:rPr>
        <w:t xml:space="preserve"> of the Credit Agreement: [insert summary].]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executed this Certificate as of __________, 201__.</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FLEETCOR TECHNOLOGIES,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628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987" w:right="2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20"/>
          <w:szCs w:val="20"/>
          <w:u w:val="single" w:color="auto"/>
          <w:color w:val="auto"/>
        </w:rPr>
        <w:t>Schedule 1</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to Compliance Certificate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9019"/>
          </w:cols>
          <w:pgMar w:left="1440" w:top="771" w:right="1440"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20"/>
          <w:szCs w:val="20"/>
          <w:u w:val="single" w:color="auto"/>
          <w:color w:val="auto"/>
        </w:rPr>
        <w:t>Schedule 2</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to Compliance Certificate</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9019"/>
          </w:cols>
          <w:pgMar w:left="1440" w:top="771" w:right="1440"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20"/>
          <w:szCs w:val="20"/>
          <w:u w:val="single" w:color="auto"/>
          <w:color w:val="auto"/>
        </w:rPr>
        <w:t>Schedule 3</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to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9019"/>
          </w:cols>
          <w:pgMar w:left="1440" w:top="771"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20"/>
          <w:szCs w:val="20"/>
          <w:b w:val="1"/>
          <w:bCs w:val="1"/>
          <w:u w:val="single" w:color="auto"/>
          <w:color w:val="auto"/>
        </w:rPr>
        <w:t>EXHIBIT H</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ASSIGNMENT AND ASSUMPTION</w:t>
      </w:r>
    </w:p>
    <w:p>
      <w:pPr>
        <w:spacing w:after="0" w:line="200" w:lineRule="exact"/>
        <w:rPr>
          <w:sz w:val="20"/>
          <w:szCs w:val="20"/>
          <w:color w:val="auto"/>
        </w:rPr>
      </w:pPr>
    </w:p>
    <w:p>
      <w:pPr>
        <w:spacing w:after="0" w:line="34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[Insert name of Assignor] (the “</w:t>
      </w:r>
      <w:r>
        <w:rPr>
          <w:rFonts w:ascii="Arial" w:cs="Arial" w:eastAsia="Arial" w:hAnsi="Arial"/>
          <w:sz w:val="19"/>
          <w:szCs w:val="19"/>
          <w:u w:val="single" w:color="auto"/>
          <w:color w:val="auto"/>
        </w:rPr>
        <w:t>Assignor</w:t>
      </w:r>
      <w:r>
        <w:rPr>
          <w:rFonts w:ascii="Arial" w:cs="Arial" w:eastAsia="Arial" w:hAnsi="Arial"/>
          <w:sz w:val="19"/>
          <w:szCs w:val="19"/>
          <w:color w:val="auto"/>
        </w:rPr>
        <w:t>”) and [Insert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 Capitalized terms used but not defined herein have the meanings provided in the Credit Agreement identified below,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the Letters of Credit and the Swing Line Loans and the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-14605</wp:posOffset>
            </wp:positionV>
            <wp:extent cx="628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[Assignor [is][is not] a Defaulting Lender.]</w:t>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-14605</wp:posOffset>
            </wp:positionV>
            <wp:extent cx="628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[and is an Affiliate/Approved Fund of [identify Lender]]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3.Borrower: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-14605</wp:posOffset>
            </wp:positionV>
            <wp:extent cx="628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9" w:lineRule="exact"/>
        <w:rPr>
          <w:sz w:val="20"/>
          <w:szCs w:val="20"/>
          <w:color w:val="auto"/>
        </w:rPr>
      </w:pPr>
    </w:p>
    <w:p>
      <w:pPr>
        <w:jc w:val="center"/>
        <w:ind w:left="3240" w:right="3940" w:hanging="3232"/>
        <w:spacing w:after="0" w:line="260" w:lineRule="auto"/>
        <w:tabs>
          <w:tab w:leader="none" w:pos="647" w:val="left"/>
        </w:tabs>
        <w:numPr>
          <w:ilvl w:val="0"/>
          <w:numId w:val="37"/>
        </w:numPr>
        <w:rPr>
          <w:rFonts w:ascii="Arial" w:cs="Arial" w:eastAsia="Arial" w:hAnsi="Arial"/>
          <w:sz w:val="20"/>
          <w:szCs w:val="20"/>
          <w:color w:val="auto"/>
        </w:rPr>
      </w:pPr>
      <w:r>
        <w:rPr>
          <w:rFonts w:ascii="Arial" w:cs="Arial" w:eastAsia="Arial" w:hAnsi="Arial"/>
          <w:sz w:val="20"/>
          <w:szCs w:val="20"/>
          <w:color w:val="auto"/>
        </w:rPr>
        <w:t>Administrative Agent:  Bank of America, N.A., as the administrative agent under the Credit Agreement</w:t>
      </w:r>
    </w:p>
    <w:p>
      <w:pPr>
        <w:spacing w:after="0" w:line="190" w:lineRule="exact"/>
        <w:rPr>
          <w:rFonts w:ascii="Arial" w:cs="Arial" w:eastAsia="Arial" w:hAnsi="Arial"/>
          <w:sz w:val="20"/>
          <w:szCs w:val="20"/>
          <w:color w:val="auto"/>
        </w:rPr>
      </w:pPr>
    </w:p>
    <w:p>
      <w:pPr>
        <w:ind w:left="2600" w:hanging="2592"/>
        <w:spacing w:after="0" w:line="28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Credit Agreement: Credit Agreement dated as of October 24, 2014 (as amended, modified, supplemented 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FleetCor Technologies Operating Company, LLC, FleetCor Technologies, Inc., the Designated Borrowers from time to time party thereto, the Additional Borrower, to the extent the Additional Borrower has become a Borrower under the Credit Agreement, the Lenders from time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765" w:right="239" w:bottom="1440" w:gutter="0" w:footer="0" w:header="0"/>
        </w:sectPr>
      </w:pPr>
    </w:p>
    <w:bookmarkStart w:id="102" w:name="page103"/>
    <w:bookmarkEnd w:id="102"/>
    <w:p>
      <w:pPr>
        <w:ind w:left="1400"/>
        <w:spacing w:after="0"/>
        <w:rPr>
          <w:sz w:val="20"/>
          <w:szCs w:val="20"/>
          <w:color w:val="auto"/>
        </w:rPr>
      </w:pPr>
      <w:r>
        <w:rPr>
          <w:rFonts w:ascii="Arial" w:cs="Arial" w:eastAsia="Arial" w:hAnsi="Arial"/>
          <w:sz w:val="18"/>
          <w:szCs w:val="18"/>
          <w:color w:val="auto"/>
        </w:rPr>
        <w:t>time party thereto and Bank of America, N.A., as Administrative Agent, Swing Line Lender and L/C Issuer.</w:t>
      </w:r>
    </w:p>
    <w:p>
      <w:pPr>
        <w:sectPr>
          <w:pgSz w:w="11900" w:h="16838" w:orient="portrait"/>
          <w:cols w:equalWidth="0" w:num="1">
            <w:col w:w="9960"/>
          </w:cols>
          <w:pgMar w:left="1440" w:top="771" w:right="499" w:bottom="1440" w:gutter="0" w:footer="0" w:header="0"/>
        </w:sectPr>
      </w:pPr>
    </w:p>
    <w:p>
      <w:pPr>
        <w:spacing w:after="0" w:line="27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960"/>
          </w:cols>
          <w:pgMar w:left="1440" w:top="771" w:right="499" w:bottom="1440" w:gutter="0" w:footer="0" w:header="0"/>
          <w:type w:val="continuous"/>
        </w:sectPr>
      </w:pPr>
    </w:p>
    <w:bookmarkStart w:id="103" w:name="page104"/>
    <w:bookmarkEnd w:id="103"/>
    <w:p>
      <w:pPr>
        <w:spacing w:after="0"/>
        <w:tabs>
          <w:tab w:leader="none" w:pos="32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Assigned Interest:</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000" w:type="dxa"/>
            <w:vAlign w:val="bottom"/>
            <w:tcBorders>
              <w:top w:val="single" w:sz="8" w:color="00000A"/>
              <w:left w:val="single" w:sz="8" w:color="00000A"/>
              <w:right w:val="single" w:sz="8" w:color="00000A"/>
            </w:tcBorders>
          </w:tcPr>
          <w:p>
            <w:pPr>
              <w:ind w:left="800"/>
              <w:spacing w:after="0"/>
              <w:rPr>
                <w:sz w:val="20"/>
                <w:szCs w:val="20"/>
                <w:color w:val="auto"/>
              </w:rPr>
            </w:pPr>
            <w:r>
              <w:rPr>
                <w:rFonts w:ascii="Arial" w:cs="Arial" w:eastAsia="Arial" w:hAnsi="Arial"/>
                <w:sz w:val="20"/>
                <w:szCs w:val="20"/>
                <w:color w:val="auto"/>
              </w:rPr>
              <w:t>Facility Assigned</w:t>
            </w:r>
          </w:p>
        </w:tc>
        <w:tc>
          <w:tcPr>
            <w:tcW w:w="28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2"/>
              </w:rPr>
              <w:t>Aggregate Amount of</w:t>
            </w:r>
          </w:p>
        </w:tc>
        <w:tc>
          <w:tcPr>
            <w:tcW w:w="2860" w:type="dxa"/>
            <w:vAlign w:val="bottom"/>
            <w:tcBorders>
              <w:top w:val="single" w:sz="8" w:color="00000A"/>
              <w:right w:val="single" w:sz="8" w:color="00000A"/>
            </w:tcBorders>
          </w:tcPr>
          <w:p>
            <w:pPr>
              <w:jc w:val="right"/>
              <w:ind w:right="102"/>
              <w:spacing w:after="0"/>
              <w:rPr>
                <w:sz w:val="20"/>
                <w:szCs w:val="20"/>
                <w:color w:val="auto"/>
              </w:rPr>
            </w:pPr>
            <w:r>
              <w:rPr>
                <w:rFonts w:ascii="Arial" w:cs="Arial" w:eastAsia="Arial" w:hAnsi="Arial"/>
                <w:sz w:val="20"/>
                <w:szCs w:val="20"/>
                <w:color w:val="auto"/>
                <w:w w:val="97"/>
              </w:rPr>
              <w:t>Amount of Commitment/Loans</w:t>
            </w:r>
          </w:p>
        </w:tc>
        <w:tc>
          <w:tcPr>
            <w:tcW w:w="2720" w:type="dxa"/>
            <w:vAlign w:val="bottom"/>
            <w:tcBorders>
              <w:top w:val="single" w:sz="8" w:color="00000A"/>
              <w:right w:val="single" w:sz="8" w:color="00000A"/>
            </w:tcBorders>
          </w:tcPr>
          <w:p>
            <w:pPr>
              <w:jc w:val="right"/>
              <w:ind w:right="341"/>
              <w:spacing w:after="0"/>
              <w:rPr>
                <w:sz w:val="20"/>
                <w:szCs w:val="20"/>
                <w:color w:val="auto"/>
              </w:rPr>
            </w:pPr>
            <w:r>
              <w:rPr>
                <w:rFonts w:ascii="Arial" w:cs="Arial" w:eastAsia="Arial" w:hAnsi="Arial"/>
                <w:sz w:val="20"/>
                <w:szCs w:val="20"/>
                <w:color w:val="auto"/>
              </w:rPr>
              <w:t>Percentage Assigned of</w:t>
            </w:r>
          </w:p>
        </w:tc>
      </w:tr>
      <w:tr>
        <w:trPr>
          <w:trHeight w:val="231"/>
        </w:trPr>
        <w:tc>
          <w:tcPr>
            <w:tcW w:w="3000" w:type="dxa"/>
            <w:vAlign w:val="bottom"/>
            <w:tcBorders>
              <w:left w:val="single" w:sz="8" w:color="00000A"/>
              <w:right w:val="single" w:sz="8" w:color="00000A"/>
            </w:tcBorders>
          </w:tcPr>
          <w:p>
            <w:pPr>
              <w:spacing w:after="0"/>
              <w:rPr>
                <w:sz w:val="20"/>
                <w:szCs w:val="20"/>
                <w:color w:val="auto"/>
              </w:rPr>
            </w:pP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3"/>
              </w:rPr>
              <w:t>Commitment/Loans for all</w:t>
            </w:r>
          </w:p>
        </w:tc>
        <w:tc>
          <w:tcPr>
            <w:tcW w:w="2860" w:type="dxa"/>
            <w:vAlign w:val="bottom"/>
            <w:tcBorders>
              <w:right w:val="single" w:sz="8" w:color="00000A"/>
            </w:tcBorders>
          </w:tcPr>
          <w:p>
            <w:pPr>
              <w:jc w:val="right"/>
              <w:ind w:right="942"/>
              <w:spacing w:after="0" w:line="231" w:lineRule="exact"/>
              <w:rPr>
                <w:sz w:val="20"/>
                <w:szCs w:val="20"/>
                <w:color w:val="auto"/>
              </w:rPr>
            </w:pPr>
            <w:r>
              <w:rPr>
                <w:rFonts w:ascii="Arial" w:cs="Arial" w:eastAsia="Arial" w:hAnsi="Arial"/>
                <w:sz w:val="19"/>
                <w:szCs w:val="19"/>
                <w:color w:val="auto"/>
              </w:rPr>
              <w:t>Assigned</w:t>
            </w:r>
            <w:r>
              <w:rPr>
                <w:rFonts w:ascii="Arial" w:cs="Arial" w:eastAsia="Arial" w:hAnsi="Arial"/>
                <w:sz w:val="26"/>
                <w:szCs w:val="26"/>
                <w:color w:val="auto"/>
                <w:vertAlign w:val="superscript"/>
              </w:rPr>
              <w:t>*</w:t>
            </w:r>
          </w:p>
        </w:tc>
        <w:tc>
          <w:tcPr>
            <w:tcW w:w="2720" w:type="dxa"/>
            <w:vAlign w:val="bottom"/>
            <w:tcBorders>
              <w:right w:val="single" w:sz="8" w:color="00000A"/>
            </w:tcBorders>
          </w:tcPr>
          <w:p>
            <w:pPr>
              <w:jc w:val="right"/>
              <w:ind w:right="481"/>
              <w:spacing w:after="0"/>
              <w:rPr>
                <w:sz w:val="20"/>
                <w:szCs w:val="20"/>
                <w:color w:val="auto"/>
              </w:rPr>
            </w:pPr>
            <w:r>
              <w:rPr>
                <w:rFonts w:ascii="Arial" w:cs="Arial" w:eastAsia="Arial" w:hAnsi="Arial"/>
                <w:sz w:val="20"/>
                <w:szCs w:val="20"/>
                <w:color w:val="auto"/>
              </w:rPr>
              <w:t>Commitment/Loans</w:t>
            </w:r>
          </w:p>
        </w:tc>
      </w:tr>
      <w:tr>
        <w:trPr>
          <w:trHeight w:val="273"/>
        </w:trPr>
        <w:tc>
          <w:tcPr>
            <w:tcW w:w="3000" w:type="dxa"/>
            <w:vAlign w:val="bottom"/>
            <w:tcBorders>
              <w:left w:val="single" w:sz="8" w:color="00000A"/>
              <w:bottom w:val="single" w:sz="8" w:color="00000A"/>
              <w:right w:val="single" w:sz="8" w:color="00000A"/>
            </w:tcBorders>
          </w:tcPr>
          <w:p>
            <w:pPr>
              <w:spacing w:after="0"/>
              <w:rPr>
                <w:sz w:val="23"/>
                <w:szCs w:val="23"/>
                <w:color w:val="auto"/>
              </w:rPr>
            </w:pPr>
          </w:p>
        </w:tc>
        <w:tc>
          <w:tcPr>
            <w:tcW w:w="2860" w:type="dxa"/>
            <w:vAlign w:val="bottom"/>
            <w:tcBorders>
              <w:bottom w:val="single" w:sz="8" w:color="00000A"/>
              <w:right w:val="single" w:sz="8" w:color="00000A"/>
            </w:tcBorders>
          </w:tcPr>
          <w:p>
            <w:pPr>
              <w:jc w:val="center"/>
              <w:spacing w:after="0" w:line="274" w:lineRule="exact"/>
              <w:rPr>
                <w:sz w:val="20"/>
                <w:szCs w:val="20"/>
                <w:color w:val="auto"/>
              </w:rPr>
            </w:pPr>
            <w:r>
              <w:rPr>
                <w:rFonts w:ascii="Arial" w:cs="Arial" w:eastAsia="Arial" w:hAnsi="Arial"/>
                <w:sz w:val="20"/>
                <w:szCs w:val="20"/>
                <w:color w:val="auto"/>
                <w:w w:val="88"/>
              </w:rPr>
              <w:t>Lenders</w:t>
            </w:r>
            <w:r>
              <w:rPr>
                <w:rFonts w:ascii="Arial" w:cs="Arial" w:eastAsia="Arial" w:hAnsi="Arial"/>
                <w:sz w:val="25"/>
                <w:szCs w:val="25"/>
                <w:color w:val="auto"/>
                <w:w w:val="88"/>
                <w:vertAlign w:val="superscript"/>
              </w:rPr>
              <w:t>*</w:t>
            </w:r>
          </w:p>
        </w:tc>
        <w:tc>
          <w:tcPr>
            <w:tcW w:w="2860" w:type="dxa"/>
            <w:vAlign w:val="bottom"/>
            <w:tcBorders>
              <w:bottom w:val="single" w:sz="8" w:color="00000A"/>
              <w:right w:val="single" w:sz="8" w:color="00000A"/>
            </w:tcBorders>
          </w:tcPr>
          <w:p>
            <w:pPr>
              <w:spacing w:after="0"/>
              <w:rPr>
                <w:sz w:val="23"/>
                <w:szCs w:val="23"/>
                <w:color w:val="auto"/>
              </w:rPr>
            </w:pPr>
          </w:p>
        </w:tc>
        <w:tc>
          <w:tcPr>
            <w:tcW w:w="2720" w:type="dxa"/>
            <w:vAlign w:val="bottom"/>
            <w:tcBorders>
              <w:bottom w:val="single" w:sz="8" w:color="00000A"/>
              <w:right w:val="single" w:sz="8" w:color="00000A"/>
            </w:tcBorders>
          </w:tcPr>
          <w:p>
            <w:pPr>
              <w:spacing w:after="0"/>
              <w:rPr>
                <w:sz w:val="23"/>
                <w:szCs w:val="23"/>
                <w:color w:val="auto"/>
              </w:rPr>
            </w:pPr>
          </w:p>
        </w:tc>
      </w:tr>
      <w:tr>
        <w:trPr>
          <w:trHeight w:val="254"/>
        </w:trPr>
        <w:tc>
          <w:tcPr>
            <w:tcW w:w="3000" w:type="dxa"/>
            <w:vAlign w:val="bottom"/>
            <w:tcBorders>
              <w:left w:val="single" w:sz="8" w:color="00000A"/>
              <w:right w:val="single" w:sz="8" w:color="00000A"/>
            </w:tcBorders>
          </w:tcPr>
          <w:p>
            <w:pPr>
              <w:spacing w:after="0"/>
              <w:rPr>
                <w:sz w:val="22"/>
                <w:szCs w:val="22"/>
                <w:color w:val="auto"/>
              </w:rPr>
            </w:pPr>
          </w:p>
        </w:tc>
        <w:tc>
          <w:tcPr>
            <w:tcW w:w="2860" w:type="dxa"/>
            <w:vAlign w:val="bottom"/>
            <w:tcBorders>
              <w:right w:val="single" w:sz="8" w:color="00000A"/>
            </w:tcBorders>
          </w:tcPr>
          <w:p>
            <w:pPr>
              <w:jc w:val="right"/>
              <w:ind w:right="2641"/>
              <w:spacing w:after="0"/>
              <w:rPr>
                <w:sz w:val="20"/>
                <w:szCs w:val="20"/>
                <w:color w:val="auto"/>
              </w:rPr>
            </w:pPr>
            <w:r>
              <w:rPr>
                <w:rFonts w:ascii="Arial" w:cs="Arial" w:eastAsia="Arial" w:hAnsi="Arial"/>
                <w:sz w:val="20"/>
                <w:szCs w:val="20"/>
                <w:color w:val="auto"/>
                <w:w w:val="89"/>
              </w:rPr>
              <w:t>$</w:t>
            </w:r>
          </w:p>
        </w:tc>
        <w:tc>
          <w:tcPr>
            <w:tcW w:w="2860" w:type="dxa"/>
            <w:vAlign w:val="bottom"/>
            <w:tcBorders>
              <w:right w:val="single" w:sz="8" w:color="00000A"/>
            </w:tcBorders>
          </w:tcPr>
          <w:p>
            <w:pPr>
              <w:jc w:val="right"/>
              <w:ind w:right="2642"/>
              <w:spacing w:after="0"/>
              <w:rPr>
                <w:sz w:val="20"/>
                <w:szCs w:val="20"/>
                <w:color w:val="auto"/>
              </w:rPr>
            </w:pPr>
            <w:r>
              <w:rPr>
                <w:rFonts w:ascii="Arial" w:cs="Arial" w:eastAsia="Arial" w:hAnsi="Arial"/>
                <w:sz w:val="20"/>
                <w:szCs w:val="20"/>
                <w:color w:val="auto"/>
                <w:w w:val="89"/>
              </w:rPr>
              <w:t>$</w:t>
            </w:r>
          </w:p>
        </w:tc>
        <w:tc>
          <w:tcPr>
            <w:tcW w:w="2720" w:type="dxa"/>
            <w:vAlign w:val="bottom"/>
            <w:tcBorders>
              <w:right w:val="single" w:sz="8" w:color="00000A"/>
            </w:tcBorders>
          </w:tcPr>
          <w:p>
            <w:pPr>
              <w:jc w:val="right"/>
              <w:ind w:right="1641"/>
              <w:spacing w:after="0"/>
              <w:rPr>
                <w:sz w:val="20"/>
                <w:szCs w:val="20"/>
                <w:color w:val="auto"/>
              </w:rPr>
            </w:pPr>
            <w:r>
              <w:rPr>
                <w:rFonts w:ascii="Arial" w:cs="Arial" w:eastAsia="Arial" w:hAnsi="Arial"/>
                <w:sz w:val="20"/>
                <w:szCs w:val="20"/>
                <w:color w:val="auto"/>
              </w:rPr>
              <w:t>%</w:t>
            </w:r>
          </w:p>
        </w:tc>
      </w:tr>
      <w:tr>
        <w:trPr>
          <w:trHeight w:val="23"/>
        </w:trPr>
        <w:tc>
          <w:tcPr>
            <w:tcW w:w="3000" w:type="dxa"/>
            <w:vAlign w:val="bottom"/>
            <w:tcBorders>
              <w:left w:val="single" w:sz="8" w:color="00000A"/>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54"/>
        </w:trPr>
        <w:tc>
          <w:tcPr>
            <w:tcW w:w="3000" w:type="dxa"/>
            <w:vAlign w:val="bottom"/>
            <w:tcBorders>
              <w:left w:val="single" w:sz="8" w:color="00000A"/>
              <w:right w:val="single" w:sz="8" w:color="00000A"/>
            </w:tcBorders>
          </w:tcPr>
          <w:p>
            <w:pPr>
              <w:spacing w:after="0"/>
              <w:rPr>
                <w:sz w:val="22"/>
                <w:szCs w:val="22"/>
                <w:color w:val="auto"/>
              </w:rPr>
            </w:pPr>
          </w:p>
        </w:tc>
        <w:tc>
          <w:tcPr>
            <w:tcW w:w="2860" w:type="dxa"/>
            <w:vAlign w:val="bottom"/>
            <w:tcBorders>
              <w:right w:val="single" w:sz="8" w:color="00000A"/>
            </w:tcBorders>
          </w:tcPr>
          <w:p>
            <w:pPr>
              <w:jc w:val="right"/>
              <w:ind w:right="2641"/>
              <w:spacing w:after="0"/>
              <w:rPr>
                <w:sz w:val="20"/>
                <w:szCs w:val="20"/>
                <w:color w:val="auto"/>
              </w:rPr>
            </w:pPr>
            <w:r>
              <w:rPr>
                <w:rFonts w:ascii="Arial" w:cs="Arial" w:eastAsia="Arial" w:hAnsi="Arial"/>
                <w:sz w:val="20"/>
                <w:szCs w:val="20"/>
                <w:color w:val="auto"/>
                <w:w w:val="89"/>
              </w:rPr>
              <w:t>$</w:t>
            </w:r>
          </w:p>
        </w:tc>
        <w:tc>
          <w:tcPr>
            <w:tcW w:w="2860" w:type="dxa"/>
            <w:vAlign w:val="bottom"/>
            <w:tcBorders>
              <w:right w:val="single" w:sz="8" w:color="00000A"/>
            </w:tcBorders>
          </w:tcPr>
          <w:p>
            <w:pPr>
              <w:jc w:val="right"/>
              <w:ind w:right="2642"/>
              <w:spacing w:after="0"/>
              <w:rPr>
                <w:sz w:val="20"/>
                <w:szCs w:val="20"/>
                <w:color w:val="auto"/>
              </w:rPr>
            </w:pPr>
            <w:r>
              <w:rPr>
                <w:rFonts w:ascii="Arial" w:cs="Arial" w:eastAsia="Arial" w:hAnsi="Arial"/>
                <w:sz w:val="20"/>
                <w:szCs w:val="20"/>
                <w:color w:val="auto"/>
                <w:w w:val="89"/>
              </w:rPr>
              <w:t>$</w:t>
            </w:r>
          </w:p>
        </w:tc>
        <w:tc>
          <w:tcPr>
            <w:tcW w:w="2720" w:type="dxa"/>
            <w:vAlign w:val="bottom"/>
            <w:tcBorders>
              <w:right w:val="single" w:sz="8" w:color="00000A"/>
            </w:tcBorders>
          </w:tcPr>
          <w:p>
            <w:pPr>
              <w:jc w:val="right"/>
              <w:ind w:right="1641"/>
              <w:spacing w:after="0"/>
              <w:rPr>
                <w:sz w:val="20"/>
                <w:szCs w:val="20"/>
                <w:color w:val="auto"/>
              </w:rPr>
            </w:pPr>
            <w:r>
              <w:rPr>
                <w:rFonts w:ascii="Arial" w:cs="Arial" w:eastAsia="Arial" w:hAnsi="Arial"/>
                <w:sz w:val="20"/>
                <w:szCs w:val="20"/>
                <w:color w:val="auto"/>
              </w:rPr>
              <w:t>%</w:t>
            </w:r>
          </w:p>
        </w:tc>
      </w:tr>
      <w:tr>
        <w:trPr>
          <w:trHeight w:val="23"/>
        </w:trPr>
        <w:tc>
          <w:tcPr>
            <w:tcW w:w="3000" w:type="dxa"/>
            <w:vAlign w:val="bottom"/>
            <w:tcBorders>
              <w:left w:val="single" w:sz="8" w:color="00000A"/>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54"/>
        </w:trPr>
        <w:tc>
          <w:tcPr>
            <w:tcW w:w="3000" w:type="dxa"/>
            <w:vAlign w:val="bottom"/>
            <w:tcBorders>
              <w:left w:val="single" w:sz="8" w:color="00000A"/>
              <w:right w:val="single" w:sz="8" w:color="00000A"/>
            </w:tcBorders>
          </w:tcPr>
          <w:p>
            <w:pPr>
              <w:spacing w:after="0"/>
              <w:rPr>
                <w:sz w:val="22"/>
                <w:szCs w:val="22"/>
                <w:color w:val="auto"/>
              </w:rPr>
            </w:pPr>
          </w:p>
        </w:tc>
        <w:tc>
          <w:tcPr>
            <w:tcW w:w="2860" w:type="dxa"/>
            <w:vAlign w:val="bottom"/>
            <w:tcBorders>
              <w:right w:val="single" w:sz="8" w:color="00000A"/>
            </w:tcBorders>
          </w:tcPr>
          <w:p>
            <w:pPr>
              <w:jc w:val="right"/>
              <w:ind w:right="2641"/>
              <w:spacing w:after="0"/>
              <w:rPr>
                <w:sz w:val="20"/>
                <w:szCs w:val="20"/>
                <w:color w:val="auto"/>
              </w:rPr>
            </w:pPr>
            <w:r>
              <w:rPr>
                <w:rFonts w:ascii="Arial" w:cs="Arial" w:eastAsia="Arial" w:hAnsi="Arial"/>
                <w:sz w:val="20"/>
                <w:szCs w:val="20"/>
                <w:color w:val="auto"/>
                <w:w w:val="89"/>
              </w:rPr>
              <w:t>$</w:t>
            </w:r>
          </w:p>
        </w:tc>
        <w:tc>
          <w:tcPr>
            <w:tcW w:w="2860" w:type="dxa"/>
            <w:vAlign w:val="bottom"/>
            <w:tcBorders>
              <w:right w:val="single" w:sz="8" w:color="00000A"/>
            </w:tcBorders>
          </w:tcPr>
          <w:p>
            <w:pPr>
              <w:jc w:val="right"/>
              <w:ind w:right="2642"/>
              <w:spacing w:after="0"/>
              <w:rPr>
                <w:sz w:val="20"/>
                <w:szCs w:val="20"/>
                <w:color w:val="auto"/>
              </w:rPr>
            </w:pPr>
            <w:r>
              <w:rPr>
                <w:rFonts w:ascii="Arial" w:cs="Arial" w:eastAsia="Arial" w:hAnsi="Arial"/>
                <w:sz w:val="20"/>
                <w:szCs w:val="20"/>
                <w:color w:val="auto"/>
                <w:w w:val="89"/>
              </w:rPr>
              <w:t>$</w:t>
            </w:r>
          </w:p>
        </w:tc>
        <w:tc>
          <w:tcPr>
            <w:tcW w:w="2720" w:type="dxa"/>
            <w:vAlign w:val="bottom"/>
            <w:tcBorders>
              <w:right w:val="single" w:sz="8" w:color="00000A"/>
            </w:tcBorders>
          </w:tcPr>
          <w:p>
            <w:pPr>
              <w:jc w:val="right"/>
              <w:ind w:right="1641"/>
              <w:spacing w:after="0"/>
              <w:rPr>
                <w:sz w:val="20"/>
                <w:szCs w:val="20"/>
                <w:color w:val="auto"/>
              </w:rPr>
            </w:pPr>
            <w:r>
              <w:rPr>
                <w:rFonts w:ascii="Arial" w:cs="Arial" w:eastAsia="Arial" w:hAnsi="Arial"/>
                <w:sz w:val="20"/>
                <w:szCs w:val="20"/>
                <w:color w:val="auto"/>
              </w:rPr>
              <w:t>%</w:t>
            </w:r>
          </w:p>
        </w:tc>
      </w:tr>
      <w:tr>
        <w:trPr>
          <w:trHeight w:val="23"/>
        </w:trPr>
        <w:tc>
          <w:tcPr>
            <w:tcW w:w="3000" w:type="dxa"/>
            <w:vAlign w:val="bottom"/>
            <w:tcBorders>
              <w:left w:val="single" w:sz="8" w:color="00000A"/>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Trade Date:</w:t>
      </w:r>
      <w:r>
        <w:rPr>
          <w:rFonts w:ascii="Arial" w:cs="Arial" w:eastAsia="Arial" w:hAnsi="Arial"/>
          <w:sz w:val="16"/>
          <w:szCs w:val="16"/>
          <w:color w:val="auto"/>
        </w:rPr>
        <w:t>__________________</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Effective Date:</w:t>
      </w:r>
      <w:r>
        <w:rPr>
          <w:rFonts w:ascii="Arial" w:cs="Arial" w:eastAsia="Arial" w:hAnsi="Arial"/>
          <w:sz w:val="16"/>
          <w:szCs w:val="16"/>
          <w:color w:val="auto"/>
        </w:rPr>
        <w:t>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u w:val="single" w:color="auto"/>
          <w:color w:val="auto"/>
        </w:rPr>
        <w:t>ASSIGNOR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[NAME OF ASSIGNOR]</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-14605</wp:posOffset>
            </wp:positionV>
            <wp:extent cx="628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tabs>
          <w:tab w:leader="none" w:pos="4520" w:val="left"/>
        </w:tabs>
        <w:rPr>
          <w:sz w:val="20"/>
          <w:szCs w:val="20"/>
          <w:color w:val="auto"/>
        </w:rPr>
      </w:pPr>
      <w:r>
        <w:rPr>
          <w:rFonts w:ascii="Arial" w:cs="Arial" w:eastAsia="Arial" w:hAnsi="Arial"/>
          <w:sz w:val="20"/>
          <w:szCs w:val="20"/>
          <w:u w:val="single" w:color="auto"/>
          <w:color w:val="auto"/>
        </w:rPr>
        <w:t>ASSIGNEE</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[NAME OF ASSIGNEE]</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-14605</wp:posOffset>
            </wp:positionV>
            <wp:extent cx="628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40"/>
          </w:cols>
          <w:pgMar w:left="240" w:top="987" w:right="21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[Consented to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6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29" w:lineRule="exact"/>
        <w:rPr>
          <w:sz w:val="20"/>
          <w:szCs w:val="20"/>
          <w:color w:val="auto"/>
        </w:rPr>
      </w:pPr>
    </w:p>
    <w:p>
      <w:pPr>
        <w:ind w:right="4919"/>
        <w:spacing w:after="0" w:line="260" w:lineRule="auto"/>
        <w:rPr>
          <w:sz w:val="20"/>
          <w:szCs w:val="20"/>
          <w:color w:val="auto"/>
        </w:rPr>
      </w:pPr>
      <w:r>
        <w:rPr>
          <w:rFonts w:ascii="Arial" w:cs="Arial" w:eastAsia="Arial" w:hAnsi="Arial"/>
          <w:sz w:val="20"/>
          <w:szCs w:val="20"/>
          <w:color w:val="auto"/>
        </w:rPr>
        <w:t>[FLEETCOR TECHNOLOGIES OPERATING COMPANY, LLC, a Georgia limited liability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6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L/C Issuer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6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Swing Line Lender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6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0219"/>
          </w:cols>
          <w:pgMar w:left="240" w:top="757"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u w:val="single" w:color="auto"/>
          <w:color w:val="auto"/>
        </w:rPr>
        <w:t>Annex 1 to Assignment and Assumption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w:t>
      </w:r>
    </w:p>
    <w:p>
      <w:pPr>
        <w:spacing w:after="0" w:line="229"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the requirements to be an assignee under Section 11.06(b)(iv) of the Credit Agreement (subject to such consents, if any, as may be required under Section 11.06(b)(ii) of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7.01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 (vii) if it is a Foreign Lender, attached hereto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The Assignee represents and warrants as of the Effective Date to the Administrative Agent, the Assignor and the respective Affiliates of each, and not, for the avoidance of doubt, for the benefit of the Borrower or any other Loan Party, that the Assignee is not and will not be (1) an employee benefit plan subject to Title I of ERISA, (2) a plan or account subject to Section 4975 of the Internal Revenue Code, (3) an entity deemed to hold “plan assets” of any such plans or accounts for purposes of ERISA or the Internal Revenue Code, or (4) a “governmental plan” within the meaning of ERISA.</w:t>
      </w:r>
    </w:p>
    <w:p>
      <w:pPr>
        <w:spacing w:after="0" w:line="196" w:lineRule="exact"/>
        <w:rPr>
          <w:sz w:val="20"/>
          <w:szCs w:val="20"/>
          <w:color w:val="auto"/>
        </w:rPr>
      </w:pPr>
    </w:p>
    <w:p>
      <w:pPr>
        <w:jc w:val="both"/>
        <w:ind w:firstLine="8"/>
        <w:spacing w:after="0" w:line="250" w:lineRule="auto"/>
        <w:tabs>
          <w:tab w:leader="none" w:pos="19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757" w:right="239" w:bottom="1440" w:gutter="0" w:footer="0" w:header="0"/>
        </w:sectPr>
      </w:pPr>
    </w:p>
    <w:bookmarkStart w:id="106" w:name="page107"/>
    <w:bookmarkEnd w:id="106"/>
    <w:p>
      <w:pPr>
        <w:ind w:right="20"/>
        <w:spacing w:after="0" w:line="260" w:lineRule="auto"/>
        <w:rPr>
          <w:sz w:val="20"/>
          <w:szCs w:val="20"/>
          <w:color w:val="auto"/>
        </w:rPr>
      </w:pPr>
      <w:r>
        <w:rPr>
          <w:rFonts w:ascii="Arial" w:cs="Arial" w:eastAsia="Arial" w:hAnsi="Arial"/>
          <w:sz w:val="20"/>
          <w:szCs w:val="20"/>
          <w:color w:val="auto"/>
        </w:rPr>
        <w:t>which have accrued from and after the Effective Date. Notwithstanding the foregoing, the Administrative Agent shall make all payments of interest, fees or other amounts paid or payable in kind from and after the Effective Date to the Assignee.</w:t>
      </w:r>
    </w:p>
    <w:p>
      <w:pPr>
        <w:spacing w:after="0" w:line="190" w:lineRule="exact"/>
        <w:rPr>
          <w:sz w:val="20"/>
          <w:szCs w:val="20"/>
          <w:color w:val="auto"/>
        </w:rPr>
      </w:pPr>
    </w:p>
    <w:p>
      <w:pPr>
        <w:jc w:val="both"/>
        <w:ind w:firstLine="8"/>
        <w:spacing w:after="0" w:line="244" w:lineRule="auto"/>
        <w:tabs>
          <w:tab w:leader="none" w:pos="22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757"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0"/>
          <w:szCs w:val="20"/>
          <w:b w:val="1"/>
          <w:bCs w:val="1"/>
          <w:u w:val="single" w:color="auto"/>
          <w:color w:val="auto"/>
        </w:rPr>
        <w:t>EXHIBIT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LENDER JOINDER AGREEMENT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LENDER JOINDER AGREEMENT </w:t>
      </w:r>
      <w:r>
        <w:rPr>
          <w:rFonts w:ascii="Arial" w:cs="Arial" w:eastAsia="Arial" w:hAnsi="Arial"/>
          <w:sz w:val="19"/>
          <w:szCs w:val="19"/>
          <w:color w:val="auto"/>
        </w:rPr>
        <w:t>dated as of __________, 201__ (this “</w:t>
      </w:r>
      <w:r>
        <w:rPr>
          <w:rFonts w:ascii="Arial" w:cs="Arial" w:eastAsia="Arial" w:hAnsi="Arial"/>
          <w:sz w:val="19"/>
          <w:szCs w:val="19"/>
          <w:u w:val="single" w:color="auto"/>
          <w:color w:val="auto"/>
        </w:rPr>
        <w:t>Agreement</w:t>
      </w:r>
      <w:r>
        <w:rPr>
          <w:rFonts w:ascii="Arial" w:cs="Arial" w:eastAsia="Arial" w:hAnsi="Arial"/>
          <w:sz w:val="19"/>
          <w:szCs w:val="19"/>
          <w:color w:val="auto"/>
        </w:rPr>
        <w:t>”) is by and among each of the Persons</w:t>
      </w:r>
    </w:p>
    <w:p>
      <w:pPr>
        <w:spacing w:after="0" w:line="3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identified as [a “Revolving A Lender”] [a “Revolving B Lender”] [“Incremental Term Loan Lenders”] on the signature pages hereto (each, [a “</w:t>
      </w:r>
      <w:r>
        <w:rPr>
          <w:rFonts w:ascii="Arial" w:cs="Arial" w:eastAsia="Arial" w:hAnsi="Arial"/>
          <w:sz w:val="19"/>
          <w:szCs w:val="19"/>
          <w:u w:val="single" w:color="auto"/>
          <w:color w:val="auto"/>
        </w:rPr>
        <w:t>Revolving A Lender</w:t>
      </w:r>
      <w:r>
        <w:rPr>
          <w:rFonts w:ascii="Arial" w:cs="Arial" w:eastAsia="Arial" w:hAnsi="Arial"/>
          <w:sz w:val="19"/>
          <w:szCs w:val="19"/>
          <w:color w:val="auto"/>
        </w:rPr>
        <w:t>”] [a “</w:t>
      </w:r>
      <w:r>
        <w:rPr>
          <w:rFonts w:ascii="Arial" w:cs="Arial" w:eastAsia="Arial" w:hAnsi="Arial"/>
          <w:sz w:val="19"/>
          <w:szCs w:val="19"/>
          <w:u w:val="single" w:color="auto"/>
          <w:color w:val="auto"/>
        </w:rPr>
        <w:t>Revolving B Lender</w:t>
      </w:r>
      <w:r>
        <w:rPr>
          <w:rFonts w:ascii="Arial" w:cs="Arial" w:eastAsia="Arial" w:hAnsi="Arial"/>
          <w:sz w:val="19"/>
          <w:szCs w:val="19"/>
          <w:color w:val="auto"/>
        </w:rPr>
        <w:t>”] [an “</w:t>
      </w:r>
      <w:r>
        <w:rPr>
          <w:rFonts w:ascii="Arial" w:cs="Arial" w:eastAsia="Arial" w:hAnsi="Arial"/>
          <w:sz w:val="19"/>
          <w:szCs w:val="19"/>
          <w:u w:val="single" w:color="auto"/>
          <w:color w:val="auto"/>
        </w:rPr>
        <w:t>Incremental Term Loan Lender</w:t>
      </w:r>
      <w:r>
        <w:rPr>
          <w:rFonts w:ascii="Arial" w:cs="Arial" w:eastAsia="Arial" w:hAnsi="Arial"/>
          <w:sz w:val="19"/>
          <w:szCs w:val="19"/>
          <w:color w:val="auto"/>
        </w:rPr>
        <w:t>”]), FleetCor Technologies Operating Company, LLC (the “</w:t>
      </w:r>
      <w:r>
        <w:rPr>
          <w:rFonts w:ascii="Arial" w:cs="Arial" w:eastAsia="Arial" w:hAnsi="Arial"/>
          <w:sz w:val="19"/>
          <w:szCs w:val="19"/>
          <w:u w:val="single" w:color="auto"/>
          <w:color w:val="auto"/>
        </w:rPr>
        <w:t>Company</w:t>
      </w:r>
      <w:r>
        <w:rPr>
          <w:rFonts w:ascii="Arial" w:cs="Arial" w:eastAsia="Arial" w:hAnsi="Arial"/>
          <w:sz w:val="19"/>
          <w:szCs w:val="19"/>
          <w:color w:val="auto"/>
        </w:rPr>
        <w:t>”), FleetCor Technologies, Inc., a Delaware corporation (the “</w:t>
      </w:r>
      <w:r>
        <w:rPr>
          <w:rFonts w:ascii="Arial" w:cs="Arial" w:eastAsia="Arial" w:hAnsi="Arial"/>
          <w:sz w:val="19"/>
          <w:szCs w:val="19"/>
          <w:u w:val="single" w:color="auto"/>
          <w:color w:val="auto"/>
        </w:rPr>
        <w:t>Parent</w:t>
      </w:r>
      <w:r>
        <w:rPr>
          <w:rFonts w:ascii="Arial" w:cs="Arial" w:eastAsia="Arial" w:hAnsi="Arial"/>
          <w:sz w:val="19"/>
          <w:szCs w:val="19"/>
          <w:color w:val="auto"/>
        </w:rPr>
        <w:t>”), [the Designated Borrowers party hereto,] [, the Additional Borrower,] the other Guarantors party hereto, and Bank of America, N.A., as Administrative Agent, Swing Line Lender and L/C Issuer. Capitalized terms used but not otherwise defined herein have the meanings provided in the Credit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E T H</w:t>
      </w:r>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that certain Credit Agreement dated as of October 24, 2014 (as amended, modified, supplemented, increased</w:t>
      </w:r>
      <w:r>
        <w:rPr>
          <w:rFonts w:ascii="Arial" w:cs="Arial" w:eastAsia="Arial" w:hAnsi="Arial"/>
          <w:sz w:val="20"/>
          <w:szCs w:val="20"/>
          <w:b w:val="1"/>
          <w:bCs w:val="1"/>
          <w:color w:val="auto"/>
        </w:rPr>
        <w:t xml:space="preserve"> </w:t>
      </w:r>
      <w:r>
        <w:rPr>
          <w:rFonts w:ascii="Arial" w:cs="Arial" w:eastAsia="Arial" w:hAnsi="Arial"/>
          <w:sz w:val="20"/>
          <w:szCs w:val="20"/>
          <w:color w:val="auto"/>
        </w:rPr>
        <w:t>or extended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Company, the Parent, the Designated Borrowers from time to time party thereto, the Additional Borrower, to the extent the Additional Borrower has become a Borrower under the Credit Agreement, the Lenders from time to time party thereto and the Administrative Agent, the Lenders have agreed to provide the Borrowers with the credit facilities provided for therein;</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2.02(f)</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Credit Agreement, the Company has requested that each [Revolving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[Revolving B Lender] [Incremental Term Loan Lender] provide a portion of the [increased Aggregate Revolving A Commitments] [increased Aggregate Revolving B Commitments] [Incremental Term Loan] under the Credit Agreement; and</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[Revolving A Lender] [Revolving B Lender] [Incremental Term Loan Lender] has agreed to provide a portion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[increased Aggregate Revolving A Commitments] [increased Aggregate Revolving B Commitments] [Incremental Term Loan] on the terms and conditions set forth herein and to become [a “Revolving A Lender”] [a “Revolving B Lender”] [an “Incremental Term Loan Lender”] under the Credit Agreement in connection therewith;</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other good and valuable consideration, the receipt and sufficiency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hereby acknowledged, the parties hereto agree as follows:</w:t>
      </w:r>
    </w:p>
    <w:p>
      <w:pPr>
        <w:spacing w:after="0" w:line="183" w:lineRule="exact"/>
        <w:rPr>
          <w:sz w:val="20"/>
          <w:szCs w:val="20"/>
          <w:color w:val="auto"/>
        </w:rPr>
      </w:pPr>
    </w:p>
    <w:p>
      <w:pPr>
        <w:jc w:val="both"/>
        <w:ind w:firstLine="656"/>
        <w:spacing w:after="0" w:line="272" w:lineRule="auto"/>
        <w:tabs>
          <w:tab w:leader="none" w:pos="10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Each [Revolving A Lender] [Revolving B Lender] [Incremental Term Loan Lender] severally agrees to make its portion of the [increased Aggregate Revolving A Commitments available] [increased Aggregate Revolving B Commitments available] [Incremental Term Loan in a single advance] to [the Revolving A/B Borrowers][the Company] on the date hereof in the amount of its respective [Revolving A Commitment] [Revolving B Commitment] [Incremental Term Loan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[commitment] [advances], the Outstanding Amount of the [Revolving A Loans] [Revolving B Loans] [Incremental Term Loan] shall not exceed the aggregate amount of the [Revolving A Commitments] [Revolving B Commitments] [Incremental Term Loan Commitments] of the [Revolving A Lenders] [Revolving B Lenders] [Incremental Term Loan Lenders]. The [Aggregate Revolving A Commitments] [Aggregate Revolving B Commitments] [Incremental Term Loan Commitment] and Applicable Percentage for each of the [Revolving A Lenders] [Revolving B Lenders] [Incremental Term Loan Lenders] shall be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hereto. The existing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to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751"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 xml:space="preserve">Credit Agreement shall be deemed to be amended to include the information set forth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attached hereto.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w:t>
            </w:r>
          </w:p>
        </w:tc>
        <w:tc>
          <w:tcPr>
            <w:tcW w:w="10440" w:type="dxa"/>
            <w:vAlign w:val="bottom"/>
            <w:gridSpan w:val="3"/>
          </w:tcPr>
          <w:p>
            <w:pPr>
              <w:jc w:val="right"/>
              <w:spacing w:after="0"/>
              <w:rPr>
                <w:sz w:val="20"/>
                <w:szCs w:val="20"/>
                <w:color w:val="auto"/>
              </w:rPr>
            </w:pPr>
            <w:r>
              <w:rPr>
                <w:rFonts w:ascii="Arial" w:cs="Arial" w:eastAsia="Arial" w:hAnsi="Arial"/>
                <w:sz w:val="20"/>
                <w:szCs w:val="20"/>
                <w:color w:val="auto"/>
                <w:w w:val="95"/>
              </w:rPr>
              <w:t>The Applicable Rate with respect to the Incremental Term Loan shall be (a) [_______%], with respect to Eurocurrency Rate</w:t>
            </w:r>
          </w:p>
        </w:tc>
      </w:tr>
      <w:tr>
        <w:trPr>
          <w:trHeight w:val="250"/>
        </w:trPr>
        <w:tc>
          <w:tcPr>
            <w:tcW w:w="5220" w:type="dxa"/>
            <w:vAlign w:val="bottom"/>
            <w:gridSpan w:val="2"/>
          </w:tcPr>
          <w:p>
            <w:pPr>
              <w:spacing w:after="0"/>
              <w:rPr>
                <w:sz w:val="20"/>
                <w:szCs w:val="20"/>
                <w:color w:val="auto"/>
              </w:rPr>
            </w:pPr>
            <w:r>
              <w:rPr>
                <w:rFonts w:ascii="Arial" w:cs="Arial" w:eastAsia="Arial" w:hAnsi="Arial"/>
                <w:sz w:val="20"/>
                <w:szCs w:val="20"/>
                <w:color w:val="auto"/>
                <w:w w:val="94"/>
              </w:rPr>
              <w:t>Loans, and (b) [_______%], with respect to Base Rate Loans.]</w:t>
            </w:r>
          </w:p>
        </w:tc>
        <w:tc>
          <w:tcPr>
            <w:tcW w:w="600" w:type="dxa"/>
            <w:vAlign w:val="bottom"/>
          </w:tcPr>
          <w:p>
            <w:pPr>
              <w:spacing w:after="0"/>
              <w:rPr>
                <w:sz w:val="21"/>
                <w:szCs w:val="21"/>
                <w:color w:val="auto"/>
              </w:rPr>
            </w:pPr>
          </w:p>
        </w:tc>
        <w:tc>
          <w:tcPr>
            <w:tcW w:w="5580" w:type="dxa"/>
            <w:vAlign w:val="bottom"/>
          </w:tcPr>
          <w:p>
            <w:pPr>
              <w:spacing w:after="0"/>
              <w:rPr>
                <w:sz w:val="21"/>
                <w:szCs w:val="21"/>
                <w:color w:val="auto"/>
              </w:rPr>
            </w:pPr>
          </w:p>
        </w:tc>
      </w:tr>
      <w:tr>
        <w:trPr>
          <w:trHeight w:val="415"/>
        </w:trPr>
        <w:tc>
          <w:tcPr>
            <w:tcW w:w="960" w:type="dxa"/>
            <w:vAlign w:val="bottom"/>
          </w:tcPr>
          <w:p>
            <w:pPr>
              <w:jc w:val="right"/>
              <w:spacing w:after="0"/>
              <w:rPr>
                <w:sz w:val="20"/>
                <w:szCs w:val="20"/>
                <w:color w:val="auto"/>
              </w:rPr>
            </w:pPr>
            <w:r>
              <w:rPr>
                <w:rFonts w:ascii="Arial" w:cs="Arial" w:eastAsia="Arial" w:hAnsi="Arial"/>
                <w:sz w:val="20"/>
                <w:szCs w:val="20"/>
                <w:color w:val="auto"/>
              </w:rPr>
              <w:t>[3.</w:t>
            </w:r>
          </w:p>
        </w:tc>
        <w:tc>
          <w:tcPr>
            <w:tcW w:w="4260" w:type="dxa"/>
            <w:vAlign w:val="bottom"/>
          </w:tcPr>
          <w:p>
            <w:pPr>
              <w:ind w:left="100"/>
              <w:spacing w:after="0"/>
              <w:rPr>
                <w:sz w:val="20"/>
                <w:szCs w:val="20"/>
                <w:color w:val="auto"/>
              </w:rPr>
            </w:pPr>
            <w:r>
              <w:rPr>
                <w:rFonts w:ascii="Arial" w:cs="Arial" w:eastAsia="Arial" w:hAnsi="Arial"/>
                <w:sz w:val="20"/>
                <w:szCs w:val="20"/>
                <w:color w:val="auto"/>
                <w:w w:val="90"/>
              </w:rPr>
              <w:t>The Incremental Term Loan Maturity Date shall be [</w:t>
            </w:r>
          </w:p>
        </w:tc>
        <w:tc>
          <w:tcPr>
            <w:tcW w:w="600" w:type="dxa"/>
            <w:vAlign w:val="bottom"/>
            <w:tcBorders>
              <w:bottom w:val="single" w:sz="8" w:color="auto"/>
            </w:tcBorders>
          </w:tcPr>
          <w:p>
            <w:pPr>
              <w:spacing w:after="0"/>
              <w:rPr>
                <w:sz w:val="24"/>
                <w:szCs w:val="24"/>
                <w:color w:val="auto"/>
              </w:rPr>
            </w:pPr>
          </w:p>
        </w:tc>
        <w:tc>
          <w:tcPr>
            <w:tcW w:w="5580" w:type="dxa"/>
            <w:vAlign w:val="bottom"/>
          </w:tcPr>
          <w:p>
            <w:pPr>
              <w:jc w:val="right"/>
              <w:ind w:right="5301"/>
              <w:spacing w:after="0"/>
              <w:rPr>
                <w:sz w:val="20"/>
                <w:szCs w:val="20"/>
                <w:color w:val="auto"/>
              </w:rPr>
            </w:pPr>
            <w:r>
              <w:rPr>
                <w:rFonts w:ascii="Arial" w:cs="Arial" w:eastAsia="Arial" w:hAnsi="Arial"/>
                <w:sz w:val="20"/>
                <w:szCs w:val="20"/>
                <w:color w:val="auto"/>
                <w:w w:val="95"/>
              </w:rPr>
              <w:t>].]</w:t>
            </w:r>
          </w:p>
        </w:tc>
      </w:tr>
    </w:tbl>
    <w:p>
      <w:pPr>
        <w:spacing w:after="0" w:line="2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[4. The Company shall repay to the Incremental Term Loan Lenders the principal amount of the Incremental Term Loan in quarterly installments on the dates set forth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217170</wp:posOffset>
            </wp:positionV>
            <wp:extent cx="65779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4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3200" w:type="dxa"/>
            <w:vAlign w:val="bottom"/>
          </w:tcPr>
          <w:p>
            <w:pPr>
              <w:ind w:left="1060"/>
              <w:spacing w:after="0"/>
              <w:rPr>
                <w:sz w:val="20"/>
                <w:szCs w:val="20"/>
                <w:color w:val="auto"/>
              </w:rPr>
            </w:pPr>
            <w:r>
              <w:rPr>
                <w:rFonts w:ascii="Arial" w:cs="Arial" w:eastAsia="Arial" w:hAnsi="Arial"/>
                <w:sz w:val="20"/>
                <w:szCs w:val="20"/>
                <w:color w:val="auto"/>
              </w:rPr>
              <w:t>Principal</w:t>
            </w:r>
          </w:p>
        </w:tc>
        <w:tc>
          <w:tcPr>
            <w:tcW w:w="1880" w:type="dxa"/>
            <w:vAlign w:val="bottom"/>
          </w:tcPr>
          <w:p>
            <w:pPr>
              <w:spacing w:after="0"/>
              <w:rPr>
                <w:sz w:val="19"/>
                <w:szCs w:val="19"/>
                <w:color w:val="auto"/>
              </w:rPr>
            </w:pPr>
          </w:p>
        </w:tc>
        <w:tc>
          <w:tcPr>
            <w:tcW w:w="3820" w:type="dxa"/>
            <w:vAlign w:val="bottom"/>
          </w:tcPr>
          <w:p>
            <w:pPr>
              <w:ind w:left="1160"/>
              <w:spacing w:after="0"/>
              <w:rPr>
                <w:sz w:val="20"/>
                <w:szCs w:val="20"/>
                <w:color w:val="auto"/>
              </w:rPr>
            </w:pPr>
            <w:r>
              <w:rPr>
                <w:rFonts w:ascii="Arial" w:cs="Arial" w:eastAsia="Arial" w:hAnsi="Arial"/>
                <w:sz w:val="20"/>
                <w:szCs w:val="20"/>
                <w:color w:val="auto"/>
              </w:rPr>
              <w:t>Principal</w:t>
            </w:r>
          </w:p>
        </w:tc>
      </w:tr>
      <w:tr>
        <w:trPr>
          <w:trHeight w:val="250"/>
        </w:trPr>
        <w:tc>
          <w:tcPr>
            <w:tcW w:w="1460" w:type="dxa"/>
            <w:vAlign w:val="bottom"/>
          </w:tcPr>
          <w:p>
            <w:pPr>
              <w:ind w:left="20"/>
              <w:spacing w:after="0"/>
              <w:rPr>
                <w:sz w:val="20"/>
                <w:szCs w:val="20"/>
                <w:color w:val="auto"/>
              </w:rPr>
            </w:pPr>
            <w:r>
              <w:rPr>
                <w:rFonts w:ascii="Arial" w:cs="Arial" w:eastAsia="Arial" w:hAnsi="Arial"/>
                <w:sz w:val="20"/>
                <w:szCs w:val="20"/>
                <w:color w:val="auto"/>
              </w:rPr>
              <w:t>Date</w:t>
            </w:r>
          </w:p>
        </w:tc>
        <w:tc>
          <w:tcPr>
            <w:tcW w:w="3200" w:type="dxa"/>
            <w:vAlign w:val="bottom"/>
          </w:tcPr>
          <w:p>
            <w:pPr>
              <w:ind w:left="1060"/>
              <w:spacing w:after="0"/>
              <w:rPr>
                <w:sz w:val="20"/>
                <w:szCs w:val="20"/>
                <w:color w:val="auto"/>
              </w:rPr>
            </w:pPr>
            <w:r>
              <w:rPr>
                <w:rFonts w:ascii="Arial" w:cs="Arial" w:eastAsia="Arial" w:hAnsi="Arial"/>
                <w:sz w:val="20"/>
                <w:szCs w:val="20"/>
                <w:color w:val="auto"/>
              </w:rPr>
              <w:t>Amortization Payment</w:t>
            </w:r>
          </w:p>
        </w:tc>
        <w:tc>
          <w:tcPr>
            <w:tcW w:w="1880" w:type="dxa"/>
            <w:vAlign w:val="bottom"/>
          </w:tcPr>
          <w:p>
            <w:pPr>
              <w:ind w:left="340"/>
              <w:spacing w:after="0"/>
              <w:rPr>
                <w:sz w:val="20"/>
                <w:szCs w:val="20"/>
                <w:color w:val="auto"/>
              </w:rPr>
            </w:pPr>
            <w:r>
              <w:rPr>
                <w:rFonts w:ascii="Arial" w:cs="Arial" w:eastAsia="Arial" w:hAnsi="Arial"/>
                <w:sz w:val="20"/>
                <w:szCs w:val="20"/>
                <w:color w:val="auto"/>
              </w:rPr>
              <w:t>Date</w:t>
            </w:r>
          </w:p>
        </w:tc>
        <w:tc>
          <w:tcPr>
            <w:tcW w:w="3820" w:type="dxa"/>
            <w:vAlign w:val="bottom"/>
          </w:tcPr>
          <w:p>
            <w:pPr>
              <w:ind w:left="1160"/>
              <w:spacing w:after="0"/>
              <w:rPr>
                <w:sz w:val="20"/>
                <w:szCs w:val="20"/>
                <w:color w:val="auto"/>
              </w:rPr>
            </w:pPr>
            <w:r>
              <w:rPr>
                <w:rFonts w:ascii="Arial" w:cs="Arial" w:eastAsia="Arial" w:hAnsi="Arial"/>
                <w:sz w:val="20"/>
                <w:szCs w:val="20"/>
                <w:color w:val="auto"/>
              </w:rPr>
              <w:t>Amortization Payment</w:t>
            </w:r>
          </w:p>
        </w:tc>
      </w:tr>
      <w:tr>
        <w:trPr>
          <w:trHeight w:val="23"/>
        </w:trPr>
        <w:tc>
          <w:tcPr>
            <w:tcW w:w="14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Incremental Term Loan Maturity</w:t>
      </w:r>
    </w:p>
    <w:p>
      <w:pPr>
        <w:spacing w:after="0" w:line="39"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65779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Outstanding Amount</w:t>
      </w:r>
    </w:p>
    <w:p>
      <w:pPr>
        <w:spacing w:after="0" w:line="89" w:lineRule="exact"/>
        <w:rPr>
          <w:sz w:val="20"/>
          <w:szCs w:val="20"/>
          <w:color w:val="auto"/>
        </w:rPr>
      </w:pPr>
    </w:p>
    <w:p>
      <w:pPr>
        <w:sectPr>
          <w:pgSz w:w="11900" w:h="16838" w:orient="portrait"/>
          <w:cols w:equalWidth="0" w:num="2">
            <w:col w:w="8160" w:space="80"/>
            <w:col w:w="3180"/>
          </w:cols>
          <w:pgMar w:left="240" w:top="757" w:right="239" w:bottom="1440" w:gutter="0" w:footer="0" w:header="0"/>
          <w:type w:val="continuous"/>
        </w:sectPr>
      </w:pPr>
    </w:p>
    <w:p>
      <w:pPr>
        <w:ind w:left="56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27305</wp:posOffset>
            </wp:positionV>
            <wp:extent cx="65779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50" w:lineRule="exact"/>
        <w:rPr>
          <w:sz w:val="20"/>
          <w:szCs w:val="20"/>
          <w:color w:val="auto"/>
        </w:rPr>
      </w:pPr>
    </w:p>
    <w:p>
      <w:pPr>
        <w:jc w:val="both"/>
        <w:ind w:firstLine="656"/>
        <w:spacing w:after="0" w:line="254" w:lineRule="auto"/>
        <w:tabs>
          <w:tab w:leader="none" w:pos="10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Each [Revolving A Lender] [Revolving B Lender] [Incremental Term Loan Lender] (a) represents and warrants that (i) it has full power and authority, and has taken all action necessary, to execute and deliver this Agreement and to consummate the transactions contemplated hereby and to become a [Revolving A Lender] [Revolving B Lender] [Incremental Term Loan Lender] under the Credit Agreement, (ii) it meets all requirements of an Eligible Assignee under the Credit Agreement (subject to receipt of such consents as may be required under the Credit Agreement), (iii) from and after the date hereof, it shall be bound by the provisions of the Credit Agreement as a [Revolving A Lender] [Revolving B Lender] [Incremental Term Loan Lender] thereunder and shall have the obligations of a [Revolving A Lender] [Revolving B Lender] [Incremental Term Loan Lender] thereunder, (iv) it has received a copy of the Credit Agreement, together with copies of the most recent financial statements delivered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thereof, as applicable, and such other documents and information as it has deemed appropriate to make its own credit analysis and decision to enter into this Agreement on the basis of which it has made such analysis and decision independently and without reliance on the Administrative Agent or any other [Revolving A Lender] [Revolving B Lender] [Incremental Term Loan Lender], and (v) if it is a Foreign Lender, attached hereto is any documentation required to be delivered by it pursuant to the terms of the Credit Agreement;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[Revolving A Lender] [Revolving B Lender] [Incremental Term Loan Lender].</w:t>
      </w:r>
    </w:p>
    <w:p>
      <w:pPr>
        <w:spacing w:after="0" w:line="203" w:lineRule="exact"/>
        <w:rPr>
          <w:rFonts w:ascii="Arial" w:cs="Arial" w:eastAsia="Arial" w:hAnsi="Arial"/>
          <w:sz w:val="19"/>
          <w:szCs w:val="19"/>
          <w:color w:val="auto"/>
        </w:rPr>
      </w:pPr>
    </w:p>
    <w:p>
      <w:pPr>
        <w:jc w:val="both"/>
        <w:ind w:firstLine="656"/>
        <w:spacing w:after="0" w:line="250" w:lineRule="auto"/>
        <w:tabs>
          <w:tab w:leader="none" w:pos="1097" w:val="left"/>
        </w:tabs>
        <w:numPr>
          <w:ilvl w:val="0"/>
          <w:numId w:val="43"/>
        </w:numPr>
        <w:rPr>
          <w:rFonts w:ascii="Arial" w:cs="Arial" w:eastAsia="Arial" w:hAnsi="Arial"/>
          <w:sz w:val="20"/>
          <w:szCs w:val="20"/>
          <w:color w:val="auto"/>
        </w:rPr>
      </w:pPr>
      <w:r>
        <w:rPr>
          <w:rFonts w:ascii="Arial" w:cs="Arial" w:eastAsia="Arial" w:hAnsi="Arial"/>
          <w:sz w:val="20"/>
          <w:szCs w:val="20"/>
          <w:color w:val="auto"/>
        </w:rPr>
        <w:t>Each of the Administrative Agent, the Company, [the Designated Borrowers] [, the Additional Borrower] and the Guarantors agrees that, as of the date hereof, each [Revolving A Lender] [Revolving B Lender] [Incremental Term Loan Lender] shall (a) be a party to the Credit Agreement and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757" w:right="239" w:bottom="1440" w:gutter="0" w:footer="0" w:header="0"/>
          <w:type w:val="continuous"/>
        </w:sectPr>
      </w:pPr>
    </w:p>
    <w:bookmarkStart w:id="109" w:name="page110"/>
    <w:bookmarkEnd w:id="109"/>
    <w:p>
      <w:pPr>
        <w:jc w:val="both"/>
        <w:spacing w:after="0" w:line="250" w:lineRule="auto"/>
        <w:rPr>
          <w:sz w:val="20"/>
          <w:szCs w:val="20"/>
          <w:color w:val="auto"/>
        </w:rPr>
      </w:pPr>
      <w:r>
        <w:rPr>
          <w:rFonts w:ascii="Arial" w:cs="Arial" w:eastAsia="Arial" w:hAnsi="Arial"/>
          <w:sz w:val="20"/>
          <w:szCs w:val="20"/>
          <w:color w:val="auto"/>
        </w:rPr>
        <w:t>other Loan Documents, (b) be [a “Revolving A Lender”] [a “Revolving B Lender”] [an “Incremental Term Loan Lender”] for all purposes of the Credit Agreement and the other Loan Documents and (c) have the rights and obligations of [a Revolving A Lender] [a Revolving B Lender] [an Incremental Term Loan Lender] under the Credit Agreement and the other Loan Documents.</w:t>
      </w:r>
    </w:p>
    <w:p>
      <w:pPr>
        <w:spacing w:after="0" w:line="200" w:lineRule="exact"/>
        <w:rPr>
          <w:sz w:val="20"/>
          <w:szCs w:val="20"/>
          <w:color w:val="auto"/>
        </w:rPr>
      </w:pPr>
    </w:p>
    <w:p>
      <w:pPr>
        <w:jc w:val="both"/>
        <w:ind w:firstLine="656"/>
        <w:spacing w:after="0" w:line="250" w:lineRule="auto"/>
        <w:tabs>
          <w:tab w:leader="none" w:pos="1015"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address of each [Revolving A Lender] [Revolving B Lender] [Incremental Term Loan Lender] for purposes of all notices and other communications is as set forth on the Administrative Questionnaire delivered by such [Revolving A Lender] [Revolving B Lender] [Incremental Term Loan Lender] to the Administrative Agent.</w:t>
      </w:r>
    </w:p>
    <w:p>
      <w:pPr>
        <w:spacing w:after="0" w:line="199" w:lineRule="exact"/>
        <w:rPr>
          <w:rFonts w:ascii="Arial" w:cs="Arial" w:eastAsia="Arial" w:hAnsi="Arial"/>
          <w:sz w:val="20"/>
          <w:szCs w:val="20"/>
          <w:color w:val="auto"/>
        </w:rPr>
      </w:pPr>
    </w:p>
    <w:p>
      <w:pPr>
        <w:jc w:val="both"/>
        <w:ind w:firstLine="656"/>
        <w:spacing w:after="0" w:line="291" w:lineRule="auto"/>
        <w:tabs>
          <w:tab w:leader="none" w:pos="10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by the various parties hereto in separate counterparts, each of which when so executed shall be deemed to be an original and all of which taken together shall constitute one contract. Delivery of an executed counterpart of this Agreement by telecopier shall be effective as delivery of a manually executed counterpart of this Agreement.</w:t>
      </w:r>
    </w:p>
    <w:p>
      <w:pPr>
        <w:spacing w:after="0" w:line="165" w:lineRule="exact"/>
        <w:rPr>
          <w:rFonts w:ascii="Arial" w:cs="Arial" w:eastAsia="Arial" w:hAnsi="Arial"/>
          <w:sz w:val="18"/>
          <w:szCs w:val="18"/>
          <w:color w:val="auto"/>
        </w:rPr>
      </w:pPr>
    </w:p>
    <w:p>
      <w:pPr>
        <w:ind w:right="20" w:firstLine="656"/>
        <w:spacing w:after="0" w:line="260" w:lineRule="auto"/>
        <w:tabs>
          <w:tab w:leader="none" w:pos="991"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AND INTERPRETED IN ACCORDANCE WITH THE LAWS OF THE STATE OF NEW YORK.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757" w:right="239" w:bottom="1440" w:gutter="0" w:footer="0" w:header="0"/>
        </w:sectPr>
      </w:pPr>
    </w:p>
    <w:bookmarkStart w:id="110" w:name="page111"/>
    <w:bookmarkEnd w:id="110"/>
    <w:p>
      <w:pPr>
        <w:ind w:firstLine="648"/>
        <w:spacing w:after="0" w:line="260" w:lineRule="auto"/>
        <w:rPr>
          <w:sz w:val="20"/>
          <w:szCs w:val="20"/>
          <w:color w:val="auto"/>
        </w:rPr>
      </w:pPr>
      <w:r>
        <w:rPr>
          <w:rFonts w:ascii="Arial" w:cs="Arial" w:eastAsia="Arial" w:hAnsi="Arial"/>
          <w:sz w:val="20"/>
          <w:szCs w:val="20"/>
          <w:color w:val="auto"/>
        </w:rPr>
        <w:t>IN WITNESS WHEREOF, each of the parties hereto has caused this Agreement to be executed by a duly authorized officer as of the date first above written.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[REVOLVING A LENDERS]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[REVOLVING B LENDERS]</w:t>
      </w:r>
    </w:p>
    <w:p>
      <w:pPr>
        <w:spacing w:after="0"/>
        <w:rPr>
          <w:sz w:val="20"/>
          <w:szCs w:val="20"/>
          <w:color w:val="auto"/>
        </w:rPr>
      </w:pPr>
      <w:r>
        <w:rPr>
          <w:rFonts w:ascii="Arial" w:cs="Arial" w:eastAsia="Arial" w:hAnsi="Arial"/>
          <w:sz w:val="20"/>
          <w:szCs w:val="20"/>
          <w:color w:val="auto"/>
        </w:rPr>
        <w:t>[INCREMENTAL TERM</w:t>
      </w:r>
    </w:p>
    <w:p>
      <w:pPr>
        <w:spacing w:after="0"/>
        <w:rPr>
          <w:sz w:val="20"/>
          <w:szCs w:val="20"/>
          <w:color w:val="auto"/>
        </w:rPr>
      </w:pPr>
      <w:r>
        <w:rPr>
          <w:rFonts w:ascii="Arial" w:cs="Arial" w:eastAsia="Arial" w:hAnsi="Arial"/>
          <w:sz w:val="20"/>
          <w:szCs w:val="20"/>
          <w:color w:val="auto"/>
        </w:rPr>
        <w:t>LOAN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-24765</wp:posOffset>
            </wp:positionV>
            <wp:extent cx="6286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9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6286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w:t>
      </w:r>
    </w:p>
    <w:p>
      <w:pPr>
        <w:ind w:left="26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20"/>
                <w:szCs w:val="20"/>
                <w:color w:val="auto"/>
              </w:rPr>
              <w:t>COMPANY:</w:t>
            </w:r>
          </w:p>
        </w:tc>
        <w:tc>
          <w:tcPr>
            <w:tcW w:w="5640" w:type="dxa"/>
            <w:vAlign w:val="bottom"/>
            <w:gridSpan w:val="3"/>
          </w:tcPr>
          <w:p>
            <w:pPr>
              <w:ind w:left="420"/>
              <w:spacing w:after="0"/>
              <w:rPr>
                <w:sz w:val="20"/>
                <w:szCs w:val="20"/>
                <w:color w:val="auto"/>
              </w:rPr>
            </w:pPr>
            <w:r>
              <w:rPr>
                <w:rFonts w:ascii="Arial" w:cs="Arial" w:eastAsia="Arial" w:hAnsi="Arial"/>
                <w:sz w:val="20"/>
                <w:szCs w:val="20"/>
                <w:color w:val="auto"/>
                <w:w w:val="93"/>
              </w:rPr>
              <w:t>FLEETCOR TECHNOLOGIES OPERATING COMPANY, LLC,</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a Georgia limited liability company</w:t>
            </w:r>
          </w:p>
        </w:tc>
      </w:tr>
      <w:tr>
        <w:trPr>
          <w:trHeight w:val="415"/>
        </w:trPr>
        <w:tc>
          <w:tcPr>
            <w:tcW w:w="1200" w:type="dxa"/>
            <w:vAlign w:val="bottom"/>
          </w:tcPr>
          <w:p>
            <w:pPr>
              <w:spacing w:after="0"/>
              <w:rPr>
                <w:sz w:val="24"/>
                <w:szCs w:val="24"/>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By:</w:t>
            </w:r>
          </w:p>
        </w:tc>
      </w:tr>
      <w:tr>
        <w:trPr>
          <w:trHeight w:val="20"/>
        </w:trPr>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3"/>
        </w:trPr>
        <w:tc>
          <w:tcPr>
            <w:tcW w:w="1200" w:type="dxa"/>
            <w:vAlign w:val="bottom"/>
          </w:tcPr>
          <w:p>
            <w:pPr>
              <w:spacing w:after="0"/>
              <w:rPr>
                <w:sz w:val="20"/>
                <w:szCs w:val="20"/>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Name:</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Title:</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PARENT:</w:t>
            </w:r>
          </w:p>
        </w:tc>
        <w:tc>
          <w:tcPr>
            <w:tcW w:w="5640" w:type="dxa"/>
            <w:vAlign w:val="bottom"/>
            <w:gridSpan w:val="3"/>
          </w:tcPr>
          <w:p>
            <w:pPr>
              <w:ind w:left="200"/>
              <w:spacing w:after="0"/>
              <w:rPr>
                <w:sz w:val="20"/>
                <w:szCs w:val="20"/>
                <w:color w:val="auto"/>
              </w:rPr>
            </w:pPr>
            <w:r>
              <w:rPr>
                <w:rFonts w:ascii="Arial" w:cs="Arial" w:eastAsia="Arial" w:hAnsi="Arial"/>
                <w:sz w:val="20"/>
                <w:szCs w:val="20"/>
                <w:color w:val="auto"/>
              </w:rPr>
              <w:t>FLEETCOR TECHNOLOGIES, INC.,</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a Delaware corporation</w:t>
            </w:r>
          </w:p>
        </w:tc>
      </w:tr>
      <w:tr>
        <w:trPr>
          <w:trHeight w:val="415"/>
        </w:trPr>
        <w:tc>
          <w:tcPr>
            <w:tcW w:w="1200" w:type="dxa"/>
            <w:vAlign w:val="bottom"/>
          </w:tcPr>
          <w:p>
            <w:pPr>
              <w:spacing w:after="0"/>
              <w:rPr>
                <w:sz w:val="24"/>
                <w:szCs w:val="24"/>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By:</w:t>
            </w:r>
          </w:p>
        </w:tc>
      </w:tr>
      <w:tr>
        <w:trPr>
          <w:trHeight w:val="20"/>
        </w:trPr>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3"/>
        </w:trPr>
        <w:tc>
          <w:tcPr>
            <w:tcW w:w="1200" w:type="dxa"/>
            <w:vAlign w:val="bottom"/>
          </w:tcPr>
          <w:p>
            <w:pPr>
              <w:spacing w:after="0"/>
              <w:rPr>
                <w:sz w:val="20"/>
                <w:szCs w:val="20"/>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Name:</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Title:</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[[DESIGNATED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-24765</wp:posOffset>
            </wp:positionV>
            <wp:extent cx="6286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9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6286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w:t>
      </w:r>
    </w:p>
    <w:p>
      <w:pPr>
        <w:ind w:left="260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[ADDITIONAL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-24765</wp:posOffset>
            </wp:positionV>
            <wp:extent cx="6286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9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6286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w:t>
      </w:r>
    </w:p>
    <w:p>
      <w:pPr>
        <w:ind w:left="260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Read and Acknowledged</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-14605</wp:posOffset>
            </wp:positionV>
            <wp:extent cx="6286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6286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w:t>
      </w:r>
    </w:p>
    <w:p>
      <w:pPr>
        <w:ind w:left="2600"/>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757" w:right="23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9019"/>
          </w:cols>
          <w:pgMar w:left="1440" w:top="1230"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EXHIBIT O</w:t>
            </w:r>
          </w:p>
        </w:tc>
        <w:tc>
          <w:tcPr>
            <w:tcW w:w="5180" w:type="dxa"/>
            <w:vAlign w:val="bottom"/>
            <w:gridSpan w:val="3"/>
          </w:tcPr>
          <w:p>
            <w:pPr>
              <w:spacing w:after="0"/>
              <w:rPr>
                <w:sz w:val="19"/>
                <w:szCs w:val="19"/>
                <w:color w:val="auto"/>
              </w:rPr>
            </w:pPr>
          </w:p>
        </w:tc>
      </w:tr>
      <w:tr>
        <w:trPr>
          <w:trHeight w:val="470"/>
        </w:trPr>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0" w:type="dxa"/>
            <w:vAlign w:val="bottom"/>
            <w:gridSpan w:val="7"/>
          </w:tcPr>
          <w:p>
            <w:pPr>
              <w:jc w:val="center"/>
              <w:ind w:right="2800"/>
              <w:spacing w:after="0"/>
              <w:rPr>
                <w:sz w:val="20"/>
                <w:szCs w:val="20"/>
                <w:color w:val="auto"/>
              </w:rPr>
            </w:pPr>
            <w:r>
              <w:rPr>
                <w:rFonts w:ascii="Arial" w:cs="Arial" w:eastAsia="Arial" w:hAnsi="Arial"/>
                <w:sz w:val="20"/>
                <w:szCs w:val="20"/>
                <w:b w:val="1"/>
                <w:bCs w:val="1"/>
                <w:color w:val="auto"/>
                <w:w w:val="99"/>
              </w:rPr>
              <w:t>FORM OF NOTICE OF LOAN PREPAYMENT</w:t>
            </w:r>
          </w:p>
        </w:tc>
      </w:tr>
      <w:tr>
        <w:trPr>
          <w:trHeight w:val="446"/>
        </w:trPr>
        <w:tc>
          <w:tcPr>
            <w:tcW w:w="640" w:type="dxa"/>
            <w:vAlign w:val="bottom"/>
          </w:tcPr>
          <w:p>
            <w:pPr>
              <w:spacing w:after="0"/>
              <w:rPr>
                <w:sz w:val="20"/>
                <w:szCs w:val="20"/>
                <w:color w:val="auto"/>
              </w:rPr>
            </w:pPr>
            <w:r>
              <w:rPr>
                <w:rFonts w:ascii="Arial" w:cs="Arial" w:eastAsia="Arial" w:hAnsi="Arial"/>
                <w:sz w:val="20"/>
                <w:szCs w:val="20"/>
                <w:color w:val="auto"/>
              </w:rPr>
              <w:t>TO:</w:t>
            </w:r>
          </w:p>
        </w:tc>
        <w:tc>
          <w:tcPr>
            <w:tcW w:w="10780" w:type="dxa"/>
            <w:vAlign w:val="bottom"/>
            <w:gridSpan w:val="9"/>
          </w:tcPr>
          <w:p>
            <w:pPr>
              <w:ind w:left="80"/>
              <w:spacing w:after="0"/>
              <w:rPr>
                <w:sz w:val="20"/>
                <w:szCs w:val="20"/>
                <w:color w:val="auto"/>
              </w:rPr>
            </w:pPr>
            <w:r>
              <w:rPr>
                <w:rFonts w:ascii="Arial" w:cs="Arial" w:eastAsia="Arial" w:hAnsi="Arial"/>
                <w:sz w:val="20"/>
                <w:szCs w:val="20"/>
                <w:color w:val="auto"/>
              </w:rPr>
              <w:t>Bank of America, N.A., as [Administrative Agent][Swing Line Lender]</w:t>
            </w:r>
          </w:p>
        </w:tc>
      </w:tr>
      <w:tr>
        <w:trPr>
          <w:trHeight w:val="425"/>
        </w:trPr>
        <w:tc>
          <w:tcPr>
            <w:tcW w:w="640" w:type="dxa"/>
            <w:vAlign w:val="bottom"/>
          </w:tcPr>
          <w:p>
            <w:pPr>
              <w:spacing w:after="0"/>
              <w:rPr>
                <w:sz w:val="20"/>
                <w:szCs w:val="20"/>
                <w:color w:val="auto"/>
              </w:rPr>
            </w:pPr>
            <w:r>
              <w:rPr>
                <w:rFonts w:ascii="Arial" w:cs="Arial" w:eastAsia="Arial" w:hAnsi="Arial"/>
                <w:sz w:val="20"/>
                <w:szCs w:val="20"/>
                <w:color w:val="auto"/>
              </w:rPr>
              <w:t>RE:</w:t>
            </w:r>
          </w:p>
        </w:tc>
        <w:tc>
          <w:tcPr>
            <w:tcW w:w="10780" w:type="dxa"/>
            <w:vAlign w:val="bottom"/>
            <w:gridSpan w:val="9"/>
          </w:tcPr>
          <w:p>
            <w:pPr>
              <w:ind w:left="660"/>
              <w:spacing w:after="0"/>
              <w:rPr>
                <w:sz w:val="20"/>
                <w:szCs w:val="20"/>
                <w:color w:val="auto"/>
              </w:rPr>
            </w:pPr>
            <w:r>
              <w:rPr>
                <w:rFonts w:ascii="Arial" w:cs="Arial" w:eastAsia="Arial" w:hAnsi="Arial"/>
                <w:sz w:val="20"/>
                <w:szCs w:val="20"/>
                <w:color w:val="auto"/>
                <w:w w:val="94"/>
              </w:rPr>
              <w:t>Credit Agreement dated as of October 24, 2014 (as amended, modified, supplemented or extended from time to time, the</w:t>
            </w:r>
          </w:p>
        </w:tc>
      </w:tr>
      <w:tr>
        <w:trPr>
          <w:trHeight w:val="206"/>
        </w:trPr>
        <w:tc>
          <w:tcPr>
            <w:tcW w:w="640" w:type="dxa"/>
            <w:vAlign w:val="bottom"/>
          </w:tcPr>
          <w:p>
            <w:pPr>
              <w:spacing w:after="0"/>
              <w:rPr>
                <w:sz w:val="17"/>
                <w:szCs w:val="17"/>
                <w:color w:val="auto"/>
              </w:rPr>
            </w:pPr>
          </w:p>
        </w:tc>
        <w:tc>
          <w:tcPr>
            <w:tcW w:w="10780" w:type="dxa"/>
            <w:vAlign w:val="bottom"/>
            <w:gridSpan w:val="9"/>
          </w:tcPr>
          <w:p>
            <w:pPr>
              <w:ind w:left="660"/>
              <w:spacing w:after="0" w:line="206" w:lineRule="exact"/>
              <w:rPr>
                <w:sz w:val="20"/>
                <w:szCs w:val="20"/>
                <w:color w:val="auto"/>
              </w:rPr>
            </w:pPr>
            <w:r>
              <w:rPr>
                <w:rFonts w:ascii="Arial" w:cs="Arial" w:eastAsia="Arial" w:hAnsi="Arial"/>
                <w:sz w:val="20"/>
                <w:szCs w:val="20"/>
                <w:color w:val="auto"/>
                <w:w w:val="92"/>
              </w:rPr>
              <w:t>“Credit Agreement”) among FleetCor Technologies Operating Company, LLC (the “Company”), FleetCor Technologies, Inc.,</w:t>
            </w: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10780" w:type="dxa"/>
            <w:vAlign w:val="bottom"/>
            <w:gridSpan w:val="9"/>
          </w:tcPr>
          <w:p>
            <w:pPr>
              <w:ind w:left="660"/>
              <w:spacing w:after="0" w:line="209" w:lineRule="exact"/>
              <w:rPr>
                <w:sz w:val="20"/>
                <w:szCs w:val="20"/>
                <w:color w:val="auto"/>
              </w:rPr>
            </w:pPr>
            <w:r>
              <w:rPr>
                <w:rFonts w:ascii="Arial" w:cs="Arial" w:eastAsia="Arial" w:hAnsi="Arial"/>
                <w:sz w:val="20"/>
                <w:szCs w:val="20"/>
                <w:color w:val="auto"/>
                <w:w w:val="92"/>
              </w:rPr>
              <w:t>a Delaware corporation (the “Parent”), the Designated Borrowers from time to time party thereto, the Additional Borrower, to</w:t>
            </w:r>
          </w:p>
        </w:tc>
      </w:tr>
      <w:tr>
        <w:trPr>
          <w:trHeight w:val="20"/>
        </w:trPr>
        <w:tc>
          <w:tcPr>
            <w:tcW w:w="6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r>
      <w:tr>
        <w:trPr>
          <w:trHeight w:val="233"/>
        </w:trPr>
        <w:tc>
          <w:tcPr>
            <w:tcW w:w="640" w:type="dxa"/>
            <w:vAlign w:val="bottom"/>
          </w:tcPr>
          <w:p>
            <w:pPr>
              <w:spacing w:after="0"/>
              <w:rPr>
                <w:sz w:val="20"/>
                <w:szCs w:val="20"/>
                <w:color w:val="auto"/>
              </w:rPr>
            </w:pPr>
          </w:p>
        </w:tc>
        <w:tc>
          <w:tcPr>
            <w:tcW w:w="10780" w:type="dxa"/>
            <w:vAlign w:val="bottom"/>
            <w:gridSpan w:val="9"/>
          </w:tcPr>
          <w:p>
            <w:pPr>
              <w:ind w:left="660"/>
              <w:spacing w:after="0"/>
              <w:rPr>
                <w:sz w:val="20"/>
                <w:szCs w:val="20"/>
                <w:color w:val="auto"/>
              </w:rPr>
            </w:pPr>
            <w:r>
              <w:rPr>
                <w:rFonts w:ascii="Arial" w:cs="Arial" w:eastAsia="Arial" w:hAnsi="Arial"/>
                <w:sz w:val="20"/>
                <w:szCs w:val="20"/>
                <w:color w:val="auto"/>
                <w:w w:val="92"/>
              </w:rPr>
              <w:t>the extent the Additional Borrower has become a Borrower under the Credit Agreement, the Lenders from time to time party</w:t>
            </w:r>
          </w:p>
        </w:tc>
      </w:tr>
      <w:tr>
        <w:trPr>
          <w:trHeight w:val="230"/>
        </w:trPr>
        <w:tc>
          <w:tcPr>
            <w:tcW w:w="640" w:type="dxa"/>
            <w:vAlign w:val="bottom"/>
          </w:tcPr>
          <w:p>
            <w:pPr>
              <w:spacing w:after="0"/>
              <w:rPr>
                <w:sz w:val="19"/>
                <w:szCs w:val="19"/>
                <w:color w:val="auto"/>
              </w:rPr>
            </w:pPr>
          </w:p>
        </w:tc>
        <w:tc>
          <w:tcPr>
            <w:tcW w:w="10780" w:type="dxa"/>
            <w:vAlign w:val="bottom"/>
            <w:gridSpan w:val="9"/>
          </w:tcPr>
          <w:p>
            <w:pPr>
              <w:ind w:left="660"/>
              <w:spacing w:after="0"/>
              <w:rPr>
                <w:sz w:val="20"/>
                <w:szCs w:val="20"/>
                <w:color w:val="auto"/>
              </w:rPr>
            </w:pPr>
            <w:r>
              <w:rPr>
                <w:rFonts w:ascii="Arial" w:cs="Arial" w:eastAsia="Arial" w:hAnsi="Arial"/>
                <w:sz w:val="20"/>
                <w:szCs w:val="20"/>
                <w:color w:val="auto"/>
                <w:w w:val="93"/>
              </w:rPr>
              <w:t>thereto and Bank of America, N.A., as Administrative Agent, Swing Line Lender and L/C Issuer. Capitalized terms used but</w:t>
            </w:r>
          </w:p>
        </w:tc>
      </w:tr>
      <w:tr>
        <w:trPr>
          <w:trHeight w:val="250"/>
        </w:trPr>
        <w:tc>
          <w:tcPr>
            <w:tcW w:w="640" w:type="dxa"/>
            <w:vAlign w:val="bottom"/>
          </w:tcPr>
          <w:p>
            <w:pPr>
              <w:spacing w:after="0"/>
              <w:rPr>
                <w:sz w:val="21"/>
                <w:szCs w:val="21"/>
                <w:color w:val="auto"/>
              </w:rPr>
            </w:pPr>
          </w:p>
        </w:tc>
        <w:tc>
          <w:tcPr>
            <w:tcW w:w="10780" w:type="dxa"/>
            <w:vAlign w:val="bottom"/>
            <w:gridSpan w:val="9"/>
          </w:tcPr>
          <w:p>
            <w:pPr>
              <w:ind w:left="660"/>
              <w:spacing w:after="0"/>
              <w:rPr>
                <w:sz w:val="20"/>
                <w:szCs w:val="20"/>
                <w:color w:val="auto"/>
              </w:rPr>
            </w:pPr>
            <w:r>
              <w:rPr>
                <w:rFonts w:ascii="Arial" w:cs="Arial" w:eastAsia="Arial" w:hAnsi="Arial"/>
                <w:sz w:val="20"/>
                <w:szCs w:val="20"/>
                <w:color w:val="auto"/>
              </w:rPr>
              <w:t>not otherwise defined herein have the meanings provided in the Credit Agreement.</w:t>
            </w:r>
          </w:p>
        </w:tc>
      </w:tr>
      <w:tr>
        <w:trPr>
          <w:trHeight w:val="446"/>
        </w:trPr>
        <w:tc>
          <w:tcPr>
            <w:tcW w:w="640" w:type="dxa"/>
            <w:vAlign w:val="bottom"/>
          </w:tcPr>
          <w:p>
            <w:pPr>
              <w:spacing w:after="0"/>
              <w:rPr>
                <w:sz w:val="20"/>
                <w:szCs w:val="20"/>
                <w:color w:val="auto"/>
              </w:rPr>
            </w:pPr>
            <w:r>
              <w:rPr>
                <w:rFonts w:ascii="Arial" w:cs="Arial" w:eastAsia="Arial" w:hAnsi="Arial"/>
                <w:sz w:val="20"/>
                <w:szCs w:val="20"/>
                <w:color w:val="auto"/>
              </w:rPr>
              <w:t>DATE:</w:t>
            </w:r>
          </w:p>
        </w:tc>
        <w:tc>
          <w:tcPr>
            <w:tcW w:w="10780" w:type="dxa"/>
            <w:vAlign w:val="bottom"/>
            <w:gridSpan w:val="9"/>
          </w:tcPr>
          <w:p>
            <w:pPr>
              <w:ind w:left="320"/>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i w:val="1"/>
          <w:iCs w:val="1"/>
          <w:color w:val="auto"/>
        </w:rPr>
        <w:t>insert  name  of  Borrower</w:t>
      </w:r>
      <w:r>
        <w:rPr>
          <w:rFonts w:ascii="Arial" w:cs="Arial" w:eastAsia="Arial" w:hAnsi="Arial"/>
          <w:sz w:val="19"/>
          <w:szCs w:val="19"/>
          <w:color w:val="auto"/>
        </w:rPr>
        <w:t>]  (the  “</w:t>
      </w:r>
      <w:r>
        <w:rPr>
          <w:rFonts w:ascii="Arial" w:cs="Arial" w:eastAsia="Arial" w:hAnsi="Arial"/>
          <w:sz w:val="19"/>
          <w:szCs w:val="19"/>
          <w:u w:val="single" w:color="auto"/>
          <w:color w:val="auto"/>
        </w:rPr>
        <w:t>Borrower</w:t>
      </w:r>
      <w:r>
        <w:rPr>
          <w:rFonts w:ascii="Arial" w:cs="Arial" w:eastAsia="Arial" w:hAnsi="Arial"/>
          <w:sz w:val="19"/>
          <w:szCs w:val="19"/>
          <w:color w:val="auto"/>
        </w:rPr>
        <w:t>”)  hereby  notifies  the  [Administrative  Agent][Swing  Line  Lender]  that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_____________ </w:t>
      </w:r>
      <w:r>
        <w:rPr>
          <w:rFonts w:ascii="Arial" w:cs="Arial" w:eastAsia="Arial" w:hAnsi="Arial"/>
          <w:sz w:val="18"/>
          <w:szCs w:val="18"/>
          <w:color w:val="auto"/>
        </w:rPr>
        <w:t>pursuant to the terms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the Borrower intends to prepay/repay the following Loans as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more specifically set forth below:</w:t>
      </w:r>
    </w:p>
    <w:p>
      <w:pPr>
        <w:spacing w:after="0" w:line="200" w:lineRule="exact"/>
        <w:rPr>
          <w:sz w:val="20"/>
          <w:szCs w:val="20"/>
          <w:color w:val="auto"/>
        </w:rPr>
      </w:pPr>
    </w:p>
    <w:p>
      <w:pPr>
        <w:spacing w:after="0" w:line="299" w:lineRule="exact"/>
        <w:rPr>
          <w:sz w:val="20"/>
          <w:szCs w:val="20"/>
          <w:color w:val="auto"/>
        </w:rPr>
      </w:pPr>
    </w:p>
    <w:p>
      <w:pPr>
        <w:ind w:left="660" w:firstLine="648"/>
        <w:spacing w:after="0" w:line="289" w:lineRule="auto"/>
        <w:rPr>
          <w:sz w:val="20"/>
          <w:szCs w:val="20"/>
          <w:color w:val="auto"/>
        </w:rPr>
      </w:pPr>
      <w:r>
        <w:rPr>
          <w:rFonts w:ascii="Arial" w:cs="Arial" w:eastAsia="Arial" w:hAnsi="Arial"/>
          <w:sz w:val="20"/>
          <w:szCs w:val="20"/>
          <w:color w:val="auto"/>
        </w:rPr>
        <w:t>Optional prepayment of [Revolving A] [Revolving B] [Revolving C] [Term A] [Term B-3] [Incremental Term] Loans in the following amount(s):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Eurocurrency Rate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-14605</wp:posOffset>
            </wp:positionV>
            <wp:extent cx="3771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23" w:lineRule="exact"/>
        <w:rPr>
          <w:sz w:val="20"/>
          <w:szCs w:val="20"/>
          <w:color w:val="auto"/>
        </w:rPr>
      </w:pPr>
    </w:p>
    <w:p>
      <w:pPr>
        <w:ind w:left="1960"/>
        <w:spacing w:after="0"/>
        <w:tabs>
          <w:tab w:leader="none" w:pos="5840" w:val="left"/>
        </w:tabs>
        <w:rPr>
          <w:sz w:val="20"/>
          <w:szCs w:val="20"/>
          <w:color w:val="auto"/>
        </w:rPr>
      </w:pPr>
      <w:r>
        <w:rPr>
          <w:rFonts w:ascii="Arial" w:cs="Arial" w:eastAsia="Arial" w:hAnsi="Arial"/>
          <w:sz w:val="20"/>
          <w:szCs w:val="20"/>
          <w:color w:val="auto"/>
        </w:rPr>
        <w:t>[In the following Alternative Currency:</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-14605</wp:posOffset>
            </wp:positionV>
            <wp:extent cx="5448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4830" cy="8890"/>
                    </a:xfrm>
                    <a:prstGeom prst="rect">
                      <a:avLst/>
                    </a:prstGeom>
                    <a:noFill/>
                  </pic:spPr>
                </pic:pic>
              </a:graphicData>
            </a:graphic>
          </wp:anchor>
        </w:drawing>
      </w:r>
    </w:p>
    <w:p>
      <w:pPr>
        <w:spacing w:after="0" w:line="22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Applicable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-14605</wp:posOffset>
            </wp:positionV>
            <wp:extent cx="3771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Base Rate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-14605</wp:posOffset>
            </wp:positionV>
            <wp:extent cx="3771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Optional prepayment of Domestic Swing Line Loans in the following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514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080" w:type="dxa"/>
            <w:vAlign w:val="bottom"/>
            <w:gridSpan w:val="2"/>
          </w:tcPr>
          <w:p>
            <w:pPr>
              <w:ind w:left="640"/>
              <w:spacing w:after="0"/>
              <w:rPr>
                <w:sz w:val="20"/>
                <w:szCs w:val="20"/>
                <w:color w:val="auto"/>
              </w:rPr>
            </w:pPr>
            <w:r>
              <w:rPr>
                <w:rFonts w:ascii="Arial" w:cs="Arial" w:eastAsia="Arial" w:hAnsi="Arial"/>
                <w:sz w:val="20"/>
                <w:szCs w:val="20"/>
                <w:color w:val="auto"/>
              </w:rPr>
              <w:t>Optional prepayment of Foreign Swing Line Loans in the following amount: $</w:t>
            </w:r>
          </w:p>
        </w:tc>
        <w:tc>
          <w:tcPr>
            <w:tcW w:w="2680" w:type="dxa"/>
            <w:vAlign w:val="bottom"/>
          </w:tcPr>
          <w:p>
            <w:pPr>
              <w:ind w:left="100"/>
              <w:spacing w:after="0"/>
              <w:rPr>
                <w:sz w:val="20"/>
                <w:szCs w:val="20"/>
                <w:color w:val="auto"/>
              </w:rPr>
            </w:pPr>
            <w:r>
              <w:rPr>
                <w:rFonts w:ascii="Arial" w:cs="Arial" w:eastAsia="Arial" w:hAnsi="Arial"/>
                <w:sz w:val="20"/>
                <w:szCs w:val="20"/>
                <w:color w:val="auto"/>
                <w:w w:val="98"/>
              </w:rPr>
              <w:t>and in the following currency:</w:t>
            </w:r>
          </w:p>
        </w:tc>
      </w:tr>
      <w:tr>
        <w:trPr>
          <w:trHeight w:val="281"/>
        </w:trPr>
        <w:tc>
          <w:tcPr>
            <w:tcW w:w="7340" w:type="dxa"/>
            <w:vAlign w:val="bottom"/>
          </w:tcPr>
          <w:p>
            <w:pPr>
              <w:jc w:val="right"/>
              <w:ind w:right="5701"/>
              <w:spacing w:after="0"/>
              <w:rPr>
                <w:sz w:val="20"/>
                <w:szCs w:val="20"/>
                <w:color w:val="auto"/>
              </w:rPr>
            </w:pPr>
            <w:r>
              <w:rPr>
                <w:rFonts w:ascii="Arial" w:cs="Arial" w:eastAsia="Arial" w:hAnsi="Arial"/>
                <w:sz w:val="20"/>
                <w:szCs w:val="20"/>
                <w:color w:val="auto"/>
                <w:w w:val="88"/>
              </w:rPr>
              <w:t>_______________.</w:t>
            </w:r>
          </w:p>
        </w:tc>
        <w:tc>
          <w:tcPr>
            <w:tcW w:w="74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420"/>
          </w:cols>
          <w:pgMar w:left="240" w:top="733" w:right="239" w:bottom="1440" w:gutter="0" w:footer="0" w:header="0"/>
        </w:sectPr>
      </w:pPr>
    </w:p>
    <w:bookmarkStart w:id="113" w:name="page114"/>
    <w:bookmarkEnd w:id="113"/>
    <w:p>
      <w:pPr>
        <w:ind w:left="4160"/>
        <w:spacing w:after="0"/>
        <w:rPr>
          <w:sz w:val="20"/>
          <w:szCs w:val="20"/>
          <w:color w:val="auto"/>
        </w:rPr>
      </w:pPr>
      <w:r>
        <w:rPr>
          <w:rFonts w:ascii="Arial" w:cs="Arial" w:eastAsia="Arial" w:hAnsi="Arial"/>
          <w:sz w:val="20"/>
          <w:szCs w:val="20"/>
          <w:color w:val="auto"/>
        </w:rPr>
        <w:t>Annex A</w:t>
      </w:r>
    </w:p>
    <w:p>
      <w:pPr>
        <w:spacing w:after="0" w:line="39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[BORROWER NAME],</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[Jurisdiction and Type of Organization]</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7543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-24765</wp:posOffset>
            </wp:positionV>
            <wp:extent cx="7543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-24765</wp:posOffset>
            </wp:positionV>
            <wp:extent cx="7543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Deal: 33903RAL3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Revolver A: 33903RAM1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Revolver B: 33903RAU3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Revolver C: 33903RAN9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A Loan: 33903RAP4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B-3 Loan: 33903RAV1</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CREDIT AGREEMENT</w:t>
      </w:r>
    </w:p>
    <w:p>
      <w:pPr>
        <w:spacing w:after="0" w:line="9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Dated as of October 24, 2014</w:t>
      </w:r>
    </w:p>
    <w:p>
      <w:pPr>
        <w:spacing w:after="0" w:line="108"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108"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FLEETCOR TECHNOLOGIES OPERATING COMPANY, LLC,</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as a Borrower and as a Guarantor,</w:t>
      </w:r>
    </w:p>
    <w:p>
      <w:pPr>
        <w:spacing w:after="0" w:line="92"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FLEETCOR TECHNOLOGIES, INC.,</w:t>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as the Parent and as a Guarantor,</w:t>
      </w:r>
    </w:p>
    <w:p>
      <w:pPr>
        <w:spacing w:after="0" w:line="92"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CERTAIN FOREIGN SUBSIDIARIES OF THE PARENT,</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Designated Borrowers,</w:t>
      </w:r>
    </w:p>
    <w:p>
      <w:pPr>
        <w:spacing w:after="0" w:line="92"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THE ADDITIONAL BORROWER, TO THE EXTENT THE ADDITIONAL</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BORROWER BECOMES A BORROWER HEREUNDER,</w:t>
      </w:r>
    </w:p>
    <w:p>
      <w:pPr>
        <w:spacing w:after="0" w:line="9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as Administrative Agent, Swing Line Lender and L/C Issuer,</w:t>
      </w:r>
    </w:p>
    <w:p>
      <w:pPr>
        <w:spacing w:after="0" w:line="9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PNC CAPITAL MARKETS,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line="230" w:lineRule="exact"/>
        <w:rPr>
          <w:sz w:val="20"/>
          <w:szCs w:val="20"/>
          <w:color w:val="auto"/>
        </w:rPr>
      </w:pPr>
      <w:r>
        <w:rPr>
          <w:rFonts w:ascii="Arial" w:cs="Arial" w:eastAsia="Arial" w:hAnsi="Arial"/>
          <w:sz w:val="20"/>
          <w:szCs w:val="20"/>
          <w:color w:val="auto"/>
        </w:rPr>
        <w:t>THE BANK OF TOKYO</w:t>
      </w:r>
      <w:r>
        <w:rPr>
          <w:rFonts w:ascii="MS PGothic" w:cs="MS PGothic" w:eastAsia="MS PGothic" w:hAnsi="MS PGothic"/>
          <w:sz w:val="20"/>
          <w:szCs w:val="20"/>
          <w:color w:val="auto"/>
        </w:rPr>
        <w:t>‑</w:t>
      </w:r>
      <w:r>
        <w:rPr>
          <w:rFonts w:ascii="Arial" w:cs="Arial" w:eastAsia="Arial" w:hAnsi="Arial"/>
          <w:sz w:val="20"/>
          <w:szCs w:val="20"/>
          <w:color w:val="auto"/>
        </w:rPr>
        <w:t>MITSUBISHI UFJ, LTD.,</w:t>
      </w:r>
    </w:p>
    <w:p>
      <w:pPr>
        <w:jc w:val="center"/>
        <w:ind w:right="1200"/>
        <w:spacing w:after="0" w:line="230" w:lineRule="exact"/>
        <w:rPr>
          <w:sz w:val="20"/>
          <w:szCs w:val="20"/>
          <w:color w:val="auto"/>
        </w:rPr>
      </w:pPr>
      <w:r>
        <w:rPr>
          <w:rFonts w:ascii="Arial" w:cs="Arial" w:eastAsia="Arial" w:hAnsi="Arial"/>
          <w:sz w:val="20"/>
          <w:szCs w:val="20"/>
          <w:color w:val="auto"/>
        </w:rPr>
        <w:t>as Co</w:t>
      </w:r>
      <w:r>
        <w:rPr>
          <w:rFonts w:ascii="MS PGothic" w:cs="MS PGothic" w:eastAsia="MS PGothic" w:hAnsi="MS PGothic"/>
          <w:sz w:val="20"/>
          <w:szCs w:val="20"/>
          <w:color w:val="auto"/>
        </w:rPr>
        <w:t>‑</w:t>
      </w:r>
      <w:r>
        <w:rPr>
          <w:rFonts w:ascii="Arial" w:cs="Arial" w:eastAsia="Arial" w:hAnsi="Arial"/>
          <w:sz w:val="20"/>
          <w:szCs w:val="20"/>
          <w:color w:val="auto"/>
        </w:rPr>
        <w:t>Syndication Agents,</w:t>
      </w:r>
    </w:p>
    <w:p>
      <w:pPr>
        <w:spacing w:after="0" w:line="9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TD BANK, N.A.,</w:t>
      </w:r>
    </w:p>
    <w:p>
      <w:pPr>
        <w:jc w:val="center"/>
        <w:ind w:right="1200"/>
        <w:spacing w:after="0"/>
        <w:rPr>
          <w:sz w:val="20"/>
          <w:szCs w:val="20"/>
          <w:color w:val="auto"/>
        </w:rPr>
      </w:pPr>
      <w:r>
        <w:rPr>
          <w:rFonts w:ascii="Arial" w:cs="Arial" w:eastAsia="Arial" w:hAnsi="Arial"/>
          <w:sz w:val="20"/>
          <w:szCs w:val="20"/>
          <w:color w:val="auto"/>
        </w:rPr>
        <w:t>REGIONS BANK,</w:t>
      </w:r>
    </w:p>
    <w:p>
      <w:pPr>
        <w:jc w:val="center"/>
        <w:ind w:right="1200"/>
        <w:spacing w:after="0"/>
        <w:rPr>
          <w:sz w:val="20"/>
          <w:szCs w:val="20"/>
          <w:color w:val="auto"/>
        </w:rPr>
      </w:pPr>
      <w:r>
        <w:rPr>
          <w:rFonts w:ascii="Arial" w:cs="Arial" w:eastAsia="Arial" w:hAnsi="Arial"/>
          <w:sz w:val="20"/>
          <w:szCs w:val="20"/>
          <w:color w:val="auto"/>
        </w:rPr>
        <w:t>SUMITOMO MITSUI BANKING CORPORATION,</w:t>
      </w:r>
    </w:p>
    <w:p>
      <w:pPr>
        <w:jc w:val="center"/>
        <w:ind w:right="1200"/>
        <w:spacing w:after="0"/>
        <w:rPr>
          <w:sz w:val="20"/>
          <w:szCs w:val="20"/>
          <w:color w:val="auto"/>
        </w:rPr>
      </w:pPr>
      <w:r>
        <w:rPr>
          <w:rFonts w:ascii="Arial" w:cs="Arial" w:eastAsia="Arial" w:hAnsi="Arial"/>
          <w:sz w:val="20"/>
          <w:szCs w:val="20"/>
          <w:color w:val="auto"/>
        </w:rPr>
        <w:t>CRÉDIT AGRICOLE CORPORATE AND INVESTMENT BANK,</w:t>
      </w:r>
    </w:p>
    <w:p>
      <w:pPr>
        <w:jc w:val="center"/>
        <w:ind w:right="1200"/>
        <w:spacing w:after="0"/>
        <w:rPr>
          <w:sz w:val="20"/>
          <w:szCs w:val="20"/>
          <w:color w:val="auto"/>
        </w:rPr>
      </w:pPr>
      <w:r>
        <w:rPr>
          <w:rFonts w:ascii="Arial" w:cs="Arial" w:eastAsia="Arial" w:hAnsi="Arial"/>
          <w:sz w:val="20"/>
          <w:szCs w:val="20"/>
          <w:color w:val="auto"/>
        </w:rPr>
        <w:t>MIZUHO BANK, LTD.,</w:t>
      </w:r>
    </w:p>
    <w:p>
      <w:pPr>
        <w:jc w:val="center"/>
        <w:ind w:right="1200"/>
        <w:spacing w:after="0"/>
        <w:rPr>
          <w:sz w:val="20"/>
          <w:szCs w:val="20"/>
          <w:color w:val="auto"/>
        </w:rPr>
      </w:pPr>
      <w:r>
        <w:rPr>
          <w:rFonts w:ascii="Arial" w:cs="Arial" w:eastAsia="Arial" w:hAnsi="Arial"/>
          <w:sz w:val="20"/>
          <w:szCs w:val="20"/>
          <w:color w:val="auto"/>
        </w:rPr>
        <w:t>THE BANK OF NOVA SCOTIA</w:t>
      </w:r>
    </w:p>
    <w:p>
      <w:pPr>
        <w:jc w:val="center"/>
        <w:ind w:right="1200"/>
        <w:spacing w:after="0"/>
        <w:rPr>
          <w:sz w:val="20"/>
          <w:szCs w:val="20"/>
          <w:color w:val="auto"/>
        </w:rPr>
      </w:pPr>
      <w:r>
        <w:rPr>
          <w:rFonts w:ascii="Arial" w:cs="Arial" w:eastAsia="Arial" w:hAnsi="Arial"/>
          <w:sz w:val="20"/>
          <w:szCs w:val="20"/>
          <w:color w:val="auto"/>
        </w:rPr>
        <w:t>and</w:t>
      </w:r>
    </w:p>
    <w:p>
      <w:pPr>
        <w:jc w:val="center"/>
        <w:ind w:right="1200"/>
        <w:spacing w:after="0"/>
        <w:rPr>
          <w:sz w:val="20"/>
          <w:szCs w:val="20"/>
          <w:color w:val="auto"/>
        </w:rPr>
      </w:pPr>
      <w:r>
        <w:rPr>
          <w:rFonts w:ascii="Arial" w:cs="Arial" w:eastAsia="Arial" w:hAnsi="Arial"/>
          <w:sz w:val="20"/>
          <w:szCs w:val="20"/>
          <w:color w:val="auto"/>
        </w:rPr>
        <w:t>FIFTH THIRD BANK,</w:t>
      </w:r>
    </w:p>
    <w:p>
      <w:pPr>
        <w:jc w:val="center"/>
        <w:ind w:right="1200"/>
        <w:spacing w:after="0" w:line="230" w:lineRule="exact"/>
        <w:rPr>
          <w:sz w:val="20"/>
          <w:szCs w:val="20"/>
          <w:color w:val="auto"/>
        </w:rPr>
      </w:pPr>
      <w:r>
        <w:rPr>
          <w:rFonts w:ascii="Arial" w:cs="Arial" w:eastAsia="Arial" w:hAnsi="Arial"/>
          <w:sz w:val="20"/>
          <w:szCs w:val="20"/>
          <w:color w:val="auto"/>
        </w:rPr>
        <w:t>as Co</w:t>
      </w:r>
      <w:r>
        <w:rPr>
          <w:rFonts w:ascii="MS PGothic" w:cs="MS PGothic" w:eastAsia="MS PGothic" w:hAnsi="MS PGothic"/>
          <w:sz w:val="20"/>
          <w:szCs w:val="20"/>
          <w:color w:val="auto"/>
        </w:rPr>
        <w:t>‑</w:t>
      </w:r>
      <w:r>
        <w:rPr>
          <w:rFonts w:ascii="Arial" w:cs="Arial" w:eastAsia="Arial" w:hAnsi="Arial"/>
          <w:sz w:val="20"/>
          <w:szCs w:val="20"/>
          <w:color w:val="auto"/>
        </w:rPr>
        <w:t>Documentation Agents,</w:t>
      </w:r>
    </w:p>
    <w:p>
      <w:pPr>
        <w:spacing w:after="0" w:line="9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BARCLAYS BANK PLC,</w:t>
      </w:r>
    </w:p>
    <w:p>
      <w:pPr>
        <w:jc w:val="center"/>
        <w:ind w:right="1200"/>
        <w:spacing w:after="0"/>
        <w:rPr>
          <w:sz w:val="20"/>
          <w:szCs w:val="20"/>
          <w:color w:val="auto"/>
        </w:rPr>
      </w:pPr>
      <w:r>
        <w:rPr>
          <w:rFonts w:ascii="Arial" w:cs="Arial" w:eastAsia="Arial" w:hAnsi="Arial"/>
          <w:sz w:val="20"/>
          <w:szCs w:val="20"/>
          <w:color w:val="auto"/>
        </w:rPr>
        <w:t>CAPITAL ONE BANK, N.A.</w:t>
      </w:r>
    </w:p>
    <w:p>
      <w:pPr>
        <w:sectPr>
          <w:pgSz w:w="11900" w:h="16838" w:orient="portrait"/>
          <w:cols w:equalWidth="0" w:num="1">
            <w:col w:w="10220"/>
          </w:cols>
          <w:pgMar w:left="1440" w:top="136"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color w:val="auto"/>
        </w:rPr>
        <w:t>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ROYAL BANK OF CANADA,</w:t>
      </w:r>
    </w:p>
    <w:p>
      <w:pPr>
        <w:jc w:val="center"/>
        <w:spacing w:after="0"/>
        <w:rPr>
          <w:sz w:val="20"/>
          <w:szCs w:val="20"/>
          <w:color w:val="auto"/>
        </w:rPr>
      </w:pPr>
      <w:r>
        <w:rPr>
          <w:rFonts w:ascii="Arial" w:cs="Arial" w:eastAsia="Arial" w:hAnsi="Arial"/>
          <w:sz w:val="20"/>
          <w:szCs w:val="20"/>
          <w:color w:val="auto"/>
        </w:rPr>
        <w:t>as Co-Managing Agents</w:t>
      </w:r>
    </w:p>
    <w:p>
      <w:pPr>
        <w:spacing w:after="0" w:line="92"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and</w:t>
      </w:r>
    </w:p>
    <w:p>
      <w:pPr>
        <w:spacing w:after="0" w:line="10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THE OTHER LENDERS PARTY HERETO</w:t>
      </w:r>
    </w:p>
    <w:p>
      <w:pPr>
        <w:spacing w:after="0" w:line="108"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MERRILL LYNCH, PIERCE, FENNER &amp; SMITH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PNC CAPITAL MARKETS, LLC</w:t>
      </w:r>
    </w:p>
    <w:p>
      <w:pPr>
        <w:jc w:val="center"/>
        <w:spacing w:after="0"/>
        <w:rPr>
          <w:sz w:val="20"/>
          <w:szCs w:val="20"/>
          <w:color w:val="auto"/>
        </w:rPr>
      </w:pPr>
      <w:r>
        <w:rPr>
          <w:rFonts w:ascii="Arial" w:cs="Arial" w:eastAsia="Arial" w:hAnsi="Arial"/>
          <w:sz w:val="20"/>
          <w:szCs w:val="20"/>
          <w:color w:val="auto"/>
        </w:rPr>
        <w:t>and</w:t>
      </w:r>
    </w:p>
    <w:p>
      <w:pPr>
        <w:jc w:val="center"/>
        <w:spacing w:after="0" w:line="230" w:lineRule="exact"/>
        <w:rPr>
          <w:sz w:val="20"/>
          <w:szCs w:val="20"/>
          <w:color w:val="auto"/>
        </w:rPr>
      </w:pPr>
      <w:r>
        <w:rPr>
          <w:rFonts w:ascii="Arial" w:cs="Arial" w:eastAsia="Arial" w:hAnsi="Arial"/>
          <w:sz w:val="20"/>
          <w:szCs w:val="20"/>
          <w:color w:val="auto"/>
        </w:rPr>
        <w:t>THE BANK OF TOKYO</w:t>
      </w:r>
      <w:r>
        <w:rPr>
          <w:rFonts w:ascii="MS PGothic" w:cs="MS PGothic" w:eastAsia="MS PGothic" w:hAnsi="MS PGothic"/>
          <w:sz w:val="20"/>
          <w:szCs w:val="20"/>
          <w:color w:val="auto"/>
        </w:rPr>
        <w:t>‑</w:t>
      </w:r>
      <w:r>
        <w:rPr>
          <w:rFonts w:ascii="Arial" w:cs="Arial" w:eastAsia="Arial" w:hAnsi="Arial"/>
          <w:sz w:val="20"/>
          <w:szCs w:val="20"/>
          <w:color w:val="auto"/>
        </w:rPr>
        <w:t>MITSUBISHI UFJ, LTD.,</w:t>
      </w:r>
    </w:p>
    <w:p>
      <w:pPr>
        <w:jc w:val="center"/>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9019"/>
          </w:cols>
          <w:pgMar w:left="1440" w:top="757"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50"/>
        </w:trPr>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20" w:type="dxa"/>
            <w:vAlign w:val="bottom"/>
            <w:gridSpan w:val="7"/>
          </w:tcPr>
          <w:p>
            <w:pPr>
              <w:ind w:left="320"/>
              <w:spacing w:after="0"/>
              <w:rPr>
                <w:sz w:val="20"/>
                <w:szCs w:val="20"/>
                <w:color w:val="auto"/>
              </w:rPr>
            </w:pPr>
            <w:r>
              <w:rPr>
                <w:rFonts w:ascii="Arial" w:cs="Arial" w:eastAsia="Arial" w:hAnsi="Arial"/>
                <w:sz w:val="20"/>
                <w:szCs w:val="20"/>
                <w:color w:val="auto"/>
              </w:rPr>
              <w:t>TABLE OF CONTENTS</w:t>
            </w:r>
          </w:p>
        </w:tc>
      </w:tr>
      <w:tr>
        <w:trPr>
          <w:trHeight w:val="401"/>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60" w:type="dxa"/>
            <w:vAlign w:val="bottom"/>
            <w:gridSpan w:val="2"/>
          </w:tcPr>
          <w:p>
            <w:pPr>
              <w:ind w:left="3480"/>
              <w:spacing w:after="0"/>
              <w:rPr>
                <w:sz w:val="20"/>
                <w:szCs w:val="20"/>
                <w:color w:val="auto"/>
              </w:rPr>
            </w:pPr>
            <w:r>
              <w:rPr>
                <w:rFonts w:ascii="Arial" w:cs="Arial" w:eastAsia="Arial" w:hAnsi="Arial"/>
                <w:sz w:val="20"/>
                <w:szCs w:val="20"/>
                <w:color w:val="auto"/>
                <w:w w:val="76"/>
              </w:rPr>
              <w:t>Page</w:t>
            </w:r>
          </w:p>
        </w:tc>
      </w:tr>
      <w:tr>
        <w:trPr>
          <w:trHeight w:val="484"/>
        </w:trPr>
        <w:tc>
          <w:tcPr>
            <w:tcW w:w="5720" w:type="dxa"/>
            <w:vAlign w:val="bottom"/>
            <w:gridSpan w:val="25"/>
          </w:tcPr>
          <w:p>
            <w:pPr>
              <w:spacing w:after="0"/>
              <w:rPr>
                <w:sz w:val="20"/>
                <w:szCs w:val="20"/>
                <w:color w:val="auto"/>
              </w:rPr>
            </w:pPr>
            <w:r>
              <w:rPr>
                <w:rFonts w:ascii="Arial" w:cs="Arial" w:eastAsia="Arial" w:hAnsi="Arial"/>
                <w:sz w:val="20"/>
                <w:szCs w:val="20"/>
                <w:color w:val="auto"/>
              </w:rPr>
              <w:t>ARTICLE I. DEFINITIONS AND ACCOUNTING TERMS  1</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1.01</w:t>
            </w:r>
          </w:p>
        </w:tc>
        <w:tc>
          <w:tcPr>
            <w:tcW w:w="1320" w:type="dxa"/>
            <w:vAlign w:val="bottom"/>
            <w:gridSpan w:val="8"/>
          </w:tcPr>
          <w:p>
            <w:pPr>
              <w:spacing w:after="0"/>
              <w:rPr>
                <w:sz w:val="20"/>
                <w:szCs w:val="20"/>
                <w:color w:val="auto"/>
              </w:rPr>
            </w:pPr>
            <w:r>
              <w:rPr>
                <w:rFonts w:ascii="Arial" w:cs="Arial" w:eastAsia="Arial" w:hAnsi="Arial"/>
                <w:sz w:val="20"/>
                <w:szCs w:val="20"/>
                <w:color w:val="auto"/>
                <w:w w:val="99"/>
              </w:rPr>
              <w:t>Defined Terms</w:t>
            </w:r>
          </w:p>
        </w:tc>
        <w:tc>
          <w:tcPr>
            <w:tcW w:w="280" w:type="dxa"/>
            <w:vAlign w:val="bottom"/>
            <w:gridSpan w:val="4"/>
          </w:tcPr>
          <w:p>
            <w:pPr>
              <w:jc w:val="right"/>
              <w:ind w:right="120"/>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1.02</w:t>
            </w:r>
          </w:p>
        </w:tc>
        <w:tc>
          <w:tcPr>
            <w:tcW w:w="2740" w:type="dxa"/>
            <w:vAlign w:val="bottom"/>
            <w:gridSpan w:val="20"/>
          </w:tcPr>
          <w:p>
            <w:pPr>
              <w:spacing w:after="0"/>
              <w:rPr>
                <w:sz w:val="20"/>
                <w:szCs w:val="20"/>
                <w:color w:val="auto"/>
              </w:rPr>
            </w:pPr>
            <w:r>
              <w:rPr>
                <w:rFonts w:ascii="Arial" w:cs="Arial" w:eastAsia="Arial" w:hAnsi="Arial"/>
                <w:sz w:val="20"/>
                <w:szCs w:val="20"/>
                <w:color w:val="auto"/>
                <w:w w:val="94"/>
              </w:rPr>
              <w:t>Other Interpretive Provisions  40</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1.03</w:t>
            </w:r>
          </w:p>
        </w:tc>
        <w:tc>
          <w:tcPr>
            <w:tcW w:w="1660" w:type="dxa"/>
            <w:vAlign w:val="bottom"/>
            <w:tcBorders>
              <w:top w:val="single" w:sz="8" w:color="auto"/>
            </w:tcBorders>
            <w:gridSpan w:val="14"/>
          </w:tcPr>
          <w:p>
            <w:pPr>
              <w:spacing w:after="0"/>
              <w:rPr>
                <w:sz w:val="20"/>
                <w:szCs w:val="20"/>
                <w:color w:val="auto"/>
              </w:rPr>
            </w:pPr>
            <w:r>
              <w:rPr>
                <w:rFonts w:ascii="Arial" w:cs="Arial" w:eastAsia="Arial" w:hAnsi="Arial"/>
                <w:sz w:val="20"/>
                <w:szCs w:val="20"/>
                <w:color w:val="auto"/>
              </w:rPr>
              <w:t>Accounting Terms</w:t>
            </w:r>
          </w:p>
        </w:tc>
        <w:tc>
          <w:tcPr>
            <w:tcW w:w="3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20"/>
                <w:szCs w:val="20"/>
                <w:color w:val="auto"/>
                <w:w w:val="80"/>
              </w:rPr>
              <w:t>40</w:t>
            </w:r>
          </w:p>
        </w:tc>
        <w:tc>
          <w:tcPr>
            <w:tcW w:w="3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1.04</w:t>
            </w:r>
          </w:p>
        </w:tc>
        <w:tc>
          <w:tcPr>
            <w:tcW w:w="80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w w:val="91"/>
              </w:rPr>
              <w:t>Rounding</w:t>
            </w: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41</w:t>
            </w: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1.05</w:t>
            </w:r>
          </w:p>
        </w:tc>
        <w:tc>
          <w:tcPr>
            <w:tcW w:w="4420" w:type="dxa"/>
            <w:vAlign w:val="bottom"/>
            <w:gridSpan w:val="24"/>
          </w:tcPr>
          <w:p>
            <w:pPr>
              <w:spacing w:after="0"/>
              <w:rPr>
                <w:sz w:val="20"/>
                <w:szCs w:val="20"/>
                <w:color w:val="auto"/>
              </w:rPr>
            </w:pPr>
            <w:r>
              <w:rPr>
                <w:rFonts w:ascii="Arial" w:cs="Arial" w:eastAsia="Arial" w:hAnsi="Arial"/>
                <w:sz w:val="20"/>
                <w:szCs w:val="20"/>
                <w:color w:val="auto"/>
              </w:rPr>
              <w:t>Exchange Rates; Currency Equivalents  41</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1.06</w:t>
            </w:r>
          </w:p>
        </w:tc>
        <w:tc>
          <w:tcPr>
            <w:tcW w:w="2740" w:type="dxa"/>
            <w:vAlign w:val="bottom"/>
            <w:tcBorders>
              <w:top w:val="single" w:sz="8" w:color="auto"/>
            </w:tcBorders>
            <w:gridSpan w:val="20"/>
          </w:tcPr>
          <w:p>
            <w:pPr>
              <w:spacing w:after="0"/>
              <w:rPr>
                <w:sz w:val="20"/>
                <w:szCs w:val="20"/>
                <w:color w:val="auto"/>
              </w:rPr>
            </w:pPr>
            <w:r>
              <w:rPr>
                <w:rFonts w:ascii="Arial" w:cs="Arial" w:eastAsia="Arial" w:hAnsi="Arial"/>
                <w:sz w:val="20"/>
                <w:szCs w:val="20"/>
                <w:color w:val="auto"/>
                <w:w w:val="93"/>
              </w:rPr>
              <w:t>Additional Alternative Currencies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1.07</w:t>
            </w:r>
          </w:p>
        </w:tc>
        <w:tc>
          <w:tcPr>
            <w:tcW w:w="1660" w:type="dxa"/>
            <w:vAlign w:val="bottom"/>
            <w:tcBorders>
              <w:top w:val="single" w:sz="8" w:color="auto"/>
            </w:tcBorders>
            <w:gridSpan w:val="14"/>
          </w:tcPr>
          <w:p>
            <w:pPr>
              <w:spacing w:after="0"/>
              <w:rPr>
                <w:sz w:val="20"/>
                <w:szCs w:val="20"/>
                <w:color w:val="auto"/>
              </w:rPr>
            </w:pPr>
            <w:r>
              <w:rPr>
                <w:rFonts w:ascii="Arial" w:cs="Arial" w:eastAsia="Arial" w:hAnsi="Arial"/>
                <w:sz w:val="20"/>
                <w:szCs w:val="20"/>
                <w:color w:val="auto"/>
                <w:w w:val="91"/>
              </w:rPr>
              <w:t>Change of Currency</w:t>
            </w:r>
          </w:p>
        </w:tc>
        <w:tc>
          <w:tcPr>
            <w:tcW w:w="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43</w:t>
            </w: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1.08</w:t>
            </w:r>
          </w:p>
        </w:tc>
        <w:tc>
          <w:tcPr>
            <w:tcW w:w="1640" w:type="dxa"/>
            <w:vAlign w:val="bottom"/>
            <w:tcBorders>
              <w:bottom w:val="single" w:sz="8" w:color="auto"/>
            </w:tcBorders>
            <w:gridSpan w:val="13"/>
          </w:tcPr>
          <w:p>
            <w:pPr>
              <w:spacing w:after="0"/>
              <w:rPr>
                <w:sz w:val="20"/>
                <w:szCs w:val="20"/>
                <w:color w:val="auto"/>
              </w:rPr>
            </w:pPr>
            <w:r>
              <w:rPr>
                <w:rFonts w:ascii="Arial" w:cs="Arial" w:eastAsia="Arial" w:hAnsi="Arial"/>
                <w:sz w:val="20"/>
                <w:szCs w:val="20"/>
                <w:color w:val="auto"/>
                <w:w w:val="89"/>
              </w:rPr>
              <w:t>Times of Day; Rates</w:t>
            </w:r>
          </w:p>
        </w:tc>
        <w:tc>
          <w:tcPr>
            <w:tcW w:w="20" w:type="dxa"/>
            <w:vAlign w:val="bottom"/>
          </w:tcPr>
          <w:p>
            <w:pPr>
              <w:spacing w:after="0"/>
              <w:rPr>
                <w:sz w:val="24"/>
                <w:szCs w:val="24"/>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20"/>
                <w:szCs w:val="20"/>
                <w:color w:val="auto"/>
              </w:rPr>
              <w:t>43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1.09</w:t>
            </w:r>
          </w:p>
        </w:tc>
        <w:tc>
          <w:tcPr>
            <w:tcW w:w="2740" w:type="dxa"/>
            <w:vAlign w:val="bottom"/>
            <w:gridSpan w:val="20"/>
          </w:tcPr>
          <w:p>
            <w:pPr>
              <w:spacing w:after="0"/>
              <w:rPr>
                <w:sz w:val="20"/>
                <w:szCs w:val="20"/>
                <w:color w:val="auto"/>
              </w:rPr>
            </w:pPr>
            <w:r>
              <w:rPr>
                <w:rFonts w:ascii="Arial" w:cs="Arial" w:eastAsia="Arial" w:hAnsi="Arial"/>
                <w:sz w:val="20"/>
                <w:szCs w:val="20"/>
                <w:color w:val="auto"/>
              </w:rPr>
              <w:t>Letter of Credit Amounts  43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632"/>
        </w:trPr>
        <w:tc>
          <w:tcPr>
            <w:tcW w:w="5720" w:type="dxa"/>
            <w:vAlign w:val="bottom"/>
            <w:gridSpan w:val="25"/>
          </w:tcPr>
          <w:p>
            <w:pPr>
              <w:spacing w:after="0"/>
              <w:rPr>
                <w:sz w:val="20"/>
                <w:szCs w:val="20"/>
                <w:color w:val="auto"/>
              </w:rPr>
            </w:pPr>
            <w:r>
              <w:rPr>
                <w:rFonts w:ascii="Arial" w:cs="Arial" w:eastAsia="Arial" w:hAnsi="Arial"/>
                <w:sz w:val="20"/>
                <w:szCs w:val="20"/>
                <w:color w:val="auto"/>
                <w:w w:val="99"/>
              </w:rPr>
              <w:t>ARTICLE II. THE COMMITMENTS AND CREDIT EXTENSIONS</w:t>
            </w:r>
          </w:p>
        </w:tc>
        <w:tc>
          <w:tcPr>
            <w:tcW w:w="760" w:type="dxa"/>
            <w:vAlign w:val="bottom"/>
          </w:tcPr>
          <w:p>
            <w:pPr>
              <w:jc w:val="right"/>
              <w:ind w:right="441"/>
              <w:spacing w:after="0"/>
              <w:rPr>
                <w:sz w:val="20"/>
                <w:szCs w:val="20"/>
                <w:color w:val="auto"/>
              </w:rPr>
            </w:pPr>
            <w:r>
              <w:rPr>
                <w:rFonts w:ascii="Arial" w:cs="Arial" w:eastAsia="Arial" w:hAnsi="Arial"/>
                <w:sz w:val="20"/>
                <w:szCs w:val="20"/>
                <w:color w:val="auto"/>
                <w:w w:val="89"/>
              </w:rPr>
              <w:t>43</w:t>
            </w: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2.01</w:t>
            </w:r>
          </w:p>
        </w:tc>
        <w:tc>
          <w:tcPr>
            <w:tcW w:w="1320" w:type="dxa"/>
            <w:vAlign w:val="bottom"/>
            <w:gridSpan w:val="8"/>
          </w:tcPr>
          <w:p>
            <w:pPr>
              <w:spacing w:after="0"/>
              <w:rPr>
                <w:sz w:val="20"/>
                <w:szCs w:val="20"/>
                <w:color w:val="auto"/>
              </w:rPr>
            </w:pPr>
            <w:r>
              <w:rPr>
                <w:rFonts w:ascii="Arial" w:cs="Arial" w:eastAsia="Arial" w:hAnsi="Arial"/>
                <w:sz w:val="20"/>
                <w:szCs w:val="20"/>
                <w:color w:val="auto"/>
              </w:rPr>
              <w:t>Commitments</w:t>
            </w:r>
          </w:p>
        </w:tc>
        <w:tc>
          <w:tcPr>
            <w:tcW w:w="280" w:type="dxa"/>
            <w:vAlign w:val="bottom"/>
            <w:gridSpan w:val="4"/>
          </w:tcPr>
          <w:p>
            <w:pPr>
              <w:jc w:val="right"/>
              <w:ind w:right="80"/>
              <w:spacing w:after="0"/>
              <w:rPr>
                <w:sz w:val="20"/>
                <w:szCs w:val="20"/>
                <w:color w:val="auto"/>
              </w:rPr>
            </w:pPr>
            <w:r>
              <w:rPr>
                <w:rFonts w:ascii="Arial" w:cs="Arial" w:eastAsia="Arial" w:hAnsi="Arial"/>
                <w:sz w:val="20"/>
                <w:szCs w:val="20"/>
                <w:color w:val="auto"/>
                <w:w w:val="80"/>
              </w:rPr>
              <w:t>43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2.02</w:t>
            </w:r>
          </w:p>
        </w:tc>
        <w:tc>
          <w:tcPr>
            <w:tcW w:w="4420" w:type="dxa"/>
            <w:vAlign w:val="bottom"/>
            <w:gridSpan w:val="24"/>
          </w:tcPr>
          <w:p>
            <w:pPr>
              <w:spacing w:after="0"/>
              <w:rPr>
                <w:sz w:val="20"/>
                <w:szCs w:val="20"/>
                <w:color w:val="auto"/>
              </w:rPr>
            </w:pPr>
            <w:r>
              <w:rPr>
                <w:rFonts w:ascii="Arial" w:cs="Arial" w:eastAsia="Arial" w:hAnsi="Arial"/>
                <w:sz w:val="20"/>
                <w:szCs w:val="20"/>
                <w:color w:val="auto"/>
                <w:w w:val="93"/>
              </w:rPr>
              <w:t>Borrowings, Conversions and Continuations of Loans</w:t>
            </w:r>
          </w:p>
        </w:tc>
        <w:tc>
          <w:tcPr>
            <w:tcW w:w="760" w:type="dxa"/>
            <w:vAlign w:val="bottom"/>
          </w:tcPr>
          <w:p>
            <w:pPr>
              <w:jc w:val="right"/>
              <w:ind w:right="421"/>
              <w:spacing w:after="0"/>
              <w:rPr>
                <w:sz w:val="20"/>
                <w:szCs w:val="20"/>
                <w:color w:val="auto"/>
              </w:rPr>
            </w:pPr>
            <w:r>
              <w:rPr>
                <w:rFonts w:ascii="Arial" w:cs="Arial" w:eastAsia="Arial" w:hAnsi="Arial"/>
                <w:sz w:val="20"/>
                <w:szCs w:val="20"/>
                <w:color w:val="auto"/>
                <w:w w:val="98"/>
              </w:rPr>
              <w:t>45</w:t>
            </w: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2.03</w:t>
            </w:r>
          </w:p>
        </w:tc>
        <w:tc>
          <w:tcPr>
            <w:tcW w:w="132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0"/>
                <w:szCs w:val="20"/>
                <w:color w:val="auto"/>
                <w:w w:val="91"/>
              </w:rPr>
              <w:t>Letters of Credit</w:t>
            </w:r>
          </w:p>
        </w:tc>
        <w:tc>
          <w:tcPr>
            <w:tcW w:w="460" w:type="dxa"/>
            <w:vAlign w:val="bottom"/>
            <w:tcBorders>
              <w:top w:val="single" w:sz="8" w:color="auto"/>
            </w:tcBorders>
            <w:gridSpan w:val="7"/>
          </w:tcPr>
          <w:p>
            <w:pPr>
              <w:jc w:val="right"/>
              <w:spacing w:after="0"/>
              <w:rPr>
                <w:sz w:val="20"/>
                <w:szCs w:val="20"/>
                <w:color w:val="auto"/>
              </w:rPr>
            </w:pPr>
            <w:r>
              <w:rPr>
                <w:rFonts w:ascii="Arial" w:cs="Arial" w:eastAsia="Arial" w:hAnsi="Arial"/>
                <w:sz w:val="20"/>
                <w:szCs w:val="20"/>
                <w:color w:val="auto"/>
              </w:rPr>
              <w:t>54</w:t>
            </w: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2.04</w:t>
            </w:r>
          </w:p>
        </w:tc>
        <w:tc>
          <w:tcPr>
            <w:tcW w:w="146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1"/>
              </w:rPr>
              <w:t>Swing Line Loans</w:t>
            </w:r>
          </w:p>
        </w:tc>
        <w:tc>
          <w:tcPr>
            <w:tcW w:w="200" w:type="dxa"/>
            <w:vAlign w:val="bottom"/>
            <w:gridSpan w:val="4"/>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w w:val="80"/>
              </w:rPr>
              <w:t>63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2.05</w:t>
            </w:r>
          </w:p>
        </w:tc>
        <w:tc>
          <w:tcPr>
            <w:tcW w:w="1660" w:type="dxa"/>
            <w:vAlign w:val="bottom"/>
            <w:gridSpan w:val="14"/>
          </w:tcPr>
          <w:p>
            <w:pPr>
              <w:spacing w:after="0"/>
              <w:rPr>
                <w:sz w:val="20"/>
                <w:szCs w:val="20"/>
                <w:color w:val="auto"/>
              </w:rPr>
            </w:pPr>
            <w:r>
              <w:rPr>
                <w:rFonts w:ascii="Arial" w:cs="Arial" w:eastAsia="Arial" w:hAnsi="Arial"/>
                <w:sz w:val="20"/>
                <w:szCs w:val="20"/>
                <w:color w:val="auto"/>
              </w:rPr>
              <w:t>Prepayments  69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2.06</w:t>
            </w:r>
          </w:p>
        </w:tc>
        <w:tc>
          <w:tcPr>
            <w:tcW w:w="10120" w:type="dxa"/>
            <w:vAlign w:val="bottom"/>
            <w:gridSpan w:val="28"/>
          </w:tcPr>
          <w:p>
            <w:pPr>
              <w:spacing w:after="0"/>
              <w:rPr>
                <w:sz w:val="20"/>
                <w:szCs w:val="20"/>
                <w:color w:val="auto"/>
              </w:rPr>
            </w:pPr>
            <w:r>
              <w:rPr>
                <w:rFonts w:ascii="Arial" w:cs="Arial" w:eastAsia="Arial" w:hAnsi="Arial"/>
                <w:sz w:val="20"/>
                <w:szCs w:val="20"/>
                <w:color w:val="auto"/>
              </w:rPr>
              <w:t>Termination or Reduction of Aggregate Revolving Commitments  73</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2.07</w:t>
            </w:r>
          </w:p>
        </w:tc>
        <w:tc>
          <w:tcPr>
            <w:tcW w:w="1660" w:type="dxa"/>
            <w:vAlign w:val="bottom"/>
            <w:tcBorders>
              <w:top w:val="single" w:sz="8" w:color="auto"/>
              <w:bottom w:val="single" w:sz="8" w:color="auto"/>
            </w:tcBorders>
            <w:gridSpan w:val="14"/>
          </w:tcPr>
          <w:p>
            <w:pPr>
              <w:spacing w:after="0"/>
              <w:rPr>
                <w:sz w:val="20"/>
                <w:szCs w:val="20"/>
                <w:color w:val="auto"/>
              </w:rPr>
            </w:pPr>
            <w:r>
              <w:rPr>
                <w:rFonts w:ascii="Arial" w:cs="Arial" w:eastAsia="Arial" w:hAnsi="Arial"/>
                <w:sz w:val="20"/>
                <w:szCs w:val="20"/>
                <w:color w:val="auto"/>
                <w:w w:val="88"/>
              </w:rPr>
              <w:t>Repayment of Loans</w:t>
            </w:r>
          </w:p>
        </w:tc>
        <w:tc>
          <w:tcPr>
            <w:tcW w:w="66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20"/>
                <w:szCs w:val="20"/>
                <w:color w:val="auto"/>
              </w:rPr>
              <w:t>74</w:t>
            </w: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2.08</w:t>
            </w: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6"/>
              </w:rPr>
              <w:t>Interest</w:t>
            </w:r>
          </w:p>
        </w:tc>
        <w:tc>
          <w:tcPr>
            <w:tcW w:w="200" w:type="dxa"/>
            <w:vAlign w:val="bottom"/>
            <w:gridSpan w:val="2"/>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w w:val="80"/>
              </w:rPr>
              <w:t>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2.09</w:t>
            </w:r>
          </w:p>
        </w:tc>
        <w:tc>
          <w:tcPr>
            <w:tcW w:w="800" w:type="dxa"/>
            <w:vAlign w:val="bottom"/>
            <w:gridSpan w:val="4"/>
          </w:tcPr>
          <w:p>
            <w:pPr>
              <w:spacing w:after="0"/>
              <w:rPr>
                <w:sz w:val="20"/>
                <w:szCs w:val="20"/>
                <w:color w:val="auto"/>
              </w:rPr>
            </w:pPr>
            <w:r>
              <w:rPr>
                <w:rFonts w:ascii="Arial" w:cs="Arial" w:eastAsia="Arial" w:hAnsi="Arial"/>
                <w:sz w:val="20"/>
                <w:szCs w:val="20"/>
                <w:color w:val="auto"/>
              </w:rPr>
              <w:t>Fees  76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2.10</w:t>
            </w:r>
          </w:p>
        </w:tc>
        <w:tc>
          <w:tcPr>
            <w:tcW w:w="10120" w:type="dxa"/>
            <w:vAlign w:val="bottom"/>
            <w:gridSpan w:val="28"/>
          </w:tcPr>
          <w:p>
            <w:pPr>
              <w:spacing w:after="0"/>
              <w:rPr>
                <w:sz w:val="20"/>
                <w:szCs w:val="20"/>
                <w:color w:val="auto"/>
              </w:rPr>
            </w:pPr>
            <w:r>
              <w:rPr>
                <w:rFonts w:ascii="Arial" w:cs="Arial" w:eastAsia="Arial" w:hAnsi="Arial"/>
                <w:sz w:val="20"/>
                <w:szCs w:val="20"/>
                <w:color w:val="auto"/>
              </w:rPr>
              <w:t>Computation of Interest and Fees; Retroactive Adjustments of Applicable Rate  77</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2.11</w:t>
            </w:r>
          </w:p>
        </w:tc>
        <w:tc>
          <w:tcPr>
            <w:tcW w:w="2740" w:type="dxa"/>
            <w:vAlign w:val="bottom"/>
            <w:tcBorders>
              <w:top w:val="single" w:sz="8" w:color="auto"/>
            </w:tcBorders>
            <w:gridSpan w:val="20"/>
          </w:tcPr>
          <w:p>
            <w:pPr>
              <w:spacing w:after="0"/>
              <w:rPr>
                <w:sz w:val="20"/>
                <w:szCs w:val="20"/>
                <w:color w:val="auto"/>
              </w:rPr>
            </w:pPr>
            <w:r>
              <w:rPr>
                <w:rFonts w:ascii="Arial" w:cs="Arial" w:eastAsia="Arial" w:hAnsi="Arial"/>
                <w:sz w:val="20"/>
                <w:szCs w:val="20"/>
                <w:color w:val="auto"/>
              </w:rPr>
              <w:t>Evidence of Debt  78</w:t>
            </w: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2.12</w:t>
            </w:r>
          </w:p>
        </w:tc>
        <w:tc>
          <w:tcPr>
            <w:tcW w:w="4420" w:type="dxa"/>
            <w:vAlign w:val="bottom"/>
            <w:gridSpan w:val="24"/>
          </w:tcPr>
          <w:p>
            <w:pPr>
              <w:spacing w:after="0"/>
              <w:rPr>
                <w:sz w:val="20"/>
                <w:szCs w:val="20"/>
                <w:color w:val="auto"/>
              </w:rPr>
            </w:pPr>
            <w:r>
              <w:rPr>
                <w:rFonts w:ascii="Arial" w:cs="Arial" w:eastAsia="Arial" w:hAnsi="Arial"/>
                <w:sz w:val="20"/>
                <w:szCs w:val="20"/>
                <w:color w:val="auto"/>
                <w:w w:val="91"/>
              </w:rPr>
              <w:t>Payments Generally; Administrative Agent’s Clawback</w:t>
            </w:r>
          </w:p>
        </w:tc>
        <w:tc>
          <w:tcPr>
            <w:tcW w:w="760" w:type="dxa"/>
            <w:vAlign w:val="bottom"/>
          </w:tcPr>
          <w:p>
            <w:pPr>
              <w:jc w:val="right"/>
              <w:ind w:right="281"/>
              <w:spacing w:after="0"/>
              <w:rPr>
                <w:sz w:val="20"/>
                <w:szCs w:val="20"/>
                <w:color w:val="auto"/>
              </w:rPr>
            </w:pPr>
            <w:r>
              <w:rPr>
                <w:rFonts w:ascii="Arial" w:cs="Arial" w:eastAsia="Arial" w:hAnsi="Arial"/>
                <w:sz w:val="20"/>
                <w:szCs w:val="20"/>
                <w:color w:val="auto"/>
              </w:rPr>
              <w:t>78</w:t>
            </w: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2.13</w:t>
            </w:r>
          </w:p>
        </w:tc>
        <w:tc>
          <w:tcPr>
            <w:tcW w:w="2740" w:type="dxa"/>
            <w:vAlign w:val="bottom"/>
            <w:tcBorders>
              <w:top w:val="single" w:sz="8" w:color="auto"/>
            </w:tcBorders>
            <w:gridSpan w:val="20"/>
          </w:tcPr>
          <w:p>
            <w:pPr>
              <w:spacing w:after="0"/>
              <w:rPr>
                <w:sz w:val="20"/>
                <w:szCs w:val="20"/>
                <w:color w:val="auto"/>
              </w:rPr>
            </w:pPr>
            <w:r>
              <w:rPr>
                <w:rFonts w:ascii="Arial" w:cs="Arial" w:eastAsia="Arial" w:hAnsi="Arial"/>
                <w:sz w:val="20"/>
                <w:szCs w:val="20"/>
                <w:color w:val="auto"/>
                <w:w w:val="93"/>
              </w:rPr>
              <w:t>Sharing of Payments by Lenders</w:t>
            </w:r>
          </w:p>
        </w:tc>
        <w:tc>
          <w:tcPr>
            <w:tcW w:w="3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98"/>
              </w:rPr>
              <w:t>80</w:t>
            </w: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2.14</w:t>
            </w:r>
          </w:p>
        </w:tc>
        <w:tc>
          <w:tcPr>
            <w:tcW w:w="124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20"/>
                <w:szCs w:val="20"/>
                <w:color w:val="auto"/>
                <w:w w:val="89"/>
              </w:rPr>
              <w:t>Cash Collateral</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20"/>
                <w:szCs w:val="20"/>
                <w:color w:val="auto"/>
              </w:rPr>
              <w:t>81</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2.15</w:t>
            </w:r>
          </w:p>
        </w:tc>
        <w:tc>
          <w:tcPr>
            <w:tcW w:w="16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2"/>
              </w:rPr>
              <w:t>Defaulting Lenders</w:t>
            </w:r>
          </w:p>
        </w:tc>
        <w:tc>
          <w:tcPr>
            <w:tcW w:w="60" w:type="dxa"/>
            <w:vAlign w:val="bottom"/>
            <w:gridSpan w:val="2"/>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20"/>
                <w:szCs w:val="20"/>
                <w:color w:val="auto"/>
              </w:rPr>
              <w:t>82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2.16</w:t>
            </w:r>
          </w:p>
        </w:tc>
        <w:tc>
          <w:tcPr>
            <w:tcW w:w="2740" w:type="dxa"/>
            <w:vAlign w:val="bottom"/>
            <w:gridSpan w:val="20"/>
          </w:tcPr>
          <w:p>
            <w:pPr>
              <w:spacing w:after="0"/>
              <w:rPr>
                <w:sz w:val="20"/>
                <w:szCs w:val="20"/>
                <w:color w:val="auto"/>
              </w:rPr>
            </w:pPr>
            <w:r>
              <w:rPr>
                <w:rFonts w:ascii="Arial" w:cs="Arial" w:eastAsia="Arial" w:hAnsi="Arial"/>
                <w:sz w:val="20"/>
                <w:szCs w:val="20"/>
                <w:color w:val="auto"/>
              </w:rPr>
              <w:t>Designated Borrowers  84</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420"/>
          </w:cols>
          <w:pgMar w:left="240" w:top="757"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20"/>
                <w:szCs w:val="20"/>
                <w:color w:val="auto"/>
              </w:rPr>
              <w:t>2.17</w:t>
            </w:r>
          </w:p>
        </w:tc>
        <w:tc>
          <w:tcPr>
            <w:tcW w:w="2060" w:type="dxa"/>
            <w:vAlign w:val="bottom"/>
            <w:tcBorders>
              <w:bottom w:val="single" w:sz="8" w:color="auto"/>
            </w:tcBorders>
            <w:gridSpan w:val="13"/>
          </w:tcPr>
          <w:p>
            <w:pPr>
              <w:spacing w:after="0"/>
              <w:rPr>
                <w:sz w:val="20"/>
                <w:szCs w:val="20"/>
                <w:color w:val="auto"/>
              </w:rPr>
            </w:pPr>
            <w:r>
              <w:rPr>
                <w:rFonts w:ascii="Arial" w:cs="Arial" w:eastAsia="Arial" w:hAnsi="Arial"/>
                <w:sz w:val="20"/>
                <w:szCs w:val="20"/>
                <w:color w:val="auto"/>
                <w:w w:val="88"/>
              </w:rPr>
              <w:t>Refinancing Indebtedness</w:t>
            </w:r>
          </w:p>
        </w:tc>
        <w:tc>
          <w:tcPr>
            <w:tcW w:w="140" w:type="dxa"/>
            <w:vAlign w:val="bottom"/>
            <w:gridSpan w:val="2"/>
          </w:tcPr>
          <w:p>
            <w:pPr>
              <w:spacing w:after="0"/>
              <w:rPr>
                <w:sz w:val="19"/>
                <w:szCs w:val="19"/>
                <w:color w:val="auto"/>
              </w:rPr>
            </w:pPr>
          </w:p>
        </w:tc>
        <w:tc>
          <w:tcPr>
            <w:tcW w:w="360" w:type="dxa"/>
            <w:vAlign w:val="bottom"/>
            <w:gridSpan w:val="4"/>
          </w:tcPr>
          <w:p>
            <w:pPr>
              <w:jc w:val="right"/>
              <w:ind w:right="1"/>
              <w:spacing w:after="0"/>
              <w:rPr>
                <w:sz w:val="20"/>
                <w:szCs w:val="20"/>
                <w:color w:val="auto"/>
              </w:rPr>
            </w:pPr>
            <w:r>
              <w:rPr>
                <w:rFonts w:ascii="Arial" w:cs="Arial" w:eastAsia="Arial" w:hAnsi="Arial"/>
                <w:sz w:val="20"/>
                <w:szCs w:val="20"/>
                <w:color w:val="auto"/>
              </w:rPr>
              <w:t>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2.18</w:t>
            </w:r>
          </w:p>
        </w:tc>
        <w:tc>
          <w:tcPr>
            <w:tcW w:w="2720" w:type="dxa"/>
            <w:vAlign w:val="bottom"/>
            <w:gridSpan w:val="22"/>
          </w:tcPr>
          <w:p>
            <w:pPr>
              <w:spacing w:after="0"/>
              <w:rPr>
                <w:sz w:val="20"/>
                <w:szCs w:val="20"/>
                <w:color w:val="auto"/>
              </w:rPr>
            </w:pPr>
            <w:r>
              <w:rPr>
                <w:rFonts w:ascii="Arial" w:cs="Arial" w:eastAsia="Arial" w:hAnsi="Arial"/>
                <w:sz w:val="20"/>
                <w:szCs w:val="20"/>
                <w:color w:val="auto"/>
                <w:w w:val="93"/>
              </w:rPr>
              <w:t>Amend and Extend Transactions</w:t>
            </w:r>
          </w:p>
        </w:tc>
        <w:tc>
          <w:tcPr>
            <w:tcW w:w="260" w:type="dxa"/>
            <w:vAlign w:val="bottom"/>
            <w:gridSpan w:val="3"/>
          </w:tcPr>
          <w:p>
            <w:pPr>
              <w:jc w:val="right"/>
              <w:spacing w:after="0"/>
              <w:rPr>
                <w:sz w:val="20"/>
                <w:szCs w:val="20"/>
                <w:color w:val="auto"/>
              </w:rPr>
            </w:pPr>
            <w:r>
              <w:rPr>
                <w:rFonts w:ascii="Arial" w:cs="Arial" w:eastAsia="Arial" w:hAnsi="Arial"/>
                <w:sz w:val="20"/>
                <w:szCs w:val="20"/>
                <w:color w:val="auto"/>
              </w:rPr>
              <w:t>86</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2.19</w:t>
            </w:r>
          </w:p>
        </w:tc>
        <w:tc>
          <w:tcPr>
            <w:tcW w:w="124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0"/>
                <w:szCs w:val="20"/>
                <w:color w:val="auto"/>
                <w:w w:val="92"/>
              </w:rPr>
              <w:t>ERISA Matters</w:t>
            </w:r>
          </w:p>
        </w:tc>
        <w:tc>
          <w:tcPr>
            <w:tcW w:w="80" w:type="dxa"/>
            <w:vAlign w:val="bottom"/>
            <w:tcBorders>
              <w:top w:val="single" w:sz="8" w:color="auto"/>
            </w:tcBorders>
            <w:gridSpan w:val="2"/>
          </w:tcPr>
          <w:p>
            <w:pPr>
              <w:spacing w:after="0"/>
              <w:rPr>
                <w:sz w:val="24"/>
                <w:szCs w:val="24"/>
                <w:color w:val="auto"/>
              </w:rPr>
            </w:pPr>
          </w:p>
        </w:tc>
        <w:tc>
          <w:tcPr>
            <w:tcW w:w="700" w:type="dxa"/>
            <w:vAlign w:val="bottom"/>
            <w:tcBorders>
              <w:top w:val="single" w:sz="8" w:color="auto"/>
            </w:tcBorders>
          </w:tcPr>
          <w:p>
            <w:pPr>
              <w:jc w:val="center"/>
              <w:ind w:right="201"/>
              <w:spacing w:after="0"/>
              <w:rPr>
                <w:sz w:val="20"/>
                <w:szCs w:val="20"/>
                <w:color w:val="auto"/>
              </w:rPr>
            </w:pPr>
            <w:r>
              <w:rPr>
                <w:rFonts w:ascii="Arial" w:cs="Arial" w:eastAsia="Arial" w:hAnsi="Arial"/>
                <w:sz w:val="20"/>
                <w:szCs w:val="20"/>
                <w:color w:val="auto"/>
                <w:w w:val="89"/>
              </w:rPr>
              <w:t>88</w:t>
            </w: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32"/>
        </w:trPr>
        <w:tc>
          <w:tcPr>
            <w:tcW w:w="6240" w:type="dxa"/>
            <w:vAlign w:val="bottom"/>
            <w:gridSpan w:val="33"/>
          </w:tcPr>
          <w:p>
            <w:pPr>
              <w:spacing w:after="0"/>
              <w:rPr>
                <w:sz w:val="20"/>
                <w:szCs w:val="20"/>
                <w:color w:val="auto"/>
              </w:rPr>
            </w:pPr>
            <w:r>
              <w:rPr>
                <w:rFonts w:ascii="Arial" w:cs="Arial" w:eastAsia="Arial" w:hAnsi="Arial"/>
                <w:sz w:val="20"/>
                <w:szCs w:val="20"/>
                <w:color w:val="auto"/>
              </w:rPr>
              <w:t>ARTICLE III. TAXES, YIELD PROTECTION AND ILLEGALITY  88</w:t>
            </w: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3.01</w:t>
            </w:r>
          </w:p>
        </w:tc>
        <w:tc>
          <w:tcPr>
            <w:tcW w:w="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0"/>
              </w:rPr>
              <w:t>Taxes</w:t>
            </w:r>
          </w:p>
        </w:tc>
        <w:tc>
          <w:tcPr>
            <w:tcW w:w="420" w:type="dxa"/>
            <w:vAlign w:val="bottom"/>
            <w:gridSpan w:val="5"/>
          </w:tcPr>
          <w:p>
            <w:pPr>
              <w:ind w:left="200"/>
              <w:spacing w:after="0"/>
              <w:rPr>
                <w:sz w:val="20"/>
                <w:szCs w:val="20"/>
                <w:color w:val="auto"/>
              </w:rPr>
            </w:pPr>
            <w:r>
              <w:rPr>
                <w:rFonts w:ascii="Arial" w:cs="Arial" w:eastAsia="Arial" w:hAnsi="Arial"/>
                <w:sz w:val="20"/>
                <w:szCs w:val="20"/>
                <w:color w:val="auto"/>
                <w:w w:val="89"/>
              </w:rPr>
              <w:t>88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3.02</w:t>
            </w: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6"/>
              </w:rPr>
              <w:t>Illegality</w:t>
            </w:r>
          </w:p>
        </w:tc>
        <w:tc>
          <w:tcPr>
            <w:tcW w:w="1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9"/>
              </w:rPr>
              <w:t>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3.03</w:t>
            </w:r>
          </w:p>
        </w:tc>
        <w:tc>
          <w:tcPr>
            <w:tcW w:w="2380" w:type="dxa"/>
            <w:vAlign w:val="bottom"/>
            <w:gridSpan w:val="18"/>
          </w:tcPr>
          <w:p>
            <w:pPr>
              <w:spacing w:after="0"/>
              <w:rPr>
                <w:sz w:val="20"/>
                <w:szCs w:val="20"/>
                <w:color w:val="auto"/>
              </w:rPr>
            </w:pPr>
            <w:r>
              <w:rPr>
                <w:rFonts w:ascii="Arial" w:cs="Arial" w:eastAsia="Arial" w:hAnsi="Arial"/>
                <w:sz w:val="20"/>
                <w:szCs w:val="20"/>
                <w:color w:val="auto"/>
                <w:w w:val="96"/>
              </w:rPr>
              <w:t>Inability to Determine Rates</w:t>
            </w:r>
          </w:p>
        </w:tc>
        <w:tc>
          <w:tcPr>
            <w:tcW w:w="340" w:type="dxa"/>
            <w:vAlign w:val="bottom"/>
            <w:gridSpan w:val="4"/>
          </w:tcPr>
          <w:p>
            <w:pPr>
              <w:jc w:val="right"/>
              <w:ind w:right="80"/>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3.04</w:t>
            </w:r>
          </w:p>
        </w:tc>
        <w:tc>
          <w:tcPr>
            <w:tcW w:w="126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20"/>
                <w:szCs w:val="20"/>
                <w:color w:val="auto"/>
                <w:w w:val="85"/>
              </w:rPr>
              <w:t>Increased Costs</w:t>
            </w:r>
          </w:p>
        </w:tc>
        <w:tc>
          <w:tcPr>
            <w:tcW w:w="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center"/>
              <w:ind w:right="141"/>
              <w:spacing w:after="0"/>
              <w:rPr>
                <w:sz w:val="20"/>
                <w:szCs w:val="20"/>
                <w:color w:val="auto"/>
              </w:rPr>
            </w:pPr>
            <w:r>
              <w:rPr>
                <w:rFonts w:ascii="Arial" w:cs="Arial" w:eastAsia="Arial" w:hAnsi="Arial"/>
                <w:sz w:val="20"/>
                <w:szCs w:val="20"/>
                <w:color w:val="auto"/>
                <w:w w:val="80"/>
              </w:rPr>
              <w:t>94</w:t>
            </w: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3.05</w:t>
            </w:r>
          </w:p>
        </w:tc>
        <w:tc>
          <w:tcPr>
            <w:tcW w:w="202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88"/>
              </w:rPr>
              <w:t>Compensation for Losses</w:t>
            </w:r>
          </w:p>
        </w:tc>
        <w:tc>
          <w:tcPr>
            <w:tcW w:w="180" w:type="dxa"/>
            <w:vAlign w:val="bottom"/>
            <w:gridSpan w:val="3"/>
          </w:tcPr>
          <w:p>
            <w:pPr>
              <w:spacing w:after="0"/>
              <w:rPr>
                <w:sz w:val="24"/>
                <w:szCs w:val="24"/>
                <w:color w:val="auto"/>
              </w:rPr>
            </w:pPr>
          </w:p>
        </w:tc>
        <w:tc>
          <w:tcPr>
            <w:tcW w:w="360" w:type="dxa"/>
            <w:vAlign w:val="bottom"/>
            <w:gridSpan w:val="4"/>
          </w:tcPr>
          <w:p>
            <w:pPr>
              <w:jc w:val="right"/>
              <w:ind w:right="41"/>
              <w:spacing w:after="0"/>
              <w:rPr>
                <w:sz w:val="20"/>
                <w:szCs w:val="20"/>
                <w:color w:val="auto"/>
              </w:rPr>
            </w:pPr>
            <w:r>
              <w:rPr>
                <w:rFonts w:ascii="Arial" w:cs="Arial" w:eastAsia="Arial" w:hAnsi="Arial"/>
                <w:sz w:val="20"/>
                <w:szCs w:val="20"/>
                <w:color w:val="auto"/>
                <w:w w:val="89"/>
              </w:rPr>
              <w:t>96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3.06</w:t>
            </w:r>
          </w:p>
        </w:tc>
        <w:tc>
          <w:tcPr>
            <w:tcW w:w="4020" w:type="dxa"/>
            <w:vAlign w:val="bottom"/>
            <w:gridSpan w:val="31"/>
          </w:tcPr>
          <w:p>
            <w:pPr>
              <w:spacing w:after="0"/>
              <w:rPr>
                <w:sz w:val="20"/>
                <w:szCs w:val="20"/>
                <w:color w:val="auto"/>
              </w:rPr>
            </w:pPr>
            <w:r>
              <w:rPr>
                <w:rFonts w:ascii="Arial" w:cs="Arial" w:eastAsia="Arial" w:hAnsi="Arial"/>
                <w:sz w:val="20"/>
                <w:szCs w:val="20"/>
                <w:color w:val="auto"/>
                <w:w w:val="95"/>
              </w:rPr>
              <w:t>Mitigation Obligations; Replacement of Lenders</w:t>
            </w:r>
          </w:p>
        </w:tc>
        <w:tc>
          <w:tcPr>
            <w:tcW w:w="920" w:type="dxa"/>
            <w:vAlign w:val="bottom"/>
          </w:tcPr>
          <w:p>
            <w:pPr>
              <w:jc w:val="right"/>
              <w:ind w:right="601"/>
              <w:spacing w:after="0"/>
              <w:rPr>
                <w:sz w:val="20"/>
                <w:szCs w:val="20"/>
                <w:color w:val="auto"/>
              </w:rPr>
            </w:pPr>
            <w:r>
              <w:rPr>
                <w:rFonts w:ascii="Arial" w:cs="Arial" w:eastAsia="Arial" w:hAnsi="Arial"/>
                <w:sz w:val="20"/>
                <w:szCs w:val="20"/>
                <w:color w:val="auto"/>
                <w:w w:val="89"/>
              </w:rPr>
              <w:t>96</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3.07</w:t>
            </w:r>
          </w:p>
        </w:tc>
        <w:tc>
          <w:tcPr>
            <w:tcW w:w="1320" w:type="dxa"/>
            <w:vAlign w:val="bottom"/>
            <w:tcBorders>
              <w:top w:val="single" w:sz="8" w:color="auto"/>
            </w:tcBorders>
            <w:gridSpan w:val="11"/>
          </w:tcPr>
          <w:p>
            <w:pPr>
              <w:spacing w:after="0"/>
              <w:rPr>
                <w:sz w:val="20"/>
                <w:szCs w:val="20"/>
                <w:color w:val="auto"/>
              </w:rPr>
            </w:pPr>
            <w:r>
              <w:rPr>
                <w:rFonts w:ascii="Arial" w:cs="Arial" w:eastAsia="Arial" w:hAnsi="Arial"/>
                <w:sz w:val="20"/>
                <w:szCs w:val="20"/>
                <w:color w:val="auto"/>
              </w:rPr>
              <w:t>Survival  97</w:t>
            </w: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32"/>
        </w:trPr>
        <w:tc>
          <w:tcPr>
            <w:tcW w:w="4020" w:type="dxa"/>
            <w:vAlign w:val="bottom"/>
            <w:gridSpan w:val="23"/>
          </w:tcPr>
          <w:p>
            <w:pPr>
              <w:spacing w:after="0"/>
              <w:rPr>
                <w:sz w:val="20"/>
                <w:szCs w:val="20"/>
                <w:color w:val="auto"/>
              </w:rPr>
            </w:pPr>
            <w:r>
              <w:rPr>
                <w:rFonts w:ascii="Arial" w:cs="Arial" w:eastAsia="Arial" w:hAnsi="Arial"/>
                <w:sz w:val="20"/>
                <w:szCs w:val="20"/>
                <w:color w:val="auto"/>
              </w:rPr>
              <w:t>ARTICLE IV. [INTENTIONALLY OMITTED.]</w:t>
            </w:r>
          </w:p>
        </w:tc>
        <w:tc>
          <w:tcPr>
            <w:tcW w:w="260" w:type="dxa"/>
            <w:vAlign w:val="bottom"/>
            <w:gridSpan w:val="3"/>
          </w:tcPr>
          <w:p>
            <w:pPr>
              <w:jc w:val="right"/>
              <w:spacing w:after="0"/>
              <w:rPr>
                <w:sz w:val="20"/>
                <w:szCs w:val="20"/>
                <w:color w:val="auto"/>
              </w:rPr>
            </w:pPr>
            <w:r>
              <w:rPr>
                <w:rFonts w:ascii="Arial" w:cs="Arial" w:eastAsia="Arial" w:hAnsi="Arial"/>
                <w:sz w:val="20"/>
                <w:szCs w:val="20"/>
                <w:color w:val="auto"/>
                <w:w w:val="98"/>
              </w:rPr>
              <w:t>97</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08"/>
        </w:trPr>
        <w:tc>
          <w:tcPr>
            <w:tcW w:w="6240" w:type="dxa"/>
            <w:vAlign w:val="bottom"/>
            <w:gridSpan w:val="33"/>
          </w:tcPr>
          <w:p>
            <w:pPr>
              <w:spacing w:after="0"/>
              <w:rPr>
                <w:sz w:val="20"/>
                <w:szCs w:val="20"/>
                <w:color w:val="auto"/>
              </w:rPr>
            </w:pPr>
            <w:r>
              <w:rPr>
                <w:rFonts w:ascii="Arial" w:cs="Arial" w:eastAsia="Arial" w:hAnsi="Arial"/>
                <w:sz w:val="20"/>
                <w:szCs w:val="20"/>
                <w:color w:val="auto"/>
                <w:w w:val="95"/>
              </w:rPr>
              <w:t>ARTICLE V. CONDITIONS PRECEDENT TO CREDIT EXTENSIONS  97</w:t>
            </w: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5.01</w:t>
            </w:r>
          </w:p>
        </w:tc>
        <w:tc>
          <w:tcPr>
            <w:tcW w:w="2720" w:type="dxa"/>
            <w:vAlign w:val="bottom"/>
            <w:gridSpan w:val="22"/>
          </w:tcPr>
          <w:p>
            <w:pPr>
              <w:spacing w:after="0"/>
              <w:rPr>
                <w:sz w:val="20"/>
                <w:szCs w:val="20"/>
                <w:color w:val="auto"/>
              </w:rPr>
            </w:pPr>
            <w:r>
              <w:rPr>
                <w:rFonts w:ascii="Arial" w:cs="Arial" w:eastAsia="Arial" w:hAnsi="Arial"/>
                <w:sz w:val="20"/>
                <w:szCs w:val="20"/>
                <w:color w:val="auto"/>
                <w:w w:val="96"/>
              </w:rPr>
              <w:t>Conditions to the Effective Date</w:t>
            </w:r>
          </w:p>
        </w:tc>
        <w:tc>
          <w:tcPr>
            <w:tcW w:w="260" w:type="dxa"/>
            <w:vAlign w:val="bottom"/>
            <w:gridSpan w:val="3"/>
          </w:tcPr>
          <w:p>
            <w:pPr>
              <w:jc w:val="right"/>
              <w:spacing w:after="0"/>
              <w:rPr>
                <w:sz w:val="20"/>
                <w:szCs w:val="20"/>
                <w:color w:val="auto"/>
              </w:rPr>
            </w:pPr>
            <w:r>
              <w:rPr>
                <w:rFonts w:ascii="Arial" w:cs="Arial" w:eastAsia="Arial" w:hAnsi="Arial"/>
                <w:sz w:val="20"/>
                <w:szCs w:val="20"/>
                <w:color w:val="auto"/>
                <w:w w:val="98"/>
              </w:rPr>
              <w:t>97</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5.02</w:t>
            </w:r>
          </w:p>
        </w:tc>
        <w:tc>
          <w:tcPr>
            <w:tcW w:w="3660" w:type="dxa"/>
            <w:vAlign w:val="bottom"/>
            <w:gridSpan w:val="28"/>
          </w:tcPr>
          <w:p>
            <w:pPr>
              <w:spacing w:after="0"/>
              <w:rPr>
                <w:sz w:val="20"/>
                <w:szCs w:val="20"/>
                <w:color w:val="auto"/>
              </w:rPr>
            </w:pPr>
            <w:r>
              <w:rPr>
                <w:rFonts w:ascii="Arial" w:cs="Arial" w:eastAsia="Arial" w:hAnsi="Arial"/>
                <w:sz w:val="20"/>
                <w:szCs w:val="20"/>
                <w:color w:val="auto"/>
                <w:w w:val="96"/>
              </w:rPr>
              <w:t>Conditions to the Initial Borrowing Date  97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5.03</w:t>
            </w:r>
          </w:p>
        </w:tc>
        <w:tc>
          <w:tcPr>
            <w:tcW w:w="2980" w:type="dxa"/>
            <w:vAlign w:val="bottom"/>
            <w:gridSpan w:val="25"/>
          </w:tcPr>
          <w:p>
            <w:pPr>
              <w:spacing w:after="0"/>
              <w:rPr>
                <w:sz w:val="20"/>
                <w:szCs w:val="20"/>
                <w:color w:val="auto"/>
              </w:rPr>
            </w:pPr>
            <w:r>
              <w:rPr>
                <w:rFonts w:ascii="Arial" w:cs="Arial" w:eastAsia="Arial" w:hAnsi="Arial"/>
                <w:sz w:val="20"/>
                <w:szCs w:val="20"/>
                <w:color w:val="auto"/>
                <w:w w:val="97"/>
              </w:rPr>
              <w:t>Conditions to all Credit Extensions</w:t>
            </w:r>
          </w:p>
        </w:tc>
        <w:tc>
          <w:tcPr>
            <w:tcW w:w="640" w:type="dxa"/>
            <w:vAlign w:val="bottom"/>
            <w:gridSpan w:val="2"/>
          </w:tcPr>
          <w:p>
            <w:pPr>
              <w:jc w:val="right"/>
              <w:ind w:right="340"/>
              <w:spacing w:after="0"/>
              <w:rPr>
                <w:sz w:val="20"/>
                <w:szCs w:val="20"/>
                <w:color w:val="auto"/>
              </w:rPr>
            </w:pPr>
            <w:r>
              <w:rPr>
                <w:rFonts w:ascii="Arial" w:cs="Arial" w:eastAsia="Arial" w:hAnsi="Arial"/>
                <w:sz w:val="20"/>
                <w:szCs w:val="20"/>
                <w:color w:val="auto"/>
                <w:w w:val="83"/>
              </w:rPr>
              <w:t>101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32"/>
        </w:trPr>
        <w:tc>
          <w:tcPr>
            <w:tcW w:w="4960" w:type="dxa"/>
            <w:vAlign w:val="bottom"/>
            <w:gridSpan w:val="29"/>
          </w:tcPr>
          <w:p>
            <w:pPr>
              <w:spacing w:after="0"/>
              <w:rPr>
                <w:sz w:val="20"/>
                <w:szCs w:val="20"/>
                <w:color w:val="auto"/>
              </w:rPr>
            </w:pPr>
            <w:r>
              <w:rPr>
                <w:rFonts w:ascii="Arial" w:cs="Arial" w:eastAsia="Arial" w:hAnsi="Arial"/>
                <w:sz w:val="20"/>
                <w:szCs w:val="20"/>
                <w:color w:val="auto"/>
                <w:w w:val="98"/>
              </w:rPr>
              <w:t>ARTICLE VI. REPRESENTATIONS AND WARRANTIES</w:t>
            </w:r>
          </w:p>
        </w:tc>
        <w:tc>
          <w:tcPr>
            <w:tcW w:w="360" w:type="dxa"/>
            <w:vAlign w:val="bottom"/>
            <w:gridSpan w:val="3"/>
          </w:tcPr>
          <w:p>
            <w:pPr>
              <w:jc w:val="right"/>
              <w:ind w:right="40"/>
              <w:spacing w:after="0"/>
              <w:rPr>
                <w:sz w:val="20"/>
                <w:szCs w:val="20"/>
                <w:color w:val="auto"/>
              </w:rPr>
            </w:pPr>
            <w:r>
              <w:rPr>
                <w:rFonts w:ascii="Arial" w:cs="Arial" w:eastAsia="Arial" w:hAnsi="Arial"/>
                <w:sz w:val="20"/>
                <w:szCs w:val="20"/>
                <w:color w:val="auto"/>
                <w:w w:val="89"/>
              </w:rPr>
              <w:t>102</w:t>
            </w:r>
          </w:p>
        </w:tc>
        <w:tc>
          <w:tcPr>
            <w:tcW w:w="920" w:type="dxa"/>
            <w:vAlign w:val="bottom"/>
          </w:tcPr>
          <w:p>
            <w:pPr>
              <w:spacing w:after="0"/>
              <w:rPr>
                <w:sz w:val="24"/>
                <w:szCs w:val="24"/>
                <w:color w:val="auto"/>
              </w:rPr>
            </w:pP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6.01</w:t>
            </w:r>
          </w:p>
        </w:tc>
        <w:tc>
          <w:tcPr>
            <w:tcW w:w="2980" w:type="dxa"/>
            <w:vAlign w:val="bottom"/>
            <w:gridSpan w:val="25"/>
          </w:tcPr>
          <w:p>
            <w:pPr>
              <w:spacing w:after="0"/>
              <w:rPr>
                <w:sz w:val="20"/>
                <w:szCs w:val="20"/>
                <w:color w:val="auto"/>
              </w:rPr>
            </w:pPr>
            <w:r>
              <w:rPr>
                <w:rFonts w:ascii="Arial" w:cs="Arial" w:eastAsia="Arial" w:hAnsi="Arial"/>
                <w:sz w:val="20"/>
                <w:szCs w:val="20"/>
                <w:color w:val="auto"/>
                <w:w w:val="95"/>
              </w:rPr>
              <w:t>Existence, Qualification and Power</w:t>
            </w:r>
          </w:p>
        </w:tc>
        <w:tc>
          <w:tcPr>
            <w:tcW w:w="640" w:type="dxa"/>
            <w:vAlign w:val="bottom"/>
            <w:gridSpan w:val="2"/>
          </w:tcPr>
          <w:p>
            <w:pPr>
              <w:jc w:val="right"/>
              <w:ind w:right="320"/>
              <w:spacing w:after="0"/>
              <w:rPr>
                <w:sz w:val="20"/>
                <w:szCs w:val="20"/>
                <w:color w:val="auto"/>
              </w:rPr>
            </w:pPr>
            <w:r>
              <w:rPr>
                <w:rFonts w:ascii="Arial" w:cs="Arial" w:eastAsia="Arial" w:hAnsi="Arial"/>
                <w:sz w:val="20"/>
                <w:szCs w:val="20"/>
                <w:color w:val="auto"/>
                <w:w w:val="89"/>
              </w:rPr>
              <w:t>102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6.02</w:t>
            </w:r>
          </w:p>
        </w:tc>
        <w:tc>
          <w:tcPr>
            <w:tcW w:w="2640" w:type="dxa"/>
            <w:vAlign w:val="bottom"/>
            <w:tcBorders>
              <w:top w:val="single" w:sz="8" w:color="auto"/>
              <w:bottom w:val="single" w:sz="8" w:color="auto"/>
            </w:tcBorders>
            <w:gridSpan w:val="21"/>
          </w:tcPr>
          <w:p>
            <w:pPr>
              <w:spacing w:after="0"/>
              <w:rPr>
                <w:sz w:val="20"/>
                <w:szCs w:val="20"/>
                <w:color w:val="auto"/>
              </w:rPr>
            </w:pPr>
            <w:r>
              <w:rPr>
                <w:rFonts w:ascii="Arial" w:cs="Arial" w:eastAsia="Arial" w:hAnsi="Arial"/>
                <w:sz w:val="20"/>
                <w:szCs w:val="20"/>
                <w:color w:val="auto"/>
                <w:w w:val="92"/>
              </w:rPr>
              <w:t>Authorization; No Contravention</w:t>
            </w: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gridSpan w:val="2"/>
          </w:tcPr>
          <w:p>
            <w:pPr>
              <w:spacing w:after="0"/>
              <w:rPr>
                <w:sz w:val="24"/>
                <w:szCs w:val="24"/>
                <w:color w:val="auto"/>
              </w:rPr>
            </w:pPr>
          </w:p>
        </w:tc>
        <w:tc>
          <w:tcPr>
            <w:tcW w:w="420" w:type="dxa"/>
            <w:vAlign w:val="bottom"/>
            <w:gridSpan w:val="2"/>
          </w:tcPr>
          <w:p>
            <w:pPr>
              <w:jc w:val="right"/>
              <w:ind w:right="1"/>
              <w:spacing w:after="0"/>
              <w:rPr>
                <w:sz w:val="20"/>
                <w:szCs w:val="20"/>
                <w:color w:val="auto"/>
              </w:rPr>
            </w:pPr>
            <w:r>
              <w:rPr>
                <w:rFonts w:ascii="Arial" w:cs="Arial" w:eastAsia="Arial" w:hAnsi="Arial"/>
                <w:sz w:val="20"/>
                <w:szCs w:val="20"/>
                <w:color w:val="auto"/>
                <w:w w:val="89"/>
              </w:rPr>
              <w:t>102</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6.03</w:t>
            </w:r>
          </w:p>
        </w:tc>
        <w:tc>
          <w:tcPr>
            <w:tcW w:w="3660" w:type="dxa"/>
            <w:vAlign w:val="bottom"/>
            <w:gridSpan w:val="28"/>
          </w:tcPr>
          <w:p>
            <w:pPr>
              <w:spacing w:after="0"/>
              <w:rPr>
                <w:sz w:val="20"/>
                <w:szCs w:val="20"/>
                <w:color w:val="auto"/>
              </w:rPr>
            </w:pPr>
            <w:r>
              <w:rPr>
                <w:rFonts w:ascii="Arial" w:cs="Arial" w:eastAsia="Arial" w:hAnsi="Arial"/>
                <w:sz w:val="20"/>
                <w:szCs w:val="20"/>
                <w:color w:val="auto"/>
                <w:w w:val="91"/>
              </w:rPr>
              <w:t>Governmental Authorization; Other Consents</w:t>
            </w:r>
          </w:p>
        </w:tc>
        <w:tc>
          <w:tcPr>
            <w:tcW w:w="1280" w:type="dxa"/>
            <w:vAlign w:val="bottom"/>
            <w:gridSpan w:val="4"/>
          </w:tcPr>
          <w:p>
            <w:pPr>
              <w:jc w:val="right"/>
              <w:ind w:right="721"/>
              <w:spacing w:after="0"/>
              <w:rPr>
                <w:sz w:val="20"/>
                <w:szCs w:val="20"/>
                <w:color w:val="auto"/>
              </w:rPr>
            </w:pPr>
            <w:r>
              <w:rPr>
                <w:rFonts w:ascii="Arial" w:cs="Arial" w:eastAsia="Arial" w:hAnsi="Arial"/>
                <w:sz w:val="20"/>
                <w:szCs w:val="20"/>
                <w:color w:val="auto"/>
              </w:rPr>
              <w:t>102</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6.04</w:t>
            </w:r>
          </w:p>
        </w:tc>
        <w:tc>
          <w:tcPr>
            <w:tcW w:w="118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0"/>
                <w:szCs w:val="20"/>
                <w:color w:val="auto"/>
                <w:w w:val="93"/>
              </w:rPr>
              <w:t>Binding Effect</w:t>
            </w:r>
          </w:p>
        </w:tc>
        <w:tc>
          <w:tcPr>
            <w:tcW w:w="140" w:type="dxa"/>
            <w:vAlign w:val="bottom"/>
            <w:tcBorders>
              <w:top w:val="single" w:sz="8" w:color="auto"/>
            </w:tcBorders>
            <w:gridSpan w:val="3"/>
          </w:tcPr>
          <w:p>
            <w:pPr>
              <w:spacing w:after="0"/>
              <w:rPr>
                <w:sz w:val="24"/>
                <w:szCs w:val="24"/>
                <w:color w:val="auto"/>
              </w:rPr>
            </w:pPr>
          </w:p>
        </w:tc>
        <w:tc>
          <w:tcPr>
            <w:tcW w:w="700" w:type="dxa"/>
            <w:vAlign w:val="bottom"/>
            <w:tcBorders>
              <w:top w:val="single" w:sz="8" w:color="auto"/>
            </w:tcBorders>
          </w:tcPr>
          <w:p>
            <w:pPr>
              <w:jc w:val="center"/>
              <w:ind w:right="221"/>
              <w:spacing w:after="0"/>
              <w:rPr>
                <w:sz w:val="20"/>
                <w:szCs w:val="20"/>
                <w:color w:val="auto"/>
              </w:rPr>
            </w:pPr>
            <w:r>
              <w:rPr>
                <w:rFonts w:ascii="Arial" w:cs="Arial" w:eastAsia="Arial" w:hAnsi="Arial"/>
                <w:sz w:val="20"/>
                <w:szCs w:val="20"/>
                <w:color w:val="auto"/>
                <w:w w:val="89"/>
              </w:rPr>
              <w:t>102</w:t>
            </w: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6.05</w:t>
            </w:r>
          </w:p>
        </w:tc>
        <w:tc>
          <w:tcPr>
            <w:tcW w:w="4020" w:type="dxa"/>
            <w:vAlign w:val="bottom"/>
            <w:gridSpan w:val="31"/>
          </w:tcPr>
          <w:p>
            <w:pPr>
              <w:spacing w:after="0"/>
              <w:rPr>
                <w:sz w:val="20"/>
                <w:szCs w:val="20"/>
                <w:color w:val="auto"/>
              </w:rPr>
            </w:pPr>
            <w:r>
              <w:rPr>
                <w:rFonts w:ascii="Arial" w:cs="Arial" w:eastAsia="Arial" w:hAnsi="Arial"/>
                <w:sz w:val="20"/>
                <w:szCs w:val="20"/>
                <w:color w:val="auto"/>
                <w:w w:val="91"/>
              </w:rPr>
              <w:t>Financial Statements; No Material Adverse Effect</w:t>
            </w:r>
          </w:p>
        </w:tc>
        <w:tc>
          <w:tcPr>
            <w:tcW w:w="920" w:type="dxa"/>
            <w:vAlign w:val="bottom"/>
          </w:tcPr>
          <w:p>
            <w:pPr>
              <w:jc w:val="right"/>
              <w:ind w:right="381"/>
              <w:spacing w:after="0"/>
              <w:rPr>
                <w:sz w:val="20"/>
                <w:szCs w:val="20"/>
                <w:color w:val="auto"/>
              </w:rPr>
            </w:pPr>
            <w:r>
              <w:rPr>
                <w:rFonts w:ascii="Arial" w:cs="Arial" w:eastAsia="Arial" w:hAnsi="Arial"/>
                <w:sz w:val="20"/>
                <w:szCs w:val="20"/>
                <w:color w:val="auto"/>
              </w:rPr>
              <w:t>103</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6.06</w:t>
            </w:r>
          </w:p>
        </w:tc>
        <w:tc>
          <w:tcPr>
            <w:tcW w:w="8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0"/>
                <w:szCs w:val="20"/>
                <w:color w:val="auto"/>
                <w:w w:val="97"/>
              </w:rPr>
              <w:t>Litigation</w:t>
            </w:r>
          </w:p>
        </w:tc>
        <w:tc>
          <w:tcPr>
            <w:tcW w:w="100" w:type="dxa"/>
            <w:vAlign w:val="bottom"/>
            <w:tcBorders>
              <w:top w:val="single" w:sz="8" w:color="auto"/>
            </w:tcBorders>
            <w:gridSpan w:val="2"/>
          </w:tcPr>
          <w:p>
            <w:pPr>
              <w:spacing w:after="0"/>
              <w:rPr>
                <w:sz w:val="24"/>
                <w:szCs w:val="24"/>
                <w:color w:val="auto"/>
              </w:rPr>
            </w:pPr>
          </w:p>
        </w:tc>
        <w:tc>
          <w:tcPr>
            <w:tcW w:w="4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20"/>
                <w:szCs w:val="20"/>
                <w:color w:val="auto"/>
              </w:rPr>
              <w:t>103</w:t>
            </w: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6.07</w:t>
            </w:r>
          </w:p>
        </w:tc>
        <w:tc>
          <w:tcPr>
            <w:tcW w:w="900" w:type="dxa"/>
            <w:vAlign w:val="bottom"/>
            <w:gridSpan w:val="7"/>
          </w:tcPr>
          <w:p>
            <w:pPr>
              <w:spacing w:after="0"/>
              <w:rPr>
                <w:sz w:val="20"/>
                <w:szCs w:val="20"/>
                <w:color w:val="auto"/>
              </w:rPr>
            </w:pPr>
            <w:r>
              <w:rPr>
                <w:rFonts w:ascii="Arial" w:cs="Arial" w:eastAsia="Arial" w:hAnsi="Arial"/>
                <w:sz w:val="20"/>
                <w:szCs w:val="20"/>
                <w:color w:val="auto"/>
                <w:w w:val="93"/>
              </w:rPr>
              <w:t>No Default</w:t>
            </w:r>
          </w:p>
        </w:tc>
        <w:tc>
          <w:tcPr>
            <w:tcW w:w="1120" w:type="dxa"/>
            <w:vAlign w:val="bottom"/>
            <w:gridSpan w:val="5"/>
          </w:tcPr>
          <w:p>
            <w:pPr>
              <w:jc w:val="right"/>
              <w:ind w:right="541"/>
              <w:spacing w:after="0"/>
              <w:rPr>
                <w:sz w:val="20"/>
                <w:szCs w:val="20"/>
                <w:color w:val="auto"/>
              </w:rPr>
            </w:pPr>
            <w:r>
              <w:rPr>
                <w:rFonts w:ascii="Arial" w:cs="Arial" w:eastAsia="Arial" w:hAnsi="Arial"/>
                <w:sz w:val="20"/>
                <w:szCs w:val="20"/>
                <w:color w:val="auto"/>
              </w:rPr>
              <w:t>104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6.08</w:t>
            </w:r>
          </w:p>
        </w:tc>
        <w:tc>
          <w:tcPr>
            <w:tcW w:w="2380" w:type="dxa"/>
            <w:vAlign w:val="bottom"/>
            <w:gridSpan w:val="18"/>
          </w:tcPr>
          <w:p>
            <w:pPr>
              <w:spacing w:after="0"/>
              <w:rPr>
                <w:sz w:val="20"/>
                <w:szCs w:val="20"/>
                <w:color w:val="auto"/>
              </w:rPr>
            </w:pPr>
            <w:r>
              <w:rPr>
                <w:rFonts w:ascii="Arial" w:cs="Arial" w:eastAsia="Arial" w:hAnsi="Arial"/>
                <w:sz w:val="20"/>
                <w:szCs w:val="20"/>
                <w:color w:val="auto"/>
                <w:w w:val="91"/>
              </w:rPr>
              <w:t>Ownership of Property; Liens</w:t>
            </w:r>
          </w:p>
        </w:tc>
        <w:tc>
          <w:tcPr>
            <w:tcW w:w="600" w:type="dxa"/>
            <w:vAlign w:val="bottom"/>
            <w:gridSpan w:val="7"/>
          </w:tcPr>
          <w:p>
            <w:pPr>
              <w:jc w:val="right"/>
              <w:ind w:right="21"/>
              <w:spacing w:after="0"/>
              <w:rPr>
                <w:sz w:val="20"/>
                <w:szCs w:val="20"/>
                <w:color w:val="auto"/>
              </w:rPr>
            </w:pPr>
            <w:r>
              <w:rPr>
                <w:rFonts w:ascii="Arial" w:cs="Arial" w:eastAsia="Arial" w:hAnsi="Arial"/>
                <w:sz w:val="20"/>
                <w:szCs w:val="20"/>
                <w:color w:val="auto"/>
              </w:rPr>
              <w:t>104</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6.09</w:t>
            </w:r>
          </w:p>
        </w:tc>
        <w:tc>
          <w:tcPr>
            <w:tcW w:w="2200" w:type="dxa"/>
            <w:vAlign w:val="bottom"/>
            <w:tcBorders>
              <w:top w:val="single" w:sz="8" w:color="auto"/>
            </w:tcBorders>
            <w:gridSpan w:val="15"/>
          </w:tcPr>
          <w:p>
            <w:pPr>
              <w:spacing w:after="0"/>
              <w:rPr>
                <w:sz w:val="20"/>
                <w:szCs w:val="20"/>
                <w:color w:val="auto"/>
              </w:rPr>
            </w:pPr>
            <w:r>
              <w:rPr>
                <w:rFonts w:ascii="Arial" w:cs="Arial" w:eastAsia="Arial" w:hAnsi="Arial"/>
                <w:sz w:val="20"/>
                <w:szCs w:val="20"/>
                <w:color w:val="auto"/>
                <w:w w:val="91"/>
              </w:rPr>
              <w:t>Environmental Compliance</w:t>
            </w: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20"/>
                <w:szCs w:val="20"/>
                <w:color w:val="auto"/>
                <w:w w:val="83"/>
              </w:rPr>
              <w:t>104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6.10</w:t>
            </w:r>
          </w:p>
        </w:tc>
        <w:tc>
          <w:tcPr>
            <w:tcW w:w="7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0"/>
                <w:szCs w:val="20"/>
                <w:color w:val="auto"/>
                <w:w w:val="86"/>
              </w:rPr>
              <w:t>Insurance</w:t>
            </w:r>
          </w:p>
        </w:tc>
        <w:tc>
          <w:tcPr>
            <w:tcW w:w="120" w:type="dxa"/>
            <w:vAlign w:val="bottom"/>
            <w:tcBorders>
              <w:top w:val="single" w:sz="8" w:color="auto"/>
            </w:tcBorders>
            <w:gridSpan w:val="3"/>
          </w:tcPr>
          <w:p>
            <w:pPr>
              <w:spacing w:after="0"/>
              <w:rPr>
                <w:sz w:val="24"/>
                <w:szCs w:val="24"/>
                <w:color w:val="auto"/>
              </w:rPr>
            </w:pPr>
          </w:p>
        </w:tc>
        <w:tc>
          <w:tcPr>
            <w:tcW w:w="42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20"/>
                <w:szCs w:val="20"/>
                <w:color w:val="auto"/>
              </w:rPr>
              <w:t>104</w:t>
            </w: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6.11</w:t>
            </w:r>
          </w:p>
        </w:tc>
        <w:tc>
          <w:tcPr>
            <w:tcW w:w="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0"/>
              </w:rPr>
              <w:t>Taxes</w:t>
            </w:r>
          </w:p>
        </w:tc>
        <w:tc>
          <w:tcPr>
            <w:tcW w:w="720" w:type="dxa"/>
            <w:vAlign w:val="bottom"/>
            <w:gridSpan w:val="7"/>
          </w:tcPr>
          <w:p>
            <w:pPr>
              <w:ind w:left="200"/>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215"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219"/>
          </w:cols>
          <w:pgMar w:left="240" w:top="747"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20"/>
                <w:szCs w:val="20"/>
                <w:color w:val="auto"/>
              </w:rPr>
              <w:t>6.12</w:t>
            </w:r>
          </w:p>
        </w:tc>
        <w:tc>
          <w:tcPr>
            <w:tcW w:w="1580" w:type="dxa"/>
            <w:vAlign w:val="bottom"/>
            <w:tcBorders>
              <w:bottom w:val="single" w:sz="8" w:color="auto"/>
            </w:tcBorders>
            <w:gridSpan w:val="13"/>
          </w:tcPr>
          <w:p>
            <w:pPr>
              <w:spacing w:after="0"/>
              <w:rPr>
                <w:sz w:val="20"/>
                <w:szCs w:val="20"/>
                <w:color w:val="auto"/>
              </w:rPr>
            </w:pPr>
            <w:r>
              <w:rPr>
                <w:rFonts w:ascii="Arial" w:cs="Arial" w:eastAsia="Arial" w:hAnsi="Arial"/>
                <w:sz w:val="20"/>
                <w:szCs w:val="20"/>
                <w:color w:val="auto"/>
                <w:w w:val="91"/>
              </w:rPr>
              <w:t>ERISA Compliance</w:t>
            </w:r>
          </w:p>
        </w:tc>
        <w:tc>
          <w:tcPr>
            <w:tcW w:w="520" w:type="dxa"/>
            <w:vAlign w:val="bottom"/>
            <w:gridSpan w:val="6"/>
          </w:tcPr>
          <w:p>
            <w:pPr>
              <w:jc w:val="right"/>
              <w:ind w:right="20"/>
              <w:spacing w:after="0"/>
              <w:rPr>
                <w:sz w:val="20"/>
                <w:szCs w:val="20"/>
                <w:color w:val="auto"/>
              </w:rPr>
            </w:pPr>
            <w:r>
              <w:rPr>
                <w:rFonts w:ascii="Arial" w:cs="Arial" w:eastAsia="Arial" w:hAnsi="Arial"/>
                <w:sz w:val="20"/>
                <w:szCs w:val="20"/>
                <w:color w:val="auto"/>
              </w:rPr>
              <w:t>104</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6.13</w:t>
            </w:r>
          </w:p>
        </w:tc>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8"/>
              </w:rPr>
              <w:t>Subsidiaries</w:t>
            </w:r>
          </w:p>
        </w:tc>
        <w:tc>
          <w:tcPr>
            <w:tcW w:w="60" w:type="dxa"/>
            <w:vAlign w:val="bottom"/>
          </w:tcPr>
          <w:p>
            <w:pPr>
              <w:spacing w:after="0"/>
              <w:rPr>
                <w:sz w:val="24"/>
                <w:szCs w:val="24"/>
                <w:color w:val="auto"/>
              </w:rPr>
            </w:pPr>
          </w:p>
        </w:tc>
        <w:tc>
          <w:tcPr>
            <w:tcW w:w="500" w:type="dxa"/>
            <w:vAlign w:val="bottom"/>
            <w:gridSpan w:val="5"/>
          </w:tcPr>
          <w:p>
            <w:pPr>
              <w:jc w:val="right"/>
              <w:ind w:right="80"/>
              <w:spacing w:after="0"/>
              <w:rPr>
                <w:sz w:val="20"/>
                <w:szCs w:val="20"/>
                <w:color w:val="auto"/>
              </w:rPr>
            </w:pPr>
            <w:r>
              <w:rPr>
                <w:rFonts w:ascii="Arial" w:cs="Arial" w:eastAsia="Arial" w:hAnsi="Arial"/>
                <w:sz w:val="20"/>
                <w:szCs w:val="20"/>
                <w:color w:val="auto"/>
              </w:rPr>
              <w:t>105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6.14</w:t>
            </w:r>
          </w:p>
        </w:tc>
        <w:tc>
          <w:tcPr>
            <w:tcW w:w="3800" w:type="dxa"/>
            <w:vAlign w:val="bottom"/>
            <w:gridSpan w:val="28"/>
          </w:tcPr>
          <w:p>
            <w:pPr>
              <w:spacing w:after="0"/>
              <w:rPr>
                <w:sz w:val="20"/>
                <w:szCs w:val="20"/>
                <w:color w:val="auto"/>
              </w:rPr>
            </w:pPr>
            <w:r>
              <w:rPr>
                <w:rFonts w:ascii="Arial" w:cs="Arial" w:eastAsia="Arial" w:hAnsi="Arial"/>
                <w:sz w:val="20"/>
                <w:szCs w:val="20"/>
                <w:color w:val="auto"/>
                <w:w w:val="92"/>
              </w:rPr>
              <w:t>Margin Regulations; Investment Company Act</w:t>
            </w:r>
          </w:p>
        </w:tc>
        <w:tc>
          <w:tcPr>
            <w:tcW w:w="4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6.15</w:t>
            </w:r>
          </w:p>
        </w:tc>
        <w:tc>
          <w:tcPr>
            <w:tcW w:w="8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0"/>
                <w:szCs w:val="20"/>
                <w:color w:val="auto"/>
                <w:w w:val="89"/>
              </w:rPr>
              <w:t>Disclosure</w:t>
            </w:r>
          </w:p>
        </w:tc>
        <w:tc>
          <w:tcPr>
            <w:tcW w:w="180" w:type="dxa"/>
            <w:vAlign w:val="bottom"/>
            <w:tcBorders>
              <w:top w:val="single" w:sz="8" w:color="auto"/>
            </w:tcBorders>
            <w:gridSpan w:val="2"/>
          </w:tcPr>
          <w:p>
            <w:pPr>
              <w:spacing w:after="0"/>
              <w:rPr>
                <w:sz w:val="24"/>
                <w:szCs w:val="24"/>
                <w:color w:val="auto"/>
              </w:rPr>
            </w:pPr>
          </w:p>
        </w:tc>
        <w:tc>
          <w:tcPr>
            <w:tcW w:w="3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20"/>
                <w:szCs w:val="20"/>
                <w:color w:val="auto"/>
                <w:w w:val="83"/>
              </w:rPr>
              <w:t>106</w:t>
            </w: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6.16</w:t>
            </w:r>
          </w:p>
        </w:tc>
        <w:tc>
          <w:tcPr>
            <w:tcW w:w="184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Compliance with Laws</w:t>
            </w:r>
          </w:p>
        </w:tc>
        <w:tc>
          <w:tcPr>
            <w:tcW w:w="560" w:type="dxa"/>
            <w:vAlign w:val="bottom"/>
            <w:gridSpan w:val="5"/>
          </w:tcPr>
          <w:p>
            <w:pPr>
              <w:ind w:left="200"/>
              <w:spacing w:after="0"/>
              <w:rPr>
                <w:sz w:val="20"/>
                <w:szCs w:val="20"/>
                <w:color w:val="auto"/>
              </w:rPr>
            </w:pPr>
            <w:r>
              <w:rPr>
                <w:rFonts w:ascii="Arial" w:cs="Arial" w:eastAsia="Arial" w:hAnsi="Arial"/>
                <w:sz w:val="20"/>
                <w:szCs w:val="20"/>
                <w:color w:val="auto"/>
              </w:rPr>
              <w:t>106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6.17</w:t>
            </w:r>
          </w:p>
        </w:tc>
        <w:tc>
          <w:tcPr>
            <w:tcW w:w="3800" w:type="dxa"/>
            <w:vAlign w:val="bottom"/>
            <w:gridSpan w:val="28"/>
          </w:tcPr>
          <w:p>
            <w:pPr>
              <w:spacing w:after="0"/>
              <w:rPr>
                <w:sz w:val="20"/>
                <w:szCs w:val="20"/>
                <w:color w:val="auto"/>
              </w:rPr>
            </w:pPr>
            <w:r>
              <w:rPr>
                <w:rFonts w:ascii="Arial" w:cs="Arial" w:eastAsia="Arial" w:hAnsi="Arial"/>
                <w:sz w:val="20"/>
                <w:szCs w:val="20"/>
                <w:color w:val="auto"/>
              </w:rPr>
              <w:t>Intellectual Property; Licenses, Etc  106</w:t>
            </w: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6.18</w:t>
            </w:r>
          </w:p>
        </w:tc>
        <w:tc>
          <w:tcPr>
            <w:tcW w:w="1400" w:type="dxa"/>
            <w:vAlign w:val="bottom"/>
            <w:tcBorders>
              <w:top w:val="single" w:sz="8" w:color="auto"/>
            </w:tcBorders>
            <w:gridSpan w:val="9"/>
          </w:tcPr>
          <w:p>
            <w:pPr>
              <w:spacing w:after="0"/>
              <w:rPr>
                <w:sz w:val="20"/>
                <w:szCs w:val="20"/>
                <w:color w:val="auto"/>
              </w:rPr>
            </w:pPr>
            <w:r>
              <w:rPr>
                <w:rFonts w:ascii="Arial" w:cs="Arial" w:eastAsia="Arial" w:hAnsi="Arial"/>
                <w:sz w:val="20"/>
                <w:szCs w:val="20"/>
                <w:color w:val="auto"/>
              </w:rPr>
              <w:t>Solvency  106</w:t>
            </w: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6.19</w:t>
            </w:r>
          </w:p>
        </w:tc>
        <w:tc>
          <w:tcPr>
            <w:tcW w:w="3800" w:type="dxa"/>
            <w:vAlign w:val="bottom"/>
            <w:gridSpan w:val="28"/>
          </w:tcPr>
          <w:p>
            <w:pPr>
              <w:spacing w:after="0"/>
              <w:rPr>
                <w:sz w:val="20"/>
                <w:szCs w:val="20"/>
                <w:color w:val="auto"/>
              </w:rPr>
            </w:pPr>
            <w:r>
              <w:rPr>
                <w:rFonts w:ascii="Arial" w:cs="Arial" w:eastAsia="Arial" w:hAnsi="Arial"/>
                <w:sz w:val="20"/>
                <w:szCs w:val="20"/>
                <w:color w:val="auto"/>
                <w:w w:val="90"/>
              </w:rPr>
              <w:t>Perfection of Security Interests in the Collateral</w:t>
            </w:r>
          </w:p>
        </w:tc>
        <w:tc>
          <w:tcPr>
            <w:tcW w:w="4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6.20</w:t>
            </w:r>
          </w:p>
        </w:tc>
        <w:tc>
          <w:tcPr>
            <w:tcW w:w="156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20"/>
                <w:szCs w:val="20"/>
                <w:color w:val="auto"/>
                <w:w w:val="89"/>
              </w:rPr>
              <w:t>Business Locations</w:t>
            </w: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gridSpan w:val="4"/>
          </w:tcPr>
          <w:p>
            <w:pPr>
              <w:ind w:left="160"/>
              <w:spacing w:after="0"/>
              <w:rPr>
                <w:sz w:val="20"/>
                <w:szCs w:val="20"/>
                <w:color w:val="auto"/>
              </w:rPr>
            </w:pPr>
            <w:r>
              <w:rPr>
                <w:rFonts w:ascii="Arial" w:cs="Arial" w:eastAsia="Arial" w:hAnsi="Arial"/>
                <w:sz w:val="20"/>
                <w:szCs w:val="20"/>
                <w:color w:val="auto"/>
                <w:w w:val="83"/>
              </w:rPr>
              <w:t>106</w:t>
            </w: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6.21</w:t>
            </w:r>
          </w:p>
        </w:tc>
        <w:tc>
          <w:tcPr>
            <w:tcW w:w="4280" w:type="dxa"/>
            <w:vAlign w:val="bottom"/>
            <w:gridSpan w:val="29"/>
          </w:tcPr>
          <w:p>
            <w:pPr>
              <w:spacing w:after="0"/>
              <w:rPr>
                <w:sz w:val="20"/>
                <w:szCs w:val="20"/>
                <w:color w:val="auto"/>
              </w:rPr>
            </w:pPr>
            <w:r>
              <w:rPr>
                <w:rFonts w:ascii="Arial" w:cs="Arial" w:eastAsia="Arial" w:hAnsi="Arial"/>
                <w:sz w:val="20"/>
                <w:szCs w:val="20"/>
                <w:color w:val="auto"/>
                <w:w w:val="96"/>
              </w:rPr>
              <w:t>Representations as to Designated Borrowers  107</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6.22</w:t>
            </w: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OFAC</w:t>
            </w: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20"/>
                <w:szCs w:val="20"/>
                <w:color w:val="auto"/>
              </w:rPr>
              <w:t>108</w:t>
            </w: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6.23</w:t>
            </w:r>
          </w:p>
        </w:tc>
        <w:tc>
          <w:tcPr>
            <w:tcW w:w="1580" w:type="dxa"/>
            <w:vAlign w:val="bottom"/>
            <w:gridSpan w:val="13"/>
          </w:tcPr>
          <w:p>
            <w:pPr>
              <w:spacing w:after="0"/>
              <w:rPr>
                <w:sz w:val="20"/>
                <w:szCs w:val="20"/>
                <w:color w:val="auto"/>
              </w:rPr>
            </w:pPr>
            <w:r>
              <w:rPr>
                <w:rFonts w:ascii="Arial" w:cs="Arial" w:eastAsia="Arial" w:hAnsi="Arial"/>
                <w:sz w:val="20"/>
                <w:szCs w:val="20"/>
                <w:color w:val="auto"/>
                <w:w w:val="99"/>
              </w:rPr>
              <w:t>Patriot Act; FCPA</w:t>
            </w:r>
          </w:p>
        </w:tc>
        <w:tc>
          <w:tcPr>
            <w:tcW w:w="460" w:type="dxa"/>
            <w:vAlign w:val="bottom"/>
            <w:gridSpan w:val="4"/>
          </w:tcPr>
          <w:p>
            <w:pPr>
              <w:jc w:val="right"/>
              <w:ind w:right="100"/>
              <w:spacing w:after="0"/>
              <w:rPr>
                <w:sz w:val="20"/>
                <w:szCs w:val="20"/>
                <w:color w:val="auto"/>
              </w:rPr>
            </w:pPr>
            <w:r>
              <w:rPr>
                <w:rFonts w:ascii="Arial" w:cs="Arial" w:eastAsia="Arial" w:hAnsi="Arial"/>
                <w:sz w:val="20"/>
                <w:szCs w:val="20"/>
                <w:color w:val="auto"/>
              </w:rPr>
              <w:t>108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6.24</w:t>
            </w:r>
          </w:p>
        </w:tc>
        <w:tc>
          <w:tcPr>
            <w:tcW w:w="2040" w:type="dxa"/>
            <w:vAlign w:val="bottom"/>
            <w:tcBorders>
              <w:bottom w:val="single" w:sz="8" w:color="auto"/>
            </w:tcBorders>
            <w:gridSpan w:val="17"/>
          </w:tcPr>
          <w:p>
            <w:pPr>
              <w:spacing w:after="0"/>
              <w:rPr>
                <w:sz w:val="20"/>
                <w:szCs w:val="20"/>
                <w:color w:val="auto"/>
              </w:rPr>
            </w:pPr>
            <w:r>
              <w:rPr>
                <w:rFonts w:ascii="Arial" w:cs="Arial" w:eastAsia="Arial" w:hAnsi="Arial"/>
                <w:sz w:val="20"/>
                <w:szCs w:val="20"/>
                <w:color w:val="auto"/>
                <w:w w:val="93"/>
              </w:rPr>
              <w:t>EEA Financial Institution</w:t>
            </w:r>
          </w:p>
        </w:tc>
        <w:tc>
          <w:tcPr>
            <w:tcW w:w="60" w:type="dxa"/>
            <w:vAlign w:val="bottom"/>
            <w:gridSpan w:val="2"/>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20"/>
                <w:szCs w:val="20"/>
                <w:color w:val="auto"/>
              </w:rPr>
              <w:t>108</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32"/>
        </w:trPr>
        <w:tc>
          <w:tcPr>
            <w:tcW w:w="3880" w:type="dxa"/>
            <w:vAlign w:val="bottom"/>
            <w:gridSpan w:val="23"/>
          </w:tcPr>
          <w:p>
            <w:pPr>
              <w:spacing w:after="0"/>
              <w:rPr>
                <w:sz w:val="20"/>
                <w:szCs w:val="20"/>
                <w:color w:val="auto"/>
              </w:rPr>
            </w:pPr>
            <w:r>
              <w:rPr>
                <w:rFonts w:ascii="Arial" w:cs="Arial" w:eastAsia="Arial" w:hAnsi="Arial"/>
                <w:sz w:val="20"/>
                <w:szCs w:val="20"/>
                <w:color w:val="auto"/>
                <w:w w:val="99"/>
              </w:rPr>
              <w:t>ARTICLE VII. AFFIRMATIVE COVENANTS</w:t>
            </w:r>
          </w:p>
        </w:tc>
        <w:tc>
          <w:tcPr>
            <w:tcW w:w="940" w:type="dxa"/>
            <w:vAlign w:val="bottom"/>
            <w:gridSpan w:val="2"/>
          </w:tcPr>
          <w:p>
            <w:pPr>
              <w:jc w:val="right"/>
              <w:ind w:right="520"/>
              <w:spacing w:after="0"/>
              <w:rPr>
                <w:sz w:val="20"/>
                <w:szCs w:val="20"/>
                <w:color w:val="auto"/>
              </w:rPr>
            </w:pPr>
            <w:r>
              <w:rPr>
                <w:rFonts w:ascii="Arial" w:cs="Arial" w:eastAsia="Arial" w:hAnsi="Arial"/>
                <w:sz w:val="20"/>
                <w:szCs w:val="20"/>
                <w:color w:val="auto"/>
              </w:rPr>
              <w:t>108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7.01</w:t>
            </w:r>
          </w:p>
        </w:tc>
        <w:tc>
          <w:tcPr>
            <w:tcW w:w="1660" w:type="dxa"/>
            <w:vAlign w:val="bottom"/>
            <w:tcBorders>
              <w:bottom w:val="single" w:sz="8" w:color="auto"/>
            </w:tcBorders>
            <w:gridSpan w:val="14"/>
          </w:tcPr>
          <w:p>
            <w:pPr>
              <w:spacing w:after="0"/>
              <w:rPr>
                <w:sz w:val="20"/>
                <w:szCs w:val="20"/>
                <w:color w:val="auto"/>
              </w:rPr>
            </w:pPr>
            <w:r>
              <w:rPr>
                <w:rFonts w:ascii="Arial" w:cs="Arial" w:eastAsia="Arial" w:hAnsi="Arial"/>
                <w:sz w:val="20"/>
                <w:szCs w:val="20"/>
                <w:color w:val="auto"/>
                <w:w w:val="87"/>
              </w:rPr>
              <w:t>Financial Statements</w:t>
            </w:r>
          </w:p>
        </w:tc>
        <w:tc>
          <w:tcPr>
            <w:tcW w:w="180" w:type="dxa"/>
            <w:vAlign w:val="bottom"/>
          </w:tcPr>
          <w:p>
            <w:pPr>
              <w:spacing w:after="0"/>
              <w:rPr>
                <w:sz w:val="24"/>
                <w:szCs w:val="24"/>
                <w:color w:val="auto"/>
              </w:rPr>
            </w:pPr>
          </w:p>
        </w:tc>
        <w:tc>
          <w:tcPr>
            <w:tcW w:w="560" w:type="dxa"/>
            <w:vAlign w:val="bottom"/>
            <w:gridSpan w:val="5"/>
          </w:tcPr>
          <w:p>
            <w:pPr>
              <w:jc w:val="right"/>
              <w:ind w:right="141"/>
              <w:spacing w:after="0"/>
              <w:rPr>
                <w:sz w:val="20"/>
                <w:szCs w:val="20"/>
                <w:color w:val="auto"/>
              </w:rPr>
            </w:pPr>
            <w:r>
              <w:rPr>
                <w:rFonts w:ascii="Arial" w:cs="Arial" w:eastAsia="Arial" w:hAnsi="Arial"/>
                <w:sz w:val="20"/>
                <w:szCs w:val="20"/>
                <w:color w:val="auto"/>
                <w:w w:val="89"/>
              </w:rPr>
              <w:t>108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7.02</w:t>
            </w:r>
          </w:p>
        </w:tc>
        <w:tc>
          <w:tcPr>
            <w:tcW w:w="2580" w:type="dxa"/>
            <w:vAlign w:val="bottom"/>
            <w:gridSpan w:val="22"/>
          </w:tcPr>
          <w:p>
            <w:pPr>
              <w:spacing w:after="0"/>
              <w:rPr>
                <w:sz w:val="20"/>
                <w:szCs w:val="20"/>
                <w:color w:val="auto"/>
              </w:rPr>
            </w:pPr>
            <w:r>
              <w:rPr>
                <w:rFonts w:ascii="Arial" w:cs="Arial" w:eastAsia="Arial" w:hAnsi="Arial"/>
                <w:sz w:val="20"/>
                <w:szCs w:val="20"/>
                <w:color w:val="auto"/>
                <w:w w:val="95"/>
              </w:rPr>
              <w:t>Certificates; Other Information</w:t>
            </w:r>
          </w:p>
        </w:tc>
        <w:tc>
          <w:tcPr>
            <w:tcW w:w="940" w:type="dxa"/>
            <w:vAlign w:val="bottom"/>
            <w:gridSpan w:val="2"/>
          </w:tcPr>
          <w:p>
            <w:pPr>
              <w:jc w:val="right"/>
              <w:ind w:right="560"/>
              <w:spacing w:after="0"/>
              <w:rPr>
                <w:sz w:val="20"/>
                <w:szCs w:val="20"/>
                <w:color w:val="auto"/>
              </w:rPr>
            </w:pPr>
            <w:r>
              <w:rPr>
                <w:rFonts w:ascii="Arial" w:cs="Arial" w:eastAsia="Arial" w:hAnsi="Arial"/>
                <w:sz w:val="20"/>
                <w:szCs w:val="20"/>
                <w:color w:val="auto"/>
              </w:rPr>
              <w:t>109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7.03</w:t>
            </w: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0"/>
                <w:szCs w:val="20"/>
                <w:color w:val="auto"/>
                <w:w w:val="86"/>
              </w:rPr>
              <w:t>Notices</w:t>
            </w:r>
          </w:p>
        </w:tc>
        <w:tc>
          <w:tcPr>
            <w:tcW w:w="600" w:type="dxa"/>
            <w:vAlign w:val="bottom"/>
            <w:tcBorders>
              <w:top w:val="single" w:sz="8" w:color="auto"/>
            </w:tcBorders>
            <w:gridSpan w:val="5"/>
          </w:tcPr>
          <w:p>
            <w:pPr>
              <w:jc w:val="right"/>
              <w:ind w:right="21"/>
              <w:spacing w:after="0"/>
              <w:rPr>
                <w:sz w:val="20"/>
                <w:szCs w:val="20"/>
                <w:color w:val="auto"/>
              </w:rPr>
            </w:pPr>
            <w:r>
              <w:rPr>
                <w:rFonts w:ascii="Arial" w:cs="Arial" w:eastAsia="Arial" w:hAnsi="Arial"/>
                <w:sz w:val="20"/>
                <w:szCs w:val="20"/>
                <w:color w:val="auto"/>
              </w:rPr>
              <w:t>111</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7.04</w:t>
            </w:r>
          </w:p>
        </w:tc>
        <w:tc>
          <w:tcPr>
            <w:tcW w:w="144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86"/>
              </w:rPr>
              <w:t>Payment of Taxes</w:t>
            </w:r>
          </w:p>
        </w:tc>
        <w:tc>
          <w:tcPr>
            <w:tcW w:w="140" w:type="dxa"/>
            <w:vAlign w:val="bottom"/>
            <w:gridSpan w:val="3"/>
          </w:tcPr>
          <w:p>
            <w:pPr>
              <w:spacing w:after="0"/>
              <w:rPr>
                <w:sz w:val="24"/>
                <w:szCs w:val="24"/>
                <w:color w:val="auto"/>
              </w:rPr>
            </w:pPr>
          </w:p>
        </w:tc>
        <w:tc>
          <w:tcPr>
            <w:tcW w:w="460" w:type="dxa"/>
            <w:vAlign w:val="bottom"/>
            <w:gridSpan w:val="4"/>
          </w:tcPr>
          <w:p>
            <w:pPr>
              <w:jc w:val="right"/>
              <w:ind w:right="140"/>
              <w:spacing w:after="0"/>
              <w:rPr>
                <w:sz w:val="20"/>
                <w:szCs w:val="20"/>
                <w:color w:val="auto"/>
              </w:rPr>
            </w:pPr>
            <w:r>
              <w:rPr>
                <w:rFonts w:ascii="Arial" w:cs="Arial" w:eastAsia="Arial" w:hAnsi="Arial"/>
                <w:sz w:val="20"/>
                <w:szCs w:val="20"/>
                <w:color w:val="auto"/>
                <w:w w:val="89"/>
              </w:rPr>
              <w:t>111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7.05</w:t>
            </w:r>
          </w:p>
        </w:tc>
        <w:tc>
          <w:tcPr>
            <w:tcW w:w="2400" w:type="dxa"/>
            <w:vAlign w:val="bottom"/>
            <w:tcBorders>
              <w:bottom w:val="single" w:sz="8" w:color="auto"/>
            </w:tcBorders>
            <w:gridSpan w:val="20"/>
          </w:tcPr>
          <w:p>
            <w:pPr>
              <w:spacing w:after="0"/>
              <w:rPr>
                <w:sz w:val="20"/>
                <w:szCs w:val="20"/>
                <w:color w:val="auto"/>
              </w:rPr>
            </w:pPr>
            <w:r>
              <w:rPr>
                <w:rFonts w:ascii="Arial" w:cs="Arial" w:eastAsia="Arial" w:hAnsi="Arial"/>
                <w:sz w:val="20"/>
                <w:szCs w:val="20"/>
                <w:color w:val="auto"/>
                <w:w w:val="89"/>
              </w:rPr>
              <w:t>Preservation of Existence, Etc</w:t>
            </w:r>
          </w:p>
        </w:tc>
        <w:tc>
          <w:tcPr>
            <w:tcW w:w="180" w:type="dxa"/>
            <w:vAlign w:val="bottom"/>
            <w:gridSpan w:val="2"/>
          </w:tcPr>
          <w:p>
            <w:pPr>
              <w:spacing w:after="0"/>
              <w:rPr>
                <w:sz w:val="24"/>
                <w:szCs w:val="2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20"/>
                <w:szCs w:val="20"/>
                <w:color w:val="auto"/>
                <w:w w:val="83"/>
              </w:rPr>
              <w:t>111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7.06</w:t>
            </w:r>
          </w:p>
        </w:tc>
        <w:tc>
          <w:tcPr>
            <w:tcW w:w="2100" w:type="dxa"/>
            <w:vAlign w:val="bottom"/>
            <w:tcBorders>
              <w:bottom w:val="single" w:sz="8" w:color="auto"/>
            </w:tcBorders>
            <w:gridSpan w:val="19"/>
          </w:tcPr>
          <w:p>
            <w:pPr>
              <w:spacing w:after="0"/>
              <w:rPr>
                <w:sz w:val="20"/>
                <w:szCs w:val="20"/>
                <w:color w:val="auto"/>
              </w:rPr>
            </w:pPr>
            <w:r>
              <w:rPr>
                <w:rFonts w:ascii="Arial" w:cs="Arial" w:eastAsia="Arial" w:hAnsi="Arial"/>
                <w:sz w:val="20"/>
                <w:szCs w:val="20"/>
                <w:color w:val="auto"/>
                <w:w w:val="89"/>
              </w:rPr>
              <w:t>Maintenance of Properties</w:t>
            </w:r>
          </w:p>
        </w:tc>
        <w:tc>
          <w:tcPr>
            <w:tcW w:w="480" w:type="dxa"/>
            <w:vAlign w:val="bottom"/>
            <w:gridSpan w:val="3"/>
          </w:tcPr>
          <w:p>
            <w:pPr>
              <w:jc w:val="right"/>
              <w:spacing w:after="0"/>
              <w:rPr>
                <w:sz w:val="20"/>
                <w:szCs w:val="20"/>
                <w:color w:val="auto"/>
              </w:rPr>
            </w:pPr>
            <w:r>
              <w:rPr>
                <w:rFonts w:ascii="Arial" w:cs="Arial" w:eastAsia="Arial" w:hAnsi="Arial"/>
                <w:sz w:val="20"/>
                <w:szCs w:val="20"/>
                <w:color w:val="auto"/>
              </w:rPr>
              <w:t>112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7.07</w:t>
            </w:r>
          </w:p>
        </w:tc>
        <w:tc>
          <w:tcPr>
            <w:tcW w:w="2060" w:type="dxa"/>
            <w:vAlign w:val="bottom"/>
            <w:tcBorders>
              <w:bottom w:val="single" w:sz="8" w:color="auto"/>
            </w:tcBorders>
            <w:gridSpan w:val="18"/>
          </w:tcPr>
          <w:p>
            <w:pPr>
              <w:spacing w:after="0"/>
              <w:rPr>
                <w:sz w:val="20"/>
                <w:szCs w:val="20"/>
                <w:color w:val="auto"/>
              </w:rPr>
            </w:pPr>
            <w:r>
              <w:rPr>
                <w:rFonts w:ascii="Arial" w:cs="Arial" w:eastAsia="Arial" w:hAnsi="Arial"/>
                <w:sz w:val="20"/>
                <w:szCs w:val="20"/>
                <w:color w:val="auto"/>
                <w:w w:val="88"/>
              </w:rPr>
              <w:t>Maintenance of Insurance</w:t>
            </w:r>
          </w:p>
        </w:tc>
        <w:tc>
          <w:tcPr>
            <w:tcW w:w="4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20"/>
                <w:szCs w:val="20"/>
                <w:color w:val="auto"/>
              </w:rPr>
              <w:t>112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7.08</w:t>
            </w:r>
          </w:p>
        </w:tc>
        <w:tc>
          <w:tcPr>
            <w:tcW w:w="184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1"/>
              </w:rPr>
              <w:t>Compliance with Laws</w:t>
            </w:r>
          </w:p>
        </w:tc>
        <w:tc>
          <w:tcPr>
            <w:tcW w:w="560" w:type="dxa"/>
            <w:vAlign w:val="bottom"/>
            <w:gridSpan w:val="5"/>
          </w:tcPr>
          <w:p>
            <w:pPr>
              <w:ind w:left="200"/>
              <w:spacing w:after="0"/>
              <w:rPr>
                <w:sz w:val="20"/>
                <w:szCs w:val="20"/>
                <w:color w:val="auto"/>
              </w:rPr>
            </w:pPr>
            <w:r>
              <w:rPr>
                <w:rFonts w:ascii="Arial" w:cs="Arial" w:eastAsia="Arial" w:hAnsi="Arial"/>
                <w:sz w:val="20"/>
                <w:szCs w:val="20"/>
                <w:color w:val="auto"/>
              </w:rPr>
              <w:t>112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7.09</w:t>
            </w:r>
          </w:p>
        </w:tc>
        <w:tc>
          <w:tcPr>
            <w:tcW w:w="1580" w:type="dxa"/>
            <w:vAlign w:val="bottom"/>
            <w:gridSpan w:val="13"/>
          </w:tcPr>
          <w:p>
            <w:pPr>
              <w:spacing w:after="0"/>
              <w:rPr>
                <w:sz w:val="20"/>
                <w:szCs w:val="20"/>
                <w:color w:val="auto"/>
              </w:rPr>
            </w:pPr>
            <w:r>
              <w:rPr>
                <w:rFonts w:ascii="Arial" w:cs="Arial" w:eastAsia="Arial" w:hAnsi="Arial"/>
                <w:sz w:val="20"/>
                <w:szCs w:val="20"/>
                <w:color w:val="auto"/>
                <w:w w:val="89"/>
              </w:rPr>
              <w:t>Books and Records</w:t>
            </w:r>
          </w:p>
        </w:tc>
        <w:tc>
          <w:tcPr>
            <w:tcW w:w="460" w:type="dxa"/>
            <w:vAlign w:val="bottom"/>
            <w:gridSpan w:val="4"/>
          </w:tcPr>
          <w:p>
            <w:pPr>
              <w:ind w:left="160"/>
              <w:spacing w:after="0"/>
              <w:rPr>
                <w:sz w:val="20"/>
                <w:szCs w:val="20"/>
                <w:color w:val="auto"/>
              </w:rPr>
            </w:pPr>
            <w:r>
              <w:rPr>
                <w:rFonts w:ascii="Arial" w:cs="Arial" w:eastAsia="Arial" w:hAnsi="Arial"/>
                <w:sz w:val="20"/>
                <w:szCs w:val="20"/>
                <w:color w:val="auto"/>
                <w:w w:val="83"/>
              </w:rPr>
              <w:t>112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7.10</w:t>
            </w:r>
          </w:p>
        </w:tc>
        <w:tc>
          <w:tcPr>
            <w:tcW w:w="140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0"/>
                <w:szCs w:val="20"/>
                <w:color w:val="auto"/>
                <w:w w:val="89"/>
              </w:rPr>
              <w:t>Inspection Rights</w:t>
            </w: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0"/>
                <w:szCs w:val="20"/>
                <w:color w:val="auto"/>
                <w:w w:val="83"/>
              </w:rPr>
              <w:t>112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7.11</w:t>
            </w:r>
          </w:p>
        </w:tc>
        <w:tc>
          <w:tcPr>
            <w:tcW w:w="130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86"/>
              </w:rPr>
              <w:t>Use of Proceeds</w:t>
            </w:r>
          </w:p>
        </w:tc>
        <w:tc>
          <w:tcPr>
            <w:tcW w:w="100" w:type="dxa"/>
            <w:vAlign w:val="bottom"/>
          </w:tcPr>
          <w:p>
            <w:pPr>
              <w:spacing w:after="0"/>
              <w:rPr>
                <w:sz w:val="24"/>
                <w:szCs w:val="24"/>
                <w:color w:val="auto"/>
              </w:rPr>
            </w:pPr>
          </w:p>
        </w:tc>
        <w:tc>
          <w:tcPr>
            <w:tcW w:w="440" w:type="dxa"/>
            <w:vAlign w:val="bottom"/>
            <w:gridSpan w:val="6"/>
          </w:tcPr>
          <w:p>
            <w:pPr>
              <w:jc w:val="right"/>
              <w:ind w:right="60"/>
              <w:spacing w:after="0"/>
              <w:rPr>
                <w:sz w:val="20"/>
                <w:szCs w:val="20"/>
                <w:color w:val="auto"/>
              </w:rPr>
            </w:pPr>
            <w:r>
              <w:rPr>
                <w:rFonts w:ascii="Arial" w:cs="Arial" w:eastAsia="Arial" w:hAnsi="Arial"/>
                <w:sz w:val="20"/>
                <w:szCs w:val="20"/>
                <w:color w:val="auto"/>
              </w:rPr>
              <w:t>113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7.12</w:t>
            </w:r>
          </w:p>
        </w:tc>
        <w:tc>
          <w:tcPr>
            <w:tcW w:w="3800" w:type="dxa"/>
            <w:vAlign w:val="bottom"/>
            <w:gridSpan w:val="28"/>
          </w:tcPr>
          <w:p>
            <w:pPr>
              <w:spacing w:after="0"/>
              <w:rPr>
                <w:sz w:val="20"/>
                <w:szCs w:val="20"/>
                <w:color w:val="auto"/>
              </w:rPr>
            </w:pPr>
            <w:r>
              <w:rPr>
                <w:rFonts w:ascii="Arial" w:cs="Arial" w:eastAsia="Arial" w:hAnsi="Arial"/>
                <w:sz w:val="20"/>
                <w:szCs w:val="20"/>
                <w:color w:val="auto"/>
                <w:w w:val="97"/>
              </w:rPr>
              <w:t>Additional Subsidiaries; Additional Borrower</w:t>
            </w:r>
          </w:p>
        </w:tc>
        <w:tc>
          <w:tcPr>
            <w:tcW w:w="480" w:type="dxa"/>
            <w:vAlign w:val="bottom"/>
          </w:tcPr>
          <w:p>
            <w:pPr>
              <w:jc w:val="right"/>
              <w:ind w:right="61"/>
              <w:spacing w:after="0"/>
              <w:rPr>
                <w:sz w:val="20"/>
                <w:szCs w:val="20"/>
                <w:color w:val="auto"/>
              </w:rPr>
            </w:pPr>
            <w:r>
              <w:rPr>
                <w:rFonts w:ascii="Arial" w:cs="Arial" w:eastAsia="Arial" w:hAnsi="Arial"/>
                <w:sz w:val="20"/>
                <w:szCs w:val="20"/>
                <w:color w:val="auto"/>
                <w:w w:val="89"/>
              </w:rPr>
              <w:t>113</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7.13</w:t>
            </w:r>
          </w:p>
        </w:tc>
        <w:tc>
          <w:tcPr>
            <w:tcW w:w="1400" w:type="dxa"/>
            <w:vAlign w:val="bottom"/>
            <w:tcBorders>
              <w:top w:val="single" w:sz="8" w:color="auto"/>
            </w:tcBorders>
            <w:gridSpan w:val="9"/>
          </w:tcPr>
          <w:p>
            <w:pPr>
              <w:spacing w:after="0"/>
              <w:rPr>
                <w:sz w:val="20"/>
                <w:szCs w:val="20"/>
                <w:color w:val="auto"/>
              </w:rPr>
            </w:pPr>
            <w:r>
              <w:rPr>
                <w:rFonts w:ascii="Arial" w:cs="Arial" w:eastAsia="Arial" w:hAnsi="Arial"/>
                <w:sz w:val="20"/>
                <w:szCs w:val="20"/>
                <w:color w:val="auto"/>
                <w:w w:val="99"/>
              </w:rPr>
              <w:t>Pledged Assets</w:t>
            </w:r>
          </w:p>
        </w:tc>
        <w:tc>
          <w:tcPr>
            <w:tcW w:w="440" w:type="dxa"/>
            <w:vAlign w:val="bottom"/>
            <w:tcBorders>
              <w:top w:val="single" w:sz="8" w:color="auto"/>
            </w:tcBorders>
            <w:gridSpan w:val="6"/>
          </w:tcPr>
          <w:p>
            <w:pPr>
              <w:jc w:val="right"/>
              <w:ind w:right="140"/>
              <w:spacing w:after="0"/>
              <w:rPr>
                <w:sz w:val="20"/>
                <w:szCs w:val="20"/>
                <w:color w:val="auto"/>
              </w:rPr>
            </w:pPr>
            <w:r>
              <w:rPr>
                <w:rFonts w:ascii="Arial" w:cs="Arial" w:eastAsia="Arial" w:hAnsi="Arial"/>
                <w:sz w:val="20"/>
                <w:szCs w:val="20"/>
                <w:color w:val="auto"/>
                <w:w w:val="83"/>
              </w:rPr>
              <w:t>114</w:t>
            </w: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7.14</w:t>
            </w:r>
          </w:p>
        </w:tc>
        <w:tc>
          <w:tcPr>
            <w:tcW w:w="1540" w:type="dxa"/>
            <w:vAlign w:val="bottom"/>
            <w:tcBorders>
              <w:bottom w:val="single" w:sz="8" w:color="auto"/>
            </w:tcBorders>
            <w:gridSpan w:val="11"/>
          </w:tcPr>
          <w:p>
            <w:pPr>
              <w:spacing w:after="0"/>
              <w:rPr>
                <w:sz w:val="20"/>
                <w:szCs w:val="20"/>
                <w:color w:val="auto"/>
              </w:rPr>
            </w:pPr>
            <w:r>
              <w:rPr>
                <w:rFonts w:ascii="Arial" w:cs="Arial" w:eastAsia="Arial" w:hAnsi="Arial"/>
                <w:sz w:val="20"/>
                <w:szCs w:val="20"/>
                <w:color w:val="auto"/>
                <w:w w:val="87"/>
              </w:rPr>
              <w:t>Further Assurances</w:t>
            </w:r>
          </w:p>
        </w:tc>
        <w:tc>
          <w:tcPr>
            <w:tcW w:w="40" w:type="dxa"/>
            <w:vAlign w:val="bottom"/>
            <w:gridSpan w:val="2"/>
          </w:tcPr>
          <w:p>
            <w:pPr>
              <w:spacing w:after="0"/>
              <w:rPr>
                <w:sz w:val="24"/>
                <w:szCs w:val="24"/>
                <w:color w:val="auto"/>
              </w:rPr>
            </w:pPr>
          </w:p>
        </w:tc>
        <w:tc>
          <w:tcPr>
            <w:tcW w:w="460" w:type="dxa"/>
            <w:vAlign w:val="bottom"/>
            <w:gridSpan w:val="4"/>
          </w:tcPr>
          <w:p>
            <w:pPr>
              <w:ind w:left="160"/>
              <w:spacing w:after="0"/>
              <w:rPr>
                <w:sz w:val="20"/>
                <w:szCs w:val="20"/>
                <w:color w:val="auto"/>
              </w:rPr>
            </w:pPr>
            <w:r>
              <w:rPr>
                <w:rFonts w:ascii="Arial" w:cs="Arial" w:eastAsia="Arial" w:hAnsi="Arial"/>
                <w:sz w:val="20"/>
                <w:szCs w:val="20"/>
                <w:color w:val="auto"/>
                <w:w w:val="83"/>
              </w:rPr>
              <w:t>115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7.15</w:t>
            </w:r>
          </w:p>
        </w:tc>
        <w:tc>
          <w:tcPr>
            <w:tcW w:w="1900" w:type="dxa"/>
            <w:vAlign w:val="bottom"/>
            <w:tcBorders>
              <w:bottom w:val="single" w:sz="8" w:color="auto"/>
            </w:tcBorders>
            <w:gridSpan w:val="16"/>
          </w:tcPr>
          <w:p>
            <w:pPr>
              <w:spacing w:after="0"/>
              <w:rPr>
                <w:sz w:val="20"/>
                <w:szCs w:val="20"/>
                <w:color w:val="auto"/>
              </w:rPr>
            </w:pPr>
            <w:r>
              <w:rPr>
                <w:rFonts w:ascii="Arial" w:cs="Arial" w:eastAsia="Arial" w:hAnsi="Arial"/>
                <w:sz w:val="20"/>
                <w:szCs w:val="20"/>
                <w:color w:val="auto"/>
                <w:w w:val="89"/>
              </w:rPr>
              <w:t>Maintenance of Ratings</w:t>
            </w:r>
          </w:p>
        </w:tc>
        <w:tc>
          <w:tcPr>
            <w:tcW w:w="2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77"/>
              </w:rPr>
              <w:t>115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15" w:lineRule="exact"/>
        <w:rPr>
          <w:sz w:val="20"/>
          <w:szCs w:val="20"/>
          <w:color w:val="auto"/>
        </w:rPr>
      </w:pPr>
    </w:p>
    <w:p>
      <w:pPr>
        <w:jc w:val="right"/>
        <w:ind w:right="441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219"/>
          </w:cols>
          <w:pgMar w:left="240" w:top="747"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50"/>
        </w:trPr>
        <w:tc>
          <w:tcPr>
            <w:tcW w:w="3660" w:type="dxa"/>
            <w:vAlign w:val="bottom"/>
            <w:gridSpan w:val="17"/>
          </w:tcPr>
          <w:p>
            <w:pPr>
              <w:spacing w:after="0"/>
              <w:rPr>
                <w:sz w:val="20"/>
                <w:szCs w:val="20"/>
                <w:color w:val="auto"/>
              </w:rPr>
            </w:pPr>
            <w:r>
              <w:rPr>
                <w:rFonts w:ascii="Arial" w:cs="Arial" w:eastAsia="Arial" w:hAnsi="Arial"/>
                <w:sz w:val="20"/>
                <w:szCs w:val="20"/>
                <w:color w:val="auto"/>
              </w:rPr>
              <w:t>ARTICLE VIII. NEGATIVE COVENANTS</w:t>
            </w:r>
          </w:p>
        </w:tc>
        <w:tc>
          <w:tcPr>
            <w:tcW w:w="420" w:type="dxa"/>
            <w:vAlign w:val="bottom"/>
            <w:gridSpan w:val="3"/>
          </w:tcPr>
          <w:p>
            <w:pPr>
              <w:jc w:val="right"/>
              <w:ind w:right="40"/>
              <w:spacing w:after="0"/>
              <w:rPr>
                <w:sz w:val="20"/>
                <w:szCs w:val="20"/>
                <w:color w:val="auto"/>
              </w:rPr>
            </w:pPr>
            <w:r>
              <w:rPr>
                <w:rFonts w:ascii="Arial" w:cs="Arial" w:eastAsia="Arial" w:hAnsi="Arial"/>
                <w:sz w:val="20"/>
                <w:szCs w:val="20"/>
                <w:color w:val="auto"/>
              </w:rPr>
              <w:t>115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8.01</w:t>
            </w:r>
          </w:p>
        </w:tc>
        <w:tc>
          <w:tcPr>
            <w:tcW w:w="1040" w:type="dxa"/>
            <w:vAlign w:val="bottom"/>
            <w:gridSpan w:val="4"/>
          </w:tcPr>
          <w:p>
            <w:pPr>
              <w:spacing w:after="0"/>
              <w:rPr>
                <w:sz w:val="20"/>
                <w:szCs w:val="20"/>
                <w:color w:val="auto"/>
              </w:rPr>
            </w:pPr>
            <w:r>
              <w:rPr>
                <w:rFonts w:ascii="Arial" w:cs="Arial" w:eastAsia="Arial" w:hAnsi="Arial"/>
                <w:sz w:val="20"/>
                <w:szCs w:val="20"/>
                <w:color w:val="auto"/>
              </w:rPr>
              <w:t>Liens  115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8.02</w:t>
            </w:r>
          </w:p>
        </w:tc>
        <w:tc>
          <w:tcPr>
            <w:tcW w:w="1040" w:type="dxa"/>
            <w:vAlign w:val="bottom"/>
            <w:gridSpan w:val="4"/>
          </w:tcPr>
          <w:p>
            <w:pPr>
              <w:spacing w:after="0"/>
              <w:rPr>
                <w:sz w:val="20"/>
                <w:szCs w:val="20"/>
                <w:color w:val="auto"/>
              </w:rPr>
            </w:pPr>
            <w:r>
              <w:rPr>
                <w:rFonts w:ascii="Arial" w:cs="Arial" w:eastAsia="Arial" w:hAnsi="Arial"/>
                <w:sz w:val="20"/>
                <w:szCs w:val="20"/>
                <w:color w:val="auto"/>
                <w:w w:val="94"/>
              </w:rPr>
              <w:t>Investments</w:t>
            </w:r>
          </w:p>
        </w:tc>
        <w:tc>
          <w:tcPr>
            <w:tcW w:w="440" w:type="dxa"/>
            <w:vAlign w:val="bottom"/>
            <w:gridSpan w:val="3"/>
          </w:tcPr>
          <w:p>
            <w:pPr>
              <w:jc w:val="right"/>
              <w:ind w:right="40"/>
              <w:spacing w:after="0"/>
              <w:rPr>
                <w:sz w:val="20"/>
                <w:szCs w:val="20"/>
                <w:color w:val="auto"/>
              </w:rPr>
            </w:pPr>
            <w:r>
              <w:rPr>
                <w:rFonts w:ascii="Arial" w:cs="Arial" w:eastAsia="Arial" w:hAnsi="Arial"/>
                <w:sz w:val="20"/>
                <w:szCs w:val="20"/>
                <w:color w:val="auto"/>
              </w:rPr>
              <w:t>118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8.03</w:t>
            </w: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4"/>
              </w:rPr>
              <w:t>Indebtedness</w:t>
            </w:r>
          </w:p>
        </w:tc>
        <w:tc>
          <w:tcPr>
            <w:tcW w:w="580" w:type="dxa"/>
            <w:vAlign w:val="bottom"/>
            <w:gridSpan w:val="4"/>
          </w:tcPr>
          <w:p>
            <w:pPr>
              <w:jc w:val="right"/>
              <w:spacing w:after="0"/>
              <w:rPr>
                <w:sz w:val="20"/>
                <w:szCs w:val="20"/>
                <w:color w:val="auto"/>
              </w:rPr>
            </w:pPr>
            <w:r>
              <w:rPr>
                <w:rFonts w:ascii="Arial" w:cs="Arial" w:eastAsia="Arial" w:hAnsi="Arial"/>
                <w:sz w:val="20"/>
                <w:szCs w:val="20"/>
                <w:color w:val="auto"/>
              </w:rPr>
              <w:t>120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8.04</w:t>
            </w:r>
          </w:p>
        </w:tc>
        <w:tc>
          <w:tcPr>
            <w:tcW w:w="1820" w:type="dxa"/>
            <w:vAlign w:val="bottom"/>
            <w:gridSpan w:val="11"/>
          </w:tcPr>
          <w:p>
            <w:pPr>
              <w:spacing w:after="0"/>
              <w:rPr>
                <w:sz w:val="20"/>
                <w:szCs w:val="20"/>
                <w:color w:val="auto"/>
              </w:rPr>
            </w:pPr>
            <w:r>
              <w:rPr>
                <w:rFonts w:ascii="Arial" w:cs="Arial" w:eastAsia="Arial" w:hAnsi="Arial"/>
                <w:sz w:val="20"/>
                <w:szCs w:val="20"/>
                <w:color w:val="auto"/>
                <w:w w:val="88"/>
              </w:rPr>
              <w:t>Fundamental Changes</w:t>
            </w:r>
          </w:p>
        </w:tc>
        <w:tc>
          <w:tcPr>
            <w:tcW w:w="540" w:type="dxa"/>
            <w:vAlign w:val="bottom"/>
            <w:gridSpan w:val="5"/>
          </w:tcPr>
          <w:p>
            <w:pPr>
              <w:jc w:val="right"/>
              <w:ind w:right="100"/>
              <w:spacing w:after="0"/>
              <w:rPr>
                <w:sz w:val="20"/>
                <w:szCs w:val="20"/>
                <w:color w:val="auto"/>
              </w:rPr>
            </w:pPr>
            <w:r>
              <w:rPr>
                <w:rFonts w:ascii="Arial" w:cs="Arial" w:eastAsia="Arial" w:hAnsi="Arial"/>
                <w:sz w:val="20"/>
                <w:szCs w:val="20"/>
                <w:color w:val="auto"/>
              </w:rPr>
              <w:t>121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8.05</w:t>
            </w:r>
          </w:p>
        </w:tc>
        <w:tc>
          <w:tcPr>
            <w:tcW w:w="10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0"/>
                <w:szCs w:val="20"/>
                <w:color w:val="auto"/>
                <w:w w:val="90"/>
              </w:rPr>
              <w:t>Dispositions</w:t>
            </w: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20"/>
                <w:szCs w:val="20"/>
                <w:color w:val="auto"/>
              </w:rPr>
              <w:t>121</w:t>
            </w: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8.06</w:t>
            </w:r>
          </w:p>
        </w:tc>
        <w:tc>
          <w:tcPr>
            <w:tcW w:w="1820" w:type="dxa"/>
            <w:vAlign w:val="bottom"/>
            <w:gridSpan w:val="11"/>
          </w:tcPr>
          <w:p>
            <w:pPr>
              <w:spacing w:after="0"/>
              <w:rPr>
                <w:sz w:val="20"/>
                <w:szCs w:val="20"/>
                <w:color w:val="auto"/>
              </w:rPr>
            </w:pPr>
            <w:r>
              <w:rPr>
                <w:rFonts w:ascii="Arial" w:cs="Arial" w:eastAsia="Arial" w:hAnsi="Arial"/>
                <w:sz w:val="20"/>
                <w:szCs w:val="20"/>
                <w:color w:val="auto"/>
                <w:w w:val="97"/>
              </w:rPr>
              <w:t>Restricted Payments</w:t>
            </w:r>
          </w:p>
        </w:tc>
        <w:tc>
          <w:tcPr>
            <w:tcW w:w="380" w:type="dxa"/>
            <w:vAlign w:val="bottom"/>
            <w:gridSpan w:val="4"/>
          </w:tcPr>
          <w:p>
            <w:pPr>
              <w:jc w:val="right"/>
              <w:spacing w:after="0"/>
              <w:rPr>
                <w:sz w:val="20"/>
                <w:szCs w:val="20"/>
                <w:color w:val="auto"/>
              </w:rPr>
            </w:pPr>
            <w:r>
              <w:rPr>
                <w:rFonts w:ascii="Arial" w:cs="Arial" w:eastAsia="Arial" w:hAnsi="Arial"/>
                <w:sz w:val="20"/>
                <w:szCs w:val="20"/>
                <w:color w:val="auto"/>
                <w:w w:val="83"/>
              </w:rPr>
              <w:t>122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30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8.07</w:t>
            </w:r>
          </w:p>
        </w:tc>
        <w:tc>
          <w:tcPr>
            <w:tcW w:w="2360" w:type="dxa"/>
            <w:vAlign w:val="bottom"/>
            <w:tcBorders>
              <w:bottom w:val="single" w:sz="8" w:color="auto"/>
            </w:tcBorders>
            <w:gridSpan w:val="16"/>
          </w:tcPr>
          <w:p>
            <w:pPr>
              <w:spacing w:after="0"/>
              <w:rPr>
                <w:sz w:val="20"/>
                <w:szCs w:val="20"/>
                <w:color w:val="auto"/>
              </w:rPr>
            </w:pPr>
            <w:r>
              <w:rPr>
                <w:rFonts w:ascii="Arial" w:cs="Arial" w:eastAsia="Arial" w:hAnsi="Arial"/>
                <w:sz w:val="20"/>
                <w:szCs w:val="20"/>
                <w:color w:val="auto"/>
                <w:w w:val="88"/>
              </w:rPr>
              <w:t>Change in Nature of Business</w:t>
            </w:r>
          </w:p>
        </w:tc>
        <w:tc>
          <w:tcPr>
            <w:tcW w:w="580" w:type="dxa"/>
            <w:vAlign w:val="bottom"/>
            <w:gridSpan w:val="4"/>
          </w:tcPr>
          <w:p>
            <w:pPr>
              <w:jc w:val="right"/>
              <w:spacing w:after="0"/>
              <w:rPr>
                <w:sz w:val="20"/>
                <w:szCs w:val="20"/>
                <w:color w:val="auto"/>
              </w:rPr>
            </w:pPr>
            <w:r>
              <w:rPr>
                <w:rFonts w:ascii="Arial" w:cs="Arial" w:eastAsia="Arial" w:hAnsi="Arial"/>
                <w:sz w:val="20"/>
                <w:szCs w:val="20"/>
                <w:color w:val="auto"/>
              </w:rPr>
              <w:t>122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8.08</w:t>
            </w:r>
          </w:p>
        </w:tc>
        <w:tc>
          <w:tcPr>
            <w:tcW w:w="3260" w:type="dxa"/>
            <w:vAlign w:val="bottom"/>
            <w:gridSpan w:val="23"/>
          </w:tcPr>
          <w:p>
            <w:pPr>
              <w:spacing w:after="0"/>
              <w:rPr>
                <w:sz w:val="20"/>
                <w:szCs w:val="20"/>
                <w:color w:val="auto"/>
              </w:rPr>
            </w:pPr>
            <w:r>
              <w:rPr>
                <w:rFonts w:ascii="Arial" w:cs="Arial" w:eastAsia="Arial" w:hAnsi="Arial"/>
                <w:sz w:val="20"/>
                <w:szCs w:val="20"/>
                <w:color w:val="auto"/>
                <w:w w:val="92"/>
              </w:rPr>
              <w:t>Transactions with Affiliates and Insiders</w:t>
            </w:r>
          </w:p>
        </w:tc>
        <w:tc>
          <w:tcPr>
            <w:tcW w:w="1380" w:type="dxa"/>
            <w:vAlign w:val="bottom"/>
          </w:tcPr>
          <w:p>
            <w:pPr>
              <w:jc w:val="right"/>
              <w:ind w:right="841"/>
              <w:spacing w:after="0"/>
              <w:rPr>
                <w:sz w:val="20"/>
                <w:szCs w:val="20"/>
                <w:color w:val="auto"/>
              </w:rPr>
            </w:pPr>
            <w:r>
              <w:rPr>
                <w:rFonts w:ascii="Arial" w:cs="Arial" w:eastAsia="Arial" w:hAnsi="Arial"/>
                <w:sz w:val="20"/>
                <w:szCs w:val="20"/>
                <w:color w:val="auto"/>
              </w:rPr>
              <w:t>122</w:t>
            </w: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8.09</w:t>
            </w:r>
          </w:p>
        </w:tc>
        <w:tc>
          <w:tcPr>
            <w:tcW w:w="2040" w:type="dxa"/>
            <w:vAlign w:val="bottom"/>
            <w:tcBorders>
              <w:top w:val="single" w:sz="8" w:color="auto"/>
            </w:tcBorders>
            <w:gridSpan w:val="14"/>
          </w:tcPr>
          <w:p>
            <w:pPr>
              <w:spacing w:after="0"/>
              <w:rPr>
                <w:sz w:val="20"/>
                <w:szCs w:val="20"/>
                <w:color w:val="auto"/>
              </w:rPr>
            </w:pPr>
            <w:r>
              <w:rPr>
                <w:rFonts w:ascii="Arial" w:cs="Arial" w:eastAsia="Arial" w:hAnsi="Arial"/>
                <w:sz w:val="20"/>
                <w:szCs w:val="20"/>
                <w:color w:val="auto"/>
                <w:w w:val="89"/>
              </w:rPr>
              <w:t>Burdensome Agreements</w:t>
            </w:r>
          </w:p>
        </w:tc>
        <w:tc>
          <w:tcPr>
            <w:tcW w:w="600" w:type="dxa"/>
            <w:vAlign w:val="bottom"/>
            <w:tcBorders>
              <w:top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122</w:t>
            </w: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8.10</w:t>
            </w:r>
          </w:p>
        </w:tc>
        <w:tc>
          <w:tcPr>
            <w:tcW w:w="13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0"/>
                <w:szCs w:val="20"/>
                <w:color w:val="auto"/>
                <w:w w:val="86"/>
              </w:rPr>
              <w:t>Use of Proceeds</w:t>
            </w:r>
          </w:p>
        </w:tc>
        <w:tc>
          <w:tcPr>
            <w:tcW w:w="180" w:type="dxa"/>
            <w:vAlign w:val="bottom"/>
            <w:tcBorders>
              <w:top w:val="single" w:sz="8" w:color="auto"/>
            </w:tcBorders>
            <w:gridSpan w:val="2"/>
          </w:tcPr>
          <w:p>
            <w:pPr>
              <w:spacing w:after="0"/>
              <w:rPr>
                <w:sz w:val="24"/>
                <w:szCs w:val="24"/>
                <w:color w:val="auto"/>
              </w:rPr>
            </w:pPr>
          </w:p>
        </w:tc>
        <w:tc>
          <w:tcPr>
            <w:tcW w:w="3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20"/>
                <w:szCs w:val="20"/>
                <w:color w:val="auto"/>
                <w:w w:val="83"/>
              </w:rPr>
              <w:t>123</w:t>
            </w: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8.11</w:t>
            </w:r>
          </w:p>
        </w:tc>
        <w:tc>
          <w:tcPr>
            <w:tcW w:w="1820" w:type="dxa"/>
            <w:vAlign w:val="bottom"/>
            <w:gridSpan w:val="11"/>
          </w:tcPr>
          <w:p>
            <w:pPr>
              <w:spacing w:after="0"/>
              <w:rPr>
                <w:sz w:val="20"/>
                <w:szCs w:val="20"/>
                <w:color w:val="auto"/>
              </w:rPr>
            </w:pPr>
            <w:r>
              <w:rPr>
                <w:rFonts w:ascii="Arial" w:cs="Arial" w:eastAsia="Arial" w:hAnsi="Arial"/>
                <w:sz w:val="20"/>
                <w:szCs w:val="20"/>
                <w:color w:val="auto"/>
                <w:w w:val="99"/>
              </w:rPr>
              <w:t>Financial Covenants</w:t>
            </w:r>
          </w:p>
        </w:tc>
        <w:tc>
          <w:tcPr>
            <w:tcW w:w="380" w:type="dxa"/>
            <w:vAlign w:val="bottom"/>
            <w:gridSpan w:val="4"/>
          </w:tcPr>
          <w:p>
            <w:pPr>
              <w:jc w:val="right"/>
              <w:spacing w:after="0"/>
              <w:rPr>
                <w:sz w:val="20"/>
                <w:szCs w:val="20"/>
                <w:color w:val="auto"/>
              </w:rPr>
            </w:pPr>
            <w:r>
              <w:rPr>
                <w:rFonts w:ascii="Arial" w:cs="Arial" w:eastAsia="Arial" w:hAnsi="Arial"/>
                <w:sz w:val="20"/>
                <w:szCs w:val="20"/>
                <w:color w:val="auto"/>
                <w:w w:val="83"/>
              </w:rPr>
              <w:t>123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30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8.12</w:t>
            </w:r>
          </w:p>
        </w:tc>
        <w:tc>
          <w:tcPr>
            <w:tcW w:w="3120" w:type="dxa"/>
            <w:vAlign w:val="bottom"/>
            <w:tcBorders>
              <w:bottom w:val="single" w:sz="8" w:color="auto"/>
            </w:tcBorders>
            <w:gridSpan w:val="21"/>
          </w:tcPr>
          <w:p>
            <w:pPr>
              <w:spacing w:after="0"/>
              <w:rPr>
                <w:sz w:val="20"/>
                <w:szCs w:val="20"/>
                <w:color w:val="auto"/>
              </w:rPr>
            </w:pPr>
            <w:r>
              <w:rPr>
                <w:rFonts w:ascii="Arial" w:cs="Arial" w:eastAsia="Arial" w:hAnsi="Arial"/>
                <w:sz w:val="20"/>
                <w:szCs w:val="20"/>
                <w:color w:val="auto"/>
                <w:w w:val="88"/>
              </w:rPr>
              <w:t>Prepayment of Other Indebtedness, Etc</w:t>
            </w:r>
          </w:p>
        </w:tc>
        <w:tc>
          <w:tcPr>
            <w:tcW w:w="140" w:type="dxa"/>
            <w:vAlign w:val="bottom"/>
            <w:gridSpan w:val="2"/>
          </w:tcPr>
          <w:p>
            <w:pPr>
              <w:spacing w:after="0"/>
              <w:rPr>
                <w:sz w:val="24"/>
                <w:szCs w:val="24"/>
                <w:color w:val="auto"/>
              </w:rPr>
            </w:pPr>
          </w:p>
        </w:tc>
        <w:tc>
          <w:tcPr>
            <w:tcW w:w="1380" w:type="dxa"/>
            <w:vAlign w:val="bottom"/>
          </w:tcPr>
          <w:p>
            <w:pPr>
              <w:jc w:val="right"/>
              <w:ind w:right="941"/>
              <w:spacing w:after="0"/>
              <w:rPr>
                <w:sz w:val="20"/>
                <w:szCs w:val="20"/>
                <w:color w:val="auto"/>
              </w:rPr>
            </w:pPr>
            <w:r>
              <w:rPr>
                <w:rFonts w:ascii="Arial" w:cs="Arial" w:eastAsia="Arial" w:hAnsi="Arial"/>
                <w:sz w:val="20"/>
                <w:szCs w:val="20"/>
                <w:color w:val="auto"/>
                <w:w w:val="95"/>
              </w:rPr>
              <w:t>124</w:t>
            </w: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8.13</w:t>
            </w:r>
          </w:p>
        </w:tc>
        <w:tc>
          <w:tcPr>
            <w:tcW w:w="7700" w:type="dxa"/>
            <w:vAlign w:val="bottom"/>
            <w:gridSpan w:val="26"/>
          </w:tcPr>
          <w:p>
            <w:pPr>
              <w:spacing w:after="0"/>
              <w:rPr>
                <w:sz w:val="20"/>
                <w:szCs w:val="20"/>
                <w:color w:val="auto"/>
              </w:rPr>
            </w:pPr>
            <w:r>
              <w:rPr>
                <w:rFonts w:ascii="Arial" w:cs="Arial" w:eastAsia="Arial" w:hAnsi="Arial"/>
                <w:sz w:val="20"/>
                <w:szCs w:val="20"/>
                <w:color w:val="auto"/>
                <w:w w:val="91"/>
              </w:rPr>
              <w:t>Organization Documents; Fiscal Year; Legal Name, State of Formation and Form of Entity  124</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8.14</w:t>
            </w:r>
          </w:p>
        </w:tc>
        <w:tc>
          <w:tcPr>
            <w:tcW w:w="1480" w:type="dxa"/>
            <w:vAlign w:val="bottom"/>
            <w:tcBorders>
              <w:top w:val="single" w:sz="8" w:color="auto"/>
            </w:tcBorders>
            <w:gridSpan w:val="7"/>
          </w:tcPr>
          <w:p>
            <w:pPr>
              <w:spacing w:after="0"/>
              <w:rPr>
                <w:sz w:val="20"/>
                <w:szCs w:val="20"/>
                <w:color w:val="auto"/>
              </w:rPr>
            </w:pPr>
            <w:r>
              <w:rPr>
                <w:rFonts w:ascii="Arial" w:cs="Arial" w:eastAsia="Arial" w:hAnsi="Arial"/>
                <w:sz w:val="20"/>
                <w:szCs w:val="20"/>
                <w:color w:val="auto"/>
                <w:w w:val="95"/>
              </w:rPr>
              <w:t>Sale Leasebacks</w:t>
            </w:r>
          </w:p>
        </w:tc>
        <w:tc>
          <w:tcPr>
            <w:tcW w:w="3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20"/>
                <w:szCs w:val="20"/>
                <w:color w:val="auto"/>
                <w:w w:val="89"/>
              </w:rPr>
              <w:t>124</w:t>
            </w: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300" w:type="dxa"/>
            <w:vAlign w:val="bottom"/>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r>
      <w:tr>
        <w:trPr>
          <w:trHeight w:val="632"/>
        </w:trPr>
        <w:tc>
          <w:tcPr>
            <w:tcW w:w="9000" w:type="dxa"/>
            <w:vAlign w:val="bottom"/>
            <w:gridSpan w:val="27"/>
          </w:tcPr>
          <w:p>
            <w:pPr>
              <w:spacing w:after="0"/>
              <w:rPr>
                <w:sz w:val="20"/>
                <w:szCs w:val="20"/>
                <w:color w:val="auto"/>
              </w:rPr>
            </w:pPr>
            <w:r>
              <w:rPr>
                <w:rFonts w:ascii="Arial" w:cs="Arial" w:eastAsia="Arial" w:hAnsi="Arial"/>
                <w:sz w:val="20"/>
                <w:szCs w:val="20"/>
                <w:color w:val="auto"/>
              </w:rPr>
              <w:t>ARTICLE IX. EVENTS OF DEFAULT AND REMEDIES  124</w:t>
            </w: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9.01</w:t>
            </w:r>
          </w:p>
        </w:tc>
        <w:tc>
          <w:tcPr>
            <w:tcW w:w="1480" w:type="dxa"/>
            <w:vAlign w:val="bottom"/>
            <w:gridSpan w:val="7"/>
          </w:tcPr>
          <w:p>
            <w:pPr>
              <w:spacing w:after="0"/>
              <w:rPr>
                <w:sz w:val="20"/>
                <w:szCs w:val="20"/>
                <w:color w:val="auto"/>
              </w:rPr>
            </w:pPr>
            <w:r>
              <w:rPr>
                <w:rFonts w:ascii="Arial" w:cs="Arial" w:eastAsia="Arial" w:hAnsi="Arial"/>
                <w:sz w:val="20"/>
                <w:szCs w:val="20"/>
                <w:color w:val="auto"/>
                <w:w w:val="95"/>
              </w:rPr>
              <w:t>Events of Default</w:t>
            </w:r>
          </w:p>
        </w:tc>
        <w:tc>
          <w:tcPr>
            <w:tcW w:w="540" w:type="dxa"/>
            <w:vAlign w:val="bottom"/>
            <w:gridSpan w:val="6"/>
          </w:tcPr>
          <w:p>
            <w:pPr>
              <w:jc w:val="right"/>
              <w:ind w:right="120"/>
              <w:spacing w:after="0"/>
              <w:rPr>
                <w:sz w:val="20"/>
                <w:szCs w:val="20"/>
                <w:color w:val="auto"/>
              </w:rPr>
            </w:pPr>
            <w:r>
              <w:rPr>
                <w:rFonts w:ascii="Arial" w:cs="Arial" w:eastAsia="Arial" w:hAnsi="Arial"/>
                <w:sz w:val="20"/>
                <w:szCs w:val="20"/>
                <w:color w:val="auto"/>
              </w:rPr>
              <w:t>124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400" w:type="dxa"/>
            <w:vAlign w:val="bottom"/>
            <w:gridSpan w:val="6"/>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9.02</w:t>
            </w:r>
          </w:p>
        </w:tc>
        <w:tc>
          <w:tcPr>
            <w:tcW w:w="2780" w:type="dxa"/>
            <w:vAlign w:val="bottom"/>
            <w:gridSpan w:val="19"/>
          </w:tcPr>
          <w:p>
            <w:pPr>
              <w:spacing w:after="0"/>
              <w:rPr>
                <w:sz w:val="20"/>
                <w:szCs w:val="20"/>
                <w:color w:val="auto"/>
              </w:rPr>
            </w:pPr>
            <w:r>
              <w:rPr>
                <w:rFonts w:ascii="Arial" w:cs="Arial" w:eastAsia="Arial" w:hAnsi="Arial"/>
                <w:sz w:val="20"/>
                <w:szCs w:val="20"/>
                <w:color w:val="auto"/>
                <w:w w:val="94"/>
              </w:rPr>
              <w:t>Remedies Upon Event of Default</w:t>
            </w:r>
          </w:p>
        </w:tc>
        <w:tc>
          <w:tcPr>
            <w:tcW w:w="440" w:type="dxa"/>
            <w:vAlign w:val="bottom"/>
            <w:gridSpan w:val="3"/>
          </w:tcPr>
          <w:p>
            <w:pPr>
              <w:jc w:val="right"/>
              <w:ind w:right="80"/>
              <w:spacing w:after="0"/>
              <w:rPr>
                <w:sz w:val="20"/>
                <w:szCs w:val="20"/>
                <w:color w:val="auto"/>
              </w:rPr>
            </w:pPr>
            <w:r>
              <w:rPr>
                <w:rFonts w:ascii="Arial" w:cs="Arial" w:eastAsia="Arial" w:hAnsi="Arial"/>
                <w:sz w:val="20"/>
                <w:szCs w:val="20"/>
                <w:color w:val="auto"/>
              </w:rPr>
              <w:t>126</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9.03</w:t>
            </w:r>
          </w:p>
        </w:tc>
        <w:tc>
          <w:tcPr>
            <w:tcW w:w="1820" w:type="dxa"/>
            <w:vAlign w:val="bottom"/>
            <w:tcBorders>
              <w:top w:val="single" w:sz="8" w:color="auto"/>
            </w:tcBorders>
            <w:gridSpan w:val="11"/>
          </w:tcPr>
          <w:p>
            <w:pPr>
              <w:spacing w:after="0"/>
              <w:rPr>
                <w:sz w:val="20"/>
                <w:szCs w:val="20"/>
                <w:color w:val="auto"/>
              </w:rPr>
            </w:pPr>
            <w:r>
              <w:rPr>
                <w:rFonts w:ascii="Arial" w:cs="Arial" w:eastAsia="Arial" w:hAnsi="Arial"/>
                <w:sz w:val="20"/>
                <w:szCs w:val="20"/>
                <w:color w:val="auto"/>
                <w:w w:val="99"/>
              </w:rPr>
              <w:t>Application of Funds</w:t>
            </w:r>
          </w:p>
        </w:tc>
        <w:tc>
          <w:tcPr>
            <w:tcW w:w="380" w:type="dxa"/>
            <w:vAlign w:val="bottom"/>
            <w:tcBorders>
              <w:top w:val="single" w:sz="8" w:color="auto"/>
            </w:tcBorders>
            <w:gridSpan w:val="4"/>
          </w:tcPr>
          <w:p>
            <w:pPr>
              <w:jc w:val="right"/>
              <w:spacing w:after="0"/>
              <w:rPr>
                <w:sz w:val="20"/>
                <w:szCs w:val="20"/>
                <w:color w:val="auto"/>
              </w:rPr>
            </w:pPr>
            <w:r>
              <w:rPr>
                <w:rFonts w:ascii="Arial" w:cs="Arial" w:eastAsia="Arial" w:hAnsi="Arial"/>
                <w:sz w:val="20"/>
                <w:szCs w:val="20"/>
                <w:color w:val="auto"/>
              </w:rPr>
              <w:t>127</w:t>
            </w: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480" w:type="dxa"/>
            <w:vAlign w:val="bottom"/>
            <w:gridSpan w:val="7"/>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32"/>
        </w:trPr>
        <w:tc>
          <w:tcPr>
            <w:tcW w:w="3660" w:type="dxa"/>
            <w:vAlign w:val="bottom"/>
            <w:gridSpan w:val="17"/>
          </w:tcPr>
          <w:p>
            <w:pPr>
              <w:spacing w:after="0"/>
              <w:rPr>
                <w:sz w:val="20"/>
                <w:szCs w:val="20"/>
                <w:color w:val="auto"/>
              </w:rPr>
            </w:pPr>
            <w:r>
              <w:rPr>
                <w:rFonts w:ascii="Arial" w:cs="Arial" w:eastAsia="Arial" w:hAnsi="Arial"/>
                <w:sz w:val="20"/>
                <w:szCs w:val="20"/>
                <w:color w:val="auto"/>
              </w:rPr>
              <w:t>ARTICLE X. ADMINISTRATIVE AGENT</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auto"/>
                <w:w w:val="95"/>
              </w:rPr>
              <w:t>128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10.01</w:t>
            </w:r>
          </w:p>
        </w:tc>
        <w:tc>
          <w:tcPr>
            <w:tcW w:w="2360" w:type="dxa"/>
            <w:vAlign w:val="bottom"/>
            <w:gridSpan w:val="16"/>
          </w:tcPr>
          <w:p>
            <w:pPr>
              <w:spacing w:after="0"/>
              <w:rPr>
                <w:sz w:val="20"/>
                <w:szCs w:val="20"/>
                <w:color w:val="auto"/>
              </w:rPr>
            </w:pPr>
            <w:r>
              <w:rPr>
                <w:rFonts w:ascii="Arial" w:cs="Arial" w:eastAsia="Arial" w:hAnsi="Arial"/>
                <w:sz w:val="20"/>
                <w:szCs w:val="20"/>
                <w:color w:val="auto"/>
                <w:w w:val="99"/>
              </w:rPr>
              <w:t>Appointment and Authority</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auto"/>
                <w:w w:val="95"/>
              </w:rPr>
              <w:t>128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10.02</w:t>
            </w:r>
          </w:p>
        </w:tc>
        <w:tc>
          <w:tcPr>
            <w:tcW w:w="148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20"/>
                <w:szCs w:val="20"/>
                <w:color w:val="auto"/>
                <w:w w:val="86"/>
              </w:rPr>
              <w:t>Rights as a Lender</w:t>
            </w:r>
          </w:p>
        </w:tc>
        <w:tc>
          <w:tcPr>
            <w:tcW w:w="540" w:type="dxa"/>
            <w:vAlign w:val="bottom"/>
            <w:tcBorders>
              <w:top w:val="single" w:sz="8" w:color="auto"/>
            </w:tcBorders>
            <w:gridSpan w:val="6"/>
          </w:tcPr>
          <w:p>
            <w:pPr>
              <w:jc w:val="right"/>
              <w:ind w:right="40"/>
              <w:spacing w:after="0"/>
              <w:rPr>
                <w:sz w:val="20"/>
                <w:szCs w:val="20"/>
                <w:color w:val="auto"/>
              </w:rPr>
            </w:pPr>
            <w:r>
              <w:rPr>
                <w:rFonts w:ascii="Arial" w:cs="Arial" w:eastAsia="Arial" w:hAnsi="Arial"/>
                <w:sz w:val="20"/>
                <w:szCs w:val="20"/>
                <w:color w:val="auto"/>
              </w:rPr>
              <w:t>129</w:t>
            </w: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10.03</w:t>
            </w:r>
          </w:p>
        </w:tc>
        <w:tc>
          <w:tcPr>
            <w:tcW w:w="186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0"/>
              </w:rPr>
              <w:t>Exculpatory Provisions</w:t>
            </w:r>
          </w:p>
        </w:tc>
        <w:tc>
          <w:tcPr>
            <w:tcW w:w="18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auto"/>
                <w:w w:val="89"/>
              </w:rPr>
              <w:t>129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10.04</w:t>
            </w:r>
          </w:p>
        </w:tc>
        <w:tc>
          <w:tcPr>
            <w:tcW w:w="2780" w:type="dxa"/>
            <w:vAlign w:val="bottom"/>
            <w:gridSpan w:val="19"/>
          </w:tcPr>
          <w:p>
            <w:pPr>
              <w:spacing w:after="0"/>
              <w:rPr>
                <w:sz w:val="20"/>
                <w:szCs w:val="20"/>
                <w:color w:val="auto"/>
              </w:rPr>
            </w:pPr>
            <w:r>
              <w:rPr>
                <w:rFonts w:ascii="Arial" w:cs="Arial" w:eastAsia="Arial" w:hAnsi="Arial"/>
                <w:sz w:val="20"/>
                <w:szCs w:val="20"/>
                <w:color w:val="auto"/>
                <w:w w:val="94"/>
              </w:rPr>
              <w:t>Reliance by Administrative Agent</w:t>
            </w:r>
          </w:p>
        </w:tc>
        <w:tc>
          <w:tcPr>
            <w:tcW w:w="440" w:type="dxa"/>
            <w:vAlign w:val="bottom"/>
            <w:gridSpan w:val="3"/>
          </w:tcPr>
          <w:p>
            <w:pPr>
              <w:jc w:val="right"/>
              <w:ind w:right="20"/>
              <w:spacing w:after="0"/>
              <w:rPr>
                <w:sz w:val="20"/>
                <w:szCs w:val="20"/>
                <w:color w:val="auto"/>
              </w:rPr>
            </w:pPr>
            <w:r>
              <w:rPr>
                <w:rFonts w:ascii="Arial" w:cs="Arial" w:eastAsia="Arial" w:hAnsi="Arial"/>
                <w:sz w:val="20"/>
                <w:szCs w:val="20"/>
                <w:color w:val="auto"/>
              </w:rPr>
              <w:t>130</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10.05</w:t>
            </w:r>
          </w:p>
        </w:tc>
        <w:tc>
          <w:tcPr>
            <w:tcW w:w="168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0"/>
                <w:szCs w:val="20"/>
                <w:color w:val="auto"/>
                <w:w w:val="91"/>
              </w:rPr>
              <w:t>Delegation of Duties</w:t>
            </w:r>
          </w:p>
        </w:tc>
        <w:tc>
          <w:tcPr>
            <w:tcW w:w="140" w:type="dxa"/>
            <w:vAlign w:val="bottom"/>
            <w:tcBorders>
              <w:top w:val="single" w:sz="8" w:color="auto"/>
            </w:tcBorders>
            <w:gridSpan w:val="2"/>
          </w:tcPr>
          <w:p>
            <w:pPr>
              <w:spacing w:after="0"/>
              <w:rPr>
                <w:sz w:val="24"/>
                <w:szCs w:val="24"/>
                <w:color w:val="auto"/>
              </w:rPr>
            </w:pPr>
          </w:p>
        </w:tc>
        <w:tc>
          <w:tcPr>
            <w:tcW w:w="380" w:type="dxa"/>
            <w:vAlign w:val="bottom"/>
            <w:tcBorders>
              <w:top w:val="single" w:sz="8" w:color="auto"/>
            </w:tcBorders>
            <w:gridSpan w:val="4"/>
          </w:tcPr>
          <w:p>
            <w:pPr>
              <w:jc w:val="right"/>
              <w:spacing w:after="0"/>
              <w:rPr>
                <w:sz w:val="20"/>
                <w:szCs w:val="20"/>
                <w:color w:val="auto"/>
              </w:rPr>
            </w:pPr>
            <w:r>
              <w:rPr>
                <w:rFonts w:ascii="Arial" w:cs="Arial" w:eastAsia="Arial" w:hAnsi="Arial"/>
                <w:sz w:val="20"/>
                <w:szCs w:val="20"/>
                <w:color w:val="auto"/>
                <w:w w:val="89"/>
              </w:rPr>
              <w:t>130</w:t>
            </w: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10.06</w:t>
            </w:r>
          </w:p>
        </w:tc>
        <w:tc>
          <w:tcPr>
            <w:tcW w:w="7700" w:type="dxa"/>
            <w:vAlign w:val="bottom"/>
            <w:gridSpan w:val="26"/>
          </w:tcPr>
          <w:p>
            <w:pPr>
              <w:spacing w:after="0"/>
              <w:rPr>
                <w:sz w:val="20"/>
                <w:szCs w:val="20"/>
                <w:color w:val="auto"/>
              </w:rPr>
            </w:pPr>
            <w:r>
              <w:rPr>
                <w:rFonts w:ascii="Arial" w:cs="Arial" w:eastAsia="Arial" w:hAnsi="Arial"/>
                <w:sz w:val="20"/>
                <w:szCs w:val="20"/>
                <w:color w:val="auto"/>
              </w:rPr>
              <w:t>Resignation of Administrative Agent  130</w:t>
            </w:r>
          </w:p>
        </w:tc>
      </w:tr>
      <w:tr>
        <w:trPr>
          <w:trHeight w:val="20"/>
        </w:trPr>
        <w:tc>
          <w:tcPr>
            <w:tcW w:w="1300" w:type="dxa"/>
            <w:vAlign w:val="bottom"/>
          </w:tcPr>
          <w:p>
            <w:pPr>
              <w:spacing w:after="0" w:line="20" w:lineRule="exact"/>
              <w:rPr>
                <w:sz w:val="1"/>
                <w:szCs w:val="1"/>
                <w:color w:val="auto"/>
              </w:rPr>
            </w:pPr>
          </w:p>
        </w:tc>
        <w:tc>
          <w:tcPr>
            <w:tcW w:w="1680" w:type="dxa"/>
            <w:vAlign w:val="bottom"/>
            <w:tcBorders>
              <w:right w:val="single" w:sz="8" w:color="auto"/>
            </w:tcBorders>
            <w:gridSpan w:val="9"/>
            <w:shd w:val="clear" w:color="auto" w:fill="000000"/>
          </w:tcPr>
          <w:p>
            <w:pPr>
              <w:spacing w:after="0" w:line="20" w:lineRule="exact"/>
              <w:rPr>
                <w:sz w:val="1"/>
                <w:szCs w:val="1"/>
                <w:color w:val="auto"/>
              </w:rPr>
            </w:pPr>
          </w:p>
        </w:tc>
        <w:tc>
          <w:tcPr>
            <w:tcW w:w="1260" w:type="dxa"/>
            <w:vAlign w:val="bottom"/>
            <w:gridSpan w:val="11"/>
            <w:shd w:val="clear" w:color="auto" w:fill="000000"/>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10.07</w:t>
            </w:r>
          </w:p>
        </w:tc>
        <w:tc>
          <w:tcPr>
            <w:tcW w:w="7700" w:type="dxa"/>
            <w:vAlign w:val="bottom"/>
            <w:gridSpan w:val="26"/>
          </w:tcPr>
          <w:p>
            <w:pPr>
              <w:spacing w:after="0" w:line="230" w:lineRule="exact"/>
              <w:rPr>
                <w:sz w:val="20"/>
                <w:szCs w:val="20"/>
                <w:color w:val="auto"/>
              </w:rPr>
            </w:pPr>
            <w:r>
              <w:rPr>
                <w:rFonts w:ascii="Arial" w:cs="Arial" w:eastAsia="Arial" w:hAnsi="Arial"/>
                <w:sz w:val="20"/>
                <w:szCs w:val="20"/>
                <w:color w:val="auto"/>
              </w:rPr>
              <w:t>Non</w:t>
            </w:r>
            <w:r>
              <w:rPr>
                <w:rFonts w:ascii="MS PGothic" w:cs="MS PGothic" w:eastAsia="MS PGothic" w:hAnsi="MS PGothic"/>
                <w:sz w:val="20"/>
                <w:szCs w:val="20"/>
                <w:color w:val="auto"/>
              </w:rPr>
              <w:t>‑</w:t>
            </w:r>
            <w:r>
              <w:rPr>
                <w:rFonts w:ascii="Arial" w:cs="Arial" w:eastAsia="Arial" w:hAnsi="Arial"/>
                <w:sz w:val="20"/>
                <w:szCs w:val="20"/>
                <w:color w:val="auto"/>
              </w:rPr>
              <w:t>Reliance on Administrative Agent and Other Lenders  132</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10.08</w:t>
            </w:r>
          </w:p>
        </w:tc>
        <w:tc>
          <w:tcPr>
            <w:tcW w:w="1820" w:type="dxa"/>
            <w:vAlign w:val="bottom"/>
            <w:tcBorders>
              <w:top w:val="single" w:sz="8" w:color="auto"/>
            </w:tcBorders>
            <w:gridSpan w:val="11"/>
          </w:tcPr>
          <w:p>
            <w:pPr>
              <w:spacing w:after="0"/>
              <w:rPr>
                <w:sz w:val="20"/>
                <w:szCs w:val="20"/>
                <w:color w:val="auto"/>
              </w:rPr>
            </w:pPr>
            <w:r>
              <w:rPr>
                <w:rFonts w:ascii="Arial" w:cs="Arial" w:eastAsia="Arial" w:hAnsi="Arial"/>
                <w:sz w:val="20"/>
                <w:szCs w:val="20"/>
                <w:color w:val="auto"/>
                <w:w w:val="98"/>
              </w:rPr>
              <w:t>No Other Duties; Etc</w:t>
            </w:r>
          </w:p>
        </w:tc>
        <w:tc>
          <w:tcPr>
            <w:tcW w:w="380" w:type="dxa"/>
            <w:vAlign w:val="bottom"/>
            <w:tcBorders>
              <w:top w:val="single" w:sz="8" w:color="auto"/>
            </w:tcBorders>
            <w:gridSpan w:val="4"/>
          </w:tcPr>
          <w:p>
            <w:pPr>
              <w:jc w:val="right"/>
              <w:spacing w:after="0"/>
              <w:rPr>
                <w:sz w:val="20"/>
                <w:szCs w:val="20"/>
                <w:color w:val="auto"/>
              </w:rPr>
            </w:pPr>
            <w:r>
              <w:rPr>
                <w:rFonts w:ascii="Arial" w:cs="Arial" w:eastAsia="Arial" w:hAnsi="Arial"/>
                <w:sz w:val="20"/>
                <w:szCs w:val="20"/>
                <w:color w:val="auto"/>
              </w:rPr>
              <w:t>132</w:t>
            </w: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219"/>
          </w:cols>
          <w:pgMar w:left="240" w:top="987"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20"/>
                <w:szCs w:val="20"/>
                <w:color w:val="auto"/>
              </w:rPr>
              <w:t>10.09</w:t>
            </w:r>
          </w:p>
        </w:tc>
        <w:tc>
          <w:tcPr>
            <w:tcW w:w="3980" w:type="dxa"/>
            <w:vAlign w:val="bottom"/>
            <w:gridSpan w:val="22"/>
          </w:tcPr>
          <w:p>
            <w:pPr>
              <w:spacing w:after="0"/>
              <w:rPr>
                <w:sz w:val="20"/>
                <w:szCs w:val="20"/>
                <w:color w:val="auto"/>
              </w:rPr>
            </w:pPr>
            <w:r>
              <w:rPr>
                <w:rFonts w:ascii="Arial" w:cs="Arial" w:eastAsia="Arial" w:hAnsi="Arial"/>
                <w:sz w:val="20"/>
                <w:szCs w:val="20"/>
                <w:color w:val="auto"/>
                <w:w w:val="97"/>
              </w:rPr>
              <w:t>Administrative Agent May File Proofs of Claim</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10.10</w:t>
            </w:r>
          </w:p>
        </w:tc>
        <w:tc>
          <w:tcPr>
            <w:tcW w:w="2700" w:type="dxa"/>
            <w:vAlign w:val="bottom"/>
            <w:tcBorders>
              <w:top w:val="single" w:sz="8" w:color="auto"/>
            </w:tcBorders>
            <w:gridSpan w:val="13"/>
          </w:tcPr>
          <w:p>
            <w:pPr>
              <w:spacing w:after="0"/>
              <w:rPr>
                <w:sz w:val="20"/>
                <w:szCs w:val="20"/>
                <w:color w:val="auto"/>
              </w:rPr>
            </w:pPr>
            <w:r>
              <w:rPr>
                <w:rFonts w:ascii="Arial" w:cs="Arial" w:eastAsia="Arial" w:hAnsi="Arial"/>
                <w:sz w:val="20"/>
                <w:szCs w:val="20"/>
                <w:color w:val="auto"/>
                <w:w w:val="94"/>
              </w:rPr>
              <w:t>Collateral and Guaranty Matters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133</w:t>
            </w: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10.11</w:t>
            </w:r>
          </w:p>
        </w:tc>
        <w:tc>
          <w:tcPr>
            <w:tcW w:w="4480" w:type="dxa"/>
            <w:vAlign w:val="bottom"/>
            <w:gridSpan w:val="25"/>
          </w:tcPr>
          <w:p>
            <w:pPr>
              <w:spacing w:after="0"/>
              <w:rPr>
                <w:sz w:val="20"/>
                <w:szCs w:val="20"/>
                <w:color w:val="auto"/>
              </w:rPr>
            </w:pPr>
            <w:r>
              <w:rPr>
                <w:rFonts w:ascii="Arial" w:cs="Arial" w:eastAsia="Arial" w:hAnsi="Arial"/>
                <w:sz w:val="20"/>
                <w:szCs w:val="20"/>
                <w:color w:val="auto"/>
                <w:w w:val="89"/>
              </w:rPr>
              <w:t>Treasury Management Agreements and Swap Contracts</w:t>
            </w:r>
          </w:p>
        </w:tc>
        <w:tc>
          <w:tcPr>
            <w:tcW w:w="900" w:type="dxa"/>
            <w:vAlign w:val="bottom"/>
          </w:tcPr>
          <w:p>
            <w:pPr>
              <w:jc w:val="right"/>
              <w:ind w:right="361"/>
              <w:spacing w:after="0"/>
              <w:rPr>
                <w:sz w:val="20"/>
                <w:szCs w:val="20"/>
                <w:color w:val="auto"/>
              </w:rPr>
            </w:pPr>
            <w:r>
              <w:rPr>
                <w:rFonts w:ascii="Arial" w:cs="Arial" w:eastAsia="Arial" w:hAnsi="Arial"/>
                <w:sz w:val="20"/>
                <w:szCs w:val="20"/>
                <w:color w:val="auto"/>
              </w:rPr>
              <w:t>134</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32"/>
        </w:trPr>
        <w:tc>
          <w:tcPr>
            <w:tcW w:w="2900" w:type="dxa"/>
            <w:vAlign w:val="bottom"/>
            <w:gridSpan w:val="7"/>
          </w:tcPr>
          <w:p>
            <w:pPr>
              <w:spacing w:after="0"/>
              <w:rPr>
                <w:sz w:val="20"/>
                <w:szCs w:val="20"/>
                <w:color w:val="auto"/>
              </w:rPr>
            </w:pPr>
            <w:r>
              <w:rPr>
                <w:rFonts w:ascii="Arial" w:cs="Arial" w:eastAsia="Arial" w:hAnsi="Arial"/>
                <w:sz w:val="20"/>
                <w:szCs w:val="20"/>
                <w:color w:val="auto"/>
                <w:w w:val="99"/>
              </w:rPr>
              <w:t>ARTICLE XI. MISCELLANEOUS</w:t>
            </w:r>
          </w:p>
        </w:tc>
        <w:tc>
          <w:tcPr>
            <w:tcW w:w="480" w:type="dxa"/>
            <w:vAlign w:val="bottom"/>
            <w:gridSpan w:val="4"/>
          </w:tcPr>
          <w:p>
            <w:pPr>
              <w:jc w:val="right"/>
              <w:ind w:right="40"/>
              <w:spacing w:after="0"/>
              <w:rPr>
                <w:sz w:val="20"/>
                <w:szCs w:val="20"/>
                <w:color w:val="auto"/>
              </w:rPr>
            </w:pPr>
            <w:r>
              <w:rPr>
                <w:rFonts w:ascii="Arial" w:cs="Arial" w:eastAsia="Arial" w:hAnsi="Arial"/>
                <w:sz w:val="20"/>
                <w:szCs w:val="20"/>
                <w:color w:val="auto"/>
              </w:rPr>
              <w:t>135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47"/>
        </w:trPr>
        <w:tc>
          <w:tcPr>
            <w:tcW w:w="1300" w:type="dxa"/>
            <w:vAlign w:val="bottom"/>
          </w:tcPr>
          <w:p>
            <w:pPr>
              <w:ind w:left="660"/>
              <w:spacing w:after="0"/>
              <w:rPr>
                <w:sz w:val="20"/>
                <w:szCs w:val="20"/>
                <w:color w:val="auto"/>
              </w:rPr>
            </w:pPr>
            <w:r>
              <w:rPr>
                <w:rFonts w:ascii="Arial" w:cs="Arial" w:eastAsia="Arial" w:hAnsi="Arial"/>
                <w:sz w:val="20"/>
                <w:szCs w:val="20"/>
                <w:color w:val="auto"/>
              </w:rPr>
              <w:t>11.01</w:t>
            </w:r>
          </w:p>
        </w:tc>
        <w:tc>
          <w:tcPr>
            <w:tcW w:w="1600" w:type="dxa"/>
            <w:vAlign w:val="bottom"/>
            <w:gridSpan w:val="6"/>
          </w:tcPr>
          <w:p>
            <w:pPr>
              <w:spacing w:after="0"/>
              <w:rPr>
                <w:sz w:val="20"/>
                <w:szCs w:val="20"/>
                <w:color w:val="auto"/>
              </w:rPr>
            </w:pPr>
            <w:r>
              <w:rPr>
                <w:rFonts w:ascii="Arial" w:cs="Arial" w:eastAsia="Arial" w:hAnsi="Arial"/>
                <w:sz w:val="20"/>
                <w:szCs w:val="20"/>
                <w:color w:val="auto"/>
              </w:rPr>
              <w:t>Amendments, Etc</w:t>
            </w:r>
          </w:p>
        </w:tc>
        <w:tc>
          <w:tcPr>
            <w:tcW w:w="340" w:type="dxa"/>
            <w:vAlign w:val="bottom"/>
            <w:gridSpan w:val="3"/>
          </w:tcPr>
          <w:p>
            <w:pPr>
              <w:jc w:val="right"/>
              <w:ind w:right="20"/>
              <w:spacing w:after="0"/>
              <w:rPr>
                <w:sz w:val="20"/>
                <w:szCs w:val="20"/>
                <w:color w:val="auto"/>
              </w:rPr>
            </w:pPr>
            <w:r>
              <w:rPr>
                <w:rFonts w:ascii="Arial" w:cs="Arial" w:eastAsia="Arial" w:hAnsi="Arial"/>
                <w:sz w:val="20"/>
                <w:szCs w:val="20"/>
                <w:color w:val="auto"/>
                <w:w w:val="89"/>
              </w:rPr>
              <w:t>135</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11.02</w:t>
            </w:r>
          </w:p>
        </w:tc>
        <w:tc>
          <w:tcPr>
            <w:tcW w:w="4320" w:type="dxa"/>
            <w:vAlign w:val="bottom"/>
            <w:tcBorders>
              <w:bottom w:val="single" w:sz="8" w:color="auto"/>
            </w:tcBorders>
            <w:gridSpan w:val="23"/>
          </w:tcPr>
          <w:p>
            <w:pPr>
              <w:spacing w:after="0"/>
              <w:rPr>
                <w:sz w:val="20"/>
                <w:szCs w:val="20"/>
                <w:color w:val="auto"/>
              </w:rPr>
            </w:pPr>
            <w:r>
              <w:rPr>
                <w:rFonts w:ascii="Arial" w:cs="Arial" w:eastAsia="Arial" w:hAnsi="Arial"/>
                <w:sz w:val="20"/>
                <w:szCs w:val="20"/>
                <w:color w:val="auto"/>
                <w:w w:val="89"/>
              </w:rPr>
              <w:t>Notices and Other Communications; Facsimile Copies</w:t>
            </w:r>
          </w:p>
        </w:tc>
        <w:tc>
          <w:tcPr>
            <w:tcW w:w="160" w:type="dxa"/>
            <w:vAlign w:val="bottom"/>
            <w:gridSpan w:val="2"/>
          </w:tcPr>
          <w:p>
            <w:pPr>
              <w:spacing w:after="0"/>
              <w:rPr>
                <w:sz w:val="24"/>
                <w:szCs w:val="24"/>
                <w:color w:val="auto"/>
              </w:rPr>
            </w:pPr>
          </w:p>
        </w:tc>
        <w:tc>
          <w:tcPr>
            <w:tcW w:w="900" w:type="dxa"/>
            <w:vAlign w:val="bottom"/>
          </w:tcPr>
          <w:p>
            <w:pPr>
              <w:jc w:val="right"/>
              <w:ind w:right="461"/>
              <w:spacing w:after="0"/>
              <w:rPr>
                <w:sz w:val="20"/>
                <w:szCs w:val="20"/>
                <w:color w:val="auto"/>
              </w:rPr>
            </w:pPr>
            <w:r>
              <w:rPr>
                <w:rFonts w:ascii="Arial" w:cs="Arial" w:eastAsia="Arial" w:hAnsi="Arial"/>
                <w:sz w:val="20"/>
                <w:szCs w:val="20"/>
                <w:color w:val="auto"/>
                <w:w w:val="95"/>
              </w:rPr>
              <w:t>138</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11.03</w:t>
            </w:r>
          </w:p>
        </w:tc>
        <w:tc>
          <w:tcPr>
            <w:tcW w:w="3980" w:type="dxa"/>
            <w:vAlign w:val="bottom"/>
            <w:gridSpan w:val="22"/>
          </w:tcPr>
          <w:p>
            <w:pPr>
              <w:spacing w:after="0"/>
              <w:rPr>
                <w:sz w:val="20"/>
                <w:szCs w:val="20"/>
                <w:color w:val="auto"/>
              </w:rPr>
            </w:pPr>
            <w:r>
              <w:rPr>
                <w:rFonts w:ascii="Arial" w:cs="Arial" w:eastAsia="Arial" w:hAnsi="Arial"/>
                <w:sz w:val="20"/>
                <w:szCs w:val="20"/>
                <w:color w:val="auto"/>
                <w:w w:val="93"/>
              </w:rPr>
              <w:t>No Waiver; Cumulative Remedies; Enforcement</w:t>
            </w:r>
          </w:p>
        </w:tc>
        <w:tc>
          <w:tcPr>
            <w:tcW w:w="440" w:type="dxa"/>
            <w:vAlign w:val="bottom"/>
            <w:gridSpan w:val="2"/>
          </w:tcPr>
          <w:p>
            <w:pPr>
              <w:jc w:val="right"/>
              <w:ind w:right="80"/>
              <w:spacing w:after="0"/>
              <w:rPr>
                <w:sz w:val="20"/>
                <w:szCs w:val="20"/>
                <w:color w:val="auto"/>
              </w:rPr>
            </w:pPr>
            <w:r>
              <w:rPr>
                <w:rFonts w:ascii="Arial" w:cs="Arial" w:eastAsia="Arial" w:hAnsi="Arial"/>
                <w:sz w:val="20"/>
                <w:szCs w:val="20"/>
                <w:color w:val="auto"/>
              </w:rPr>
              <w:t>140</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11.04</w:t>
            </w:r>
          </w:p>
        </w:tc>
        <w:tc>
          <w:tcPr>
            <w:tcW w:w="3520" w:type="dxa"/>
            <w:vAlign w:val="bottom"/>
            <w:gridSpan w:val="18"/>
          </w:tcPr>
          <w:p>
            <w:pPr>
              <w:spacing w:after="0"/>
              <w:rPr>
                <w:sz w:val="20"/>
                <w:szCs w:val="20"/>
                <w:color w:val="auto"/>
              </w:rPr>
            </w:pPr>
            <w:r>
              <w:rPr>
                <w:rFonts w:ascii="Arial" w:cs="Arial" w:eastAsia="Arial" w:hAnsi="Arial"/>
                <w:sz w:val="20"/>
                <w:szCs w:val="20"/>
                <w:color w:val="auto"/>
                <w:w w:val="92"/>
              </w:rPr>
              <w:t>Expenses; Indemnity; and Damage Waiver</w:t>
            </w:r>
          </w:p>
        </w:tc>
        <w:tc>
          <w:tcPr>
            <w:tcW w:w="440" w:type="dxa"/>
            <w:vAlign w:val="bottom"/>
            <w:gridSpan w:val="3"/>
          </w:tcPr>
          <w:p>
            <w:pPr>
              <w:jc w:val="right"/>
              <w:ind w:right="80"/>
              <w:spacing w:after="0"/>
              <w:rPr>
                <w:sz w:val="20"/>
                <w:szCs w:val="20"/>
                <w:color w:val="auto"/>
              </w:rPr>
            </w:pPr>
            <w:r>
              <w:rPr>
                <w:rFonts w:ascii="Arial" w:cs="Arial" w:eastAsia="Arial" w:hAnsi="Arial"/>
                <w:sz w:val="20"/>
                <w:szCs w:val="20"/>
                <w:color w:val="auto"/>
              </w:rPr>
              <w:t>140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11.05</w:t>
            </w:r>
          </w:p>
        </w:tc>
        <w:tc>
          <w:tcPr>
            <w:tcW w:w="16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0"/>
                <w:szCs w:val="20"/>
                <w:color w:val="auto"/>
                <w:w w:val="87"/>
              </w:rPr>
              <w:t>Payments Set Aside</w:t>
            </w:r>
          </w:p>
        </w:tc>
        <w:tc>
          <w:tcPr>
            <w:tcW w:w="480" w:type="dxa"/>
            <w:vAlign w:val="bottom"/>
            <w:tcBorders>
              <w:top w:val="single" w:sz="8" w:color="auto"/>
            </w:tcBorders>
            <w:gridSpan w:val="4"/>
          </w:tcPr>
          <w:p>
            <w:pPr>
              <w:jc w:val="right"/>
              <w:spacing w:after="0"/>
              <w:rPr>
                <w:sz w:val="20"/>
                <w:szCs w:val="20"/>
                <w:color w:val="auto"/>
              </w:rPr>
            </w:pPr>
            <w:r>
              <w:rPr>
                <w:rFonts w:ascii="Arial" w:cs="Arial" w:eastAsia="Arial" w:hAnsi="Arial"/>
                <w:sz w:val="20"/>
                <w:szCs w:val="20"/>
                <w:color w:val="auto"/>
              </w:rPr>
              <w:t>142</w:t>
            </w: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11.06</w:t>
            </w:r>
          </w:p>
        </w:tc>
        <w:tc>
          <w:tcPr>
            <w:tcW w:w="2080" w:type="dxa"/>
            <w:vAlign w:val="bottom"/>
            <w:gridSpan w:val="10"/>
          </w:tcPr>
          <w:p>
            <w:pPr>
              <w:spacing w:after="0"/>
              <w:rPr>
                <w:sz w:val="20"/>
                <w:szCs w:val="20"/>
                <w:color w:val="auto"/>
              </w:rPr>
            </w:pPr>
            <w:r>
              <w:rPr>
                <w:rFonts w:ascii="Arial" w:cs="Arial" w:eastAsia="Arial" w:hAnsi="Arial"/>
                <w:sz w:val="20"/>
                <w:szCs w:val="20"/>
                <w:color w:val="auto"/>
                <w:w w:val="94"/>
              </w:rPr>
              <w:t>Successors and Assigns</w:t>
            </w:r>
          </w:p>
        </w:tc>
        <w:tc>
          <w:tcPr>
            <w:tcW w:w="460" w:type="dxa"/>
            <w:vAlign w:val="bottom"/>
          </w:tcPr>
          <w:p>
            <w:pPr>
              <w:jc w:val="right"/>
              <w:ind w:right="61"/>
              <w:spacing w:after="0"/>
              <w:rPr>
                <w:sz w:val="20"/>
                <w:szCs w:val="20"/>
                <w:color w:val="auto"/>
              </w:rPr>
            </w:pPr>
            <w:r>
              <w:rPr>
                <w:rFonts w:ascii="Arial" w:cs="Arial" w:eastAsia="Arial" w:hAnsi="Arial"/>
                <w:sz w:val="20"/>
                <w:szCs w:val="20"/>
                <w:color w:val="auto"/>
                <w:w w:val="83"/>
              </w:rPr>
              <w:t>142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11.07</w:t>
            </w:r>
          </w:p>
        </w:tc>
        <w:tc>
          <w:tcPr>
            <w:tcW w:w="3980" w:type="dxa"/>
            <w:vAlign w:val="bottom"/>
            <w:gridSpan w:val="22"/>
          </w:tcPr>
          <w:p>
            <w:pPr>
              <w:spacing w:after="0"/>
              <w:rPr>
                <w:sz w:val="20"/>
                <w:szCs w:val="20"/>
                <w:color w:val="auto"/>
              </w:rPr>
            </w:pPr>
            <w:r>
              <w:rPr>
                <w:rFonts w:ascii="Arial" w:cs="Arial" w:eastAsia="Arial" w:hAnsi="Arial"/>
                <w:sz w:val="20"/>
                <w:szCs w:val="20"/>
                <w:color w:val="auto"/>
                <w:w w:val="93"/>
              </w:rPr>
              <w:t>Treatment of Certain Information; Confidentiality</w:t>
            </w:r>
          </w:p>
        </w:tc>
        <w:tc>
          <w:tcPr>
            <w:tcW w:w="500" w:type="dxa"/>
            <w:vAlign w:val="bottom"/>
            <w:gridSpan w:val="3"/>
          </w:tcPr>
          <w:p>
            <w:pPr>
              <w:jc w:val="right"/>
              <w:ind w:right="40"/>
              <w:spacing w:after="0"/>
              <w:rPr>
                <w:sz w:val="20"/>
                <w:szCs w:val="20"/>
                <w:color w:val="auto"/>
              </w:rPr>
            </w:pPr>
            <w:r>
              <w:rPr>
                <w:rFonts w:ascii="Arial" w:cs="Arial" w:eastAsia="Arial" w:hAnsi="Arial"/>
                <w:sz w:val="20"/>
                <w:szCs w:val="20"/>
                <w:color w:val="auto"/>
              </w:rPr>
              <w:t>147</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11.08</w:t>
            </w:r>
          </w:p>
        </w:tc>
        <w:tc>
          <w:tcPr>
            <w:tcW w:w="1600" w:type="dxa"/>
            <w:vAlign w:val="bottom"/>
            <w:tcBorders>
              <w:top w:val="single" w:sz="8" w:color="auto"/>
            </w:tcBorders>
            <w:gridSpan w:val="6"/>
          </w:tcPr>
          <w:p>
            <w:pPr>
              <w:spacing w:after="0" w:line="230" w:lineRule="exact"/>
              <w:rPr>
                <w:sz w:val="20"/>
                <w:szCs w:val="20"/>
                <w:color w:val="auto"/>
              </w:rPr>
            </w:pPr>
            <w:r>
              <w:rPr>
                <w:rFonts w:ascii="Arial" w:cs="Arial" w:eastAsia="Arial" w:hAnsi="Arial"/>
                <w:sz w:val="20"/>
                <w:szCs w:val="20"/>
                <w:color w:val="auto"/>
              </w:rPr>
              <w:t>Set</w:t>
            </w:r>
            <w:r>
              <w:rPr>
                <w:rFonts w:ascii="MS PGothic" w:cs="MS PGothic" w:eastAsia="MS PGothic" w:hAnsi="MS PGothic"/>
                <w:sz w:val="20"/>
                <w:szCs w:val="20"/>
                <w:color w:val="auto"/>
              </w:rPr>
              <w:t>‑</w:t>
            </w:r>
            <w:r>
              <w:rPr>
                <w:rFonts w:ascii="Arial" w:cs="Arial" w:eastAsia="Arial" w:hAnsi="Arial"/>
                <w:sz w:val="20"/>
                <w:szCs w:val="20"/>
                <w:color w:val="auto"/>
              </w:rPr>
              <w:t>off  148</w:t>
            </w: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11.09</w:t>
            </w:r>
          </w:p>
        </w:tc>
        <w:tc>
          <w:tcPr>
            <w:tcW w:w="190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91"/>
              </w:rPr>
              <w:t>Interest Rate Limitation</w:t>
            </w:r>
          </w:p>
        </w:tc>
        <w:tc>
          <w:tcPr>
            <w:tcW w:w="180" w:type="dxa"/>
            <w:vAlign w:val="bottom"/>
            <w:gridSpan w:val="2"/>
          </w:tcPr>
          <w:p>
            <w:pPr>
              <w:spacing w:after="0"/>
              <w:rPr>
                <w:sz w:val="24"/>
                <w:szCs w:val="24"/>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w w:val="89"/>
              </w:rPr>
              <w:t>149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11.10</w:t>
            </w:r>
          </w:p>
        </w:tc>
        <w:tc>
          <w:tcPr>
            <w:tcW w:w="316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89"/>
              </w:rPr>
              <w:t>Counterparts; Integration; Effectiveness</w:t>
            </w:r>
          </w:p>
        </w:tc>
        <w:tc>
          <w:tcPr>
            <w:tcW w:w="640" w:type="dxa"/>
            <w:vAlign w:val="bottom"/>
            <w:gridSpan w:val="4"/>
          </w:tcPr>
          <w:p>
            <w:pPr>
              <w:jc w:val="right"/>
              <w:ind w:right="41"/>
              <w:spacing w:after="0"/>
              <w:rPr>
                <w:sz w:val="20"/>
                <w:szCs w:val="20"/>
                <w:color w:val="auto"/>
              </w:rPr>
            </w:pPr>
            <w:r>
              <w:rPr>
                <w:rFonts w:ascii="Arial" w:cs="Arial" w:eastAsia="Arial" w:hAnsi="Arial"/>
                <w:sz w:val="20"/>
                <w:szCs w:val="20"/>
                <w:color w:val="auto"/>
              </w:rPr>
              <w:t>149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11.11</w:t>
            </w:r>
          </w:p>
        </w:tc>
        <w:tc>
          <w:tcPr>
            <w:tcW w:w="3520" w:type="dxa"/>
            <w:vAlign w:val="bottom"/>
            <w:gridSpan w:val="18"/>
          </w:tcPr>
          <w:p>
            <w:pPr>
              <w:spacing w:after="0"/>
              <w:rPr>
                <w:sz w:val="20"/>
                <w:szCs w:val="20"/>
                <w:color w:val="auto"/>
              </w:rPr>
            </w:pPr>
            <w:r>
              <w:rPr>
                <w:rFonts w:ascii="Arial" w:cs="Arial" w:eastAsia="Arial" w:hAnsi="Arial"/>
                <w:sz w:val="20"/>
                <w:szCs w:val="20"/>
                <w:color w:val="auto"/>
                <w:w w:val="90"/>
              </w:rPr>
              <w:t>Survival of Representations and Warranties</w:t>
            </w:r>
          </w:p>
        </w:tc>
        <w:tc>
          <w:tcPr>
            <w:tcW w:w="440" w:type="dxa"/>
            <w:vAlign w:val="bottom"/>
            <w:gridSpan w:val="3"/>
          </w:tcPr>
          <w:p>
            <w:pPr>
              <w:jc w:val="right"/>
              <w:ind w:right="20"/>
              <w:spacing w:after="0"/>
              <w:rPr>
                <w:sz w:val="20"/>
                <w:szCs w:val="20"/>
                <w:color w:val="auto"/>
              </w:rPr>
            </w:pPr>
            <w:r>
              <w:rPr>
                <w:rFonts w:ascii="Arial" w:cs="Arial" w:eastAsia="Arial" w:hAnsi="Arial"/>
                <w:sz w:val="20"/>
                <w:szCs w:val="20"/>
                <w:color w:val="auto"/>
              </w:rPr>
              <w:t>149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11.12</w:t>
            </w:r>
          </w:p>
        </w:tc>
        <w:tc>
          <w:tcPr>
            <w:tcW w:w="1600" w:type="dxa"/>
            <w:vAlign w:val="bottom"/>
            <w:tcBorders>
              <w:top w:val="single" w:sz="8" w:color="auto"/>
            </w:tcBorders>
            <w:gridSpan w:val="6"/>
          </w:tcPr>
          <w:p>
            <w:pPr>
              <w:spacing w:after="0"/>
              <w:rPr>
                <w:sz w:val="20"/>
                <w:szCs w:val="20"/>
                <w:color w:val="auto"/>
              </w:rPr>
            </w:pPr>
            <w:r>
              <w:rPr>
                <w:rFonts w:ascii="Arial" w:cs="Arial" w:eastAsia="Arial" w:hAnsi="Arial"/>
                <w:sz w:val="20"/>
                <w:szCs w:val="20"/>
                <w:color w:val="auto"/>
              </w:rPr>
              <w:t>Severability  149</w:t>
            </w: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11.13</w:t>
            </w:r>
          </w:p>
        </w:tc>
        <w:tc>
          <w:tcPr>
            <w:tcW w:w="194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88"/>
              </w:rPr>
              <w:t>Replacement of Lenders</w:t>
            </w:r>
          </w:p>
        </w:tc>
        <w:tc>
          <w:tcPr>
            <w:tcW w:w="140" w:type="dxa"/>
            <w:vAlign w:val="bottom"/>
          </w:tcPr>
          <w:p>
            <w:pPr>
              <w:spacing w:after="0"/>
              <w:rPr>
                <w:sz w:val="24"/>
                <w:szCs w:val="24"/>
                <w:color w:val="auto"/>
              </w:rPr>
            </w:pP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150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11.14</w:t>
            </w:r>
          </w:p>
        </w:tc>
        <w:tc>
          <w:tcPr>
            <w:tcW w:w="2700" w:type="dxa"/>
            <w:vAlign w:val="bottom"/>
            <w:gridSpan w:val="13"/>
          </w:tcPr>
          <w:p>
            <w:pPr>
              <w:spacing w:after="0"/>
              <w:rPr>
                <w:sz w:val="20"/>
                <w:szCs w:val="20"/>
                <w:color w:val="auto"/>
              </w:rPr>
            </w:pPr>
            <w:r>
              <w:rPr>
                <w:rFonts w:ascii="Arial" w:cs="Arial" w:eastAsia="Arial" w:hAnsi="Arial"/>
                <w:sz w:val="20"/>
                <w:szCs w:val="20"/>
                <w:color w:val="auto"/>
                <w:w w:val="93"/>
              </w:rPr>
              <w:t>Governing Law; Jurisdiction; Etc</w:t>
            </w:r>
          </w:p>
        </w:tc>
        <w:tc>
          <w:tcPr>
            <w:tcW w:w="460" w:type="dxa"/>
            <w:vAlign w:val="bottom"/>
            <w:gridSpan w:val="2"/>
          </w:tcPr>
          <w:p>
            <w:pPr>
              <w:jc w:val="right"/>
              <w:ind w:right="20"/>
              <w:spacing w:after="0"/>
              <w:rPr>
                <w:sz w:val="20"/>
                <w:szCs w:val="20"/>
                <w:color w:val="auto"/>
              </w:rPr>
            </w:pPr>
            <w:r>
              <w:rPr>
                <w:rFonts w:ascii="Arial" w:cs="Arial" w:eastAsia="Arial" w:hAnsi="Arial"/>
                <w:sz w:val="20"/>
                <w:szCs w:val="20"/>
                <w:color w:val="auto"/>
              </w:rPr>
              <w:t>151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11.15</w:t>
            </w:r>
          </w:p>
        </w:tc>
        <w:tc>
          <w:tcPr>
            <w:tcW w:w="2640" w:type="dxa"/>
            <w:vAlign w:val="bottom"/>
            <w:tcBorders>
              <w:top w:val="single" w:sz="8" w:color="auto"/>
            </w:tcBorders>
            <w:gridSpan w:val="12"/>
          </w:tcPr>
          <w:p>
            <w:pPr>
              <w:spacing w:after="0"/>
              <w:rPr>
                <w:sz w:val="20"/>
                <w:szCs w:val="20"/>
                <w:color w:val="auto"/>
              </w:rPr>
            </w:pPr>
            <w:r>
              <w:rPr>
                <w:rFonts w:ascii="Arial" w:cs="Arial" w:eastAsia="Arial" w:hAnsi="Arial"/>
                <w:sz w:val="20"/>
                <w:szCs w:val="20"/>
                <w:color w:val="auto"/>
                <w:w w:val="95"/>
              </w:rPr>
              <w:t>Waiver of Right to Trial by Jury</w:t>
            </w:r>
          </w:p>
        </w:tc>
        <w:tc>
          <w:tcPr>
            <w:tcW w:w="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w w:val="95"/>
              </w:rPr>
              <w:t>151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8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11.16</w:t>
            </w:r>
          </w:p>
        </w:tc>
        <w:tc>
          <w:tcPr>
            <w:tcW w:w="6220" w:type="dxa"/>
            <w:vAlign w:val="bottom"/>
            <w:gridSpan w:val="28"/>
          </w:tcPr>
          <w:p>
            <w:pPr>
              <w:spacing w:after="0"/>
              <w:rPr>
                <w:sz w:val="20"/>
                <w:szCs w:val="20"/>
                <w:color w:val="auto"/>
              </w:rPr>
            </w:pPr>
            <w:r>
              <w:rPr>
                <w:rFonts w:ascii="Arial" w:cs="Arial" w:eastAsia="Arial" w:hAnsi="Arial"/>
                <w:sz w:val="20"/>
                <w:szCs w:val="20"/>
                <w:color w:val="auto"/>
                <w:w w:val="96"/>
              </w:rPr>
              <w:t>Electronic Execution of Assignments and Certain Other Documents  152</w:t>
            </w: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11.17</w:t>
            </w:r>
          </w:p>
        </w:tc>
        <w:tc>
          <w:tcPr>
            <w:tcW w:w="15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0"/>
                <w:szCs w:val="20"/>
                <w:color w:val="auto"/>
                <w:w w:val="92"/>
              </w:rPr>
              <w:t>USA PATRIOT Act</w:t>
            </w: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gridSpan w:val="4"/>
          </w:tcPr>
          <w:p>
            <w:pPr>
              <w:jc w:val="right"/>
              <w:spacing w:after="0"/>
              <w:rPr>
                <w:sz w:val="20"/>
                <w:szCs w:val="20"/>
                <w:color w:val="auto"/>
              </w:rPr>
            </w:pPr>
            <w:r>
              <w:rPr>
                <w:rFonts w:ascii="Arial" w:cs="Arial" w:eastAsia="Arial" w:hAnsi="Arial"/>
                <w:sz w:val="20"/>
                <w:szCs w:val="20"/>
                <w:color w:val="auto"/>
              </w:rPr>
              <w:t>152</w:t>
            </w: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11.18</w:t>
            </w:r>
          </w:p>
        </w:tc>
        <w:tc>
          <w:tcPr>
            <w:tcW w:w="3160" w:type="dxa"/>
            <w:vAlign w:val="bottom"/>
            <w:gridSpan w:val="15"/>
          </w:tcPr>
          <w:p>
            <w:pPr>
              <w:spacing w:after="0"/>
              <w:rPr>
                <w:sz w:val="20"/>
                <w:szCs w:val="20"/>
                <w:color w:val="auto"/>
              </w:rPr>
            </w:pPr>
            <w:r>
              <w:rPr>
                <w:rFonts w:ascii="Arial" w:cs="Arial" w:eastAsia="Arial" w:hAnsi="Arial"/>
                <w:sz w:val="20"/>
                <w:szCs w:val="20"/>
                <w:color w:val="auto"/>
                <w:w w:val="94"/>
              </w:rPr>
              <w:t>No Advisory or Fiduciary Relationship</w:t>
            </w:r>
          </w:p>
        </w:tc>
        <w:tc>
          <w:tcPr>
            <w:tcW w:w="640" w:type="dxa"/>
            <w:vAlign w:val="bottom"/>
            <w:gridSpan w:val="4"/>
          </w:tcPr>
          <w:p>
            <w:pPr>
              <w:jc w:val="right"/>
              <w:ind w:right="101"/>
              <w:spacing w:after="0"/>
              <w:rPr>
                <w:sz w:val="20"/>
                <w:szCs w:val="20"/>
                <w:color w:val="auto"/>
              </w:rPr>
            </w:pPr>
            <w:r>
              <w:rPr>
                <w:rFonts w:ascii="Arial" w:cs="Arial" w:eastAsia="Arial" w:hAnsi="Arial"/>
                <w:sz w:val="20"/>
                <w:szCs w:val="20"/>
                <w:color w:val="auto"/>
              </w:rPr>
              <w:t>152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11.19</w:t>
            </w:r>
          </w:p>
        </w:tc>
        <w:tc>
          <w:tcPr>
            <w:tcW w:w="1600" w:type="dxa"/>
            <w:vAlign w:val="bottom"/>
            <w:tcBorders>
              <w:top w:val="single" w:sz="8" w:color="auto"/>
            </w:tcBorders>
            <w:gridSpan w:val="6"/>
          </w:tcPr>
          <w:p>
            <w:pPr>
              <w:spacing w:after="0"/>
              <w:rPr>
                <w:sz w:val="20"/>
                <w:szCs w:val="20"/>
                <w:color w:val="auto"/>
              </w:rPr>
            </w:pPr>
            <w:r>
              <w:rPr>
                <w:rFonts w:ascii="Arial" w:cs="Arial" w:eastAsia="Arial" w:hAnsi="Arial"/>
                <w:sz w:val="20"/>
                <w:szCs w:val="20"/>
                <w:color w:val="auto"/>
                <w:w w:val="90"/>
              </w:rPr>
              <w:t>Judgment Currency</w:t>
            </w:r>
          </w:p>
        </w:tc>
        <w:tc>
          <w:tcPr>
            <w:tcW w:w="4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20"/>
                <w:szCs w:val="20"/>
                <w:color w:val="auto"/>
              </w:rPr>
              <w:t>153</w:t>
            </w: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4160" w:type="dxa"/>
            <w:vAlign w:val="bottom"/>
            <w:gridSpan w:val="2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300" w:type="dxa"/>
            <w:vAlign w:val="bottom"/>
          </w:tcPr>
          <w:p>
            <w:pPr>
              <w:ind w:left="660"/>
              <w:spacing w:after="0"/>
              <w:rPr>
                <w:sz w:val="20"/>
                <w:szCs w:val="20"/>
                <w:color w:val="auto"/>
              </w:rPr>
            </w:pPr>
            <w:r>
              <w:rPr>
                <w:rFonts w:ascii="Arial" w:cs="Arial" w:eastAsia="Arial" w:hAnsi="Arial"/>
                <w:sz w:val="20"/>
                <w:szCs w:val="20"/>
                <w:color w:val="auto"/>
              </w:rPr>
              <w:t>11.20</w:t>
            </w:r>
          </w:p>
        </w:tc>
        <w:tc>
          <w:tcPr>
            <w:tcW w:w="6220" w:type="dxa"/>
            <w:vAlign w:val="bottom"/>
            <w:gridSpan w:val="28"/>
          </w:tcPr>
          <w:p>
            <w:pPr>
              <w:spacing w:after="0" w:line="230" w:lineRule="exact"/>
              <w:rPr>
                <w:sz w:val="20"/>
                <w:szCs w:val="20"/>
                <w:color w:val="auto"/>
              </w:rPr>
            </w:pPr>
            <w:r>
              <w:rPr>
                <w:rFonts w:ascii="Arial" w:cs="Arial" w:eastAsia="Arial" w:hAnsi="Arial"/>
                <w:sz w:val="20"/>
                <w:szCs w:val="20"/>
                <w:color w:val="auto"/>
                <w:w w:val="93"/>
              </w:rPr>
              <w:t>Acknowledgement and Consent to Bail</w:t>
            </w:r>
            <w:r>
              <w:rPr>
                <w:rFonts w:ascii="MS PGothic" w:cs="MS PGothic" w:eastAsia="MS PGothic" w:hAnsi="MS PGothic"/>
                <w:sz w:val="20"/>
                <w:szCs w:val="20"/>
                <w:color w:val="auto"/>
                <w:w w:val="93"/>
              </w:rPr>
              <w:t>‑</w:t>
            </w:r>
            <w:r>
              <w:rPr>
                <w:rFonts w:ascii="Arial" w:cs="Arial" w:eastAsia="Arial" w:hAnsi="Arial"/>
                <w:sz w:val="20"/>
                <w:szCs w:val="20"/>
                <w:color w:val="auto"/>
                <w:w w:val="93"/>
              </w:rPr>
              <w:t>In of EEA Financial Institutions  153</w:t>
            </w: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0219"/>
          </w:cols>
          <w:pgMar w:left="240" w:top="747"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20"/>
                <w:szCs w:val="20"/>
                <w:color w:val="auto"/>
              </w:rPr>
              <w:t>SCHEDULES</w:t>
            </w:r>
          </w:p>
        </w:tc>
        <w:tc>
          <w:tcPr>
            <w:tcW w:w="5240" w:type="dxa"/>
            <w:vAlign w:val="bottom"/>
          </w:tcPr>
          <w:p>
            <w:pPr>
              <w:spacing w:after="0"/>
              <w:rPr>
                <w:sz w:val="19"/>
                <w:szCs w:val="19"/>
                <w:color w:val="auto"/>
              </w:rPr>
            </w:pPr>
          </w:p>
        </w:tc>
      </w:tr>
      <w:tr>
        <w:trPr>
          <w:trHeight w:val="449"/>
        </w:trPr>
        <w:tc>
          <w:tcPr>
            <w:tcW w:w="1160" w:type="dxa"/>
            <w:vAlign w:val="bottom"/>
            <w:tcBorders>
              <w:top w:val="single" w:sz="8" w:color="auto"/>
            </w:tcBorders>
          </w:tcPr>
          <w:p>
            <w:pPr>
              <w:ind w:left="660"/>
              <w:spacing w:after="0"/>
              <w:rPr>
                <w:sz w:val="20"/>
                <w:szCs w:val="20"/>
                <w:color w:val="auto"/>
              </w:rPr>
            </w:pPr>
            <w:r>
              <w:rPr>
                <w:rFonts w:ascii="Arial" w:cs="Arial" w:eastAsia="Arial" w:hAnsi="Arial"/>
                <w:sz w:val="20"/>
                <w:szCs w:val="20"/>
                <w:color w:val="auto"/>
              </w:rPr>
              <w:t>1.01</w:t>
            </w:r>
          </w:p>
        </w:tc>
        <w:tc>
          <w:tcPr>
            <w:tcW w:w="160" w:type="dxa"/>
            <w:vAlign w:val="bottom"/>
          </w:tcPr>
          <w:p>
            <w:pPr>
              <w:spacing w:after="0"/>
              <w:rPr>
                <w:sz w:val="24"/>
                <w:szCs w:val="24"/>
                <w:color w:val="auto"/>
              </w:rPr>
            </w:pPr>
          </w:p>
        </w:tc>
        <w:tc>
          <w:tcPr>
            <w:tcW w:w="5240" w:type="dxa"/>
            <w:vAlign w:val="bottom"/>
          </w:tcPr>
          <w:p>
            <w:pPr>
              <w:ind w:left="80"/>
              <w:spacing w:after="0"/>
              <w:rPr>
                <w:sz w:val="20"/>
                <w:szCs w:val="20"/>
                <w:color w:val="auto"/>
              </w:rPr>
            </w:pPr>
            <w:r>
              <w:rPr>
                <w:rFonts w:ascii="Arial" w:cs="Arial" w:eastAsia="Arial" w:hAnsi="Arial"/>
                <w:sz w:val="20"/>
                <w:szCs w:val="20"/>
                <w:color w:val="auto"/>
              </w:rPr>
              <w:t>Mandatory Cost Formulae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2.01</w:t>
            </w:r>
          </w:p>
        </w:tc>
        <w:tc>
          <w:tcPr>
            <w:tcW w:w="1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20"/>
                <w:szCs w:val="20"/>
                <w:color w:val="auto"/>
              </w:rPr>
              <w:t>Commitments and Applicable Percentages</w:t>
            </w:r>
          </w:p>
        </w:tc>
      </w:tr>
      <w:tr>
        <w:trPr>
          <w:trHeight w:val="243"/>
        </w:trPr>
        <w:tc>
          <w:tcPr>
            <w:tcW w:w="1160" w:type="dxa"/>
            <w:vAlign w:val="bottom"/>
          </w:tcPr>
          <w:p>
            <w:pPr>
              <w:ind w:left="660"/>
              <w:spacing w:after="0"/>
              <w:rPr>
                <w:sz w:val="20"/>
                <w:szCs w:val="20"/>
                <w:color w:val="auto"/>
              </w:rPr>
            </w:pPr>
            <w:r>
              <w:rPr>
                <w:rFonts w:ascii="Arial" w:cs="Arial" w:eastAsia="Arial" w:hAnsi="Arial"/>
                <w:sz w:val="20"/>
                <w:szCs w:val="20"/>
                <w:color w:val="auto"/>
              </w:rPr>
              <w:t>6.13</w:t>
            </w:r>
          </w:p>
        </w:tc>
        <w:tc>
          <w:tcPr>
            <w:tcW w:w="160" w:type="dxa"/>
            <w:vAlign w:val="bottom"/>
          </w:tcPr>
          <w:p>
            <w:pPr>
              <w:spacing w:after="0"/>
              <w:rPr>
                <w:sz w:val="21"/>
                <w:szCs w:val="21"/>
                <w:color w:val="auto"/>
              </w:rPr>
            </w:pPr>
          </w:p>
        </w:tc>
        <w:tc>
          <w:tcPr>
            <w:tcW w:w="5240" w:type="dxa"/>
            <w:vAlign w:val="bottom"/>
          </w:tcPr>
          <w:p>
            <w:pPr>
              <w:ind w:left="80"/>
              <w:spacing w:after="0"/>
              <w:rPr>
                <w:sz w:val="20"/>
                <w:szCs w:val="20"/>
                <w:color w:val="auto"/>
              </w:rPr>
            </w:pPr>
            <w:r>
              <w:rPr>
                <w:rFonts w:ascii="Arial" w:cs="Arial" w:eastAsia="Arial" w:hAnsi="Arial"/>
                <w:sz w:val="20"/>
                <w:szCs w:val="20"/>
                <w:color w:val="auto"/>
              </w:rPr>
              <w:t>Subsidiaries</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6.17</w:t>
            </w:r>
          </w:p>
        </w:tc>
        <w:tc>
          <w:tcPr>
            <w:tcW w:w="160" w:type="dxa"/>
            <w:vAlign w:val="bottom"/>
          </w:tcPr>
          <w:p>
            <w:pPr>
              <w:spacing w:after="0"/>
              <w:rPr>
                <w:sz w:val="21"/>
                <w:szCs w:val="21"/>
                <w:color w:val="auto"/>
              </w:rPr>
            </w:pPr>
          </w:p>
        </w:tc>
        <w:tc>
          <w:tcPr>
            <w:tcW w:w="5240" w:type="dxa"/>
            <w:vAlign w:val="bottom"/>
          </w:tcPr>
          <w:p>
            <w:pPr>
              <w:ind w:left="640"/>
              <w:spacing w:after="0"/>
              <w:rPr>
                <w:sz w:val="20"/>
                <w:szCs w:val="20"/>
                <w:color w:val="auto"/>
              </w:rPr>
            </w:pPr>
            <w:r>
              <w:rPr>
                <w:rFonts w:ascii="Arial" w:cs="Arial" w:eastAsia="Arial" w:hAnsi="Arial"/>
                <w:sz w:val="20"/>
                <w:szCs w:val="20"/>
                <w:color w:val="auto"/>
              </w:rPr>
              <w:t>Intellectual Property</w:t>
            </w:r>
          </w:p>
        </w:tc>
      </w:tr>
      <w:tr>
        <w:trPr>
          <w:trHeight w:val="249"/>
        </w:trPr>
        <w:tc>
          <w:tcPr>
            <w:tcW w:w="1320" w:type="dxa"/>
            <w:vAlign w:val="bottom"/>
            <w:gridSpan w:val="2"/>
          </w:tcPr>
          <w:p>
            <w:pPr>
              <w:ind w:left="660"/>
              <w:spacing w:after="0"/>
              <w:rPr>
                <w:sz w:val="20"/>
                <w:szCs w:val="20"/>
                <w:color w:val="auto"/>
              </w:rPr>
            </w:pPr>
            <w:r>
              <w:rPr>
                <w:rFonts w:ascii="Arial" w:cs="Arial" w:eastAsia="Arial" w:hAnsi="Arial"/>
                <w:sz w:val="20"/>
                <w:szCs w:val="20"/>
                <w:color w:val="auto"/>
              </w:rPr>
              <w:t>6.20(a)</w:t>
            </w:r>
          </w:p>
        </w:tc>
        <w:tc>
          <w:tcPr>
            <w:tcW w:w="5240" w:type="dxa"/>
            <w:vAlign w:val="bottom"/>
          </w:tcPr>
          <w:p>
            <w:pPr>
              <w:ind w:left="640"/>
              <w:spacing w:after="0"/>
              <w:rPr>
                <w:sz w:val="20"/>
                <w:szCs w:val="20"/>
                <w:color w:val="auto"/>
              </w:rPr>
            </w:pPr>
            <w:r>
              <w:rPr>
                <w:rFonts w:ascii="Arial" w:cs="Arial" w:eastAsia="Arial" w:hAnsi="Arial"/>
                <w:sz w:val="20"/>
                <w:szCs w:val="20"/>
                <w:color w:val="auto"/>
              </w:rPr>
              <w:t>Locations of Real Property</w:t>
            </w:r>
          </w:p>
        </w:tc>
      </w:tr>
      <w:tr>
        <w:trPr>
          <w:trHeight w:val="230"/>
        </w:trPr>
        <w:tc>
          <w:tcPr>
            <w:tcW w:w="1320" w:type="dxa"/>
            <w:vAlign w:val="bottom"/>
            <w:gridSpan w:val="2"/>
          </w:tcPr>
          <w:p>
            <w:pPr>
              <w:ind w:left="660"/>
              <w:spacing w:after="0"/>
              <w:rPr>
                <w:sz w:val="20"/>
                <w:szCs w:val="20"/>
                <w:color w:val="auto"/>
              </w:rPr>
            </w:pPr>
            <w:r>
              <w:rPr>
                <w:rFonts w:ascii="Arial" w:cs="Arial" w:eastAsia="Arial" w:hAnsi="Arial"/>
                <w:sz w:val="20"/>
                <w:szCs w:val="20"/>
                <w:color w:val="auto"/>
              </w:rPr>
              <w:t>6.20(b)</w:t>
            </w:r>
          </w:p>
        </w:tc>
        <w:tc>
          <w:tcPr>
            <w:tcW w:w="5240" w:type="dxa"/>
            <w:vAlign w:val="bottom"/>
          </w:tcPr>
          <w:p>
            <w:pPr>
              <w:ind w:left="640"/>
              <w:spacing w:after="0"/>
              <w:rPr>
                <w:sz w:val="20"/>
                <w:szCs w:val="20"/>
                <w:color w:val="auto"/>
              </w:rPr>
            </w:pPr>
            <w:r>
              <w:rPr>
                <w:rFonts w:ascii="Arial" w:cs="Arial" w:eastAsia="Arial" w:hAnsi="Arial"/>
                <w:sz w:val="20"/>
                <w:szCs w:val="20"/>
                <w:color w:val="auto"/>
                <w:w w:val="99"/>
              </w:rPr>
              <w:t>Taxpayer and Organizational Identification Numbers</w:t>
            </w:r>
          </w:p>
        </w:tc>
      </w:tr>
      <w:tr>
        <w:trPr>
          <w:trHeight w:val="230"/>
        </w:trPr>
        <w:tc>
          <w:tcPr>
            <w:tcW w:w="1320" w:type="dxa"/>
            <w:vAlign w:val="bottom"/>
            <w:gridSpan w:val="2"/>
          </w:tcPr>
          <w:p>
            <w:pPr>
              <w:ind w:left="660"/>
              <w:spacing w:after="0"/>
              <w:rPr>
                <w:sz w:val="20"/>
                <w:szCs w:val="20"/>
                <w:color w:val="auto"/>
              </w:rPr>
            </w:pPr>
            <w:r>
              <w:rPr>
                <w:rFonts w:ascii="Arial" w:cs="Arial" w:eastAsia="Arial" w:hAnsi="Arial"/>
                <w:sz w:val="20"/>
                <w:szCs w:val="20"/>
                <w:color w:val="auto"/>
              </w:rPr>
              <w:t>6.20(c)</w:t>
            </w:r>
          </w:p>
        </w:tc>
        <w:tc>
          <w:tcPr>
            <w:tcW w:w="5240" w:type="dxa"/>
            <w:vAlign w:val="bottom"/>
          </w:tcPr>
          <w:p>
            <w:pPr>
              <w:ind w:left="640"/>
              <w:spacing w:after="0"/>
              <w:rPr>
                <w:sz w:val="20"/>
                <w:szCs w:val="20"/>
                <w:color w:val="auto"/>
              </w:rPr>
            </w:pPr>
            <w:r>
              <w:rPr>
                <w:rFonts w:ascii="Arial" w:cs="Arial" w:eastAsia="Arial" w:hAnsi="Arial"/>
                <w:sz w:val="20"/>
                <w:szCs w:val="20"/>
                <w:color w:val="auto"/>
                <w:w w:val="88"/>
              </w:rPr>
              <w:t>Changes in Legal Name, State of Formation and Structure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8.01</w:t>
            </w:r>
          </w:p>
        </w:tc>
        <w:tc>
          <w:tcPr>
            <w:tcW w:w="1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20"/>
                <w:szCs w:val="20"/>
                <w:color w:val="auto"/>
              </w:rPr>
              <w:t>Existing Liens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8.02</w:t>
            </w:r>
          </w:p>
        </w:tc>
        <w:tc>
          <w:tcPr>
            <w:tcW w:w="1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20"/>
                <w:szCs w:val="20"/>
                <w:color w:val="auto"/>
              </w:rPr>
              <w:t>Existing Investments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8.03</w:t>
            </w:r>
          </w:p>
        </w:tc>
        <w:tc>
          <w:tcPr>
            <w:tcW w:w="16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20"/>
                <w:szCs w:val="20"/>
                <w:color w:val="auto"/>
              </w:rPr>
              <w:t>Existing Indebtedness</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w w:val="95"/>
              </w:rPr>
              <w:t>11.02</w:t>
            </w:r>
          </w:p>
        </w:tc>
        <w:tc>
          <w:tcPr>
            <w:tcW w:w="16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20"/>
                <w:szCs w:val="20"/>
                <w:color w:val="auto"/>
              </w:rPr>
              <w:t>Certain Addresses for Notices</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p>
    <w:p>
      <w:pPr>
        <w:spacing w:after="0" w:line="229" w:lineRule="exact"/>
        <w:rPr>
          <w:sz w:val="20"/>
          <w:szCs w:val="20"/>
          <w:color w:val="auto"/>
        </w:rPr>
      </w:pPr>
    </w:p>
    <w:p>
      <w:pPr>
        <w:ind w:left="1180" w:hanging="524"/>
        <w:spacing w:after="0"/>
        <w:tabs>
          <w:tab w:leader="none" w:pos="11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Form of Loan Notice</w:t>
      </w:r>
    </w:p>
    <w:p>
      <w:pPr>
        <w:spacing w:after="0" w:line="15" w:lineRule="exact"/>
        <w:rPr>
          <w:sz w:val="20"/>
          <w:szCs w:val="20"/>
          <w:color w:val="auto"/>
        </w:rPr>
      </w:pPr>
    </w:p>
    <w:p>
      <w:pPr>
        <w:ind w:left="1180" w:hanging="524"/>
        <w:spacing w:after="0"/>
        <w:tabs>
          <w:tab w:leader="none" w:pos="11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Form of Swing Line Loan Notice</w:t>
      </w:r>
    </w:p>
    <w:p>
      <w:pPr>
        <w:ind w:left="660"/>
        <w:spacing w:after="0"/>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8"/>
          <w:szCs w:val="18"/>
          <w:color w:val="auto"/>
        </w:rPr>
        <w:t>Form of Revolving Note</w:t>
      </w:r>
    </w:p>
    <w:p>
      <w:pPr>
        <w:ind w:left="660"/>
        <w:spacing w:after="0"/>
        <w:rPr>
          <w:rFonts w:ascii="Arial" w:cs="Arial" w:eastAsia="Arial" w:hAnsi="Arial"/>
          <w:sz w:val="20"/>
          <w:szCs w:val="20"/>
          <w:color w:val="auto"/>
        </w:rPr>
      </w:pPr>
      <w:r>
        <w:rPr>
          <w:rFonts w:ascii="Arial" w:cs="Arial" w:eastAsia="Arial" w:hAnsi="Arial"/>
          <w:sz w:val="20"/>
          <w:szCs w:val="20"/>
          <w:color w:val="auto"/>
        </w:rPr>
        <w:t>D</w:t>
      </w:r>
      <w:r>
        <w:rPr>
          <w:rFonts w:ascii="Arial" w:cs="Arial" w:eastAsia="Arial" w:hAnsi="Arial"/>
          <w:sz w:val="18"/>
          <w:szCs w:val="18"/>
          <w:color w:val="auto"/>
        </w:rPr>
        <w:t>Form of Swing Line Note</w:t>
      </w:r>
    </w:p>
    <w:p>
      <w:pPr>
        <w:ind w:left="660"/>
        <w:spacing w:after="0" w:line="230" w:lineRule="exact"/>
        <w:rPr>
          <w:rFonts w:ascii="Arial" w:cs="Arial" w:eastAsia="Arial" w:hAnsi="Arial"/>
          <w:sz w:val="20"/>
          <w:szCs w:val="20"/>
          <w:color w:val="auto"/>
        </w:rPr>
      </w:pPr>
      <w:r>
        <w:rPr>
          <w:rFonts w:ascii="Arial" w:cs="Arial" w:eastAsia="Arial" w:hAnsi="Arial"/>
          <w:sz w:val="20"/>
          <w:szCs w:val="20"/>
          <w:color w:val="auto"/>
        </w:rPr>
        <w:t>E</w:t>
      </w:r>
      <w:r>
        <w:rPr>
          <w:rFonts w:ascii="MS PGothic" w:cs="MS PGothic" w:eastAsia="MS PGothic" w:hAnsi="MS PGothic"/>
          <w:sz w:val="20"/>
          <w:szCs w:val="20"/>
          <w:color w:val="auto"/>
        </w:rPr>
        <w:t>‑</w:t>
      </w:r>
      <w:r>
        <w:rPr>
          <w:rFonts w:ascii="Arial" w:cs="Arial" w:eastAsia="Arial" w:hAnsi="Arial"/>
          <w:sz w:val="20"/>
          <w:szCs w:val="20"/>
          <w:color w:val="auto"/>
        </w:rPr>
        <w:t>1</w:t>
      </w:r>
      <w:r>
        <w:rPr>
          <w:rFonts w:ascii="Arial" w:cs="Arial" w:eastAsia="Arial" w:hAnsi="Arial"/>
          <w:sz w:val="18"/>
          <w:szCs w:val="18"/>
          <w:color w:val="auto"/>
        </w:rPr>
        <w:t>Form of Term Note</w:t>
      </w:r>
    </w:p>
    <w:p>
      <w:pPr>
        <w:ind w:left="660"/>
        <w:spacing w:after="0" w:line="230" w:lineRule="exact"/>
        <w:rPr>
          <w:rFonts w:ascii="Arial" w:cs="Arial" w:eastAsia="Arial" w:hAnsi="Arial"/>
          <w:sz w:val="20"/>
          <w:szCs w:val="20"/>
          <w:color w:val="auto"/>
        </w:rPr>
      </w:pPr>
      <w:r>
        <w:rPr>
          <w:rFonts w:ascii="Arial" w:cs="Arial" w:eastAsia="Arial" w:hAnsi="Arial"/>
          <w:sz w:val="20"/>
          <w:szCs w:val="20"/>
          <w:color w:val="auto"/>
        </w:rPr>
        <w:t>E</w:t>
      </w:r>
      <w:r>
        <w:rPr>
          <w:rFonts w:ascii="MS PGothic" w:cs="MS PGothic" w:eastAsia="MS PGothic" w:hAnsi="MS PGothic"/>
          <w:sz w:val="20"/>
          <w:szCs w:val="20"/>
          <w:color w:val="auto"/>
        </w:rPr>
        <w:t>‑</w:t>
      </w:r>
      <w:r>
        <w:rPr>
          <w:rFonts w:ascii="Arial" w:cs="Arial" w:eastAsia="Arial" w:hAnsi="Arial"/>
          <w:sz w:val="20"/>
          <w:szCs w:val="20"/>
          <w:color w:val="auto"/>
        </w:rPr>
        <w:t>2</w:t>
      </w:r>
      <w:r>
        <w:rPr>
          <w:rFonts w:ascii="Arial" w:cs="Arial" w:eastAsia="Arial" w:hAnsi="Arial"/>
          <w:sz w:val="18"/>
          <w:szCs w:val="18"/>
          <w:color w:val="auto"/>
        </w:rPr>
        <w:t>Form of Incremental Term Note</w:t>
      </w:r>
    </w:p>
    <w:p>
      <w:pPr>
        <w:ind w:left="660"/>
        <w:spacing w:after="0"/>
        <w:rPr>
          <w:rFonts w:ascii="Arial" w:cs="Arial" w:eastAsia="Arial" w:hAnsi="Arial"/>
          <w:sz w:val="20"/>
          <w:szCs w:val="20"/>
          <w:color w:val="auto"/>
        </w:rPr>
      </w:pPr>
      <w:r>
        <w:rPr>
          <w:rFonts w:ascii="Arial" w:cs="Arial" w:eastAsia="Arial" w:hAnsi="Arial"/>
          <w:sz w:val="20"/>
          <w:szCs w:val="20"/>
          <w:color w:val="auto"/>
        </w:rPr>
        <w:t>F</w:t>
      </w:r>
      <w:r>
        <w:rPr>
          <w:rFonts w:ascii="Arial" w:cs="Arial" w:eastAsia="Arial" w:hAnsi="Arial"/>
          <w:sz w:val="18"/>
          <w:szCs w:val="18"/>
          <w:color w:val="auto"/>
        </w:rPr>
        <w:t>Form of Compliance Certificate</w:t>
      </w:r>
    </w:p>
    <w:p>
      <w:pPr>
        <w:ind w:left="660"/>
        <w:spacing w:after="0"/>
        <w:rPr>
          <w:rFonts w:ascii="Arial" w:cs="Arial" w:eastAsia="Arial" w:hAnsi="Arial"/>
          <w:sz w:val="20"/>
          <w:szCs w:val="20"/>
          <w:color w:val="auto"/>
        </w:rPr>
      </w:pPr>
      <w:r>
        <w:rPr>
          <w:rFonts w:ascii="Arial" w:cs="Arial" w:eastAsia="Arial" w:hAnsi="Arial"/>
          <w:sz w:val="20"/>
          <w:szCs w:val="20"/>
          <w:color w:val="auto"/>
        </w:rPr>
        <w:t>G</w:t>
      </w:r>
      <w:r>
        <w:rPr>
          <w:rFonts w:ascii="Arial" w:cs="Arial" w:eastAsia="Arial" w:hAnsi="Arial"/>
          <w:sz w:val="18"/>
          <w:szCs w:val="18"/>
          <w:color w:val="auto"/>
        </w:rPr>
        <w:t>Form of Joinder Agreement</w:t>
      </w:r>
    </w:p>
    <w:p>
      <w:pPr>
        <w:ind w:left="660"/>
        <w:spacing w:after="0"/>
        <w:rPr>
          <w:rFonts w:ascii="Arial" w:cs="Arial" w:eastAsia="Arial" w:hAnsi="Arial"/>
          <w:sz w:val="20"/>
          <w:szCs w:val="20"/>
          <w:color w:val="auto"/>
        </w:rPr>
      </w:pPr>
      <w:r>
        <w:rPr>
          <w:rFonts w:ascii="Arial" w:cs="Arial" w:eastAsia="Arial" w:hAnsi="Arial"/>
          <w:sz w:val="20"/>
          <w:szCs w:val="20"/>
          <w:color w:val="auto"/>
        </w:rPr>
        <w:t>H</w:t>
      </w:r>
      <w:r>
        <w:rPr>
          <w:rFonts w:ascii="Arial" w:cs="Arial" w:eastAsia="Arial" w:hAnsi="Arial"/>
          <w:sz w:val="18"/>
          <w:szCs w:val="18"/>
          <w:color w:val="auto"/>
        </w:rPr>
        <w:t>Form of Assignment and Assumption</w:t>
      </w:r>
    </w:p>
    <w:p>
      <w:pPr>
        <w:ind w:left="660"/>
        <w:spacing w:after="0"/>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Form of Lender Joinder Agreement</w:t>
      </w:r>
    </w:p>
    <w:p>
      <w:pPr>
        <w:ind w:left="660"/>
        <w:spacing w:after="0"/>
        <w:rPr>
          <w:rFonts w:ascii="Arial" w:cs="Arial" w:eastAsia="Arial" w:hAnsi="Arial"/>
          <w:sz w:val="20"/>
          <w:szCs w:val="20"/>
          <w:color w:val="auto"/>
        </w:rPr>
      </w:pPr>
      <w:r>
        <w:rPr>
          <w:rFonts w:ascii="Arial" w:cs="Arial" w:eastAsia="Arial" w:hAnsi="Arial"/>
          <w:sz w:val="20"/>
          <w:szCs w:val="20"/>
          <w:color w:val="auto"/>
        </w:rPr>
        <w:t>J</w:t>
      </w:r>
      <w:r>
        <w:rPr>
          <w:rFonts w:ascii="Arial" w:cs="Arial" w:eastAsia="Arial" w:hAnsi="Arial"/>
          <w:sz w:val="18"/>
          <w:szCs w:val="18"/>
          <w:color w:val="auto"/>
        </w:rPr>
        <w:t>Form of Designated Borrower Request and Assumption Agreement</w:t>
      </w:r>
    </w:p>
    <w:p>
      <w:pPr>
        <w:ind w:left="660"/>
        <w:spacing w:after="0"/>
        <w:rPr>
          <w:rFonts w:ascii="Arial" w:cs="Arial" w:eastAsia="Arial" w:hAnsi="Arial"/>
          <w:sz w:val="20"/>
          <w:szCs w:val="20"/>
          <w:color w:val="auto"/>
        </w:rPr>
      </w:pPr>
      <w:r>
        <w:rPr>
          <w:rFonts w:ascii="Arial" w:cs="Arial" w:eastAsia="Arial" w:hAnsi="Arial"/>
          <w:sz w:val="20"/>
          <w:szCs w:val="20"/>
          <w:color w:val="auto"/>
        </w:rPr>
        <w:t>K</w:t>
      </w:r>
      <w:r>
        <w:rPr>
          <w:rFonts w:ascii="Arial" w:cs="Arial" w:eastAsia="Arial" w:hAnsi="Arial"/>
          <w:sz w:val="18"/>
          <w:szCs w:val="18"/>
          <w:color w:val="auto"/>
        </w:rPr>
        <w:t>Form of Designated Borrower Notice</w:t>
      </w:r>
    </w:p>
    <w:p>
      <w:pPr>
        <w:ind w:left="660"/>
        <w:spacing w:after="0"/>
        <w:rPr>
          <w:rFonts w:ascii="Arial" w:cs="Arial" w:eastAsia="Arial" w:hAnsi="Arial"/>
          <w:sz w:val="20"/>
          <w:szCs w:val="20"/>
          <w:color w:val="auto"/>
        </w:rPr>
      </w:pPr>
      <w:r>
        <w:rPr>
          <w:rFonts w:ascii="Arial" w:cs="Arial" w:eastAsia="Arial" w:hAnsi="Arial"/>
          <w:sz w:val="20"/>
          <w:szCs w:val="20"/>
          <w:color w:val="auto"/>
        </w:rPr>
        <w:t>L</w:t>
      </w:r>
      <w:r>
        <w:rPr>
          <w:rFonts w:ascii="Arial" w:cs="Arial" w:eastAsia="Arial" w:hAnsi="Arial"/>
          <w:sz w:val="18"/>
          <w:szCs w:val="18"/>
          <w:color w:val="auto"/>
        </w:rPr>
        <w:t>Form of Solvency Certificate</w:t>
      </w:r>
    </w:p>
    <w:p>
      <w:pPr>
        <w:ind w:left="660"/>
        <w:spacing w:after="0"/>
        <w:rPr>
          <w:rFonts w:ascii="Arial" w:cs="Arial" w:eastAsia="Arial" w:hAnsi="Arial"/>
          <w:sz w:val="20"/>
          <w:szCs w:val="20"/>
          <w:color w:val="auto"/>
        </w:rPr>
      </w:pPr>
      <w:r>
        <w:rPr>
          <w:rFonts w:ascii="Arial" w:cs="Arial" w:eastAsia="Arial" w:hAnsi="Arial"/>
          <w:sz w:val="20"/>
          <w:szCs w:val="20"/>
          <w:color w:val="auto"/>
        </w:rPr>
        <w:t>M</w:t>
      </w:r>
      <w:r>
        <w:rPr>
          <w:rFonts w:ascii="Arial" w:cs="Arial" w:eastAsia="Arial" w:hAnsi="Arial"/>
          <w:sz w:val="18"/>
          <w:szCs w:val="18"/>
          <w:color w:val="auto"/>
        </w:rPr>
        <w:t>Form of Security and Pledge Agreement</w:t>
      </w:r>
    </w:p>
    <w:p>
      <w:pPr>
        <w:ind w:left="660"/>
        <w:spacing w:after="0"/>
        <w:rPr>
          <w:rFonts w:ascii="Arial" w:cs="Arial" w:eastAsia="Arial" w:hAnsi="Arial"/>
          <w:sz w:val="20"/>
          <w:szCs w:val="20"/>
          <w:color w:val="auto"/>
        </w:rPr>
      </w:pPr>
      <w:r>
        <w:rPr>
          <w:rFonts w:ascii="Arial" w:cs="Arial" w:eastAsia="Arial" w:hAnsi="Arial"/>
          <w:sz w:val="20"/>
          <w:szCs w:val="20"/>
          <w:color w:val="auto"/>
        </w:rPr>
        <w:t>N</w:t>
      </w:r>
      <w:r>
        <w:rPr>
          <w:rFonts w:ascii="Arial" w:cs="Arial" w:eastAsia="Arial" w:hAnsi="Arial"/>
          <w:sz w:val="18"/>
          <w:szCs w:val="18"/>
          <w:color w:val="auto"/>
        </w:rPr>
        <w:t>Form of Guaranty</w:t>
      </w:r>
    </w:p>
    <w:p>
      <w:pPr>
        <w:ind w:left="660"/>
        <w:spacing w:after="0"/>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Form of 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vi</w:t>
      </w:r>
    </w:p>
    <w:p>
      <w:pPr>
        <w:sectPr>
          <w:pgSz w:w="11900" w:h="16838" w:orient="portrait"/>
          <w:cols w:equalWidth="0" w:num="1">
            <w:col w:w="10219"/>
          </w:cols>
          <w:pgMar w:left="240" w:top="733"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This CREDIT AGREEMENT is entered into as of October 24, 2014 among FLEETCOR TECHNOLOGIES OPERATING COMPANY, LLC, a Georgia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FLEETCOR TECHNOLOGIES, INC., a Delaware corporation (the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certain Foreign Subsidiaries of the Parent party hereto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Designated Borrower</w:t>
      </w:r>
      <w:r>
        <w:rPr>
          <w:rFonts w:ascii="Arial" w:cs="Arial" w:eastAsia="Arial" w:hAnsi="Arial"/>
          <w:sz w:val="19"/>
          <w:szCs w:val="19"/>
          <w:color w:val="auto"/>
        </w:rPr>
        <w:t xml:space="preserve">”), the Additional Borrower, to the extent the Additional Borrower becomes a Borrower hereunder pursuant to </w:t>
      </w:r>
      <w:r>
        <w:rPr>
          <w:rFonts w:ascii="Arial" w:cs="Arial" w:eastAsia="Arial" w:hAnsi="Arial"/>
          <w:sz w:val="19"/>
          <w:szCs w:val="19"/>
          <w:u w:val="single" w:color="auto"/>
          <w:color w:val="auto"/>
        </w:rPr>
        <w:t>Section 7.12(b)</w:t>
      </w:r>
      <w:r>
        <w:rPr>
          <w:rFonts w:ascii="Arial" w:cs="Arial" w:eastAsia="Arial" w:hAnsi="Arial"/>
          <w:sz w:val="19"/>
          <w:szCs w:val="19"/>
          <w:color w:val="auto"/>
        </w:rPr>
        <w:t xml:space="preserve"> (the Additional Borrower, together with the Designated Borrowers and the Company,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(defined herein) and BANK OF AMERICA, N.A., as Administrative Agent, Swing Line Lender and L/C Issuer.</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has requested that the Lenders provide $4.325 billion in credit facilities for the purposes set forth herein, and the Lenders are willing to do so on the terms and conditions set forth 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 as follows:</w:t>
      </w:r>
    </w:p>
    <w:p>
      <w:pPr>
        <w:spacing w:after="0" w:line="248"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Article I.</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ACCOUNTING TERMS</w:t>
      </w:r>
    </w:p>
    <w:p>
      <w:pPr>
        <w:spacing w:after="0" w:line="24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by any Person, means the acquisition by such Person, in a single transaction or in a series of related transactions, of all or any substantial portion of the property of another Person or other acquisition of or investment in assets constituting a business unit, a line of business or division of such Person, or a majority of the Voting Stock of another Person, in each case whether or not involving a merger or consolidation with such other Person and whether for cash, property, services, assumption of Indebtedness, securities or otherwise.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Borrower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7.12(b)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Incremental Term B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2.02(f)(iii)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under any of the Loan Documents, or any successor administrative agent.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11.02</w:t>
      </w:r>
      <w:r>
        <w:rPr>
          <w:rFonts w:ascii="Arial" w:cs="Arial" w:eastAsia="Arial" w:hAnsi="Arial"/>
          <w:sz w:val="20"/>
          <w:szCs w:val="20"/>
          <w:color w:val="auto"/>
        </w:rPr>
        <w:t xml:space="preserve"> with respect to such currency, or such other address or account with respect to such currency as the Administrative Agent may from time to time notify the Company and the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Tranche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ectPr>
          <w:pgSz w:w="11900" w:h="16838" w:orient="portrait"/>
          <w:cols w:equalWidth="0" w:num="1">
            <w:col w:w="11420"/>
          </w:cols>
          <w:pgMar w:left="240" w:top="757" w:right="239" w:bottom="1440" w:gutter="0" w:footer="0" w:header="0"/>
        </w:sectPr>
      </w:pPr>
    </w:p>
    <w:bookmarkStart w:id="122" w:name="page123"/>
    <w:bookmarkEnd w:id="122"/>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A Commitments</w:t>
      </w:r>
      <w:r>
        <w:rPr>
          <w:rFonts w:ascii="Arial" w:cs="Arial" w:eastAsia="Arial" w:hAnsi="Arial"/>
          <w:sz w:val="20"/>
          <w:szCs w:val="20"/>
          <w:color w:val="auto"/>
        </w:rPr>
        <w:t>” means the Revolving A Commitments of all the Lenders. The aggregate principal amount of the Aggregate Revolving A Commitments in effect on the Third Amendment Effective Date is EIGHT HUNDRED MILLION DOLLARS ($800,000,000).</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B Commitments</w:t>
      </w:r>
      <w:r>
        <w:rPr>
          <w:rFonts w:ascii="Arial" w:cs="Arial" w:eastAsia="Arial" w:hAnsi="Arial"/>
          <w:sz w:val="20"/>
          <w:szCs w:val="20"/>
          <w:color w:val="auto"/>
        </w:rPr>
        <w:t>” means the Revolving B Commitments of all the Lenders. The aggregate principal amount of the Aggregate Revolving B Commitments in effect on the Third Amendment Effective Date is FOUR HUNDRED FIFTY MILLION DOLLARS ($450,000,000).</w:t>
      </w:r>
    </w:p>
    <w:p>
      <w:pPr>
        <w:spacing w:after="0" w:line="186" w:lineRule="exact"/>
        <w:rPr>
          <w:sz w:val="20"/>
          <w:szCs w:val="20"/>
          <w:color w:val="auto"/>
        </w:rPr>
      </w:pPr>
    </w:p>
    <w:p>
      <w:pPr>
        <w:jc w:val="both"/>
        <w:ind w:right="20"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C Commitments</w:t>
      </w:r>
      <w:r>
        <w:rPr>
          <w:rFonts w:ascii="Arial" w:cs="Arial" w:eastAsia="Arial" w:hAnsi="Arial"/>
          <w:sz w:val="20"/>
          <w:szCs w:val="20"/>
          <w:color w:val="auto"/>
        </w:rPr>
        <w:t>” means the Revolving C Commitments of all the Lenders. The aggregate principal amount of the Aggregate Revolving C Commitments in effect on the Third Amendment Effective Date is THIRTY</w:t>
      </w:r>
      <w:r>
        <w:rPr>
          <w:rFonts w:ascii="MS PGothic" w:cs="MS PGothic" w:eastAsia="MS PGothic" w:hAnsi="MS PGothic"/>
          <w:sz w:val="20"/>
          <w:szCs w:val="20"/>
          <w:color w:val="auto"/>
        </w:rPr>
        <w:t>‑</w:t>
      </w:r>
      <w:r>
        <w:rPr>
          <w:rFonts w:ascii="Arial" w:cs="Arial" w:eastAsia="Arial" w:hAnsi="Arial"/>
          <w:sz w:val="20"/>
          <w:szCs w:val="20"/>
          <w:color w:val="auto"/>
        </w:rPr>
        <w:t>FIVE MILLION DOLLARS ($35,000,000).</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Commitments</w:t>
      </w:r>
      <w:r>
        <w:rPr>
          <w:rFonts w:ascii="Arial" w:cs="Arial" w:eastAsia="Arial" w:hAnsi="Arial"/>
          <w:sz w:val="20"/>
          <w:szCs w:val="20"/>
          <w:color w:val="auto"/>
        </w:rPr>
        <w:t>” means the Aggregate Revolving A Commitments, the Aggregate Revolving B Commitments and/or the Aggregate Revolving C Commitments, as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In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Yield</w:t>
      </w:r>
      <w:r>
        <w:rPr>
          <w:rFonts w:ascii="Arial" w:cs="Arial" w:eastAsia="Arial" w:hAnsi="Arial"/>
          <w:sz w:val="18"/>
          <w:szCs w:val="18"/>
          <w:color w:val="auto"/>
        </w:rPr>
        <w:t>” means, with respect to any term loan facility (including the Term B</w:t>
      </w:r>
      <w:r>
        <w:rPr>
          <w:rFonts w:ascii="MS PGothic" w:cs="MS PGothic" w:eastAsia="MS PGothic" w:hAnsi="MS PGothic"/>
          <w:sz w:val="18"/>
          <w:szCs w:val="18"/>
          <w:color w:val="auto"/>
        </w:rPr>
        <w:t>‑</w:t>
      </w:r>
      <w:r>
        <w:rPr>
          <w:rFonts w:ascii="Arial" w:cs="Arial" w:eastAsia="Arial" w:hAnsi="Arial"/>
          <w:sz w:val="18"/>
          <w:szCs w:val="18"/>
          <w:color w:val="auto"/>
        </w:rPr>
        <w:t>3 Loan and any Incremental Term B Loan), the weighted average yield to maturity with respect to such term loan facility which shall take into account interest rate margins and any interest rate floors or similar devices, and shall be deemed to include any original issue discount and any fees (other than facility arrangement, structuring, underwriting or other closing fees and expenses not paid for the account of, or distributed to, all Lenders providing such term loan facility) paid or payable in connection with such term loan facility, in each case, as reasonably determined by the Administrative Agent in a manner consistent with customary financial practice based on an assumed four</w:t>
      </w:r>
      <w:r>
        <w:rPr>
          <w:rFonts w:ascii="MS PGothic" w:cs="MS PGothic" w:eastAsia="MS PGothic" w:hAnsi="MS PGothic"/>
          <w:sz w:val="18"/>
          <w:szCs w:val="18"/>
          <w:color w:val="auto"/>
        </w:rPr>
        <w:t>‑</w:t>
      </w:r>
      <w:r>
        <w:rPr>
          <w:rFonts w:ascii="Arial" w:cs="Arial" w:eastAsia="Arial" w:hAnsi="Arial"/>
          <w:sz w:val="18"/>
          <w:szCs w:val="18"/>
          <w:color w:val="auto"/>
        </w:rPr>
        <w:t>year life to maturity or, if less, the actual remaining life to maturity of such term loan facility, commencing from the borrowing date of such term loan facility and assuming that the interest rate (including the Applicable Rate) for such term loan facility in effect on such borrowing date (after giving effect to the Indebtedness incurred in connection with such term loan facility) shall be the interest rate for the entire Weighted Average Life to Maturity of such term loan facility.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AllStar</w:t>
      </w:r>
      <w:r>
        <w:rPr>
          <w:rFonts w:ascii="Arial" w:cs="Arial" w:eastAsia="Arial" w:hAnsi="Arial"/>
          <w:sz w:val="20"/>
          <w:szCs w:val="20"/>
          <w:color w:val="auto"/>
        </w:rPr>
        <w:t>” means AllStar Business Solutions Limited, a private limited company registered in England and Wales.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each of Euro, Sterling, Yen and each other currency (other than Dollars) that is approved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interest rate with respect to any Alternative Currency becomes unavailable for any reason, such Alternative Currency shall not be considered an Alternative Currency hereunder until such time as an interest rate with respect to such Alternative Currency is agreed upon by the Company and the applicable Lenders in accordance with the terms hereof.</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Australian Dollars or New Zealand Dollars, as determined by the Administrative Agent, Swing Line Lender or L/C Issuer, as the case may be, at such time on the basis of the Spot Rate (determined in respect of the most recent Revaluation Date) for the purchase of such currency with Dollars.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757" w:right="239" w:bottom="1440" w:gutter="0" w:footer="0" w:header="0"/>
        </w:sectPr>
      </w:pPr>
    </w:p>
    <w:bookmarkStart w:id="123" w:name="page124"/>
    <w:bookmarkEnd w:id="123"/>
    <w:p>
      <w:pPr>
        <w:jc w:val="both"/>
        <w:ind w:firstLine="648"/>
        <w:spacing w:after="0" w:line="231"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(a) with respect to such Lender’s Revolving A Commitment at any time, the percentage of the Aggregate Revolving A Commitments represented by such Lender’s Revolving A Commitment at such time,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commitment of each Lender to make Revolving A Loans and the obligation of the L/C Issuer to make L/C Credit Extensions have been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if the Aggregate Revolving A Commitments have expired, then the Applicable Percentage of each Lender with respect to its Revolving A Commitment shall be determined based on the Applicable Percentage of such Lender most recently in effect, giving effect to any subsequent assignments, (b) with respect to such Lender’s Revolving B Commitment at any time, the percentage of the Aggregate Revolving B Commitments represented by such Lender’s Revolving B Commitment at such time,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commitment of each Lender to make Revolving B Loans has been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if the Aggregate Revolving B Commitments have expired, then the Applicable Percentage of each Lender with respect to its Revolving B Commitment shall be determined based on the Applicable Percentage of such Lender most recently in effect, giving effect to any subsequent assignments, (c) with respect to such Lender’s Revolving C Commitment at any time, the percentage of the Aggregate Revolving C Commitments represented by such Lender’s Revolving C Commitment at such time,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commitment of each Lender to make Revolving C Loans has been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if the Aggregate Revolving C Commitments have expired, then the Applicable Percentage of each Lender with respect to its Revolving C Commitment shall be determined based on the Applicable Percentage of such Lender most recently in effect, giving effect to any subsequent assignments, (d) with respect to such Lender’s portion of the outstanding Term A Loan at any time, the percentage of the outstanding principal amount of the Term A Loan held by such Lender at such time, (e) with respect to such Lender’s portion of the outstanding Term B</w:t>
      </w:r>
      <w:r>
        <w:rPr>
          <w:rFonts w:ascii="MS PGothic" w:cs="MS PGothic" w:eastAsia="MS PGothic" w:hAnsi="MS PGothic"/>
          <w:sz w:val="18"/>
          <w:szCs w:val="18"/>
          <w:color w:val="auto"/>
        </w:rPr>
        <w:t>‑</w:t>
      </w:r>
      <w:r>
        <w:rPr>
          <w:rFonts w:ascii="Arial" w:cs="Arial" w:eastAsia="Arial" w:hAnsi="Arial"/>
          <w:sz w:val="18"/>
          <w:szCs w:val="18"/>
          <w:color w:val="auto"/>
        </w:rPr>
        <w:t>3 Loan at any time, the percentage of the outstanding principal amount of the Term B</w:t>
      </w:r>
      <w:r>
        <w:rPr>
          <w:rFonts w:ascii="MS PGothic" w:cs="MS PGothic" w:eastAsia="MS PGothic" w:hAnsi="MS PGothic"/>
          <w:sz w:val="18"/>
          <w:szCs w:val="18"/>
          <w:color w:val="auto"/>
        </w:rPr>
        <w:t>‑</w:t>
      </w:r>
      <w:r>
        <w:rPr>
          <w:rFonts w:ascii="Arial" w:cs="Arial" w:eastAsia="Arial" w:hAnsi="Arial"/>
          <w:sz w:val="18"/>
          <w:szCs w:val="18"/>
          <w:color w:val="auto"/>
        </w:rPr>
        <w:t xml:space="preserve">3 Loan held by such Lender at such time, (f) with respect to such Lender’s portion of any outstanding Incremental Term A Loan at any time, the percentage of the outstanding principal amount of such Incremental Term A Loan held by such Lender at such time, and (g) with respect to such Lender’s portion of any outstanding Incremental Term B Loan at any time, the percentage of the outstanding principal amount of such Incremental Term B Loan held by such Lender at such time.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on the Register, or in the Assignment and Assumption or other document pursuant to which such Lender becomes a party hereto, as applicable.</w:t>
      </w:r>
    </w:p>
    <w:p>
      <w:pPr>
        <w:spacing w:after="0" w:line="200"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(a) with respect to any Incremental Term Loan, the percentage(s) per annum set forth in the Lender Joinder Agreement applicable thereto, (b) with respect to the Term B</w:t>
      </w:r>
      <w:r>
        <w:rPr>
          <w:rFonts w:ascii="MS PGothic" w:cs="MS PGothic" w:eastAsia="MS PGothic" w:hAnsi="MS PGothic"/>
          <w:sz w:val="19"/>
          <w:szCs w:val="19"/>
          <w:color w:val="auto"/>
        </w:rPr>
        <w:t>‑</w:t>
      </w:r>
      <w:r>
        <w:rPr>
          <w:rFonts w:ascii="Arial" w:cs="Arial" w:eastAsia="Arial" w:hAnsi="Arial"/>
          <w:sz w:val="19"/>
          <w:szCs w:val="19"/>
          <w:color w:val="auto"/>
        </w:rPr>
        <w:t xml:space="preserve">3 Loan, 2.00% per annum in the case of Eurocurrency Rate Loans and 1.00% per annum in the case of Base Rate Loans, and (c) with respect to Revolving Loans, the Term A Loan, Swing Line Loans, Letters of Credit and the Commitment Fee, the following percentages per annum, based upon the Consolidated Leverage Ratio as set forth in the most recent Compliance Certificate received by the Administrative Agent pursuant to </w:t>
      </w:r>
      <w:r>
        <w:rPr>
          <w:rFonts w:ascii="Arial" w:cs="Arial" w:eastAsia="Arial" w:hAnsi="Arial"/>
          <w:sz w:val="19"/>
          <w:szCs w:val="19"/>
          <w:u w:val="single" w:color="auto"/>
          <w:color w:val="auto"/>
        </w:rPr>
        <w:t>Section 7.02(a)</w:t>
      </w:r>
      <w:r>
        <w:rPr>
          <w:rFonts w:ascii="Arial" w:cs="Arial" w:eastAsia="Arial" w:hAnsi="Arial"/>
          <w:sz w:val="19"/>
          <w:szCs w:val="19"/>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757" w:right="239" w:bottom="1440" w:gutter="0" w:footer="0" w:header="0"/>
        </w:sectPr>
      </w:pPr>
    </w:p>
    <w:bookmarkStart w:id="124" w:name="page125"/>
    <w:bookmarkEnd w:id="124"/>
    <w:tbl>
      <w:tblPr>
        <w:tblLayout w:type="fixed"/>
        <w:tblInd w:w="310" w:type="dxa"/>
        <w:tblCellMar>
          <w:top w:w="0" w:type="dxa"/>
          <w:left w:w="0" w:type="dxa"/>
          <w:bottom w:w="0" w:type="dxa"/>
          <w:right w:w="0" w:type="dxa"/>
        </w:tblCellMar>
      </w:tblPr>
      <w:tr>
        <w:trPr>
          <w:trHeight w:val="253"/>
        </w:trPr>
        <w:tc>
          <w:tcPr>
            <w:tcW w:w="1300" w:type="dxa"/>
            <w:vAlign w:val="bottom"/>
            <w:tcBorders>
              <w:top w:val="single" w:sz="8" w:color="auto"/>
              <w:left w:val="single" w:sz="8" w:color="auto"/>
              <w:right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Eurocurrency Rate</w:t>
            </w:r>
          </w:p>
        </w:tc>
        <w:tc>
          <w:tcPr>
            <w:tcW w:w="16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Consolidated</w:t>
            </w:r>
          </w:p>
        </w:tc>
        <w:tc>
          <w:tcPr>
            <w:tcW w:w="170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Loans/ Swing Line</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Pricing Tier</w:t>
            </w:r>
          </w:p>
        </w:tc>
        <w:tc>
          <w:tcPr>
            <w:tcW w:w="19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Leverage Ratio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Commitment Fee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Letter of Credit Fee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Base Rate Loans</w:t>
            </w:r>
          </w:p>
        </w:tc>
        <w:tc>
          <w:tcPr>
            <w:tcW w:w="0" w:type="dxa"/>
            <w:vAlign w:val="bottom"/>
          </w:tcPr>
          <w:p>
            <w:pPr>
              <w:spacing w:after="0"/>
              <w:rPr>
                <w:sz w:val="1"/>
                <w:szCs w:val="1"/>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71"/>
              </w:rPr>
              <w:t>1</w:t>
            </w:r>
          </w:p>
        </w:tc>
        <w:tc>
          <w:tcPr>
            <w:tcW w:w="1900" w:type="dxa"/>
            <w:vAlign w:val="bottom"/>
            <w:tcBorders>
              <w:right w:val="single" w:sz="8" w:color="auto"/>
            </w:tcBorders>
            <w:gridSpan w:val="3"/>
          </w:tcPr>
          <w:p>
            <w:pPr>
              <w:jc w:val="center"/>
              <w:ind w:right="40"/>
              <w:spacing w:after="0" w:line="209" w:lineRule="exact"/>
              <w:rPr>
                <w:sz w:val="20"/>
                <w:szCs w:val="20"/>
                <w:color w:val="auto"/>
              </w:rPr>
            </w:pPr>
            <w:r>
              <w:rPr>
                <w:rFonts w:ascii="Arial" w:cs="Arial" w:eastAsia="Arial" w:hAnsi="Arial"/>
                <w:sz w:val="20"/>
                <w:szCs w:val="20"/>
                <w:color w:val="auto"/>
                <w:w w:val="91"/>
              </w:rPr>
              <w:t>&gt; 3.25:1.0</w:t>
            </w:r>
          </w:p>
        </w:tc>
        <w:tc>
          <w:tcPr>
            <w:tcW w:w="17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0.40%</w:t>
            </w:r>
          </w:p>
        </w:tc>
        <w:tc>
          <w:tcPr>
            <w:tcW w:w="17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2.00%</w:t>
            </w:r>
          </w:p>
        </w:tc>
        <w:tc>
          <w:tcPr>
            <w:tcW w:w="18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1.00%</w:t>
            </w:r>
          </w:p>
        </w:tc>
        <w:tc>
          <w:tcPr>
            <w:tcW w:w="0" w:type="dxa"/>
            <w:vAlign w:val="bottom"/>
          </w:tcPr>
          <w:p>
            <w:pPr>
              <w:spacing w:after="0"/>
              <w:rPr>
                <w:sz w:val="1"/>
                <w:szCs w:val="1"/>
                <w:color w:val="auto"/>
              </w:rPr>
            </w:pPr>
          </w:p>
        </w:tc>
      </w:tr>
      <w:tr>
        <w:trPr>
          <w:trHeight w:val="48"/>
        </w:trPr>
        <w:tc>
          <w:tcPr>
            <w:tcW w:w="130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71"/>
              </w:rPr>
              <w:t>2</w:t>
            </w:r>
          </w:p>
        </w:tc>
        <w:tc>
          <w:tcPr>
            <w:tcW w:w="52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560"/>
              <w:spacing w:after="0" w:line="209" w:lineRule="exact"/>
              <w:rPr>
                <w:sz w:val="20"/>
                <w:szCs w:val="20"/>
                <w:color w:val="auto"/>
              </w:rPr>
            </w:pPr>
            <w:r>
              <w:rPr>
                <w:rFonts w:ascii="Arial" w:cs="Arial" w:eastAsia="Arial" w:hAnsi="Arial"/>
                <w:sz w:val="20"/>
                <w:szCs w:val="20"/>
                <w:color w:val="auto"/>
                <w:w w:val="91"/>
              </w:rPr>
              <w:t>&gt; 2.50:1.0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0.35%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1.75%</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1.75%</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0.75%</w:t>
            </w:r>
          </w:p>
        </w:tc>
        <w:tc>
          <w:tcPr>
            <w:tcW w:w="0" w:type="dxa"/>
            <w:vAlign w:val="bottom"/>
          </w:tcPr>
          <w:p>
            <w:pPr>
              <w:spacing w:after="0"/>
              <w:rPr>
                <w:sz w:val="1"/>
                <w:szCs w:val="1"/>
                <w:color w:val="auto"/>
              </w:rPr>
            </w:pPr>
          </w:p>
        </w:tc>
      </w:tr>
      <w:tr>
        <w:trPr>
          <w:trHeight w:val="20"/>
        </w:trPr>
        <w:tc>
          <w:tcPr>
            <w:tcW w:w="1300" w:type="dxa"/>
            <w:vAlign w:val="bottom"/>
            <w:tcBorders>
              <w:left w:val="single" w:sz="8" w:color="auto"/>
              <w:right w:val="single" w:sz="8" w:color="auto"/>
            </w:tcBorders>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1800" w:type="dxa"/>
            <w:vAlign w:val="bottom"/>
            <w:tcBorders>
              <w:right w:val="single" w:sz="8" w:color="auto"/>
            </w:tcBorders>
            <w:vMerge w:val="continue"/>
          </w:tcPr>
          <w:p>
            <w:pPr>
              <w:spacing w:after="0" w:line="20" w:lineRule="exact"/>
              <w:rPr>
                <w:sz w:val="1"/>
                <w:szCs w:val="1"/>
                <w:color w:val="auto"/>
              </w:rPr>
            </w:pPr>
          </w:p>
        </w:tc>
        <w:tc>
          <w:tcPr>
            <w:tcW w:w="16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30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90"/>
              </w:rPr>
              <w:t>but &lt;3.25:1.0</w:t>
            </w:r>
          </w:p>
        </w:tc>
        <w:tc>
          <w:tcPr>
            <w:tcW w:w="170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gridSpan w:val="3"/>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71"/>
              </w:rPr>
              <w:t>3</w:t>
            </w:r>
          </w:p>
        </w:tc>
        <w:tc>
          <w:tcPr>
            <w:tcW w:w="52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560"/>
              <w:spacing w:after="0" w:line="209" w:lineRule="exact"/>
              <w:rPr>
                <w:sz w:val="20"/>
                <w:szCs w:val="20"/>
                <w:color w:val="auto"/>
              </w:rPr>
            </w:pPr>
            <w:r>
              <w:rPr>
                <w:rFonts w:ascii="Arial" w:cs="Arial" w:eastAsia="Arial" w:hAnsi="Arial"/>
                <w:sz w:val="20"/>
                <w:szCs w:val="20"/>
                <w:color w:val="auto"/>
                <w:w w:val="91"/>
              </w:rPr>
              <w:t>&gt; 1.50:1.0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0.30%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1.50%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1.50%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0.50%</w:t>
            </w:r>
          </w:p>
        </w:tc>
        <w:tc>
          <w:tcPr>
            <w:tcW w:w="0" w:type="dxa"/>
            <w:vAlign w:val="bottom"/>
          </w:tcPr>
          <w:p>
            <w:pPr>
              <w:spacing w:after="0"/>
              <w:rPr>
                <w:sz w:val="1"/>
                <w:szCs w:val="1"/>
                <w:color w:val="auto"/>
              </w:rPr>
            </w:pPr>
          </w:p>
        </w:tc>
      </w:tr>
      <w:tr>
        <w:trPr>
          <w:trHeight w:val="20"/>
        </w:trPr>
        <w:tc>
          <w:tcPr>
            <w:tcW w:w="1300" w:type="dxa"/>
            <w:vAlign w:val="bottom"/>
            <w:tcBorders>
              <w:left w:val="single" w:sz="8" w:color="auto"/>
              <w:right w:val="single" w:sz="8" w:color="auto"/>
            </w:tcBorders>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1800" w:type="dxa"/>
            <w:vAlign w:val="bottom"/>
            <w:tcBorders>
              <w:right w:val="single" w:sz="8" w:color="auto"/>
            </w:tcBorders>
            <w:vMerge w:val="continue"/>
          </w:tcPr>
          <w:p>
            <w:pPr>
              <w:spacing w:after="0" w:line="20" w:lineRule="exact"/>
              <w:rPr>
                <w:sz w:val="1"/>
                <w:szCs w:val="1"/>
                <w:color w:val="auto"/>
              </w:rPr>
            </w:pPr>
          </w:p>
        </w:tc>
        <w:tc>
          <w:tcPr>
            <w:tcW w:w="16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30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9"/>
              </w:rPr>
              <w:t>but &lt; 2.50:1.0</w:t>
            </w:r>
          </w:p>
        </w:tc>
        <w:tc>
          <w:tcPr>
            <w:tcW w:w="170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gridSpan w:val="3"/>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71"/>
              </w:rPr>
              <w:t>4</w:t>
            </w:r>
          </w:p>
        </w:tc>
        <w:tc>
          <w:tcPr>
            <w:tcW w:w="52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560"/>
              <w:spacing w:after="0" w:line="209" w:lineRule="exact"/>
              <w:rPr>
                <w:sz w:val="20"/>
                <w:szCs w:val="20"/>
                <w:color w:val="auto"/>
              </w:rPr>
            </w:pPr>
            <w:r>
              <w:rPr>
                <w:rFonts w:ascii="Arial" w:cs="Arial" w:eastAsia="Arial" w:hAnsi="Arial"/>
                <w:sz w:val="20"/>
                <w:szCs w:val="20"/>
                <w:color w:val="auto"/>
                <w:w w:val="91"/>
              </w:rPr>
              <w:t>&gt; 0.75:1.0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0.25%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1.25%</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1.25%</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0.25%</w:t>
            </w:r>
          </w:p>
        </w:tc>
        <w:tc>
          <w:tcPr>
            <w:tcW w:w="0" w:type="dxa"/>
            <w:vAlign w:val="bottom"/>
          </w:tcPr>
          <w:p>
            <w:pPr>
              <w:spacing w:after="0"/>
              <w:rPr>
                <w:sz w:val="1"/>
                <w:szCs w:val="1"/>
                <w:color w:val="auto"/>
              </w:rPr>
            </w:pPr>
          </w:p>
        </w:tc>
      </w:tr>
      <w:tr>
        <w:trPr>
          <w:trHeight w:val="20"/>
        </w:trPr>
        <w:tc>
          <w:tcPr>
            <w:tcW w:w="1300" w:type="dxa"/>
            <w:vAlign w:val="bottom"/>
            <w:tcBorders>
              <w:left w:val="single" w:sz="8" w:color="auto"/>
              <w:right w:val="single" w:sz="8" w:color="auto"/>
            </w:tcBorders>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1700" w:type="dxa"/>
            <w:vAlign w:val="bottom"/>
            <w:tcBorders>
              <w:right w:val="single" w:sz="8" w:color="auto"/>
            </w:tcBorders>
            <w:vMerge w:val="continue"/>
          </w:tcPr>
          <w:p>
            <w:pPr>
              <w:spacing w:after="0" w:line="20" w:lineRule="exact"/>
              <w:rPr>
                <w:sz w:val="1"/>
                <w:szCs w:val="1"/>
                <w:color w:val="auto"/>
              </w:rPr>
            </w:pPr>
          </w:p>
        </w:tc>
        <w:tc>
          <w:tcPr>
            <w:tcW w:w="1800" w:type="dxa"/>
            <w:vAlign w:val="bottom"/>
            <w:tcBorders>
              <w:right w:val="single" w:sz="8" w:color="auto"/>
            </w:tcBorders>
            <w:vMerge w:val="continue"/>
          </w:tcPr>
          <w:p>
            <w:pPr>
              <w:spacing w:after="0" w:line="20" w:lineRule="exact"/>
              <w:rPr>
                <w:sz w:val="1"/>
                <w:szCs w:val="1"/>
                <w:color w:val="auto"/>
              </w:rPr>
            </w:pPr>
          </w:p>
        </w:tc>
        <w:tc>
          <w:tcPr>
            <w:tcW w:w="16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30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9"/>
              </w:rPr>
              <w:t>but &lt; 1.50:1.0</w:t>
            </w:r>
          </w:p>
        </w:tc>
        <w:tc>
          <w:tcPr>
            <w:tcW w:w="170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gridSpan w:val="3"/>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5</w:t>
            </w:r>
          </w:p>
        </w:tc>
        <w:tc>
          <w:tcPr>
            <w:tcW w:w="19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1"/>
              </w:rPr>
              <w:t>&lt; 0.75:1.0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0.00%</w:t>
            </w:r>
          </w:p>
        </w:tc>
        <w:tc>
          <w:tcPr>
            <w:tcW w:w="0" w:type="dxa"/>
            <w:vAlign w:val="bottom"/>
          </w:tcPr>
          <w:p>
            <w:pPr>
              <w:spacing w:after="0"/>
              <w:rPr>
                <w:sz w:val="1"/>
                <w:szCs w:val="1"/>
                <w:color w:val="auto"/>
              </w:rPr>
            </w:pPr>
          </w:p>
        </w:tc>
      </w:tr>
      <w:tr>
        <w:trPr>
          <w:trHeight w:val="239"/>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Compliance Certificate is not delivered when due in accordance with such Section, then, upon the request of the Required Lenders, Pricing Tier 1 shall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whereupon the Applicable Rate shall be adjusted based upon the calculation of the Consolidated Leverage Ratio contained in such Compliance Certificate. The Applicable Rate in effect from the Third Amendment Effective Date to the first Business Day immediately following the date a Compliance Certificate is delivered pursuant to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for the fiscal quarter of the Parent ending September 30, 2017 shall be determined based upon Pricing Tier 2. 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Time</w:t>
      </w:r>
      <w:r>
        <w:rPr>
          <w:rFonts w:ascii="Arial" w:cs="Arial" w:eastAsia="Arial" w:hAnsi="Arial"/>
          <w:sz w:val="20"/>
          <w:szCs w:val="20"/>
          <w:color w:val="auto"/>
        </w:rPr>
        <w:t>” means, with respect to any borrowings and payments in any Alternative Currency, Australian Dollars or New Zealand Dollars, the local time in the place of settlement for such currency as may be determined by the Administrative Agent, the Swing Line Lender or the L/C Issuer, as the case may be, to be necessary for timely settlement on the relevant date in accordance with normal banking procedures in the place of payment.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Arrangers</w:t>
      </w:r>
      <w:r>
        <w:rPr>
          <w:rFonts w:ascii="Arial" w:cs="Arial" w:eastAsia="Arial" w:hAnsi="Arial"/>
          <w:sz w:val="19"/>
          <w:szCs w:val="19"/>
          <w:color w:val="auto"/>
        </w:rPr>
        <w:t>” means (a) MLPFS (or any of its designated Affiliates, including any other registered broker</w:t>
      </w:r>
      <w:r>
        <w:rPr>
          <w:rFonts w:ascii="MS PGothic" w:cs="MS PGothic" w:eastAsia="MS PGothic" w:hAnsi="MS PGothic"/>
          <w:sz w:val="19"/>
          <w:szCs w:val="19"/>
          <w:color w:val="auto"/>
        </w:rPr>
        <w:t>‑</w:t>
      </w:r>
      <w:r>
        <w:rPr>
          <w:rFonts w:ascii="Arial" w:cs="Arial" w:eastAsia="Arial" w:hAnsi="Arial"/>
          <w:sz w:val="19"/>
          <w:szCs w:val="19"/>
          <w:color w:val="auto"/>
        </w:rPr>
        <w:t>dealer wholly</w:t>
      </w:r>
      <w:r>
        <w:rPr>
          <w:rFonts w:ascii="MS PGothic" w:cs="MS PGothic" w:eastAsia="MS PGothic" w:hAnsi="MS PGothic"/>
          <w:sz w:val="19"/>
          <w:szCs w:val="19"/>
          <w:color w:val="auto"/>
        </w:rPr>
        <w:t>‑</w:t>
      </w:r>
      <w:r>
        <w:rPr>
          <w:rFonts w:ascii="Arial" w:cs="Arial" w:eastAsia="Arial" w:hAnsi="Arial"/>
          <w:sz w:val="19"/>
          <w:szCs w:val="19"/>
          <w:color w:val="auto"/>
        </w:rPr>
        <w:t>owned by Bank of America Corporation to which all or substantially all of Bank of America Corporation’s or any of its subsidiaries’ investment banking, commercial lending services or related businesses may be transferred following the Third Amendment Effective Date) in its capacity as a joint lead arranger and joint bookrunner, (b) PNC Capital Markets, LLC in its capacity as joint lead arranger and joint bookrunner, and (c) The Bank of Tokyo</w:t>
      </w:r>
      <w:r>
        <w:rPr>
          <w:rFonts w:ascii="MS PGothic" w:cs="MS PGothic" w:eastAsia="MS PGothic" w:hAnsi="MS PGothic"/>
          <w:sz w:val="19"/>
          <w:szCs w:val="19"/>
          <w:color w:val="auto"/>
        </w:rPr>
        <w:t>‑</w:t>
      </w:r>
      <w:r>
        <w:rPr>
          <w:rFonts w:ascii="Arial" w:cs="Arial" w:eastAsia="Arial" w:hAnsi="Arial"/>
          <w:sz w:val="19"/>
          <w:szCs w:val="19"/>
          <w:color w:val="auto"/>
        </w:rPr>
        <w:t>Mitsubishi UFJ, Ltd., in its capacity as joint lead arranger and joint bookrunner.</w:t>
      </w:r>
    </w:p>
    <w:p>
      <w:pPr>
        <w:spacing w:after="0" w:line="1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89" w:right="239" w:bottom="1440" w:gutter="0" w:footer="0" w:header="0"/>
        </w:sectPr>
      </w:pPr>
    </w:p>
    <w:bookmarkStart w:id="125" w:name="page126"/>
    <w:bookmarkEnd w:id="125"/>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or any other form (including electronic documentation generated by use of an electronic platform) approved by the Administrative Agent.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Indebtedness</w:t>
      </w:r>
      <w:r>
        <w:rPr>
          <w:rFonts w:ascii="Arial" w:cs="Arial" w:eastAsia="Arial" w:hAnsi="Arial"/>
          <w:sz w:val="19"/>
          <w:szCs w:val="19"/>
          <w:color w:val="auto"/>
        </w:rPr>
        <w:t>” means, on any date, (a) in respect of any Capital Lease of any Person, the capitalized amount thereof that would appear on a balance sheet of such Person prepared as of such date in accordance with GAAP, (b) in respect of any Synthetic Lease of any Person, the capitalized amount of the remaining lease payments under the relevant lease that would appear on a balance sheet of such Person prepared as of such date in accordance with GAAP if such lease were accounted for as a Capital Lease and (c) in respect of any Receivables Facility of any Person, the amount of obligations outstanding on any date of determination that would be characterized as principal if such Receivables Facility had been structured as a secured loan rather than a sale.</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Parent and its Subsidiaries for the fiscal year ended December 31, 2016, and the related consolidated statements of income or operations, shareholders’ equity and cash flows for such fiscal year of the Parent and its Subsidiaries, including the notes thereto, audited by independent public accountants of recognized national standing and prepared in conformity with GAAP.</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Dollar</w:t>
      </w:r>
      <w:r>
        <w:rPr>
          <w:rFonts w:ascii="Arial" w:cs="Arial" w:eastAsia="Arial" w:hAnsi="Arial"/>
          <w:sz w:val="20"/>
          <w:szCs w:val="20"/>
          <w:color w:val="auto"/>
        </w:rPr>
        <w:t>” means the lawful currency of Australia.</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(a) with respect to the Revolving A Commitments, the period from and including the Third Amendment Effective Date to the earliest of (i) the Maturity Date, (ii) the date of termination of the Aggregate Revolving A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(iii) the date of termination of the commitment of each Lender to make Revolving A Loans and of the obligation of the L/C Issuer to make L/C Credit Extensions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(b) with respect to the Revolving B Commitments, the period from and including the Third Amendment Effective Date to the earliest of (i) the Maturity Date, (ii) the date of termination of the Aggregate Revolving B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(iii) the date of termination of the commitment of each Lender to make Revolving B Loans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(c) with respect to the Revolving C Commitments, the period from and including the Third Amendment Effective Date to the earliest of (i) the Maturity Date, (ii) the date of termination of the Aggregate Revolving C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(iii) the date of termination of the commitment of each Lender to make Revolving C Loans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53"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In Action</w:t>
      </w:r>
      <w:r>
        <w:rPr>
          <w:rFonts w:ascii="Arial" w:cs="Arial" w:eastAsia="Arial" w:hAnsi="Arial"/>
          <w:sz w:val="20"/>
          <w:szCs w:val="20"/>
          <w:color w:val="auto"/>
        </w:rPr>
        <w:t>” means the exercise of any Write</w:t>
      </w:r>
      <w:r>
        <w:rPr>
          <w:rFonts w:ascii="MS PGothic" w:cs="MS PGothic" w:eastAsia="MS PGothic" w:hAnsi="MS PGothic"/>
          <w:sz w:val="20"/>
          <w:szCs w:val="20"/>
          <w:color w:val="auto"/>
        </w:rPr>
        <w:t>‑</w:t>
      </w:r>
      <w:r>
        <w:rPr>
          <w:rFonts w:ascii="Arial" w:cs="Arial" w:eastAsia="Arial" w:hAnsi="Arial"/>
          <w:sz w:val="20"/>
          <w:szCs w:val="20"/>
          <w:color w:val="auto"/>
        </w:rPr>
        <w:t>Down and Conversion Powers by the applicable EEA Resolution Authority in respect of any liability of an EEA Financial Institution.</w:t>
      </w:r>
    </w:p>
    <w:p>
      <w:pPr>
        <w:spacing w:after="0" w:line="223" w:lineRule="exact"/>
        <w:rPr>
          <w:sz w:val="20"/>
          <w:szCs w:val="20"/>
          <w:color w:val="auto"/>
        </w:rPr>
      </w:pPr>
    </w:p>
    <w:p>
      <w:pPr>
        <w:jc w:val="both"/>
        <w:ind w:firstLine="648"/>
        <w:spacing w:after="0" w:line="254"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w:t>
      </w:r>
      <w:r>
        <w:rPr>
          <w:rFonts w:ascii="MS PGothic" w:cs="MS PGothic" w:eastAsia="MS PGothic" w:hAnsi="MS PGothic"/>
          <w:sz w:val="20"/>
          <w:szCs w:val="20"/>
          <w:color w:val="auto"/>
        </w:rPr>
        <w:t>‑</w:t>
      </w:r>
      <w:r>
        <w:rPr>
          <w:rFonts w:ascii="Arial" w:cs="Arial" w:eastAsia="Arial" w:hAnsi="Arial"/>
          <w:sz w:val="20"/>
          <w:szCs w:val="20"/>
          <w:color w:val="auto"/>
        </w:rPr>
        <w:t>In Legislation Schedule.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plus 0.50%, (b) the rate of interest in effect for such day as publicly announced from time to time by Bank of America as its “prime rate” and (c)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The “prime rate” is a rate set by Bank of America based upon various factors including Bank of America’s costs and desired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757" w:right="239" w:bottom="1440" w:gutter="0" w:footer="0" w:header="0"/>
        </w:sectPr>
      </w:pPr>
    </w:p>
    <w:bookmarkStart w:id="126" w:name="page127"/>
    <w:bookmarkEnd w:id="126"/>
    <w:p>
      <w:pPr>
        <w:jc w:val="both"/>
        <w:spacing w:after="0" w:line="250" w:lineRule="auto"/>
        <w:rPr>
          <w:sz w:val="20"/>
          <w:szCs w:val="20"/>
          <w:color w:val="auto"/>
        </w:rPr>
      </w:pPr>
      <w:r>
        <w:rPr>
          <w:rFonts w:ascii="Arial" w:cs="Arial" w:eastAsia="Arial" w:hAnsi="Arial"/>
          <w:sz w:val="20"/>
          <w:szCs w:val="20"/>
          <w:color w:val="auto"/>
        </w:rPr>
        <w:t>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 Base Rate Loans shall be made only to the Company or the Additional Borrower and shall be denominated in Dollars.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and “</w:t>
      </w:r>
      <w:r>
        <w:rPr>
          <w:rFonts w:ascii="Arial" w:cs="Arial" w:eastAsia="Arial" w:hAnsi="Arial"/>
          <w:sz w:val="20"/>
          <w:szCs w:val="20"/>
          <w:u w:val="single" w:color="auto"/>
          <w:color w:val="auto"/>
        </w:rPr>
        <w:t>Borrowers</w:t>
      </w:r>
      <w:r>
        <w:rPr>
          <w:rFonts w:ascii="Arial" w:cs="Arial" w:eastAsia="Arial" w:hAnsi="Arial"/>
          <w:sz w:val="20"/>
          <w:szCs w:val="20"/>
          <w:color w:val="auto"/>
        </w:rPr>
        <w:t>” each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each of the following: (a) a borrowing of Swing Line Loans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and (b) a borrowing consisting of simultaneous Loans of the same Type, in the same currency and, in the case of Eurocurrency Rate Loans, having the same Interest Period made by the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New York, New York or the state where the Administrative Agent’s Office with respect to Obligations denominated in Dollars is located and: (a) if such day relates to any interest rate settings as to a Eurocurrency Rate Loan denominated in Dollars or a Domestic Swing Line Loan, any fundings, disbursements, settlements and payments in Dollars in respect of any such Eurocurrency Rate Loan or such Domestic Swing Line Loan, or any other dealings in Dollars to be carried out pursuant to this Agreement in respect of any such Eurocurrency Rate Loan or such Domestic Swing Line Loan, means any such day that is also a London Banking Day; (b) 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 (c) 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 (d) 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means, at any time, a collective reference to the businesses operated by the Company and its Subsidiaries at such time.</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Cambridge Acquisition</w:t>
      </w:r>
      <w:r>
        <w:rPr>
          <w:rFonts w:ascii="Arial" w:cs="Arial" w:eastAsia="Arial" w:hAnsi="Arial"/>
          <w:sz w:val="19"/>
          <w:szCs w:val="19"/>
          <w:color w:val="auto"/>
        </w:rPr>
        <w:t>” means the acquisition by the Company, directly or indirectly, of all of the outstanding share capital of the Additional Borrower, pursuant to and in accordance with that certain Purchase and Sale Agreement dated as of April 28, 2017 by and among Permicom Permits Services, Inc., the Company, the Parent, Cambridge Mercantile Corp. and the other parties thereto.</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means, as applied to any Person, any lease of any property by that Person as lessee which, in accordance with GAAP, is required to be accounted for as a capital lease on the balance sheet of that Person.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757" w:right="239" w:bottom="1440" w:gutter="0" w:footer="0" w:header="0"/>
        </w:sectPr>
      </w:pPr>
    </w:p>
    <w:bookmarkStart w:id="127" w:name="page128"/>
    <w:bookmarkEnd w:id="127"/>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pledge and deposit with or deliver to the Administrative Agent, for the benefit of the Administrative Agent,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Swing Line Lender benefitting from such collateral shall agree in its sole discretion, other credit support, in each case pursuant to documentation in form and substance satisfactory to (a) the Administrative Agent and (b) the L/C Issuer or the Swing Line Lender (as applicable).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as at any date,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Dollar denominated time deposits and certificates of deposit of (i) any Lender,</w:t>
      </w:r>
    </w:p>
    <w:p>
      <w:pPr>
        <w:spacing w:after="0" w:line="1" w:lineRule="exact"/>
        <w:rPr>
          <w:sz w:val="20"/>
          <w:szCs w:val="20"/>
          <w:color w:val="auto"/>
        </w:rPr>
      </w:pPr>
    </w:p>
    <w:p>
      <w:pPr>
        <w:jc w:val="both"/>
        <w:ind w:firstLine="8"/>
        <w:spacing w:after="0" w:line="230" w:lineRule="exact"/>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domestic commercial bank of recognized standing having capital and surplus in excess of $500,000,000 or (iii) any bank whose short</w:t>
      </w:r>
      <w:r>
        <w:rPr>
          <w:rFonts w:ascii="MS PGothic" w:cs="MS PGothic" w:eastAsia="MS PGothic" w:hAnsi="MS PGothic"/>
          <w:sz w:val="18"/>
          <w:szCs w:val="18"/>
          <w:color w:val="auto"/>
        </w:rPr>
        <w:t>‑</w:t>
      </w:r>
      <w:r>
        <w:rPr>
          <w:rFonts w:ascii="Arial" w:cs="Arial" w:eastAsia="Arial" w:hAnsi="Arial"/>
          <w:sz w:val="18"/>
          <w:szCs w:val="18"/>
          <w:color w:val="auto"/>
        </w:rPr>
        <w:t>term commercial paper rating from S&amp;P is at least A</w:t>
      </w:r>
      <w:r>
        <w:rPr>
          <w:rFonts w:ascii="MS PGothic" w:cs="MS PGothic" w:eastAsia="MS PGothic" w:hAnsi="MS PGothic"/>
          <w:sz w:val="18"/>
          <w:szCs w:val="18"/>
          <w:color w:val="auto"/>
        </w:rPr>
        <w:t>‑</w:t>
      </w:r>
      <w:r>
        <w:rPr>
          <w:rFonts w:ascii="Arial" w:cs="Arial" w:eastAsia="Arial" w:hAnsi="Arial"/>
          <w:sz w:val="18"/>
          <w:szCs w:val="18"/>
          <w:color w:val="auto"/>
        </w:rPr>
        <w:t>1 or the equivalent thereof or from Moody’s is at least P</w:t>
      </w:r>
      <w:r>
        <w:rPr>
          <w:rFonts w:ascii="MS PGothic" w:cs="MS PGothic" w:eastAsia="MS PGothic" w:hAnsi="MS PGothic"/>
          <w:sz w:val="18"/>
          <w:szCs w:val="18"/>
          <w:color w:val="auto"/>
        </w:rPr>
        <w:t>‑</w:t>
      </w:r>
      <w:r>
        <w:rPr>
          <w:rFonts w:ascii="Arial" w:cs="Arial" w:eastAsia="Arial" w:hAnsi="Arial"/>
          <w:sz w:val="18"/>
          <w:szCs w:val="18"/>
          <w:color w:val="auto"/>
        </w:rPr>
        <w:t>1 or the equivalent thereof (any such bank being an “Approved Bank”),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w:t>
      </w:r>
      <w:r>
        <w:rPr>
          <w:rFonts w:ascii="MS PGothic" w:cs="MS PGothic" w:eastAsia="MS PGothic" w:hAnsi="MS PGothic"/>
          <w:sz w:val="18"/>
          <w:szCs w:val="18"/>
          <w:color w:val="auto"/>
        </w:rPr>
        <w:t>‑</w:t>
      </w:r>
      <w:r>
        <w:rPr>
          <w:rFonts w:ascii="Arial" w:cs="Arial" w:eastAsia="Arial" w:hAnsi="Arial"/>
          <w:sz w:val="18"/>
          <w:szCs w:val="18"/>
          <w:color w:val="auto"/>
        </w:rPr>
        <w:t>1 (or the equivalent thereof) or better by S&amp;P or P</w:t>
      </w:r>
      <w:r>
        <w:rPr>
          <w:rFonts w:ascii="MS PGothic" w:cs="MS PGothic" w:eastAsia="MS PGothic" w:hAnsi="MS PGothic"/>
          <w:sz w:val="18"/>
          <w:szCs w:val="18"/>
          <w:color w:val="auto"/>
        </w:rPr>
        <w:t>‑</w:t>
      </w:r>
      <w:r>
        <w:rPr>
          <w:rFonts w:ascii="Arial" w:cs="Arial" w:eastAsia="Arial" w:hAnsi="Arial"/>
          <w:sz w:val="18"/>
          <w:szCs w:val="18"/>
          <w:color w:val="auto"/>
        </w:rPr>
        <w:t>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subdivisions (a) through (d).</w:t>
      </w:r>
    </w:p>
    <w:p>
      <w:pPr>
        <w:spacing w:after="0" w:line="20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anything herein to the contrary, (x) the Dodd</w:t>
      </w:r>
      <w:r>
        <w:rPr>
          <w:rFonts w:ascii="MS PGothic" w:cs="MS PGothic" w:eastAsia="MS PGothic" w:hAnsi="MS PGothic"/>
          <w:sz w:val="18"/>
          <w:szCs w:val="18"/>
          <w:color w:val="auto"/>
        </w:rPr>
        <w:t>‑</w:t>
      </w:r>
      <w:r>
        <w:rPr>
          <w:rFonts w:ascii="Arial" w:cs="Arial" w:eastAsia="Arial" w:hAnsi="Arial"/>
          <w:sz w:val="18"/>
          <w:szCs w:val="18"/>
          <w:color w:val="auto"/>
        </w:rPr>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the occurrence of any of the following events:</w:t>
      </w:r>
    </w:p>
    <w:p>
      <w:pPr>
        <w:spacing w:after="0" w:line="229" w:lineRule="exact"/>
        <w:rPr>
          <w:sz w:val="20"/>
          <w:szCs w:val="20"/>
          <w:color w:val="auto"/>
        </w:rPr>
      </w:pPr>
    </w:p>
    <w:p>
      <w:pPr>
        <w:jc w:val="both"/>
        <w:ind w:left="660" w:firstLine="645"/>
        <w:spacing w:after="0" w:line="322" w:lineRule="auto"/>
        <w:tabs>
          <w:tab w:leader="none" w:pos="172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Permitted Holders, becomes the “beneficial owner” (as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757" w:right="239" w:bottom="1440" w:gutter="0" w:footer="0" w:header="0"/>
        </w:sectPr>
      </w:pPr>
    </w:p>
    <w:bookmarkStart w:id="128" w:name="page129"/>
    <w:bookmarkEnd w:id="128"/>
    <w:p>
      <w:pPr>
        <w:jc w:val="both"/>
        <w:ind w:left="660"/>
        <w:spacing w:after="0" w:line="255" w:lineRule="exact"/>
        <w:rPr>
          <w:sz w:val="20"/>
          <w:szCs w:val="20"/>
          <w:color w:val="auto"/>
        </w:rPr>
      </w:pPr>
      <w:r>
        <w:rPr>
          <w:rFonts w:ascii="Arial" w:cs="Arial" w:eastAsia="Arial" w:hAnsi="Arial"/>
          <w:sz w:val="20"/>
          <w:szCs w:val="20"/>
          <w:color w:val="auto"/>
        </w:rPr>
        <w:t>defined in Rules 13d</w:t>
      </w:r>
      <w:r>
        <w:rPr>
          <w:rFonts w:ascii="MS PGothic" w:cs="MS PGothic" w:eastAsia="MS PGothic" w:hAnsi="MS PGothic"/>
          <w:sz w:val="20"/>
          <w:szCs w:val="20"/>
          <w:color w:val="auto"/>
        </w:rPr>
        <w:t>‑</w:t>
      </w:r>
      <w:r>
        <w:rPr>
          <w:rFonts w:ascii="Arial" w:cs="Arial" w:eastAsia="Arial" w:hAnsi="Arial"/>
          <w:sz w:val="20"/>
          <w:szCs w:val="20"/>
          <w:color w:val="auto"/>
        </w:rPr>
        <w:t>3 and 13d</w:t>
      </w:r>
      <w:r>
        <w:rPr>
          <w:rFonts w:ascii="MS PGothic" w:cs="MS PGothic" w:eastAsia="MS PGothic" w:hAnsi="MS PGothic"/>
          <w:sz w:val="20"/>
          <w:szCs w:val="20"/>
          <w:color w:val="auto"/>
        </w:rPr>
        <w:t>‑</w:t>
      </w:r>
      <w:r>
        <w:rPr>
          <w:rFonts w:ascii="Arial" w:cs="Arial" w:eastAsia="Arial" w:hAnsi="Arial"/>
          <w:sz w:val="20"/>
          <w:szCs w:val="20"/>
          <w:color w:val="auto"/>
        </w:rPr>
        <w:t>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thirty</w:t>
      </w:r>
      <w:r>
        <w:rPr>
          <w:rFonts w:ascii="MS PGothic" w:cs="MS PGothic" w:eastAsia="MS PGothic" w:hAnsi="MS PGothic"/>
          <w:sz w:val="20"/>
          <w:szCs w:val="20"/>
          <w:color w:val="auto"/>
        </w:rPr>
        <w:t>‑</w:t>
      </w:r>
      <w:r>
        <w:rPr>
          <w:rFonts w:ascii="Arial" w:cs="Arial" w:eastAsia="Arial" w:hAnsi="Arial"/>
          <w:sz w:val="20"/>
          <w:szCs w:val="20"/>
          <w:color w:val="auto"/>
        </w:rPr>
        <w:t>five percent (35%) or more of the Parent’s then outstanding Equity Interests entitled to vote for members of the board of directors or equivalent governing body of the Parent on a fully diluted basis (and taking into account all such securities that such person or group has the right to acquire pursuant to any option right); or</w:t>
      </w:r>
    </w:p>
    <w:p>
      <w:pPr>
        <w:spacing w:after="0" w:line="226" w:lineRule="exact"/>
        <w:rPr>
          <w:sz w:val="20"/>
          <w:szCs w:val="20"/>
          <w:color w:val="auto"/>
        </w:rPr>
      </w:pPr>
    </w:p>
    <w:p>
      <w:pPr>
        <w:ind w:left="660" w:right="20" w:firstLine="645"/>
        <w:spacing w:after="0" w:line="289" w:lineRule="auto"/>
        <w:tabs>
          <w:tab w:leader="none" w:pos="1719"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Parent shall cease to own and control, of record and beneficially, directly or indirectly, 100% of the Equity Interests of the Company.</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Certificate</w:t>
      </w:r>
      <w:r>
        <w:rPr>
          <w:rFonts w:ascii="Arial" w:cs="Arial" w:eastAsia="Arial" w:hAnsi="Arial"/>
          <w:sz w:val="20"/>
          <w:szCs w:val="20"/>
          <w:color w:val="auto"/>
        </w:rPr>
        <w:t>” means that certain Officer’s Closing Certificate dated as of April 28, 2014 executed by the Company in favor of the Administrative Agent and the Lenders.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 collective reference to all property with respect to which Liens in favor of the Administrative Agent, for the benefit of the holders of the Obligations, are purported to be granted pursuant to and in accordance with the terms of the Collateral Documents.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xml:space="preserve">” means a collective reference to the Security Agreement and other security documents as may be executed and delivered by the Loan Parties pursuant to the terms of </w:t>
      </w:r>
      <w:r>
        <w:rPr>
          <w:rFonts w:ascii="Arial" w:cs="Arial" w:eastAsia="Arial" w:hAnsi="Arial"/>
          <w:sz w:val="20"/>
          <w:szCs w:val="20"/>
          <w:u w:val="single" w:color="auto"/>
          <w:color w:val="auto"/>
        </w:rPr>
        <w:t>Section 7.13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7.14</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Comdata Acquisition</w:t>
      </w:r>
      <w:r>
        <w:rPr>
          <w:rFonts w:ascii="Arial" w:cs="Arial" w:eastAsia="Arial" w:hAnsi="Arial"/>
          <w:sz w:val="20"/>
          <w:szCs w:val="20"/>
          <w:color w:val="auto"/>
        </w:rPr>
        <w:t>” means the acquisition by the Parent, directly or indirectly, of all of the outstanding share capital of the Target, pursuant to and in accordance with the Merger Agreement.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Comdata Acquisition Costs</w:t>
      </w:r>
      <w:r>
        <w:rPr>
          <w:rFonts w:ascii="Arial" w:cs="Arial" w:eastAsia="Arial" w:hAnsi="Arial"/>
          <w:sz w:val="19"/>
          <w:szCs w:val="19"/>
          <w:color w:val="auto"/>
        </w:rPr>
        <w:t>” means (a) the purchase price for the Comdata Acquisition, (b) the refinancing or repayment of the Indebtedness under the Existing Credit Agreement and certain third party indebtedness for borrowed money of the Target and its Subsidiaries and (c) fees, costs and expenses incurred in connection with the Comdata Acquisition and the financing therefor.</w:t>
      </w:r>
    </w:p>
    <w:p>
      <w:pPr>
        <w:spacing w:after="0" w:line="170"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Comdata Facilities</w:t>
      </w:r>
      <w:r>
        <w:rPr>
          <w:rFonts w:ascii="Arial" w:cs="Arial" w:eastAsia="Arial" w:hAnsi="Arial"/>
          <w:sz w:val="20"/>
          <w:szCs w:val="20"/>
          <w:color w:val="auto"/>
        </w:rPr>
        <w:t>” means the Term Loans and the portion of the Revolving Loans necessary to finance the Comdata Acquisition Costs on the Initial Borrowing Date.</w:t>
      </w:r>
    </w:p>
    <w:p>
      <w:pPr>
        <w:spacing w:after="0" w:line="177"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to each Lender, the Revolving A Commitment of such Lender, the Revolving B Commitment of such Lender, the Revolving C Commitment of such Lender, the Term A Loan Commitment of such Lender, the Term B</w:t>
      </w:r>
      <w:r>
        <w:rPr>
          <w:rFonts w:ascii="MS PGothic" w:cs="MS PGothic" w:eastAsia="MS PGothic" w:hAnsi="MS PGothic"/>
          <w:sz w:val="20"/>
          <w:szCs w:val="20"/>
          <w:color w:val="auto"/>
        </w:rPr>
        <w:t>‑</w:t>
      </w:r>
      <w:r>
        <w:rPr>
          <w:rFonts w:ascii="Arial" w:cs="Arial" w:eastAsia="Arial" w:hAnsi="Arial"/>
          <w:sz w:val="20"/>
          <w:szCs w:val="20"/>
          <w:color w:val="auto"/>
        </w:rPr>
        <w:t>3 Loan Commitment of such Lender and/or the Incremental Term Loan Commitment of such Lender.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Capital Expenditures</w:t>
      </w:r>
      <w:r>
        <w:rPr>
          <w:rFonts w:ascii="Arial" w:cs="Arial" w:eastAsia="Arial" w:hAnsi="Arial"/>
          <w:sz w:val="20"/>
          <w:szCs w:val="20"/>
          <w:color w:val="auto"/>
        </w:rPr>
        <w:t xml:space="preserve">” means, for any period, for the Parent and its Subsidiaries on a consolidated basis, all capital expenditures, as determined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Consolidated Capital Expenditures shall not include (a) expenditures made with proceeds of 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771" w:right="239" w:bottom="1440" w:gutter="0" w:footer="0" w:header="0"/>
        </w:sectPr>
      </w:pPr>
    </w:p>
    <w:bookmarkStart w:id="129" w:name="page130"/>
    <w:bookmarkEnd w:id="129"/>
    <w:p>
      <w:pPr>
        <w:jc w:val="both"/>
        <w:spacing w:after="0" w:line="260" w:lineRule="auto"/>
        <w:rPr>
          <w:sz w:val="20"/>
          <w:szCs w:val="20"/>
          <w:color w:val="auto"/>
        </w:rPr>
      </w:pPr>
      <w:r>
        <w:rPr>
          <w:rFonts w:ascii="Arial" w:cs="Arial" w:eastAsia="Arial" w:hAnsi="Arial"/>
          <w:sz w:val="20"/>
          <w:szCs w:val="20"/>
          <w:color w:val="auto"/>
        </w:rPr>
        <w:t>Involuntary Disposition to the extent such expenditures are used to purchase property that is the same as or similar to the property subject to such Involuntary Disposition or (b) Permitted Acquisitions.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Cash Taxes</w:t>
      </w:r>
      <w:r>
        <w:rPr>
          <w:rFonts w:ascii="Arial" w:cs="Arial" w:eastAsia="Arial" w:hAnsi="Arial"/>
          <w:sz w:val="20"/>
          <w:szCs w:val="20"/>
          <w:color w:val="auto"/>
        </w:rPr>
        <w:t>” means, for any period, for the Parent and its Subsidiaries on a consolidated basis, the aggregate of all taxes, as determined in accordance with GAAP, to the extent the same are paid in cash during such period.</w:t>
      </w:r>
    </w:p>
    <w:p>
      <w:pPr>
        <w:spacing w:after="0" w:line="177"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for the Parent and its Subsidiaries on a consolidated basis, an amount equal to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following to the extent deducted in calculating such Consolidated Net Income: (a) Consolidated Interest Charges for such period, (b) the provision for federal, state, local and foreign income taxes payable by the Parent and its Subsidiaries for such period, (c) depreciation and amortization expense for such period, (d) non</w:t>
      </w:r>
      <w:r>
        <w:rPr>
          <w:rFonts w:ascii="MS PGothic" w:cs="MS PGothic" w:eastAsia="MS PGothic" w:hAnsi="MS PGothic"/>
          <w:sz w:val="18"/>
          <w:szCs w:val="18"/>
          <w:color w:val="auto"/>
        </w:rPr>
        <w:t>‑</w:t>
      </w:r>
      <w:r>
        <w:rPr>
          <w:rFonts w:ascii="Arial" w:cs="Arial" w:eastAsia="Arial" w:hAnsi="Arial"/>
          <w:sz w:val="18"/>
          <w:szCs w:val="18"/>
          <w:color w:val="auto"/>
        </w:rPr>
        <w:t>recurring fees, costs and expenses payable by the Parent and its Subsidiaries during such period (but not later than 12 months after the Initial Borrowing Date) related to the closing of this Agreement and the consummation of the Comdata Acquisition, (e) non</w:t>
      </w:r>
      <w:r>
        <w:rPr>
          <w:rFonts w:ascii="MS PGothic" w:cs="MS PGothic" w:eastAsia="MS PGothic" w:hAnsi="MS PGothic"/>
          <w:sz w:val="18"/>
          <w:szCs w:val="18"/>
          <w:color w:val="auto"/>
        </w:rPr>
        <w:t>‑</w:t>
      </w:r>
      <w:r>
        <w:rPr>
          <w:rFonts w:ascii="Arial" w:cs="Arial" w:eastAsia="Arial" w:hAnsi="Arial"/>
          <w:sz w:val="18"/>
          <w:szCs w:val="18"/>
          <w:color w:val="auto"/>
        </w:rPr>
        <w:t>recurring fees, costs and expenses payable by the Parent and its Subsidiaries during such period (but not later than 12 months after the consummation of the SVS Disposition) related to the consummation of the SVS Disposition, (f) expected cost savings and synergies (net of actual amounts realized) for such period that are reasonably identifiable and factually supportable related to the Comdata Acquisition and that either (i) were actually implemented by the Parent or its Subsidiaries within such period or (ii) relate to the business that is the subject of the Comdata Acquisition and are reasonably determined by the Parent to be probable based on specifically identifiable actions which have been taken or will be taken within 12 months after the end of such period, (g) non</w:t>
      </w:r>
      <w:r>
        <w:rPr>
          <w:rFonts w:ascii="MS PGothic" w:cs="MS PGothic" w:eastAsia="MS PGothic" w:hAnsi="MS PGothic"/>
          <w:sz w:val="18"/>
          <w:szCs w:val="18"/>
          <w:color w:val="auto"/>
        </w:rPr>
        <w:t>‑</w:t>
      </w:r>
      <w:r>
        <w:rPr>
          <w:rFonts w:ascii="Arial" w:cs="Arial" w:eastAsia="Arial" w:hAnsi="Arial"/>
          <w:sz w:val="18"/>
          <w:szCs w:val="18"/>
          <w:color w:val="auto"/>
        </w:rPr>
        <w:t>recurring fees, costs and expenses payable by the Parent and its Subsidiaries during such period (but not later than 12 months after the consummation of the related Permitted Acquisition) related to the consummation of Permitted Acquisitions during such period, and (h) non</w:t>
      </w:r>
      <w:r>
        <w:rPr>
          <w:rFonts w:ascii="MS PGothic" w:cs="MS PGothic" w:eastAsia="MS PGothic" w:hAnsi="MS PGothic"/>
          <w:sz w:val="18"/>
          <w:szCs w:val="18"/>
          <w:color w:val="auto"/>
        </w:rPr>
        <w:t>‑</w:t>
      </w:r>
      <w:r>
        <w:rPr>
          <w:rFonts w:ascii="Arial" w:cs="Arial" w:eastAsia="Arial" w:hAnsi="Arial"/>
          <w:sz w:val="18"/>
          <w:szCs w:val="18"/>
          <w:color w:val="auto"/>
        </w:rPr>
        <w:t>cash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all as determined in accordance with GAAP.</w:t>
      </w:r>
    </w:p>
    <w:p>
      <w:pPr>
        <w:spacing w:after="0" w:line="20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means Funded Indebtedness of the Parent and its Subsidiaries on a consolidated basis determined in accordance with GAAP.</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xml:space="preserve">” means, for any period, for the Parent and its Subsidiaries on a consolidated basis, an amount equal to the sum of (i)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portion of rent expense with respect to such period under Capital Leases that is treated as interest in accordance with GAAP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the implied interest component of Synthetic Leases with respect to such period.</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as of any date of determination, the ratio of (a) Consolidated EBITDA for the period of the four fiscal quarters most recently ended to (b) Consolidated Interest Charges for such period.</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xml:space="preserve">” means, as of any date of determination, the ratio of (a) the total of (i) Consolidated Funded Indebtedness (excluding Attributable Indebtedness and other Indebtedness (if any), in each case with respect to all Receivables Facilities in an aggregate amount not to exceed $1,000,000,000) as of such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Unrestricted Cash as of such date to (b) Consolidated EBITDA for the period of the four fiscal quarters most recently ended.</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means, for any period, for the Parent and its Subsidiaries on a consolidated basis, the net income of the Parent and its Subsidiaries (excluding extraordinary gains) for that period, as determined in accordance with GAAP. For the avoidance of doubt, Consolidated Net Income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757" w:right="239" w:bottom="1440" w:gutter="0" w:footer="0" w:header="0"/>
        </w:sectPr>
      </w:pPr>
    </w:p>
    <w:bookmarkStart w:id="130" w:name="page131"/>
    <w:bookmarkEnd w:id="130"/>
    <w:p>
      <w:pPr>
        <w:jc w:val="both"/>
        <w:spacing w:after="0" w:line="246" w:lineRule="auto"/>
        <w:rPr>
          <w:sz w:val="20"/>
          <w:szCs w:val="20"/>
          <w:color w:val="auto"/>
        </w:rPr>
      </w:pPr>
      <w:r>
        <w:rPr>
          <w:rFonts w:ascii="Arial" w:cs="Arial" w:eastAsia="Arial" w:hAnsi="Arial"/>
          <w:sz w:val="20"/>
          <w:szCs w:val="20"/>
          <w:color w:val="auto"/>
        </w:rPr>
        <w:t xml:space="preserve">shall exclude any income (or loss) for such period of the Unrestricted Subsidiary and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Consolidated Net Income shall include (without duplication) the Parent’s equity in the net income of the Unrestricted Subsidiary and its subsidiaries for such period up to the amount of cash actually distributed by the Unrestricted Subsidiary to the Parent or any Subsidiary during such period as a dividend or other distribution.</w:t>
      </w:r>
    </w:p>
    <w:p>
      <w:pPr>
        <w:spacing w:after="0" w:line="2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Scheduled Funded Debt Payments</w:t>
      </w:r>
      <w:r>
        <w:rPr>
          <w:rFonts w:ascii="Arial" w:cs="Arial" w:eastAsia="Arial" w:hAnsi="Arial"/>
          <w:sz w:val="19"/>
          <w:szCs w:val="19"/>
          <w:color w:val="auto"/>
        </w:rPr>
        <w:t xml:space="preserve">” means for any period for the Parent and its Subsidiaries on a consolidated basis, the sum of all scheduled payments of principal on Consolidated Funded Indebtedness, as determined in accordance with GAAP.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in respect of Capital Leases, Synthetic Leases and Receivables Facilities and (c) shall not include any voluntary prepayments or mandatory prepayments required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means, as of any date of determination, the book value of total assets of the Parent and its Subsidiaries on a consolidated basis, as determined in accordance with GAAP, excluding (a) assets that are considered to be intangible assets under GAAP (including customer lists, goodwill, computer software, copyrights, trade names, trademarks, patents, franchises and licenses) and (b) receivables and related assets that are sold in connection with, and pursuant to the terms of, a Receivables Facility.</w:t>
      </w:r>
    </w:p>
    <w:p>
      <w:pPr>
        <w:spacing w:after="0" w:line="162"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Working Capital</w:t>
      </w:r>
      <w:r>
        <w:rPr>
          <w:rFonts w:ascii="Arial" w:cs="Arial" w:eastAsia="Arial" w:hAnsi="Arial"/>
          <w:sz w:val="20"/>
          <w:szCs w:val="20"/>
          <w:color w:val="auto"/>
        </w:rPr>
        <w:t xml:space="preserve">” means, as of any date of determination, with respect to the Parent and its Subsidiaries on a consolidated basis, without duplication, (a) all assets (other than cash and Cash Equivalents) which, in accordance with GAAP, would be included as current assets on the Parent’s consolidated balance sheet at such date as current assets,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all amounts, which, in accordance with GAAP, would be included as current liabilities (other than the current portion of long</w:t>
      </w:r>
      <w:r>
        <w:rPr>
          <w:rFonts w:ascii="MS PGothic" w:cs="MS PGothic" w:eastAsia="MS PGothic" w:hAnsi="MS PGothic"/>
          <w:sz w:val="20"/>
          <w:szCs w:val="20"/>
          <w:color w:val="auto"/>
        </w:rPr>
        <w:t>‑</w:t>
      </w:r>
      <w:r>
        <w:rPr>
          <w:rFonts w:ascii="Arial" w:cs="Arial" w:eastAsia="Arial" w:hAnsi="Arial"/>
          <w:sz w:val="20"/>
          <w:szCs w:val="20"/>
          <w:color w:val="auto"/>
        </w:rPr>
        <w:t>term debt and Capital Leases) on the Parent’s consolidated balance sheet at such date.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Cumulative Credit</w:t>
      </w:r>
      <w:r>
        <w:rPr>
          <w:rFonts w:ascii="Arial" w:cs="Arial" w:eastAsia="Arial" w:hAnsi="Arial"/>
          <w:sz w:val="20"/>
          <w:szCs w:val="20"/>
          <w:color w:val="auto"/>
        </w:rPr>
        <w:t>” means, at any date, an amount, not less than zero in the aggregate, equal to 50% of the cumulative Excess Cash Flow for the period (taken as one accounting period) commencing from the first day of the first full fiscal quarter following the Initial Borrowing Date to the end of the fiscal quarter most recently ended in respect of which a Compliance Certificate has been delivered as required hereunder, as such amount shall be reduced dollar for dollar from time to time prior to such date by the amount of the Cumulative Credit applied to make Restricted Payments as permitted hereunder.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757" w:right="239" w:bottom="1440" w:gutter="0" w:footer="0" w:header="0"/>
        </w:sectPr>
      </w:pPr>
    </w:p>
    <w:bookmarkStart w:id="131" w:name="page132"/>
    <w:bookmarkEnd w:id="131"/>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Floating Eurocurrency Rate</w:t>
      </w:r>
      <w:r>
        <w:rPr>
          <w:rFonts w:ascii="Arial" w:cs="Arial" w:eastAsia="Arial" w:hAnsi="Arial"/>
          <w:sz w:val="19"/>
          <w:szCs w:val="19"/>
          <w:color w:val="auto"/>
        </w:rPr>
        <w:t xml:space="preserve">” means, with respect to any Domestic Swing Line Loan for any date, the rate per annum equal to the London Interbank Offered Rate,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11:00 a.m. (London time) two (2) Business Days prior to such date for Dollar deposits being delivered in the London interbank market with a term equivalent to one (1) month commencing that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to the extent a comparable or successor rate is approved by the Administrative Agent in connection herewith, the approved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such market practice is not administratively feasible for the Administrative Agent, such approved rate shall be applied in a manner as otherwise reasonably determined by the Administrative Agent. Notwithstanding the foregoing, for all purposes under this Agreement, if the Daily Floating Eurocurrency Rate shall be less than zero, such rate shall be deemed zero for purposes of this Agreement.</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Issuance</w:t>
      </w:r>
      <w:r>
        <w:rPr>
          <w:rFonts w:ascii="Arial" w:cs="Arial" w:eastAsia="Arial" w:hAnsi="Arial"/>
          <w:sz w:val="20"/>
          <w:szCs w:val="20"/>
          <w:color w:val="auto"/>
        </w:rPr>
        <w:t xml:space="preserve">” means the issuance by any Loan Party or any Subsidiary of any Indebtedness other than Indebtedness permitted under </w:t>
      </w:r>
      <w:r>
        <w:rPr>
          <w:rFonts w:ascii="Arial" w:cs="Arial" w:eastAsia="Arial" w:hAnsi="Arial"/>
          <w:sz w:val="20"/>
          <w:szCs w:val="20"/>
          <w:u w:val="single" w:color="auto"/>
          <w:color w:val="auto"/>
        </w:rPr>
        <w:t>Section 8.03</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means (a) when used with respect to Obligations other than Letter of Credit Fees, an interest rate equal to (i)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if any, applicable to Base Rate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 Eurocurrency Rate Loan, the Default Rate shall be an interest rate equal to the interest rate (including any Applicable Rate and any Mandatory Cost) otherwise applicable to such Loan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 in each case to the fullest extent permitted by applicable Laws and (b) when used with respect to Letter of Credit Fees, a rate equal to the Applicable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spacing w:after="0" w:line="3" w:lineRule="exact"/>
        <w:rPr>
          <w:sz w:val="20"/>
          <w:szCs w:val="20"/>
          <w:color w:val="auto"/>
        </w:rPr>
      </w:pPr>
    </w:p>
    <w:p>
      <w:pPr>
        <w:jc w:val="both"/>
        <w:ind w:firstLine="8"/>
        <w:spacing w:after="0" w:line="254" w:lineRule="auto"/>
        <w:tabs>
          <w:tab w:leader="none" w:pos="3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pay to the Administrative Agent, the L/C Issuer, the Swing Line Lender or any other Lender any other amount required to be paid by it hereunder (including in respect of its participation in Letters of Credit or Swing Line Loans) within two (2) Business Days of the date when due, (b) has notified the Company, the Administrative Agent, the L/C Issuer or the Swing Line Lender in writing that it does not intend to comply with its funding obligations hereunder or under other agreements in which it commits to extend credit generally,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to confirm in writing to the Administrative Agent that it will comply with its prospective funding obligations hereunder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757" w:right="239" w:bottom="1440" w:gutter="0" w:footer="0" w:header="0"/>
        </w:sectPr>
      </w:pPr>
    </w:p>
    <w:bookmarkStart w:id="132" w:name="page133"/>
    <w:bookmarkEnd w:id="132"/>
    <w:p>
      <w:pPr>
        <w:jc w:val="both"/>
        <w:spacing w:after="0" w:line="231"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w:t>
      </w:r>
      <w:r>
        <w:rPr>
          <w:rFonts w:ascii="MS PGothic" w:cs="MS PGothic" w:eastAsia="MS PGothic" w:hAnsi="MS PGothic"/>
          <w:sz w:val="19"/>
          <w:szCs w:val="19"/>
          <w:color w:val="auto"/>
        </w:rPr>
        <w:t>‑</w:t>
      </w:r>
      <w:r>
        <w:rPr>
          <w:rFonts w:ascii="Arial" w:cs="Arial" w:eastAsia="Arial" w:hAnsi="Arial"/>
          <w:sz w:val="19"/>
          <w:szCs w:val="19"/>
          <w:color w:val="auto"/>
        </w:rPr>
        <w:t xml:space="preserve">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2.15(b)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w:t>
      </w:r>
      <w:r>
        <w:rPr>
          <w:rFonts w:ascii="Arial" w:cs="Arial" w:eastAsia="Arial" w:hAnsi="Arial"/>
          <w:sz w:val="20"/>
          <w:szCs w:val="20"/>
          <w:color w:val="auto"/>
        </w:rPr>
        <w:t>” has the meaning specified in the introductory paragraph hereto. As of the Third Amendment Effective Date, AllStar, FleetCor UK, Lux 2, FleetCor Australia and Fleetcor New Zealand are the only Designated Borrowers.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Borrower Obligations</w:t>
      </w:r>
      <w:r>
        <w:rPr>
          <w:rFonts w:ascii="Arial" w:cs="Arial" w:eastAsia="Arial" w:hAnsi="Arial"/>
          <w:sz w:val="16"/>
          <w:szCs w:val="16"/>
          <w:color w:val="auto"/>
        </w:rPr>
        <w:t>” means all advances to, and debts, liabilities, obligations, covenants and duties of, the Designated Borrowers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Designated Borrower or any Affiliate thereof of any proceeding under any Debtor Relief Laws naming such Person as the debtor in such proceeding, regardless of whether such interest and fees are allowed claims in such proceeding.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Request and Assumption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or territory to the extent that such country or territory itself is the subject or target of any Sanction.</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Loan Party or any Subsidiary (including the Equity Interests of any Subsidiary), including any sale, assignment, transfer or other disposal, with or without recourse, of any notes or accounts receivable or any rights and claims associated therewith, but excluding (a) the sale, lease, license, transfer or other disposition of inventory in the ordinary course of business; (b) the sale, lease, license, transfer or other disposition in the ordinary course of business of surplus, obsolete or worn out property no longer used or useful in the conduct of business of any Loan Party and its Subsidiaries; (c) any sale, lease, license, transfer or other disposition of property to any Loan Party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transferor of such property is a Loan Party (i) the transferee thereof must be a Loan Party or (ii) to the extent such transaction constitutes an Investment, such transaction is permitted under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757" w:right="239" w:bottom="1440" w:gutter="0" w:footer="0" w:header="0"/>
        </w:sectPr>
      </w:pPr>
    </w:p>
    <w:bookmarkStart w:id="133" w:name="page134"/>
    <w:bookmarkEnd w:id="133"/>
    <w:p>
      <w:pPr>
        <w:jc w:val="both"/>
        <w:spacing w:after="0" w:line="250" w:lineRule="auto"/>
        <w:rPr>
          <w:sz w:val="20"/>
          <w:szCs w:val="20"/>
          <w:color w:val="auto"/>
        </w:rPr>
      </w:pP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(d) any Involuntary Disposition, and (e) any sales of accounts, payments, payment intangibles, receivables, rights to future lease payments or residuals or similar rights to payment and related assets in connection with, and pursuant to the terms of, a Receivables Facility permitted under </w:t>
      </w:r>
      <w:r>
        <w:rPr>
          <w:rFonts w:ascii="Arial" w:cs="Arial" w:eastAsia="Arial" w:hAnsi="Arial"/>
          <w:sz w:val="20"/>
          <w:szCs w:val="20"/>
          <w:u w:val="single" w:color="auto"/>
          <w:color w:val="auto"/>
        </w:rPr>
        <w:t>Section 8.03(f)</w:t>
      </w:r>
      <w:r>
        <w:rPr>
          <w:rFonts w:ascii="Arial" w:cs="Arial" w:eastAsia="Arial" w:hAnsi="Arial"/>
          <w:sz w:val="20"/>
          <w:szCs w:val="20"/>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Australian Dollars or New Zealand Dollars, the equivalent amount thereof in Dollars as determined by the Administrative Agent, the Swing Line Lender or the L/C Issuer, as the case may be, at such time on the basis of the Spot Rate (determined in respect of the most recent Revaluation Date) for the purchase of Dollars with such currency.</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any state of the United States or the District of Columbia.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Swing Line Loan Sublimit</w:t>
      </w:r>
      <w:r>
        <w:rPr>
          <w:rFonts w:ascii="Arial" w:cs="Arial" w:eastAsia="Arial" w:hAnsi="Arial"/>
          <w:sz w:val="20"/>
          <w:szCs w:val="20"/>
          <w:color w:val="auto"/>
        </w:rPr>
        <w:t xml:space="preserve">” means an amount equal to the lesser of (a) $110,000,000 (as such amount may be increased in accordance with </w:t>
      </w:r>
      <w:r>
        <w:rPr>
          <w:rFonts w:ascii="Arial" w:cs="Arial" w:eastAsia="Arial" w:hAnsi="Arial"/>
          <w:sz w:val="20"/>
          <w:szCs w:val="20"/>
          <w:u w:val="single" w:color="auto"/>
          <w:color w:val="auto"/>
        </w:rPr>
        <w:t>Section 2.02(f)(i)</w:t>
      </w:r>
      <w:r>
        <w:rPr>
          <w:rFonts w:ascii="Arial" w:cs="Arial" w:eastAsia="Arial" w:hAnsi="Arial"/>
          <w:sz w:val="20"/>
          <w:szCs w:val="20"/>
          <w:color w:val="auto"/>
        </w:rPr>
        <w:t>) and (b) the Aggregate Revolving A Commitments. The Domestic Swing Line Loan Sublimit is part of and not in addition to the Aggregate Revolving A Commitments.</w:t>
      </w:r>
    </w:p>
    <w:p>
      <w:pPr>
        <w:spacing w:after="0" w:line="186"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Obligations</w:t>
      </w:r>
      <w:r>
        <w:rPr>
          <w:rFonts w:ascii="Arial" w:cs="Arial" w:eastAsia="Arial" w:hAnsi="Arial"/>
          <w:sz w:val="18"/>
          <w:szCs w:val="18"/>
          <w:color w:val="auto"/>
        </w:rPr>
        <w:t>” means, with respect to an Acquisition, all obligations of the Parent, the Company or any Subsidiary to make earn out or other contingency payments (including purchase price adjustments, hold back and escrowed amounts, non</w:t>
      </w:r>
      <w:r>
        <w:rPr>
          <w:rFonts w:ascii="MS PGothic" w:cs="MS PGothic" w:eastAsia="MS PGothic" w:hAnsi="MS PGothic"/>
          <w:sz w:val="18"/>
          <w:szCs w:val="18"/>
          <w:color w:val="auto"/>
        </w:rPr>
        <w:t>‑</w:t>
      </w:r>
      <w:r>
        <w:rPr>
          <w:rFonts w:ascii="Arial" w:cs="Arial" w:eastAsia="Arial" w:hAnsi="Arial"/>
          <w:sz w:val="18"/>
          <w:szCs w:val="18"/>
          <w:color w:val="auto"/>
        </w:rPr>
        <w:t>competition and consulting agreements, or other indemnity obligations) pursuant to the documentation relating to such Acquisition. The amount of any Earn Out Obligations at the time of determination shall be the aggregate amount, if any, of such Earn Out Obligations that are required at such time under GAAP to be recognized as liabilities on the consolidated balance sheet of the Parent and are reasonably likely to become payable.</w:t>
      </w:r>
    </w:p>
    <w:p>
      <w:pPr>
        <w:spacing w:after="0" w:line="2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definition, or (c) any financial institution established in an EEA Member Country which is a subsidiary of an institution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4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October 24, 2014.</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Assets</w:t>
      </w:r>
      <w:r>
        <w:rPr>
          <w:rFonts w:ascii="Arial" w:cs="Arial" w:eastAsia="Arial" w:hAnsi="Arial"/>
          <w:sz w:val="20"/>
          <w:szCs w:val="20"/>
          <w:color w:val="auto"/>
        </w:rPr>
        <w:t>” means property that is used or useful in the same or a similar line of business as the Parent and its Subsidiaries were engaged in on the Third Amendment Effective Date (or any reasonable extension or expansions thereof).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757" w:right="239" w:bottom="1440" w:gutter="0" w:footer="0" w:header="0"/>
        </w:sectPr>
      </w:pPr>
    </w:p>
    <w:bookmarkStart w:id="134" w:name="page135"/>
    <w:bookmarkEnd w:id="134"/>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11.06(b)(ii)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11.06(b)(ii)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foreign and other applicable statutes, laws, regulations, ordinances, rules, judgments, orders, decrees, permits, licenses, agreements or governmental restrictions relating to pollution and the protection of the environment or the release of any hazardous or toxic materials into the environment.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Parent within the meaning of Section 414(b) or (c) of the Internal Revenue Code (and Sections 414(m) and (o) of the Internal Revenue Code for purposes of provisions relating to Section 412 of the Internal Revenue Code).</w:t>
      </w:r>
    </w:p>
    <w:p>
      <w:pPr>
        <w:spacing w:after="0" w:line="18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receipt of notification by a Loan Party that a Multiemployer Plan is in reorganization; (d) the filing of a notice of intent to terminate, the treatment of a Pension Plan amendment as a termination under Sections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w:t>
      </w:r>
      <w:r>
        <w:rPr>
          <w:rFonts w:ascii="MS PGothic" w:cs="MS PGothic" w:eastAsia="MS PGothic" w:hAnsi="MS PGothic"/>
          <w:sz w:val="19"/>
          <w:szCs w:val="19"/>
          <w:color w:val="auto"/>
        </w:rPr>
        <w:t>‑</w:t>
      </w:r>
      <w:r>
        <w:rPr>
          <w:rFonts w:ascii="Arial" w:cs="Arial" w:eastAsia="Arial" w:hAnsi="Arial"/>
          <w:sz w:val="19"/>
          <w:szCs w:val="19"/>
          <w:color w:val="auto"/>
        </w:rPr>
        <w:t>risk plan or, to the knowledge of any Loan Party, a plan in endangered or critical status within the meaning of Sections 430, 431 and 432 of the Internal Revenue Code or Sections 303, 304 and 305 of ERISA; or (h) the imposition of any liability under Title IV of ERISA, other than for PBGC premiums due but not delinquent under Section 4007 of ERISA, upon the Company or any ERISA Affiliate.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757" w:right="239" w:bottom="1440" w:gutter="0" w:footer="0" w:header="0"/>
        </w:sectPr>
      </w:pPr>
    </w:p>
    <w:bookmarkStart w:id="135" w:name="page136"/>
    <w:bookmarkEnd w:id="135"/>
    <w:p>
      <w:pPr>
        <w:ind w:firstLine="648"/>
        <w:spacing w:after="0" w:line="253"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In Legislation Schedule</w:t>
      </w:r>
      <w:r>
        <w:rPr>
          <w:rFonts w:ascii="Arial" w:cs="Arial" w:eastAsia="Arial" w:hAnsi="Arial"/>
          <w:sz w:val="20"/>
          <w:szCs w:val="20"/>
          <w:color w:val="auto"/>
        </w:rPr>
        <w:t>” means the EU Bail</w:t>
      </w:r>
      <w:r>
        <w:rPr>
          <w:rFonts w:ascii="MS PGothic" w:cs="MS PGothic" w:eastAsia="MS PGothic" w:hAnsi="MS PGothic"/>
          <w:sz w:val="20"/>
          <w:szCs w:val="20"/>
          <w:color w:val="auto"/>
        </w:rPr>
        <w:t>‑</w:t>
      </w:r>
      <w:r>
        <w:rPr>
          <w:rFonts w:ascii="Arial" w:cs="Arial" w:eastAsia="Arial" w:hAnsi="Arial"/>
          <w:sz w:val="20"/>
          <w:szCs w:val="20"/>
          <w:color w:val="auto"/>
        </w:rPr>
        <w:t>In Legislation Schedule published by the Loan Market Association (or any successor person), as in effect from time to time.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EUR</w:t>
      </w:r>
      <w:r>
        <w:rPr>
          <w:rFonts w:ascii="Arial" w:cs="Arial" w:eastAsia="Arial" w:hAnsi="Arial"/>
          <w:sz w:val="20"/>
          <w:szCs w:val="20"/>
          <w:color w:val="auto"/>
        </w:rPr>
        <w:t>” mean the single currency of the Participating Member States.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Base Rate</w:t>
      </w:r>
      <w:r>
        <w:rPr>
          <w:rFonts w:ascii="Arial" w:cs="Arial" w:eastAsia="Arial" w:hAnsi="Arial"/>
          <w:sz w:val="20"/>
          <w:szCs w:val="20"/>
          <w:color w:val="auto"/>
        </w:rPr>
        <w:t>” means:</w:t>
      </w:r>
    </w:p>
    <w:p>
      <w:pPr>
        <w:spacing w:after="0" w:line="229" w:lineRule="exact"/>
        <w:rPr>
          <w:sz w:val="20"/>
          <w:szCs w:val="20"/>
          <w:color w:val="auto"/>
        </w:rPr>
      </w:pPr>
    </w:p>
    <w:p>
      <w:pPr>
        <w:ind w:left="1700" w:hanging="395"/>
        <w:spacing w:after="0"/>
        <w:tabs>
          <w:tab w:leader="none" w:pos="17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for any Interest Period with respect to a Eurocurrency Rate Loan:</w:t>
      </w:r>
    </w:p>
    <w:p>
      <w:pPr>
        <w:spacing w:after="0" w:line="242" w:lineRule="exact"/>
        <w:rPr>
          <w:rFonts w:ascii="Arial" w:cs="Arial" w:eastAsia="Arial" w:hAnsi="Arial"/>
          <w:sz w:val="20"/>
          <w:szCs w:val="20"/>
          <w:color w:val="auto"/>
        </w:rPr>
      </w:pPr>
    </w:p>
    <w:p>
      <w:pPr>
        <w:jc w:val="both"/>
        <w:ind w:left="1300" w:firstLine="653"/>
        <w:spacing w:after="0" w:line="307" w:lineRule="auto"/>
        <w:tabs>
          <w:tab w:leader="none" w:pos="2409" w:val="left"/>
        </w:tabs>
        <w:numPr>
          <w:ilvl w:val="1"/>
          <w:numId w:val="51"/>
        </w:numPr>
        <w:rPr>
          <w:rFonts w:ascii="Arial" w:cs="Arial" w:eastAsia="Arial" w:hAnsi="Arial"/>
          <w:sz w:val="18"/>
          <w:szCs w:val="18"/>
          <w:color w:val="auto"/>
        </w:rPr>
      </w:pPr>
      <w:r>
        <w:rPr>
          <w:rFonts w:ascii="Arial" w:cs="Arial" w:eastAsia="Arial" w:hAnsi="Arial"/>
          <w:sz w:val="18"/>
          <w:szCs w:val="18"/>
          <w:color w:val="auto"/>
        </w:rPr>
        <w:t>with respect to a Eurocurrency Rate Loan denominated in Dollars or in an Alternative Currency,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at or about 11:00 a.m. (London time) on the Rate Determination Date, for deposits in the relevant currency (for delivery on the first day of such Interest Period) with a term equivalent to such Interest Period;</w:t>
      </w:r>
    </w:p>
    <w:p>
      <w:pPr>
        <w:spacing w:after="0" w:line="167" w:lineRule="exact"/>
        <w:rPr>
          <w:rFonts w:ascii="Arial" w:cs="Arial" w:eastAsia="Arial" w:hAnsi="Arial"/>
          <w:sz w:val="18"/>
          <w:szCs w:val="18"/>
          <w:color w:val="auto"/>
        </w:rPr>
      </w:pPr>
    </w:p>
    <w:p>
      <w:pPr>
        <w:jc w:val="both"/>
        <w:ind w:left="1300" w:firstLine="653"/>
        <w:spacing w:after="0" w:line="290" w:lineRule="auto"/>
        <w:tabs>
          <w:tab w:leader="none" w:pos="2437" w:val="left"/>
        </w:tabs>
        <w:numPr>
          <w:ilvl w:val="1"/>
          <w:numId w:val="51"/>
        </w:numPr>
        <w:rPr>
          <w:rFonts w:ascii="Arial" w:cs="Arial" w:eastAsia="Arial" w:hAnsi="Arial"/>
          <w:sz w:val="19"/>
          <w:szCs w:val="19"/>
          <w:color w:val="auto"/>
        </w:rPr>
      </w:pPr>
      <w:r>
        <w:rPr>
          <w:rFonts w:ascii="Arial" w:cs="Arial" w:eastAsia="Arial" w:hAnsi="Arial"/>
          <w:sz w:val="19"/>
          <w:szCs w:val="19"/>
          <w:color w:val="auto"/>
        </w:rPr>
        <w:t>with respect to a Eurocurrency Rate Loan denominated in Australian Dollars, the rate per annum equal to the Bank Bill Swap Reference Bid Rate (“</w:t>
      </w:r>
      <w:r>
        <w:rPr>
          <w:rFonts w:ascii="Arial" w:cs="Arial" w:eastAsia="Arial" w:hAnsi="Arial"/>
          <w:sz w:val="19"/>
          <w:szCs w:val="19"/>
          <w:u w:val="single" w:color="auto"/>
          <w:color w:val="auto"/>
        </w:rPr>
        <w:t>BBSY</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10:30 a.m. (Melbourne, Australia time) on the Rate Determination Date with a term equivalent to such Interest Period; and</w:t>
      </w:r>
    </w:p>
    <w:p>
      <w:pPr>
        <w:spacing w:after="0" w:line="179" w:lineRule="exact"/>
        <w:rPr>
          <w:rFonts w:ascii="Arial" w:cs="Arial" w:eastAsia="Arial" w:hAnsi="Arial"/>
          <w:sz w:val="19"/>
          <w:szCs w:val="19"/>
          <w:color w:val="auto"/>
        </w:rPr>
      </w:pPr>
    </w:p>
    <w:p>
      <w:pPr>
        <w:jc w:val="both"/>
        <w:ind w:left="1300" w:firstLine="653"/>
        <w:spacing w:after="0" w:line="290" w:lineRule="auto"/>
        <w:tabs>
          <w:tab w:leader="none" w:pos="2438" w:val="left"/>
        </w:tabs>
        <w:numPr>
          <w:ilvl w:val="1"/>
          <w:numId w:val="51"/>
        </w:numPr>
        <w:rPr>
          <w:rFonts w:ascii="Arial" w:cs="Arial" w:eastAsia="Arial" w:hAnsi="Arial"/>
          <w:sz w:val="19"/>
          <w:szCs w:val="19"/>
          <w:color w:val="auto"/>
        </w:rPr>
      </w:pPr>
      <w:r>
        <w:rPr>
          <w:rFonts w:ascii="Arial" w:cs="Arial" w:eastAsia="Arial" w:hAnsi="Arial"/>
          <w:sz w:val="19"/>
          <w:szCs w:val="19"/>
          <w:color w:val="auto"/>
        </w:rPr>
        <w:t>with respect to a Eurocurrency Rate Loan denominated in New Zealand Dollars, the rate per annum equal to the Bank Bill Reference Bid Rate (“</w:t>
      </w:r>
      <w:r>
        <w:rPr>
          <w:rFonts w:ascii="Arial" w:cs="Arial" w:eastAsia="Arial" w:hAnsi="Arial"/>
          <w:sz w:val="19"/>
          <w:szCs w:val="19"/>
          <w:u w:val="single" w:color="auto"/>
          <w:color w:val="auto"/>
        </w:rPr>
        <w:t>BKBM</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10:45 a.m. (Auckland, New Zealand time) on the Rate Determination Date with a term equivalent to such Interest Period; and</w:t>
      </w:r>
    </w:p>
    <w:p>
      <w:pPr>
        <w:spacing w:after="0" w:line="179" w:lineRule="exact"/>
        <w:rPr>
          <w:rFonts w:ascii="Arial" w:cs="Arial" w:eastAsia="Arial" w:hAnsi="Arial"/>
          <w:sz w:val="19"/>
          <w:szCs w:val="19"/>
          <w:color w:val="auto"/>
        </w:rPr>
      </w:pPr>
    </w:p>
    <w:p>
      <w:pPr>
        <w:jc w:val="both"/>
        <w:ind w:left="660" w:firstLine="645"/>
        <w:spacing w:after="0" w:line="299" w:lineRule="auto"/>
        <w:tabs>
          <w:tab w:leader="none" w:pos="1773" w:val="left"/>
        </w:tabs>
        <w:numPr>
          <w:ilvl w:val="0"/>
          <w:numId w:val="51"/>
        </w:numPr>
        <w:rPr>
          <w:rFonts w:ascii="Arial" w:cs="Arial" w:eastAsia="Arial" w:hAnsi="Arial"/>
          <w:sz w:val="19"/>
          <w:szCs w:val="19"/>
          <w:color w:val="auto"/>
        </w:rPr>
      </w:pPr>
      <w:r>
        <w:rPr>
          <w:rFonts w:ascii="Arial" w:cs="Arial" w:eastAsia="Arial" w:hAnsi="Arial"/>
          <w:sz w:val="19"/>
          <w:szCs w:val="19"/>
          <w:color w:val="auto"/>
        </w:rPr>
        <w:t>for any interest rate calculation with respect to a Base Rate Loan on any date, the rate per annum equal to the LIBOR Rate, at approximately 11:00 a.m. London time determined two Business Days prior to such date for Dollar deposits being delivered in the London interbank market for deposits in Dollars with a term of one month commencing that day;</w:t>
      </w:r>
    </w:p>
    <w:p>
      <w:pPr>
        <w:spacing w:after="0" w:line="156"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 comparable or successor rate is approved by the Administrative Agent in connection herewith, the approved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such market practice is not administratively feasible for the Administrative Agent, such approved rate shall be applied in a manner as otherwise reasonably determined by the Administrative Agent. Notwithstanding the foregoing, for all purposes under this Agreement, if the Eurocurrency Base Rate shall be less than zero, such rate shall be deemed zero for such purposes under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771" w:right="239" w:bottom="1440" w:gutter="0" w:footer="0" w:header="0"/>
        </w:sectPr>
      </w:pPr>
    </w:p>
    <w:bookmarkStart w:id="136" w:name="page137"/>
    <w:bookmarkEnd w:id="136"/>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w:t>
      </w:r>
      <w:r>
        <w:rPr>
          <w:rFonts w:ascii="Arial" w:cs="Arial" w:eastAsia="Arial" w:hAnsi="Arial"/>
          <w:sz w:val="19"/>
          <w:szCs w:val="19"/>
          <w:color w:val="auto"/>
        </w:rPr>
        <w:t>” means (a) for any Interest Period with respect to any Eurocurrency Rate Loan, a rate per annum determined by the Administrative Agent to be equal to the Eurocurrency Base Rate for such Eurocurrency Rate Loan for such Interest Period and (b) for any day with respect to any Base Rate Loan bearing interest at a rate based on the Eurocurrency Rate, a rate per annum determined by the Administrative Agent to be equal to the Eurocurrency Base Rate for such Base Rate Loan for such day.</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means a Loan that bears interest at a rate based on clause (a) of the definition of “Eurocurrency Rate”. Eurocurrency Rate Loans may be denominated in Dollars, in an Alternative Currency, in Australian Dollars or in New Zealand Dollars. All Loans denominated in an Alternative Currency, in Australian Dollars or in New Zealand Dollars must be Eurocurrency Rate Loans.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w:t>
      </w:r>
      <w:r>
        <w:rPr>
          <w:rFonts w:ascii="Arial" w:cs="Arial" w:eastAsia="Arial" w:hAnsi="Arial"/>
          <w:sz w:val="19"/>
          <w:szCs w:val="19"/>
          <w:color w:val="auto"/>
        </w:rPr>
        <w:t xml:space="preserve">” means, for any fiscal year of the Parent, an amount equal to the sum, without duplication, of (a) Consolidated EBITDA for such fiscal year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Consolidated Capital Expenditures (other than those financed with non</w:t>
      </w:r>
      <w:r>
        <w:rPr>
          <w:rFonts w:ascii="MS PGothic" w:cs="MS PGothic" w:eastAsia="MS PGothic" w:hAnsi="MS PGothic"/>
          <w:sz w:val="19"/>
          <w:szCs w:val="19"/>
          <w:color w:val="auto"/>
        </w:rPr>
        <w:t>‑</w:t>
      </w:r>
      <w:r>
        <w:rPr>
          <w:rFonts w:ascii="Arial" w:cs="Arial" w:eastAsia="Arial" w:hAnsi="Arial"/>
          <w:sz w:val="19"/>
          <w:szCs w:val="19"/>
          <w:color w:val="auto"/>
        </w:rPr>
        <w:t xml:space="preserve">revolving Indebtedness) paid in cash for such fiscal year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Consolidated Interest Charges actually paid in cash by the Parent and its Subsidiaries for such fiscal year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 Consolidated Cash Taxes for such fiscal year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(e) Consolidated Scheduled Funded Debt Payments for such fiscal year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(f) fees, costs and expenses added back to Consolidated EBITDA pursuant to clauses (d), (e) and (g) of the definition of Consolidated EBITDA for such fiscal year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(g) any cash consideration paid in such period in connection with a Permitted Acquisition (net of any non</w:t>
      </w:r>
      <w:r>
        <w:rPr>
          <w:rFonts w:ascii="MS PGothic" w:cs="MS PGothic" w:eastAsia="MS PGothic" w:hAnsi="MS PGothic"/>
          <w:sz w:val="19"/>
          <w:szCs w:val="19"/>
          <w:color w:val="auto"/>
        </w:rPr>
        <w:t>‑</w:t>
      </w:r>
      <w:r>
        <w:rPr>
          <w:rFonts w:ascii="Arial" w:cs="Arial" w:eastAsia="Arial" w:hAnsi="Arial"/>
          <w:sz w:val="19"/>
          <w:szCs w:val="19"/>
          <w:color w:val="auto"/>
        </w:rPr>
        <w:t xml:space="preserve">revolving Indebtedness (including seller payments) used to finance such Permitted Acquisition)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(h) the net increase in Consolidated Working Capital for such fiscal year and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 the net decrease in Consolidated Working Capital for such fiscal year, in each case on a consolidated basis determined in accordance with GAAP.</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xml:space="preserve">” means, with respect to any Loan Party, including any Person that becomes a Loan Party after the Effective Date as contemplated by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 any owned or leased real property, (b) any owned or leased personal property which is located outside of the United States, (c) any personal property (including, without limitation, motor vehicles) in respect of which perfection of a Lien is not either (i) governed by the Uniform Commercial Code or (ii) effected by appropriate evidence of the Lien being filed in either the United States Copyright Office or the United States Patent and Trademark Office, unless requested by the Administrative Agent or the Required Lenders, (d) the Equity Interests of any direct Foreign Subsidiary of a Loan Party to the extent not required to be pledged to secure the Obligations pursuant to </w:t>
      </w:r>
      <w:r>
        <w:rPr>
          <w:rFonts w:ascii="Arial" w:cs="Arial" w:eastAsia="Arial" w:hAnsi="Arial"/>
          <w:sz w:val="18"/>
          <w:szCs w:val="18"/>
          <w:u w:val="single" w:color="auto"/>
          <w:color w:val="auto"/>
        </w:rPr>
        <w:t>Section 7.13(a)</w:t>
      </w:r>
      <w:r>
        <w:rPr>
          <w:rFonts w:ascii="Arial" w:cs="Arial" w:eastAsia="Arial" w:hAnsi="Arial"/>
          <w:sz w:val="18"/>
          <w:szCs w:val="18"/>
          <w:color w:val="auto"/>
        </w:rPr>
        <w:t xml:space="preserve">, (e) any property which, subject to the terms of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8.01(i)</w:t>
      </w:r>
      <w:r>
        <w:rPr>
          <w:rFonts w:ascii="Arial" w:cs="Arial" w:eastAsia="Arial" w:hAnsi="Arial"/>
          <w:sz w:val="18"/>
          <w:szCs w:val="18"/>
          <w:color w:val="auto"/>
        </w:rPr>
        <w:t xml:space="preserve"> pursuant to documents which prohibit such Loan Party from granting any other Liens in such property, (f) any accounts, payments, payment intangibles, receivables, rights to future lease payments or residuals or similar rights to payment and related assets sold, contributed or otherwise conveyed to FleetCor Funding LLC, to any other Subsidiary of the Parent formed as a special purpose entity, or to any other Person, or encumbered, in each case pursuant to a Receivables Facility permitted under </w:t>
      </w:r>
      <w:r>
        <w:rPr>
          <w:rFonts w:ascii="Arial" w:cs="Arial" w:eastAsia="Arial" w:hAnsi="Arial"/>
          <w:sz w:val="18"/>
          <w:szCs w:val="18"/>
          <w:u w:val="single" w:color="auto"/>
          <w:color w:val="auto"/>
        </w:rPr>
        <w:t>Section 8.03(f)</w:t>
      </w:r>
      <w:r>
        <w:rPr>
          <w:rFonts w:ascii="Arial" w:cs="Arial" w:eastAsia="Arial" w:hAnsi="Arial"/>
          <w:sz w:val="18"/>
          <w:szCs w:val="18"/>
          <w:color w:val="auto"/>
        </w:rPr>
        <w:t>, and (g) any deposit accounts, securities accounts, securities, cash, Cash Equivalents and other similar investments permitted under money transmitter laws of a Loan Party that holds a “money transmitter” (or similar) license under state Law, in the aggregate amount required by applicable Law to be owned by a holder of such license free of Liens and other similar restrictions.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means, with respect to any Guarantor, any Swap Obligation if, and to the extent that, all or a portion of the Guaranty of such Guarantor of, or the grant under a Loan Document by such Guarantor of a security interest to secure, such Swap Obligation (or any Guarantee thereof) is or becomes illegal under the Commodity Exchange Act (or the application or official interpretation thereof) by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758" w:right="239" w:bottom="1440" w:gutter="0" w:footer="0" w:header="0"/>
        </w:sectPr>
      </w:pPr>
    </w:p>
    <w:bookmarkStart w:id="137" w:name="page138"/>
    <w:bookmarkEnd w:id="137"/>
    <w:p>
      <w:pPr>
        <w:jc w:val="both"/>
        <w:spacing w:after="0" w:line="278" w:lineRule="auto"/>
        <w:rPr>
          <w:sz w:val="20"/>
          <w:szCs w:val="20"/>
          <w:color w:val="auto"/>
        </w:rPr>
      </w:pPr>
      <w:r>
        <w:rPr>
          <w:rFonts w:ascii="Arial" w:cs="Arial" w:eastAsia="Arial" w:hAnsi="Arial"/>
          <w:sz w:val="18"/>
          <w:szCs w:val="18"/>
          <w:color w:val="auto"/>
        </w:rPr>
        <w:t xml:space="preserve">virtue of such Guarantor’s failure for any reason to constitute an “eligible contract participant” as defined in the Commodity Exchange Act (determined after giving effect to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of the Guaranty and any and all guarantees 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with respect to the Administrative Agent, any Lender, the L/C Issuer or any other recipient of any payment to be made by or on account of any obligation of any Borrower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in which such Borrower is located, (c) any backup withholding tax that is required by the Internal Revenue Code to be withheld from amounts payable to a Lender that has failed to comply with clause (A) of </w:t>
      </w:r>
      <w:r>
        <w:rPr>
          <w:rFonts w:ascii="Arial" w:cs="Arial" w:eastAsia="Arial" w:hAnsi="Arial"/>
          <w:sz w:val="18"/>
          <w:szCs w:val="18"/>
          <w:u w:val="single" w:color="auto"/>
          <w:color w:val="auto"/>
        </w:rPr>
        <w:t>Section 3.01(e)(ii)</w:t>
      </w:r>
      <w:r>
        <w:rPr>
          <w:rFonts w:ascii="Arial" w:cs="Arial" w:eastAsia="Arial" w:hAnsi="Arial"/>
          <w:sz w:val="18"/>
          <w:szCs w:val="18"/>
          <w:color w:val="auto"/>
        </w:rPr>
        <w:t xml:space="preserve">, (d) in the case of a Foreign Lender (other than an assignee pursuant to a request by the Company under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any United States withholding tax that (i) is required to be imposed on amounts payable to such Foreign Lender pursuant to the Laws in force at the time such Foreign Lender becomes a party hereto (or designates a new Lending Office) or (ii) is attributable to such Foreign Lender’s failure or inability (other than as a result of a Change in Law) to comply with </w:t>
      </w:r>
      <w:r>
        <w:rPr>
          <w:rFonts w:ascii="Arial" w:cs="Arial" w:eastAsia="Arial" w:hAnsi="Arial"/>
          <w:sz w:val="18"/>
          <w:szCs w:val="18"/>
          <w:u w:val="single" w:color="auto"/>
          <w:color w:val="auto"/>
        </w:rPr>
        <w:t>Section 3.01(e)(ii)</w:t>
      </w:r>
      <w:r>
        <w:rPr>
          <w:rFonts w:ascii="Arial" w:cs="Arial" w:eastAsia="Arial" w:hAnsi="Arial"/>
          <w:sz w:val="18"/>
          <w:szCs w:val="18"/>
          <w:color w:val="auto"/>
        </w:rPr>
        <w:t xml:space="preserve">, except to the extent that such Foreign Lender (or its assignor, if any) was entitled, at the time of designation of a new Lending Office (or assignment), to receive additional amounts from the applicable Borrower with respect to such withholding tax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(e) any U.S. federal withholding Taxes imposed pursuant to FATCA.</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means that certain Credit Agreement dated as of June 22, 2011 among the Company and the other Borrowers party thereto, the Parent and the other Guarantors party thereto, the Lenders party thereto and Bank of America, N.A., as administrative agent, swing line lender and L/C issuer.</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Commitment</w:t>
      </w:r>
      <w:r>
        <w:rPr>
          <w:rFonts w:ascii="Arial" w:cs="Arial" w:eastAsia="Arial" w:hAnsi="Arial"/>
          <w:sz w:val="20"/>
          <w:szCs w:val="20"/>
          <w:color w:val="auto"/>
        </w:rPr>
        <w:t xml:space="preserve">” means any Revolving Commitments the maturity of which shall have been extended pursuant to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Loans</w:t>
      </w:r>
      <w:r>
        <w:rPr>
          <w:rFonts w:ascii="Arial" w:cs="Arial" w:eastAsia="Arial" w:hAnsi="Arial"/>
          <w:sz w:val="20"/>
          <w:szCs w:val="20"/>
          <w:color w:val="auto"/>
        </w:rPr>
        <w:t>” means any Loans made pursuant to the Extended Revolving Commitments.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Loans</w:t>
      </w:r>
      <w:r>
        <w:rPr>
          <w:rFonts w:ascii="Arial" w:cs="Arial" w:eastAsia="Arial" w:hAnsi="Arial"/>
          <w:sz w:val="20"/>
          <w:szCs w:val="20"/>
          <w:color w:val="auto"/>
        </w:rPr>
        <w:t xml:space="preserve">” means any Term Loans and/or any Incremental Term Loans the maturity of which shall have been extended pursuant to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means an amendment to this Agreement providing for any Extended Term Loans and/or Extended Revolving Commitments pursuant to </w:t>
      </w:r>
      <w:r>
        <w:rPr>
          <w:rFonts w:ascii="Arial" w:cs="Arial" w:eastAsia="Arial" w:hAnsi="Arial"/>
          <w:sz w:val="20"/>
          <w:szCs w:val="20"/>
          <w:u w:val="single" w:color="auto"/>
          <w:color w:val="auto"/>
        </w:rPr>
        <w:t>Section 2.18</w:t>
      </w:r>
      <w:r>
        <w:rPr>
          <w:rFonts w:ascii="Arial" w:cs="Arial" w:eastAsia="Arial" w:hAnsi="Arial"/>
          <w:sz w:val="20"/>
          <w:szCs w:val="20"/>
          <w:color w:val="auto"/>
        </w:rPr>
        <w:t>, which shall be consistent with the applicable provisions of this Agreement and otherwise satisfactory to the parties thereto and executed by the Company, the Administrative Agent and each Lender providing a portion of any Extension evidenced thereby.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757" w:right="239" w:bottom="1440" w:gutter="0" w:footer="0" w:header="0"/>
        </w:sectPr>
      </w:pPr>
    </w:p>
    <w:bookmarkStart w:id="138" w:name="page139"/>
    <w:bookmarkEnd w:id="13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Facilities</w:t>
      </w:r>
      <w:r>
        <w:rPr>
          <w:rFonts w:ascii="Arial" w:cs="Arial" w:eastAsia="Arial" w:hAnsi="Arial"/>
          <w:sz w:val="20"/>
          <w:szCs w:val="20"/>
          <w:color w:val="auto"/>
        </w:rPr>
        <w:t>” means, at any time, a collective reference to the facilities and real properties owned, leased or operated by any Loan Party or any Subsidiary.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Internal Revenue Code, as of the Third Amendment Effective Date (or any amended or successor version that is substantively comparable and not materially more onerous to comply with), any current or future regulations or official interpretations thereof, any agreements entered into pursuant to Section 1471(b)(1) of the Internal Revenue Code and any applicable intergovernmental agreements with respect thereto.</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letter agreement dated as of July 13, 2017 among the Company, Bank of America and MLPFS.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FleetCor Australia</w:t>
      </w:r>
      <w:r>
        <w:rPr>
          <w:rFonts w:ascii="Arial" w:cs="Arial" w:eastAsia="Arial" w:hAnsi="Arial"/>
          <w:sz w:val="20"/>
          <w:szCs w:val="20"/>
          <w:color w:val="auto"/>
        </w:rPr>
        <w:t>” means Business Fuel Cards Pty Ltd (formerly FleetCor Technologies Australia Pty Ltd), ACN 161 721 106, a proprietary limited company registered under the Corporations Act 2001 and taken to be registered in Victoria, Australia.</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FleetCor New Zealand</w:t>
      </w:r>
      <w:r>
        <w:rPr>
          <w:rFonts w:ascii="Arial" w:cs="Arial" w:eastAsia="Arial" w:hAnsi="Arial"/>
          <w:sz w:val="20"/>
          <w:szCs w:val="20"/>
          <w:color w:val="auto"/>
        </w:rPr>
        <w:t>” means FleetCor Technologies New Zealand Limited, a company registered in New Zealand under company number 4253058.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FleetCor UK</w:t>
      </w:r>
      <w:r>
        <w:rPr>
          <w:rFonts w:ascii="Arial" w:cs="Arial" w:eastAsia="Arial" w:hAnsi="Arial"/>
          <w:sz w:val="20"/>
          <w:szCs w:val="20"/>
          <w:color w:val="auto"/>
        </w:rPr>
        <w:t>” means FleetCor UK Acquisition Limited, a private limited company registered in England and Wales.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that is organized under the Laws of a jurisdiction other than that in which the applicable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Swing Line Loan Sublimit</w:t>
      </w:r>
      <w:r>
        <w:rPr>
          <w:rFonts w:ascii="Arial" w:cs="Arial" w:eastAsia="Arial" w:hAnsi="Arial"/>
          <w:sz w:val="20"/>
          <w:szCs w:val="20"/>
          <w:color w:val="auto"/>
        </w:rPr>
        <w:t xml:space="preserve">” means an amount equal to the lesser of (a) $110,000,000 (as such amount may be increased in accordance with </w:t>
      </w:r>
      <w:r>
        <w:rPr>
          <w:rFonts w:ascii="Arial" w:cs="Arial" w:eastAsia="Arial" w:hAnsi="Arial"/>
          <w:sz w:val="20"/>
          <w:szCs w:val="20"/>
          <w:u w:val="single" w:color="auto"/>
          <w:color w:val="auto"/>
        </w:rPr>
        <w:t>Section 2.02(f)(ii)</w:t>
      </w:r>
      <w:r>
        <w:rPr>
          <w:rFonts w:ascii="Arial" w:cs="Arial" w:eastAsia="Arial" w:hAnsi="Arial"/>
          <w:sz w:val="20"/>
          <w:szCs w:val="20"/>
          <w:color w:val="auto"/>
        </w:rPr>
        <w:t>) and (b) the Aggregate Revolving B Commitments. The Foreign Swing Line Loan Sublimit is part of and not in addition to the Aggregate Revolving B Commitments.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757" w:right="239" w:bottom="1440" w:gutter="0" w:footer="0" w:header="0"/>
        </w:sectPr>
      </w:pPr>
    </w:p>
    <w:bookmarkStart w:id="139" w:name="page140"/>
    <w:bookmarkEnd w:id="139"/>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90" w:lineRule="exact"/>
        <w:rPr>
          <w:sz w:val="20"/>
          <w:szCs w:val="20"/>
          <w:color w:val="auto"/>
        </w:rPr>
      </w:pPr>
    </w:p>
    <w:p>
      <w:pPr>
        <w:jc w:val="both"/>
        <w:ind w:left="660" w:firstLine="645"/>
        <w:spacing w:after="0" w:line="254" w:lineRule="exact"/>
        <w:tabs>
          <w:tab w:leader="none" w:pos="1803" w:val="left"/>
        </w:tabs>
        <w:numPr>
          <w:ilvl w:val="0"/>
          <w:numId w:val="52"/>
        </w:numPr>
        <w:rPr>
          <w:rFonts w:ascii="Arial" w:cs="Arial" w:eastAsia="Arial" w:hAnsi="Arial"/>
          <w:sz w:val="20"/>
          <w:szCs w:val="20"/>
          <w:color w:val="auto"/>
        </w:rPr>
      </w:pPr>
      <w:r>
        <w:rPr>
          <w:rFonts w:ascii="Arial" w:cs="Arial" w:eastAsia="Arial" w:hAnsi="Arial"/>
          <w:sz w:val="20"/>
          <w:szCs w:val="20"/>
          <w:color w:val="auto"/>
        </w:rPr>
        <w:t>all obligations for borrowed money, whether current or long</w:t>
      </w:r>
      <w:r>
        <w:rPr>
          <w:rFonts w:ascii="MS PGothic" w:cs="MS PGothic" w:eastAsia="MS PGothic" w:hAnsi="MS PGothic"/>
          <w:sz w:val="20"/>
          <w:szCs w:val="20"/>
          <w:color w:val="auto"/>
        </w:rPr>
        <w:t>‑</w:t>
      </w:r>
      <w:r>
        <w:rPr>
          <w:rFonts w:ascii="Arial" w:cs="Arial" w:eastAsia="Arial" w:hAnsi="Arial"/>
          <w:sz w:val="20"/>
          <w:szCs w:val="20"/>
          <w:color w:val="auto"/>
        </w:rPr>
        <w:t>term (including Obligations with respect to any Loan or Letter of Credit) and all obligations of such Person evidenced by bonds, debentures, notes, loan agreements or other similar instruments;</w:t>
      </w:r>
    </w:p>
    <w:p>
      <w:pPr>
        <w:spacing w:after="0" w:line="224" w:lineRule="exact"/>
        <w:rPr>
          <w:rFonts w:ascii="Arial" w:cs="Arial" w:eastAsia="Arial" w:hAnsi="Arial"/>
          <w:sz w:val="20"/>
          <w:szCs w:val="20"/>
          <w:color w:val="auto"/>
        </w:rPr>
      </w:pPr>
    </w:p>
    <w:p>
      <w:pPr>
        <w:jc w:val="both"/>
        <w:ind w:left="660" w:firstLine="645"/>
        <w:spacing w:after="0" w:line="278" w:lineRule="auto"/>
        <w:tabs>
          <w:tab w:leader="none" w:pos="1827"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principal portion of all obligations under conditional sale or other title retention agreements relating to property purchased by the Parent or any Subsidiary (other than customary reservations or retentions of title under agreements with suppliers entered into in the ordinary course of business);</w:t>
      </w:r>
    </w:p>
    <w:p>
      <w:pPr>
        <w:spacing w:after="0" w:line="186" w:lineRule="exact"/>
        <w:rPr>
          <w:rFonts w:ascii="Arial" w:cs="Arial" w:eastAsia="Arial" w:hAnsi="Arial"/>
          <w:sz w:val="20"/>
          <w:szCs w:val="20"/>
          <w:color w:val="auto"/>
        </w:rPr>
      </w:pPr>
    </w:p>
    <w:p>
      <w:pPr>
        <w:ind w:left="660" w:firstLine="645"/>
        <w:spacing w:after="0" w:line="347" w:lineRule="auto"/>
        <w:tabs>
          <w:tab w:leader="none" w:pos="17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obligations arising under letters of credit (including standby and commercial), bankers’ acceptances, bank guaranties, surety bonds and similar instruments that support Funded Indebtedness of the types specified in clauses (a), (b) and (d) through (i);</w:t>
      </w:r>
    </w:p>
    <w:p>
      <w:pPr>
        <w:spacing w:after="0" w:line="130" w:lineRule="exact"/>
        <w:rPr>
          <w:rFonts w:ascii="Arial" w:cs="Arial" w:eastAsia="Arial" w:hAnsi="Arial"/>
          <w:sz w:val="18"/>
          <w:szCs w:val="18"/>
          <w:color w:val="auto"/>
        </w:rPr>
      </w:pPr>
    </w:p>
    <w:p>
      <w:pPr>
        <w:jc w:val="both"/>
        <w:ind w:left="660" w:firstLine="645"/>
        <w:spacing w:after="0" w:line="274" w:lineRule="auto"/>
        <w:tabs>
          <w:tab w:leader="none" w:pos="1773" w:val="left"/>
        </w:tabs>
        <w:numPr>
          <w:ilvl w:val="0"/>
          <w:numId w:val="52"/>
        </w:numPr>
        <w:rPr>
          <w:rFonts w:ascii="Arial" w:cs="Arial" w:eastAsia="Arial" w:hAnsi="Arial"/>
          <w:sz w:val="20"/>
          <w:szCs w:val="20"/>
          <w:color w:val="auto"/>
        </w:rPr>
      </w:pPr>
      <w:r>
        <w:rPr>
          <w:rFonts w:ascii="Arial" w:cs="Arial" w:eastAsia="Arial" w:hAnsi="Arial"/>
          <w:sz w:val="20"/>
          <w:szCs w:val="20"/>
          <w:color w:val="auto"/>
        </w:rPr>
        <w:t>all purchase money Indebtedness and other obligations in respect of the deferred purchase price of property or services (other than (i) accrued expenses, settlement accounts or trade accounts payable incurred or arising in the ordinary course of business and (ii) any Earn Out Obligations unless and until such Earn Out Obligations become a liability on the balance sheet of the Company and its Subsidiaries in accordance with GAAP);</w:t>
      </w:r>
    </w:p>
    <w:p>
      <w:pPr>
        <w:spacing w:after="0" w:line="192" w:lineRule="exact"/>
        <w:rPr>
          <w:rFonts w:ascii="Arial" w:cs="Arial" w:eastAsia="Arial" w:hAnsi="Arial"/>
          <w:sz w:val="20"/>
          <w:szCs w:val="20"/>
          <w:color w:val="auto"/>
        </w:rPr>
      </w:pPr>
    </w:p>
    <w:p>
      <w:pPr>
        <w:ind w:left="1700" w:hanging="395"/>
        <w:spacing w:after="0"/>
        <w:tabs>
          <w:tab w:leader="none" w:pos="17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Attributable Indebtedness of Capital Leases, Receivables Facilities and Synthetic Leases;</w:t>
      </w:r>
    </w:p>
    <w:p>
      <w:pPr>
        <w:spacing w:after="0" w:line="242" w:lineRule="exact"/>
        <w:rPr>
          <w:rFonts w:ascii="Arial" w:cs="Arial" w:eastAsia="Arial" w:hAnsi="Arial"/>
          <w:sz w:val="20"/>
          <w:szCs w:val="20"/>
          <w:color w:val="auto"/>
        </w:rPr>
      </w:pPr>
    </w:p>
    <w:p>
      <w:pPr>
        <w:jc w:val="both"/>
        <w:ind w:left="660" w:firstLine="645"/>
        <w:spacing w:after="0" w:line="274" w:lineRule="auto"/>
        <w:tabs>
          <w:tab w:leader="none" w:pos="1686"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Equity Interests in such Person or any other Person prior to the Maturity Date or the Incremental Term Loan Maturity Date,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w:t>
      </w:r>
    </w:p>
    <w:p>
      <w:pPr>
        <w:spacing w:after="0" w:line="192" w:lineRule="exact"/>
        <w:rPr>
          <w:rFonts w:ascii="Arial" w:cs="Arial" w:eastAsia="Arial" w:hAnsi="Arial"/>
          <w:sz w:val="20"/>
          <w:szCs w:val="20"/>
          <w:color w:val="auto"/>
        </w:rPr>
      </w:pPr>
    </w:p>
    <w:p>
      <w:pPr>
        <w:jc w:val="both"/>
        <w:ind w:left="660" w:firstLine="645"/>
        <w:spacing w:after="0" w:line="278" w:lineRule="auto"/>
        <w:tabs>
          <w:tab w:leader="none" w:pos="1732" w:val="left"/>
        </w:tabs>
        <w:numPr>
          <w:ilvl w:val="0"/>
          <w:numId w:val="52"/>
        </w:numPr>
        <w:rPr>
          <w:rFonts w:ascii="Arial" w:cs="Arial" w:eastAsia="Arial" w:hAnsi="Arial"/>
          <w:sz w:val="20"/>
          <w:szCs w:val="20"/>
          <w:color w:val="auto"/>
        </w:rPr>
      </w:pPr>
      <w:r>
        <w:rPr>
          <w:rFonts w:ascii="Arial" w:cs="Arial" w:eastAsia="Arial" w:hAnsi="Arial"/>
          <w:sz w:val="20"/>
          <w:szCs w:val="20"/>
          <w:color w:val="auto"/>
        </w:rPr>
        <w:t>all Funded Indebtedness of others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757" w:right="239" w:bottom="1440" w:gutter="0" w:footer="0" w:header="0"/>
        </w:sectPr>
      </w:pPr>
    </w:p>
    <w:bookmarkStart w:id="140" w:name="page141"/>
    <w:bookmarkEnd w:id="140"/>
    <w:p>
      <w:pPr>
        <w:ind w:left="1800" w:hanging="495"/>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Guarantees with respect to Funded Indebtedness of the types specified in clauses (a) through (g) above of another</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Person; and</w:t>
      </w:r>
    </w:p>
    <w:p>
      <w:pPr>
        <w:spacing w:after="0" w:line="242" w:lineRule="exact"/>
        <w:rPr>
          <w:rFonts w:ascii="Arial" w:cs="Arial" w:eastAsia="Arial" w:hAnsi="Arial"/>
          <w:sz w:val="18"/>
          <w:szCs w:val="18"/>
          <w:color w:val="auto"/>
        </w:rPr>
      </w:pPr>
    </w:p>
    <w:p>
      <w:pPr>
        <w:jc w:val="both"/>
        <w:ind w:left="660" w:firstLine="645"/>
        <w:spacing w:after="0" w:line="278" w:lineRule="auto"/>
        <w:tabs>
          <w:tab w:leader="none" w:pos="1716"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Funded Indebtedness of the types referred to in clauses (a) through (h) above of any partnership or any other form of legal entity in which such Person is a general partner or joint venturer but only to the extent such Funded Indebtedness is recourse to such Person.</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186"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w:t>
      </w:r>
      <w:r>
        <w:rPr>
          <w:rFonts w:ascii="MS PGothic" w:cs="MS PGothic" w:eastAsia="MS PGothic" w:hAnsi="MS PGothic"/>
          <w:sz w:val="20"/>
          <w:szCs w:val="20"/>
          <w:color w:val="auto"/>
        </w:rPr>
        <w:t>‑</w:t>
      </w:r>
      <w:r>
        <w:rPr>
          <w:rFonts w:ascii="Arial" w:cs="Arial" w:eastAsia="Arial" w:hAnsi="Arial"/>
          <w:sz w:val="20"/>
          <w:szCs w:val="20"/>
          <w:color w:val="auto"/>
        </w:rPr>
        <w:t>national bodies such as the European Union or the European Central Bank).</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payable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(a) the Parent, (b) the Company, in its capacity as a guarantor of (i) the Designated Borrower Obligations and the Obligations of the Additional Borrower, (ii) Obligations under any Swap Contract between any Loan Party (other than any Designated Borrower) and any Swap Bank that is permitted to be incurred pursuant to </w:t>
      </w:r>
      <w:r>
        <w:rPr>
          <w:rFonts w:ascii="Arial" w:cs="Arial" w:eastAsia="Arial" w:hAnsi="Arial"/>
          <w:sz w:val="18"/>
          <w:szCs w:val="18"/>
          <w:u w:val="single" w:color="auto"/>
          <w:color w:val="auto"/>
        </w:rPr>
        <w:t>Section 8.03(d)</w:t>
      </w:r>
      <w:r>
        <w:rPr>
          <w:rFonts w:ascii="Arial" w:cs="Arial" w:eastAsia="Arial" w:hAnsi="Arial"/>
          <w:sz w:val="18"/>
          <w:szCs w:val="18"/>
          <w:color w:val="auto"/>
        </w:rPr>
        <w:t xml:space="preserve">, (iii) Obligations under any Treasury Management Agreement between any Loan Party (other than any Designated Borrower) and any Treasury Management Bank, and (iv) any Swap Obligation of a Specified Guarantor (determined before giving effect to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7(b)</w:t>
      </w:r>
      <w:r>
        <w:rPr>
          <w:rFonts w:ascii="Arial" w:cs="Arial" w:eastAsia="Arial" w:hAnsi="Arial"/>
          <w:sz w:val="18"/>
          <w:szCs w:val="18"/>
          <w:color w:val="auto"/>
        </w:rPr>
        <w:t xml:space="preserve"> of the Guaranty) under the Guaranty, (c) each Domestic Subsidiary of the Parent and each other Person that joins as a Guarantor pursuant to </w:t>
      </w:r>
      <w:r>
        <w:rPr>
          <w:rFonts w:ascii="Arial" w:cs="Arial" w:eastAsia="Arial" w:hAnsi="Arial"/>
          <w:sz w:val="18"/>
          <w:szCs w:val="18"/>
          <w:u w:val="single" w:color="auto"/>
          <w:color w:val="auto"/>
        </w:rPr>
        <w:t>Section 7.12(a)</w:t>
      </w:r>
      <w:r>
        <w:rPr>
          <w:rFonts w:ascii="Arial" w:cs="Arial" w:eastAsia="Arial" w:hAnsi="Arial"/>
          <w:sz w:val="18"/>
          <w:szCs w:val="18"/>
          <w:color w:val="auto"/>
        </w:rPr>
        <w:t>, (d) the Additional Borrower, in its capacity as a guarantor of (i) the Designated Borrower Obligations and the Obligations of the Company, (ii) Obligations under 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771" w:right="239" w:bottom="1440" w:gutter="0" w:footer="0" w:header="0"/>
        </w:sectPr>
      </w:pPr>
    </w:p>
    <w:bookmarkStart w:id="141" w:name="page142"/>
    <w:bookmarkEnd w:id="141"/>
    <w:p>
      <w:pPr>
        <w:jc w:val="both"/>
        <w:spacing w:after="0" w:line="263" w:lineRule="auto"/>
        <w:rPr>
          <w:sz w:val="20"/>
          <w:szCs w:val="20"/>
          <w:color w:val="auto"/>
        </w:rPr>
      </w:pPr>
      <w:r>
        <w:rPr>
          <w:rFonts w:ascii="Arial" w:cs="Arial" w:eastAsia="Arial" w:hAnsi="Arial"/>
          <w:sz w:val="19"/>
          <w:szCs w:val="19"/>
          <w:color w:val="auto"/>
        </w:rPr>
        <w:t xml:space="preserve">Swap Contract between any Loan Party (other than any Designated Borrower) and any Swap Bank that is permitted to be incurred pursuant to </w:t>
      </w:r>
      <w:r>
        <w:rPr>
          <w:rFonts w:ascii="Arial" w:cs="Arial" w:eastAsia="Arial" w:hAnsi="Arial"/>
          <w:sz w:val="19"/>
          <w:szCs w:val="19"/>
          <w:u w:val="single" w:color="auto"/>
          <w:color w:val="auto"/>
        </w:rPr>
        <w:t>Section 8.03(d)</w:t>
      </w:r>
      <w:r>
        <w:rPr>
          <w:rFonts w:ascii="Arial" w:cs="Arial" w:eastAsia="Arial" w:hAnsi="Arial"/>
          <w:sz w:val="19"/>
          <w:szCs w:val="19"/>
          <w:color w:val="auto"/>
        </w:rPr>
        <w:t xml:space="preserve">, (iii) Obligations under any Treasury Management Agreement between any Loan Party (other than any Designated Borrower) and any Treasury Management Bank, and (iv) any Swap Obligation of a Specified Guarantor (determined before giving effect to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7(b)</w:t>
      </w:r>
      <w:r>
        <w:rPr>
          <w:rFonts w:ascii="Arial" w:cs="Arial" w:eastAsia="Arial" w:hAnsi="Arial"/>
          <w:sz w:val="19"/>
          <w:szCs w:val="19"/>
          <w:color w:val="auto"/>
        </w:rPr>
        <w:t xml:space="preserve"> of the Guaranty) under the Guaranty, and (e) the successors and permitted assigns of the foregoing.</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Guaranty Agreement substantially in the form of </w:t>
      </w:r>
      <w:r>
        <w:rPr>
          <w:rFonts w:ascii="Arial" w:cs="Arial" w:eastAsia="Arial" w:hAnsi="Arial"/>
          <w:sz w:val="20"/>
          <w:szCs w:val="20"/>
          <w:u w:val="single" w:color="auto"/>
          <w:color w:val="auto"/>
        </w:rPr>
        <w:t>Exhibit N</w:t>
      </w:r>
      <w:r>
        <w:rPr>
          <w:rFonts w:ascii="Arial" w:cs="Arial" w:eastAsia="Arial" w:hAnsi="Arial"/>
          <w:sz w:val="20"/>
          <w:szCs w:val="20"/>
          <w:color w:val="auto"/>
        </w:rPr>
        <w:t xml:space="preserve"> executed in favor of the Administrative Agent, for the benefit of the holders of the Obligations, by each of the Guarantors.</w:t>
      </w:r>
    </w:p>
    <w:p>
      <w:pPr>
        <w:spacing w:after="0" w:line="177"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w:t>
      </w:r>
      <w:r>
        <w:rPr>
          <w:rFonts w:ascii="MS PGothic" w:cs="MS PGothic" w:eastAsia="MS PGothic" w:hAnsi="MS PGothic"/>
          <w:sz w:val="19"/>
          <w:szCs w:val="19"/>
          <w:color w:val="auto"/>
        </w:rPr>
        <w:t>‑</w:t>
      </w:r>
      <w:r>
        <w:rPr>
          <w:rFonts w:ascii="Arial" w:cs="Arial" w:eastAsia="Arial" w:hAnsi="Arial"/>
          <w:sz w:val="19"/>
          <w:szCs w:val="19"/>
          <w:color w:val="auto"/>
        </w:rPr>
        <w:t>containing materials, polychlorinated biphenyls, radon gas, infectious or medical wastes and all other substances or wastes of any nature regulated pursuant to any Environmental Law.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at any time, a Subsidiary that (a) as of the last day of the fiscal quarter of the Parent most recently ended for which financial statements are available, did not have, together with its respective Subsidiaries, assets in excess of 3% of the aggregate consolidated total assets of the Parent and its Subsidiaries at the end of such fiscal quarter and (b) for the period of four consecutive fiscal quarters of the Parent most recently ended for which financial statements are available, did not have, together with its respective Subsidiaries, revenues in excess of 3% of the consolidated revenues of the Parent and its Subsidiaries for such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2.02(f)</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Financing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2.02(f)(vi)</w:t>
      </w:r>
      <w:r>
        <w:rPr>
          <w:rFonts w:ascii="Arial" w:cs="Arial" w:eastAsia="Arial" w:hAnsi="Arial"/>
          <w:sz w:val="20"/>
          <w:szCs w:val="20"/>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A Loan</w:t>
      </w:r>
      <w:r>
        <w:rPr>
          <w:rFonts w:ascii="Arial" w:cs="Arial" w:eastAsia="Arial" w:hAnsi="Arial"/>
          <w:sz w:val="20"/>
          <w:szCs w:val="20"/>
          <w:color w:val="auto"/>
        </w:rPr>
        <w:t>” means an Incremental Term Loan that (a) satisfies each of the Incremental Term A Loan Conditions and (b) does not satisfy each of the Incremental Term B Loan Conditions.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A Loan Conditions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2.02(f)</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B Loan</w:t>
      </w:r>
      <w:r>
        <w:rPr>
          <w:rFonts w:ascii="Arial" w:cs="Arial" w:eastAsia="Arial" w:hAnsi="Arial"/>
          <w:sz w:val="19"/>
          <w:szCs w:val="19"/>
          <w:color w:val="auto"/>
        </w:rPr>
        <w:t>” means an Incremental Term Loan that satisfies each of the Incremental Term B Loan Conditions.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B Loan Conditions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2.02(f)</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Lender</w:t>
      </w:r>
      <w:r>
        <w:rPr>
          <w:rFonts w:ascii="Arial" w:cs="Arial" w:eastAsia="Arial" w:hAnsi="Arial"/>
          <w:sz w:val="20"/>
          <w:szCs w:val="20"/>
          <w:color w:val="auto"/>
        </w:rPr>
        <w:t>” means each of the Persons identified as an “Incremental Term Loan Lender” in the Lender Joinder Agreement with respect to any Incremental Term Loan, together with their respective successors and assigns.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2.02(f)</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xml:space="preserve">” means, as to each Incremental Term Loan Lender, the commitment of such Incremental Term Loan Lender to make the applicable Incremental Term Loan hereunder pursuant to the applicable Lender Joinder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any time after the funding of any Incremental Term Loan, determination of “Required Lenders” shall include the Outstanding Amount of such Incremental Term Loan.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757" w:right="239" w:bottom="1440" w:gutter="0" w:footer="0" w:header="0"/>
        </w:sectPr>
      </w:pPr>
    </w:p>
    <w:bookmarkStart w:id="142" w:name="page143"/>
    <w:bookmarkEnd w:id="142"/>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Maturity Date</w:t>
      </w:r>
      <w:r>
        <w:rPr>
          <w:rFonts w:ascii="Arial" w:cs="Arial" w:eastAsia="Arial" w:hAnsi="Arial"/>
          <w:sz w:val="20"/>
          <w:szCs w:val="20"/>
          <w:color w:val="auto"/>
        </w:rPr>
        <w:t>” as to any Incremental Term Loan shall be as set forth in the Lender Joinder Agreement applicable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90" w:lineRule="exact"/>
        <w:rPr>
          <w:sz w:val="20"/>
          <w:szCs w:val="20"/>
          <w:color w:val="auto"/>
        </w:rPr>
      </w:pPr>
    </w:p>
    <w:p>
      <w:pPr>
        <w:ind w:left="1700" w:hanging="395"/>
        <w:spacing w:after="0"/>
        <w:tabs>
          <w:tab w:leader="none" w:pos="17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all Funded Indebtedness;</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Swap Termination Value of any Swap Contract;</w:t>
      </w:r>
    </w:p>
    <w:p>
      <w:pPr>
        <w:spacing w:after="0" w:line="242" w:lineRule="exact"/>
        <w:rPr>
          <w:rFonts w:ascii="Arial" w:cs="Arial" w:eastAsia="Arial" w:hAnsi="Arial"/>
          <w:sz w:val="20"/>
          <w:szCs w:val="20"/>
          <w:color w:val="auto"/>
        </w:rPr>
      </w:pPr>
    </w:p>
    <w:p>
      <w:pPr>
        <w:ind w:left="1760" w:hanging="455"/>
        <w:spacing w:after="0"/>
        <w:tabs>
          <w:tab w:leader="none" w:pos="1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Guarantees with respect to outstanding Indebtedness of the types specified in clauses (a) and (b) above of any other</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Person; and</w:t>
      </w:r>
    </w:p>
    <w:p>
      <w:pPr>
        <w:spacing w:after="0" w:line="242" w:lineRule="exact"/>
        <w:rPr>
          <w:rFonts w:ascii="Arial" w:cs="Arial" w:eastAsia="Arial" w:hAnsi="Arial"/>
          <w:sz w:val="18"/>
          <w:szCs w:val="18"/>
          <w:color w:val="auto"/>
        </w:rPr>
      </w:pPr>
    </w:p>
    <w:p>
      <w:pPr>
        <w:ind w:left="660" w:right="20" w:firstLine="645"/>
        <w:spacing w:after="0" w:line="347" w:lineRule="auto"/>
        <w:tabs>
          <w:tab w:leader="none" w:pos="17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Indebtedness of the types referred to in clauses (a) through (c) above of any partnership or any other form of legal entity in which such Person is a general partner or joint venturer but only to the extent such Indebtedness is recourse to such Person.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Taxes other than Excluded Taxes and Other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11.07</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 Memorandum</w:t>
      </w:r>
      <w:r>
        <w:rPr>
          <w:rFonts w:ascii="Arial" w:cs="Arial" w:eastAsia="Arial" w:hAnsi="Arial"/>
          <w:sz w:val="19"/>
          <w:szCs w:val="19"/>
          <w:color w:val="auto"/>
        </w:rPr>
        <w:t>” shall mean the Confidential Information Memorandum dated September, 2014 relating to the Parent and the transactions contemplated by this Agreement and the other Loan Documents, as it may be supplemented or amended.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Borrowing Date</w:t>
      </w:r>
      <w:r>
        <w:rPr>
          <w:rFonts w:ascii="Arial" w:cs="Arial" w:eastAsia="Arial" w:hAnsi="Arial"/>
          <w:sz w:val="20"/>
          <w:szCs w:val="20"/>
          <w:color w:val="auto"/>
        </w:rPr>
        <w:t>” means November 14, 2014.</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Eurocurrency Rate Loan, the last day of each Interest Period applicable to such Loan and the Maturity Date or the Incremental Term Loan Maturity Date,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Interest Period for a Eurocurrency Rate Loan exceeds three months, the respective dates that fall every three months after the beginning of such Interest Period shall also be Interest Payment Dates; (b) as to any Base Rate Loan, the last Business Day of each March, June, September and December and the Maturity Date or the Incremental Term Loan Maturity Date, as applicable; (c) as to any Domestic Swing Line Loan, the last Business Day of each March, June, September and December and the Maturity Date with respect to interest on Domestic Swing Line Loans accruing since the last such date; and (d) as to any Foreign Swing Line Loan, the last Business Day of each calendar month and the Maturity Date with respect to interest on Foreign Swing Line Loans accruing since the last such date.</w:t>
      </w:r>
    </w:p>
    <w:p>
      <w:pPr>
        <w:spacing w:after="0" w:line="18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Eurocurrency Rate Loan, the period commencing on the date such Eurocurrency Rate Loan is disbursed or converted to or continued as a Eurocurrency Rate Loan and ending on the date one, two, three or six months thereafter (subject to availability), as selected by the applicable Borrower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757" w:right="239" w:bottom="1440" w:gutter="0" w:footer="0" w:header="0"/>
        </w:sectPr>
      </w:pPr>
    </w:p>
    <w:bookmarkStart w:id="143" w:name="page144"/>
    <w:bookmarkEnd w:id="143"/>
    <w:p>
      <w:pPr>
        <w:jc w:val="both"/>
        <w:ind w:left="660" w:firstLine="645"/>
        <w:spacing w:after="0" w:line="278" w:lineRule="auto"/>
        <w:tabs>
          <w:tab w:leader="none" w:pos="1722"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0"/>
          <w:szCs w:val="20"/>
          <w:color w:val="auto"/>
        </w:rPr>
      </w:pPr>
    </w:p>
    <w:p>
      <w:pPr>
        <w:jc w:val="both"/>
        <w:ind w:left="660" w:firstLine="645"/>
        <w:spacing w:after="0" w:line="278" w:lineRule="auto"/>
        <w:tabs>
          <w:tab w:leader="none" w:pos="1868"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 Interest Period with respect to any Revolving Loan shall extend beyond the Maturity Date;</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 Interest Period with respect to any Term Loan shall extend beyond the Maturity Date; and</w:t>
      </w:r>
    </w:p>
    <w:p>
      <w:pPr>
        <w:spacing w:after="0" w:line="242" w:lineRule="exact"/>
        <w:rPr>
          <w:rFonts w:ascii="Arial" w:cs="Arial" w:eastAsia="Arial" w:hAnsi="Arial"/>
          <w:sz w:val="20"/>
          <w:szCs w:val="20"/>
          <w:color w:val="auto"/>
        </w:rPr>
      </w:pPr>
    </w:p>
    <w:p>
      <w:pPr>
        <w:ind w:left="1760" w:hanging="455"/>
        <w:spacing w:after="0"/>
        <w:tabs>
          <w:tab w:leader="none" w:pos="1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Interest Period with respect to the Incremental Term Loan shall extend beyond the Incremental Term Loan Maturity</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means the unaudited consolidated financial statements of the Parent and its Subsidiaries for the fiscal quarter ending March 31, 2017, including balance sheets and statements of income or operations, shareholders’ equity and cash flows.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 as amended.</w:t>
      </w: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as to any Person, any direct or indirect acquisition or investment by such Person, whether by means of (a) the purchase or other acquisition of Equity Interests of another Person, (b) a loan, advance or capital contribution to, Guarantee of Indebtedness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notwithstanding anything in this Agreement to the contrary, no purchase by any Loan Party of fuel</w:t>
      </w:r>
      <w:r>
        <w:rPr>
          <w:rFonts w:ascii="MS PGothic" w:cs="MS PGothic" w:eastAsia="MS PGothic" w:hAnsi="MS PGothic"/>
          <w:sz w:val="19"/>
          <w:szCs w:val="19"/>
          <w:color w:val="auto"/>
        </w:rPr>
        <w:t>‑</w:t>
      </w:r>
      <w:r>
        <w:rPr>
          <w:rFonts w:ascii="Arial" w:cs="Arial" w:eastAsia="Arial" w:hAnsi="Arial"/>
          <w:sz w:val="19"/>
          <w:szCs w:val="19"/>
          <w:color w:val="auto"/>
        </w:rPr>
        <w:t>related accounts receivable, whether pursuant to a factoring or similar arrangement, pursuant to the establishment, acquisition or operation of a private label credit card program or otherwise, and whether for a premium (so long as validated by a third party appraisal delivered by the Company to the Administrative Agent), at face value or at a discount, shall constitute an Investment for purposes of this Agreement. For purposes of covenant compliance, the amount of any Investment shall be the amount actually invested, without adjustment for subsequent increases or decreases in the value of such Investment.</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Disposition</w:t>
      </w:r>
      <w:r>
        <w:rPr>
          <w:rFonts w:ascii="Arial" w:cs="Arial" w:eastAsia="Arial" w:hAnsi="Arial"/>
          <w:sz w:val="20"/>
          <w:szCs w:val="20"/>
          <w:color w:val="auto"/>
        </w:rPr>
        <w:t>” means any loss of, damage to or destruction of, or any condemnation or other taking for public use of, any property of any Loan Party or any of its Subsidiaries.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771" w:right="239" w:bottom="1440" w:gutter="0" w:footer="0" w:header="0"/>
        </w:sectPr>
      </w:pPr>
    </w:p>
    <w:bookmarkStart w:id="144" w:name="page145"/>
    <w:bookmarkEnd w:id="14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L/C Issuer and the Company (or any Subsidiary) or in favor of the L/C Issuer and relating to any such Letter of Credit.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executed and delivered by a Domestic Subsidiary in accordance with the provisions of </w:t>
      </w:r>
      <w:r>
        <w:rPr>
          <w:rFonts w:ascii="Arial" w:cs="Arial" w:eastAsia="Arial" w:hAnsi="Arial"/>
          <w:sz w:val="20"/>
          <w:szCs w:val="20"/>
          <w:u w:val="single" w:color="auto"/>
          <w:color w:val="auto"/>
        </w:rPr>
        <w:t>Section 7.12(a)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Lender, such Lender’s funding of its participation in any L/C Borrowing in accordance with its Applicable Percentage. All L/C Advances shall be denominated in Dollars.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A Loans. All L/C Borrowings shall be denominated in Dollars.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means Bank of America in its capacity as issuer of Letters of Credit hereunder, or any successor issuer of Letters of Credit hereunder.</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executed and delivered in accordance with the provisions of </w:t>
      </w:r>
      <w:r>
        <w:rPr>
          <w:rFonts w:ascii="Arial" w:cs="Arial" w:eastAsia="Arial" w:hAnsi="Arial"/>
          <w:sz w:val="20"/>
          <w:szCs w:val="20"/>
          <w:u w:val="single" w:color="auto"/>
          <w:color w:val="auto"/>
        </w:rPr>
        <w:t>Section 2.02(f)</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each of the Persons identified as a “Lender” on the signature pages hereto, each Incremental Term Loan Lender, each other Person that becomes a “Lender” in accordance with this Agreement and, in each case, their successors and assigns and, as the context requires, includes the Swing Line Lender.</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757" w:right="239" w:bottom="1440" w:gutter="0" w:footer="0" w:header="0"/>
        </w:sectPr>
      </w:pPr>
    </w:p>
    <w:bookmarkStart w:id="145" w:name="page146"/>
    <w:bookmarkEnd w:id="145"/>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 providing for the payment of cash upon the honoring of a presentation thereunder. Letters of Credit may be denominated in Dollars or in an Alternative Currency, Australian Dollars or New Zealand Dollars.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L/C Issuer.</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Business Days prior to the Maturity Date then in effect (or, if such day is not a Business Day,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xml:space="preserve">” means an amount equal to the lesser of (a) $20,000,000 (as such amount may be increased in accordance with </w:t>
      </w:r>
      <w:r>
        <w:rPr>
          <w:rFonts w:ascii="Arial" w:cs="Arial" w:eastAsia="Arial" w:hAnsi="Arial"/>
          <w:sz w:val="20"/>
          <w:szCs w:val="20"/>
          <w:u w:val="single" w:color="auto"/>
          <w:color w:val="auto"/>
        </w:rPr>
        <w:t>Section 2.02(f)(i)</w:t>
      </w:r>
      <w:r>
        <w:rPr>
          <w:rFonts w:ascii="Arial" w:cs="Arial" w:eastAsia="Arial" w:hAnsi="Arial"/>
          <w:sz w:val="20"/>
          <w:szCs w:val="20"/>
          <w:color w:val="auto"/>
        </w:rPr>
        <w:t>) and (b) the Aggregate Revolving A Commitments. The Letter of Credit Sublimit is part of, and not in addition to, the Aggregate Revolving A Commitments.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Increase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8.11(a)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7"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Conditionality Acquisition</w:t>
      </w:r>
      <w:r>
        <w:rPr>
          <w:rFonts w:ascii="Arial" w:cs="Arial" w:eastAsia="Arial" w:hAnsi="Arial"/>
          <w:sz w:val="20"/>
          <w:szCs w:val="20"/>
          <w:color w:val="auto"/>
        </w:rPr>
        <w:t>” means any Permitted Acquisition (a) whose consummation is not conditioned on the obtaining of third</w:t>
      </w:r>
      <w:r>
        <w:rPr>
          <w:rFonts w:ascii="MS PGothic" w:cs="MS PGothic" w:eastAsia="MS PGothic" w:hAnsi="MS PGothic"/>
          <w:sz w:val="20"/>
          <w:szCs w:val="20"/>
          <w:color w:val="auto"/>
        </w:rPr>
        <w:t>‑</w:t>
      </w:r>
      <w:r>
        <w:rPr>
          <w:rFonts w:ascii="Arial" w:cs="Arial" w:eastAsia="Arial" w:hAnsi="Arial"/>
          <w:sz w:val="20"/>
          <w:szCs w:val="20"/>
          <w:color w:val="auto"/>
        </w:rPr>
        <w:t>party financing, and (b) for which the outside date for the consummation thereof occurs no more than 120 days after the definitive acquisition agreement governing such Permitted Acquisition is executed.</w:t>
      </w:r>
    </w:p>
    <w:p>
      <w:pPr>
        <w:spacing w:after="0" w:line="1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a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Revolving Loan, Swing Line Loan, Term Loan or any Incremental Term Loan.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the Guaranty, each Designated Borrower Request and Assumption Agreement, each Designated Borrower Notice, each Note, each Issuer Document, each Joinder Agreement, each Lender Joinder Agreement, each joinder document or other agreement executed and delivered by the Additional Borrower pursuant to </w:t>
      </w:r>
      <w:r>
        <w:rPr>
          <w:rFonts w:ascii="Arial" w:cs="Arial" w:eastAsia="Arial" w:hAnsi="Arial"/>
          <w:sz w:val="18"/>
          <w:szCs w:val="18"/>
          <w:u w:val="single" w:color="auto"/>
          <w:color w:val="auto"/>
        </w:rPr>
        <w:t>Section 7.12(b)</w:t>
      </w:r>
      <w:r>
        <w:rPr>
          <w:rFonts w:ascii="Arial" w:cs="Arial" w:eastAsia="Arial" w:hAnsi="Arial"/>
          <w:sz w:val="18"/>
          <w:szCs w:val="18"/>
          <w:color w:val="auto"/>
        </w:rPr>
        <w:t xml:space="preserve">, each Refinancing Amendment, any intercreditor agreement entered into by the Administrative Agent in connection with any Permitted First Priority Refinancing Indebtedness and/or any Permitted Junior Priority Refinancing Indebtedness, any Extension Amendment, any agreement creating or perfecting rights in Cash Collateral pursuant to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 the Collateral Documents and the Fee Letter.</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Borrowing of Loans, (b) a conversion of Loans from one Type to the other, or (c) a continuation of Eurocurrency Rate Loans, in each case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 or other applicable Borrower.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757" w:right="239" w:bottom="1440" w:gutter="0" w:footer="0" w:header="0"/>
        </w:sectPr>
      </w:pPr>
    </w:p>
    <w:bookmarkStart w:id="146" w:name="page147"/>
    <w:bookmarkEnd w:id="146"/>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Party</w:t>
      </w:r>
      <w:r>
        <w:rPr>
          <w:rFonts w:ascii="Arial" w:cs="Arial" w:eastAsia="Arial" w:hAnsi="Arial"/>
          <w:sz w:val="19"/>
          <w:szCs w:val="19"/>
          <w:color w:val="auto"/>
        </w:rPr>
        <w:t xml:space="preserve">” means the Company, each Designated Borrower, the Additional Borrower (if the Additional Borrower becomes a Borrower hereunder pursuant to </w:t>
      </w:r>
      <w:r>
        <w:rPr>
          <w:rFonts w:ascii="Arial" w:cs="Arial" w:eastAsia="Arial" w:hAnsi="Arial"/>
          <w:sz w:val="19"/>
          <w:szCs w:val="19"/>
          <w:u w:val="single" w:color="auto"/>
          <w:color w:val="auto"/>
        </w:rPr>
        <w:t>Section 7.12(b)</w:t>
      </w:r>
      <w:r>
        <w:rPr>
          <w:rFonts w:ascii="Arial" w:cs="Arial" w:eastAsia="Arial" w:hAnsi="Arial"/>
          <w:sz w:val="19"/>
          <w:szCs w:val="19"/>
          <w:color w:val="auto"/>
        </w:rPr>
        <w:t>) and each Guarantor, and “</w:t>
      </w:r>
      <w:r>
        <w:rPr>
          <w:rFonts w:ascii="Arial" w:cs="Arial" w:eastAsia="Arial" w:hAnsi="Arial"/>
          <w:sz w:val="19"/>
          <w:szCs w:val="19"/>
          <w:u w:val="single" w:color="auto"/>
          <w:color w:val="auto"/>
        </w:rPr>
        <w:t>Loan Parties</w:t>
      </w:r>
      <w:r>
        <w:rPr>
          <w:rFonts w:ascii="Arial" w:cs="Arial" w:eastAsia="Arial" w:hAnsi="Arial"/>
          <w:sz w:val="19"/>
          <w:szCs w:val="19"/>
          <w:color w:val="auto"/>
        </w:rPr>
        <w:t>” means all such Persons, collectively.</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Partnership</w:t>
      </w:r>
      <w:r>
        <w:rPr>
          <w:rFonts w:ascii="Arial" w:cs="Arial" w:eastAsia="Arial" w:hAnsi="Arial"/>
          <w:sz w:val="20"/>
          <w:szCs w:val="20"/>
          <w:color w:val="auto"/>
        </w:rPr>
        <w:t xml:space="preserve">” means FleetCor Technologies Operating Company – CFN Holding Co., a company incorporated as a </w:t>
      </w:r>
      <w:r>
        <w:rPr>
          <w:rFonts w:ascii="Arial" w:cs="Arial" w:eastAsia="Arial" w:hAnsi="Arial"/>
          <w:sz w:val="20"/>
          <w:szCs w:val="20"/>
          <w:i w:val="1"/>
          <w:iCs w:val="1"/>
          <w:color w:val="auto"/>
        </w:rPr>
        <w:t xml:space="preserve">société en nom collectif </w:t>
      </w:r>
      <w:r>
        <w:rPr>
          <w:rFonts w:ascii="Arial" w:cs="Arial" w:eastAsia="Arial" w:hAnsi="Arial"/>
          <w:sz w:val="20"/>
          <w:szCs w:val="20"/>
          <w:color w:val="auto"/>
        </w:rPr>
        <w:t>(general corporate partnership) under the laws of Luxembourg, having its registered office at 5, Rue Guillaume Kroll,</w:t>
      </w:r>
      <w:r>
        <w:rPr>
          <w:rFonts w:ascii="Arial" w:cs="Arial" w:eastAsia="Arial" w:hAnsi="Arial"/>
          <w:sz w:val="20"/>
          <w:szCs w:val="20"/>
          <w:i w:val="1"/>
          <w:iCs w:val="1"/>
          <w:color w:val="auto"/>
        </w:rPr>
        <w:t xml:space="preserve"> </w:t>
      </w:r>
      <w:r>
        <w:rPr>
          <w:rFonts w:ascii="Arial" w:cs="Arial" w:eastAsia="Arial" w:hAnsi="Arial"/>
          <w:sz w:val="20"/>
          <w:szCs w:val="20"/>
          <w:color w:val="auto"/>
        </w:rPr>
        <w:t>L</w:t>
      </w:r>
      <w:r>
        <w:rPr>
          <w:rFonts w:ascii="MS PGothic" w:cs="MS PGothic" w:eastAsia="MS PGothic" w:hAnsi="MS PGothic"/>
          <w:sz w:val="20"/>
          <w:szCs w:val="20"/>
          <w:color w:val="auto"/>
        </w:rPr>
        <w:t>‑</w:t>
      </w:r>
      <w:r>
        <w:rPr>
          <w:rFonts w:ascii="Arial" w:cs="Arial" w:eastAsia="Arial" w:hAnsi="Arial"/>
          <w:sz w:val="20"/>
          <w:szCs w:val="20"/>
          <w:color w:val="auto"/>
        </w:rPr>
        <w:t>1882 Luxembourg, having a partnership capital of EUR 137,501 and registered with the Luxembourg Register of Commerce and Companies under number B</w:t>
      </w:r>
      <w:r>
        <w:rPr>
          <w:rFonts w:ascii="MS PGothic" w:cs="MS PGothic" w:eastAsia="MS PGothic" w:hAnsi="MS PGothic"/>
          <w:sz w:val="20"/>
          <w:szCs w:val="20"/>
          <w:color w:val="auto"/>
        </w:rPr>
        <w:t>‑</w:t>
      </w:r>
      <w:r>
        <w:rPr>
          <w:rFonts w:ascii="Arial" w:cs="Arial" w:eastAsia="Arial" w:hAnsi="Arial"/>
          <w:sz w:val="20"/>
          <w:szCs w:val="20"/>
          <w:color w:val="auto"/>
        </w:rPr>
        <w:t>121.519.</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Lux 2</w:t>
      </w:r>
      <w:r>
        <w:rPr>
          <w:rFonts w:ascii="Arial" w:cs="Arial" w:eastAsia="Arial" w:hAnsi="Arial"/>
          <w:sz w:val="19"/>
          <w:szCs w:val="19"/>
          <w:color w:val="auto"/>
        </w:rPr>
        <w:t xml:space="preserve">” means FleetCor Luxembourg Holding2, a </w:t>
      </w:r>
      <w:r>
        <w:rPr>
          <w:rFonts w:ascii="Arial" w:cs="Arial" w:eastAsia="Arial" w:hAnsi="Arial"/>
          <w:sz w:val="19"/>
          <w:szCs w:val="19"/>
          <w:i w:val="1"/>
          <w:iCs w:val="1"/>
          <w:color w:val="auto"/>
        </w:rPr>
        <w:t>société à responsabilité limitée</w:t>
      </w:r>
      <w:r>
        <w:rPr>
          <w:rFonts w:ascii="Arial" w:cs="Arial" w:eastAsia="Arial" w:hAnsi="Arial"/>
          <w:sz w:val="19"/>
          <w:szCs w:val="19"/>
          <w:color w:val="auto"/>
        </w:rPr>
        <w:t xml:space="preserve"> incorporated under the laws of Luxembourg.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Cost</w:t>
      </w:r>
      <w:r>
        <w:rPr>
          <w:rFonts w:ascii="Arial" w:cs="Arial" w:eastAsia="Arial" w:hAnsi="Arial"/>
          <w:sz w:val="18"/>
          <w:szCs w:val="18"/>
          <w:color w:val="auto"/>
        </w:rPr>
        <w:t xml:space="preserve">” means, with respect to any period, the percentage rate per annum determined in accordance with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set forth in the definition of “Swap Contract.”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means a Permitted Acquisition for which total aggregate cash consideration therefor exceeds $150,000,000.</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Acquisition Pro Forma Calculation</w:t>
      </w:r>
      <w:r>
        <w:rPr>
          <w:rFonts w:ascii="Arial" w:cs="Arial" w:eastAsia="Arial" w:hAnsi="Arial"/>
          <w:sz w:val="20"/>
          <w:szCs w:val="20"/>
          <w:color w:val="auto"/>
        </w:rPr>
        <w:t xml:space="preserve">” means, to the extent made in connection with determining the permissibility of (a) any Permitted Acquisition that is a Material Acquisition, the calculations required by clause (v) in the proviso of the definition of “Permitted Acquisition”, (b) an increase in the Aggregate Revolving A Commitments in connection with a Material Acquisition, the calculations required by </w:t>
      </w:r>
      <w:r>
        <w:rPr>
          <w:rFonts w:ascii="Arial" w:cs="Arial" w:eastAsia="Arial" w:hAnsi="Arial"/>
          <w:sz w:val="20"/>
          <w:szCs w:val="20"/>
          <w:u w:val="single" w:color="auto"/>
          <w:color w:val="auto"/>
        </w:rPr>
        <w:t>Section 2.02(f)(i)(E)</w:t>
      </w:r>
      <w:r>
        <w:rPr>
          <w:rFonts w:ascii="Arial" w:cs="Arial" w:eastAsia="Arial" w:hAnsi="Arial"/>
          <w:sz w:val="20"/>
          <w:szCs w:val="20"/>
          <w:color w:val="auto"/>
        </w:rPr>
        <w:t xml:space="preserve">, (c) an increase in the Aggregate Revolving B Commitments in connection with a Material Acquisition, the calculations required by </w:t>
      </w:r>
      <w:r>
        <w:rPr>
          <w:rFonts w:ascii="Arial" w:cs="Arial" w:eastAsia="Arial" w:hAnsi="Arial"/>
          <w:sz w:val="20"/>
          <w:szCs w:val="20"/>
          <w:u w:val="single" w:color="auto"/>
          <w:color w:val="auto"/>
        </w:rPr>
        <w:t>Section 2.02(f)(ii)(E)</w:t>
      </w:r>
      <w:r>
        <w:rPr>
          <w:rFonts w:ascii="Arial" w:cs="Arial" w:eastAsia="Arial" w:hAnsi="Arial"/>
          <w:sz w:val="20"/>
          <w:szCs w:val="20"/>
          <w:color w:val="auto"/>
        </w:rPr>
        <w:t xml:space="preserve">, or (d) an incurrence of an Incremental Term Loan in connection with a Material Acquisition, the calculations required by </w:t>
      </w:r>
      <w:r>
        <w:rPr>
          <w:rFonts w:ascii="Arial" w:cs="Arial" w:eastAsia="Arial" w:hAnsi="Arial"/>
          <w:sz w:val="20"/>
          <w:szCs w:val="20"/>
          <w:u w:val="single" w:color="auto"/>
          <w:color w:val="auto"/>
        </w:rPr>
        <w:t>Section 2.02(f)(iii)(G)</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on, the operations, business, assets, properties, liabilities (actual or contingent) or condition (financial or otherwise) of the Parent and its Subsidiaries, taken as a whole; (b) a material impairment of the rights and remedies of the Administrative Agent or any Lender under any Loan Document, or of the ability of any Borrower or any Guarantor to perform its obligations under any Loan Documents to which it is a party; or (c) a material adverse effect upon the legality, validity, binding effect or enforceability against any Borrower or any Guarantor of any Loan Document to which it is a party.</w:t>
      </w:r>
    </w:p>
    <w:p>
      <w:pPr>
        <w:spacing w:after="0" w:line="165"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Foreign Subsidiary</w:t>
      </w:r>
      <w:r>
        <w:rPr>
          <w:rFonts w:ascii="Arial" w:cs="Arial" w:eastAsia="Arial" w:hAnsi="Arial"/>
          <w:sz w:val="19"/>
          <w:szCs w:val="19"/>
          <w:color w:val="auto"/>
        </w:rPr>
        <w:t>” means any first</w:t>
      </w:r>
      <w:r>
        <w:rPr>
          <w:rFonts w:ascii="MS PGothic" w:cs="MS PGothic" w:eastAsia="MS PGothic" w:hAnsi="MS PGothic"/>
          <w:sz w:val="19"/>
          <w:szCs w:val="19"/>
          <w:color w:val="auto"/>
        </w:rPr>
        <w:t>‑</w:t>
      </w:r>
      <w:r>
        <w:rPr>
          <w:rFonts w:ascii="Arial" w:cs="Arial" w:eastAsia="Arial" w:hAnsi="Arial"/>
          <w:sz w:val="19"/>
          <w:szCs w:val="19"/>
          <w:color w:val="auto"/>
        </w:rPr>
        <w:t xml:space="preserve">tier Foreign Subsidiary of the Company or any Guarantor the assets or revenues of which, together with the assets or revenues of its Subsidiaries on a consolidated basis, account for at least 3% of the total assets or revenues, as applicable, of the Company and its Subsidiaries on a consolidated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no time shall the aggregate amount of assets or revenues of all first</w:t>
      </w:r>
      <w:r>
        <w:rPr>
          <w:rFonts w:ascii="MS PGothic" w:cs="MS PGothic" w:eastAsia="MS PGothic" w:hAnsi="MS PGothic"/>
          <w:sz w:val="19"/>
          <w:szCs w:val="19"/>
          <w:color w:val="auto"/>
        </w:rPr>
        <w:t>‑</w:t>
      </w:r>
      <w:r>
        <w:rPr>
          <w:rFonts w:ascii="Arial" w:cs="Arial" w:eastAsia="Arial" w:hAnsi="Arial"/>
          <w:sz w:val="19"/>
          <w:szCs w:val="19"/>
          <w:color w:val="auto"/>
        </w:rPr>
        <w:t>tier Foreign Subsidiaries, together with the assets or revenues of their Subsidiaries on a consolidated basis, with respect to which a pledge of Equity Interests of such first</w:t>
      </w:r>
      <w:r>
        <w:rPr>
          <w:rFonts w:ascii="MS PGothic" w:cs="MS PGothic" w:eastAsia="MS PGothic" w:hAnsi="MS PGothic"/>
          <w:sz w:val="19"/>
          <w:szCs w:val="19"/>
          <w:color w:val="auto"/>
        </w:rPr>
        <w:t>‑</w:t>
      </w:r>
      <w:r>
        <w:rPr>
          <w:rFonts w:ascii="Arial" w:cs="Arial" w:eastAsia="Arial" w:hAnsi="Arial"/>
          <w:sz w:val="19"/>
          <w:szCs w:val="19"/>
          <w:color w:val="auto"/>
        </w:rPr>
        <w:t>tier Foreign Subsidiaries is not provided exceed 10% of the total assets or revenues, as applicable, of the Company and its Subsidiaries on a consolidated basis.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757" w:right="239" w:bottom="1440" w:gutter="0" w:footer="0" w:header="0"/>
        </w:sectPr>
      </w:pPr>
    </w:p>
    <w:bookmarkStart w:id="147" w:name="page148"/>
    <w:bookmarkEnd w:id="147"/>
    <w:p>
      <w:pPr>
        <w:jc w:val="both"/>
        <w:ind w:firstLine="648"/>
        <w:spacing w:after="0" w:line="235"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(a) with respect to the Revolving Loans, Swing Line Loans, Letters of Credit (and the related L/C Obligations) and the Term A Loan, August 2, 2022, (b) with respect to the Term B</w:t>
      </w:r>
      <w:r>
        <w:rPr>
          <w:rFonts w:ascii="MS PGothic" w:cs="MS PGothic" w:eastAsia="MS PGothic" w:hAnsi="MS PGothic"/>
          <w:sz w:val="20"/>
          <w:szCs w:val="20"/>
          <w:color w:val="auto"/>
        </w:rPr>
        <w:t>‑</w:t>
      </w:r>
      <w:r>
        <w:rPr>
          <w:rFonts w:ascii="Arial" w:cs="Arial" w:eastAsia="Arial" w:hAnsi="Arial"/>
          <w:sz w:val="20"/>
          <w:szCs w:val="20"/>
          <w:color w:val="auto"/>
        </w:rPr>
        <w:t xml:space="preserve">3 Loan, August 2, 2024, and (c) with respect to each Incremental Term Loan, the Incremental Term Loan Maturity Date applicable to such Incremental Term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each case, if such date is not a Business Day, the Maturity Date shall be the next preceding Business Day.</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means that certain Agreement and Plan of Merger dated as of August 12, 2014 by and among the Parent, FCHC Project, Inc., Ceridian LLC and the Target.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MLPFS</w:t>
      </w:r>
      <w:r>
        <w:rPr>
          <w:rFonts w:ascii="Arial" w:cs="Arial" w:eastAsia="Arial" w:hAnsi="Arial"/>
          <w:sz w:val="20"/>
          <w:szCs w:val="20"/>
          <w:color w:val="auto"/>
        </w:rPr>
        <w:t>” means Merrill Lynch, Pierce, Fenner &amp; Smith Incorporated.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Company or any ERISA Affiliate) at least two of whom are not under common control, as such a plan is described in Section 4064 of ERISA.</w:t>
      </w:r>
    </w:p>
    <w:p>
      <w:pPr>
        <w:spacing w:after="0" w:line="17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 the aggregate cash or Cash Equivalents proceeds received by any Loan Party or any Subsidiary in respect of any Disposition, Involuntary Disposition or Debt Issuance, net of (a) direct costs incurred in connection therewith (including, without limitation, legal, accounting and investment banking fees, and sales commissions), (b) taxes paid or payable as a result thereof and (c) in the case of any Disposition or Involuntary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w:t>
      </w:r>
      <w:r>
        <w:rPr>
          <w:rFonts w:ascii="MS PGothic" w:cs="MS PGothic" w:eastAsia="MS PGothic" w:hAnsi="MS PGothic"/>
          <w:sz w:val="19"/>
          <w:szCs w:val="19"/>
          <w:color w:val="auto"/>
        </w:rPr>
        <w:t>‑</w:t>
      </w:r>
      <w:r>
        <w:rPr>
          <w:rFonts w:ascii="Arial" w:cs="Arial" w:eastAsia="Arial" w:hAnsi="Arial"/>
          <w:sz w:val="19"/>
          <w:szCs w:val="19"/>
          <w:color w:val="auto"/>
        </w:rPr>
        <w:t>cash consideration received by any Loan Party or any Subsidiary in any Disposition or Debt Issuance.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Zealand Dollar</w:t>
      </w:r>
      <w:r>
        <w:rPr>
          <w:rFonts w:ascii="Arial" w:cs="Arial" w:eastAsia="Arial" w:hAnsi="Arial"/>
          <w:sz w:val="20"/>
          <w:szCs w:val="20"/>
          <w:color w:val="auto"/>
        </w:rPr>
        <w:t>” means the lawful currency of New Zealand.</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NexTraq Disposition</w:t>
      </w:r>
      <w:r>
        <w:rPr>
          <w:rFonts w:ascii="Arial" w:cs="Arial" w:eastAsia="Arial" w:hAnsi="Arial"/>
          <w:sz w:val="18"/>
          <w:szCs w:val="18"/>
          <w:color w:val="auto"/>
        </w:rPr>
        <w:t>” means the sale, transfer or other disposition by the Company of all of the Equity Interests of Fleet Management Holding Corporation, a Delaware corporation (which owns all of the Equity Interests of Discrete Wireless, Inc., a Georgia corporation).</w:t>
      </w:r>
    </w:p>
    <w:p>
      <w:pPr>
        <w:spacing w:after="0" w:line="130"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Consenting Lender</w:t>
      </w:r>
      <w:r>
        <w:rPr>
          <w:rFonts w:ascii="Arial" w:cs="Arial" w:eastAsia="Arial" w:hAnsi="Arial"/>
          <w:sz w:val="19"/>
          <w:szCs w:val="19"/>
          <w:color w:val="auto"/>
        </w:rPr>
        <w:t xml:space="preserve">” means any Lender that does not consent to a proposed change, waiver, discharge or termination with respect to any Loan Document that (a) requires unanimous consent of all Lenders or all Lenders directly affected thereby (as applicable) in accordance with the terms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and has been approved by the Required Lenders or (b) requires the consent of only Lenders of an Affected Tranche in accordance with the terms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and has been approved by Lenders holding more than 50% of the aggregate outstanding principal amount of all Loans (and unutilized Commitments, if any) of the Affected Tranche.</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or “</w:t>
      </w:r>
      <w:r>
        <w:rPr>
          <w:rFonts w:ascii="Arial" w:cs="Arial" w:eastAsia="Arial" w:hAnsi="Arial"/>
          <w:sz w:val="20"/>
          <w:szCs w:val="20"/>
          <w:u w:val="single" w:color="auto"/>
          <w:color w:val="auto"/>
        </w:rPr>
        <w:t>Notes</w:t>
      </w:r>
      <w:r>
        <w:rPr>
          <w:rFonts w:ascii="Arial" w:cs="Arial" w:eastAsia="Arial" w:hAnsi="Arial"/>
          <w:sz w:val="20"/>
          <w:szCs w:val="20"/>
          <w:color w:val="auto"/>
        </w:rPr>
        <w:t>” means the Revolving Notes, the Swing Line Note, the Term Notes and/or the Incremental Term Notes, individually or collectively, as appropriate.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1F497D"/>
        </w:rPr>
        <w:t>“</w:t>
      </w:r>
      <w:r>
        <w:rPr>
          <w:rFonts w:ascii="Arial" w:cs="Arial" w:eastAsia="Arial" w:hAnsi="Arial"/>
          <w:sz w:val="20"/>
          <w:szCs w:val="20"/>
          <w:u w:val="single" w:color="auto"/>
          <w:color w:val="000000"/>
        </w:rPr>
        <w:t>Notice of Loan Prepayment</w:t>
      </w:r>
      <w:r>
        <w:rPr>
          <w:rFonts w:ascii="Arial" w:cs="Arial" w:eastAsia="Arial" w:hAnsi="Arial"/>
          <w:sz w:val="20"/>
          <w:szCs w:val="20"/>
          <w:color w:val="000000"/>
        </w:rPr>
        <w:t>” means a notice of prepayment with respect to a Loan, which shall be substantially in the form of</w:t>
      </w:r>
      <w:r>
        <w:rPr>
          <w:rFonts w:ascii="Arial" w:cs="Arial" w:eastAsia="Arial" w:hAnsi="Arial"/>
          <w:sz w:val="20"/>
          <w:szCs w:val="20"/>
          <w:color w:val="1F497D"/>
        </w:rPr>
        <w:t xml:space="preserve"> </w:t>
      </w:r>
      <w:r>
        <w:rPr>
          <w:rFonts w:ascii="Arial" w:cs="Arial" w:eastAsia="Arial" w:hAnsi="Arial"/>
          <w:sz w:val="20"/>
          <w:szCs w:val="20"/>
          <w:u w:val="single" w:color="auto"/>
          <w:color w:val="000000"/>
        </w:rPr>
        <w:t>Exhibit O</w:t>
      </w:r>
      <w:r>
        <w:rPr>
          <w:rFonts w:ascii="Arial" w:cs="Arial" w:eastAsia="Arial" w:hAnsi="Arial"/>
          <w:sz w:val="20"/>
          <w:szCs w:val="20"/>
          <w:color w:val="000000"/>
        </w:rPr>
        <w:t xml:space="preserve"> or such other form as may be approved by the Administrative Agent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757" w:right="239" w:bottom="1440" w:gutter="0" w:footer="0" w:header="0"/>
        </w:sectPr>
      </w:pPr>
    </w:p>
    <w:bookmarkStart w:id="148" w:name="page149"/>
    <w:bookmarkEnd w:id="148"/>
    <w:p>
      <w:pPr>
        <w:jc w:val="both"/>
        <w:spacing w:after="0" w:line="260" w:lineRule="auto"/>
        <w:rPr>
          <w:sz w:val="20"/>
          <w:szCs w:val="20"/>
          <w:color w:val="auto"/>
        </w:rPr>
      </w:pPr>
      <w:r>
        <w:rPr>
          <w:rFonts w:ascii="Arial" w:cs="Arial" w:eastAsia="Arial" w:hAnsi="Arial"/>
          <w:sz w:val="20"/>
          <w:szCs w:val="20"/>
          <w:color w:val="auto"/>
        </w:rPr>
        <w:t>(including any form on an electronic platform or electronic transmission system as shall be approved by the Administrative Agent), appropriately completed and signed by a Responsible Officer of the Company or other applicable Borrower.</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Swap Contract between any Loan Party (other than any Designated Borrower) and any Swap Bank that is permitted to be incurred pursuant to </w:t>
      </w:r>
      <w:r>
        <w:rPr>
          <w:rFonts w:ascii="Arial" w:cs="Arial" w:eastAsia="Arial" w:hAnsi="Arial"/>
          <w:sz w:val="19"/>
          <w:szCs w:val="19"/>
          <w:u w:val="single" w:color="auto"/>
          <w:color w:val="auto"/>
        </w:rPr>
        <w:t>Section 8.03(d)</w:t>
      </w:r>
      <w:r>
        <w:rPr>
          <w:rFonts w:ascii="Arial" w:cs="Arial" w:eastAsia="Arial" w:hAnsi="Arial"/>
          <w:sz w:val="19"/>
          <w:szCs w:val="19"/>
          <w:color w:val="auto"/>
        </w:rPr>
        <w:t xml:space="preserve"> and (b) all obligations under any Treasury Management Agreement between any Loan Party (other than any Designated Borrower) and any Treasury Management Bank. Notwithstanding the foregoing, the Obligations of a Guarantor shall exclude any Excluded Swap Obligations with respect to such Guarantor.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(a) with respect to any corporation, the certificate or articles of incorporation and the bylaws (or equivalent or comparable constitutive documents with respect to any non</w:t>
      </w:r>
      <w:r>
        <w:rPr>
          <w:rFonts w:ascii="MS PGothic" w:cs="MS PGothic" w:eastAsia="MS PGothic" w:hAnsi="MS PGothic"/>
          <w:sz w:val="19"/>
          <w:szCs w:val="19"/>
          <w:color w:val="auto"/>
        </w:rPr>
        <w:t>‑</w:t>
      </w:r>
      <w:r>
        <w:rPr>
          <w:rFonts w:ascii="Arial" w:cs="Arial" w:eastAsia="Arial" w:hAnsi="Arial"/>
          <w:sz w:val="19"/>
          <w:szCs w:val="19"/>
          <w:color w:val="auto"/>
        </w:rPr>
        <w:t>U.S. jurisdiction); (b) with respect to any limited liability company, the certificate or articles of formation or organization and operating agreement or limited liability company agreement (or equivalent or comparable documents with respect to any non</w:t>
      </w:r>
      <w:r>
        <w:rPr>
          <w:rFonts w:ascii="MS PGothic" w:cs="MS PGothic" w:eastAsia="MS PGothic" w:hAnsi="MS PGothic"/>
          <w:sz w:val="19"/>
          <w:szCs w:val="19"/>
          <w:color w:val="auto"/>
        </w:rPr>
        <w:t>‑</w:t>
      </w:r>
      <w:r>
        <w:rPr>
          <w:rFonts w:ascii="Arial" w:cs="Arial" w:eastAsia="Arial" w:hAnsi="Arial"/>
          <w:sz w:val="19"/>
          <w:szCs w:val="19"/>
          <w:color w:val="auto"/>
        </w:rPr>
        <w:t>U.S. jurisdiction); (c) with respect to any partnership, joint venture, trust or other form of business entity, the partnership, joint venture or other applicable agreement of formation or organization (or equivalent or comparable documents with respect to any non</w:t>
      </w:r>
      <w:r>
        <w:rPr>
          <w:rFonts w:ascii="MS PGothic" w:cs="MS PGothic" w:eastAsia="MS PGothic" w:hAnsi="MS PGothic"/>
          <w:sz w:val="19"/>
          <w:szCs w:val="19"/>
          <w:color w:val="auto"/>
        </w:rPr>
        <w:t>‑</w:t>
      </w:r>
      <w:r>
        <w:rPr>
          <w:rFonts w:ascii="Arial" w:cs="Arial" w:eastAsia="Arial" w:hAnsi="Arial"/>
          <w:sz w:val="19"/>
          <w:szCs w:val="19"/>
          <w:color w:val="auto"/>
        </w:rPr>
        <w:t>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w:t>
      </w:r>
      <w:r>
        <w:rPr>
          <w:rFonts w:ascii="MS PGothic" w:cs="MS PGothic" w:eastAsia="MS PGothic" w:hAnsi="MS PGothic"/>
          <w:sz w:val="19"/>
          <w:szCs w:val="19"/>
          <w:color w:val="auto"/>
        </w:rPr>
        <w:t>‑</w:t>
      </w:r>
      <w:r>
        <w:rPr>
          <w:rFonts w:ascii="Arial" w:cs="Arial" w:eastAsia="Arial" w:hAnsi="Arial"/>
          <w:sz w:val="19"/>
          <w:szCs w:val="19"/>
          <w:color w:val="auto"/>
        </w:rPr>
        <w:t>U.S. jurisdiction).</w:t>
      </w:r>
    </w:p>
    <w:p>
      <w:pPr>
        <w:spacing w:after="0" w:line="19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any Loans on any date, the Dollar Equivalent amount of the aggregate outstanding principal amount thereof after giving effect to any borrowings and prepayments or repayments of any Loans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(b) with respect to any amount denominated in an Alternative Currency, the greater of</w:t>
      </w:r>
    </w:p>
    <w:p>
      <w:pPr>
        <w:spacing w:after="0" w:line="1" w:lineRule="exact"/>
        <w:rPr>
          <w:sz w:val="20"/>
          <w:szCs w:val="20"/>
          <w:color w:val="auto"/>
        </w:rPr>
      </w:pPr>
    </w:p>
    <w:p>
      <w:pPr>
        <w:ind w:firstLine="8"/>
        <w:spacing w:after="0" w:line="244" w:lineRule="auto"/>
        <w:tabs>
          <w:tab w:leader="none" w:pos="241"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 overnight rate determined by the Administrative Agent, the L/C Issuer or the Swing Line Lender, as the case may be, in accordance with banking industry rules on interbank compensation or (ii) the rate of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757" w:right="239" w:bottom="1440" w:gutter="0" w:footer="0" w:header="0"/>
        </w:sectPr>
      </w:pPr>
    </w:p>
    <w:bookmarkStart w:id="149" w:name="page150"/>
    <w:bookmarkEnd w:id="149"/>
    <w:p>
      <w:pPr>
        <w:jc w:val="both"/>
        <w:spacing w:after="0" w:line="273" w:lineRule="auto"/>
        <w:rPr>
          <w:sz w:val="20"/>
          <w:szCs w:val="20"/>
          <w:color w:val="auto"/>
        </w:rPr>
      </w:pPr>
      <w:r>
        <w:rPr>
          <w:rFonts w:ascii="Arial" w:cs="Arial" w:eastAsia="Arial" w:hAnsi="Arial"/>
          <w:sz w:val="18"/>
          <w:szCs w:val="18"/>
          <w:color w:val="auto"/>
        </w:rPr>
        <w:t>interest per annum at which overnight deposits in the applicable Alternative Currency, in an amount approximately equal to the amount with respect to which such rate is being determined, would be offered for such day by a branch or Affiliate of the Administrative Agent, the L/C Issuer or the Swing Line Lender, as the case may be, in the applicable offshore interbank market for such currency to major banks in such interbank market; and (c) with respect to any amount denominated in Australian Dollars or New Zealand Dollars, the greater of (i) an overnight rate determined by the Administrative Agent in accordance with banking industry rules on interbank compensation or (ii) the rate of interest per annum at which overnight deposits in Australian Dollars or New Zealand Dollars, as applicable,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has the Euro as its lawful currency in accordance with legislation of the European Union relating to Economic and Monetary Union.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thereto.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Funding Rules</w:t>
      </w:r>
      <w:r>
        <w:rPr>
          <w:rFonts w:ascii="Arial" w:cs="Arial" w:eastAsia="Arial" w:hAnsi="Arial"/>
          <w:sz w:val="19"/>
          <w:szCs w:val="19"/>
          <w:color w:val="auto"/>
        </w:rPr>
        <w:t>” 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 412, 430, 431, 432 and 436 of the Internal Revenue Code and Sections 302, 303, 304 and 305 of ERISA.</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Company and any ERISA Affiliate and is either covered by Title IV of ERISA or is subject to minimum funding standards under Section 412 of the Internal Revenue Code.</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Acquisitions</w:t>
      </w:r>
      <w:r>
        <w:rPr>
          <w:rFonts w:ascii="Arial" w:cs="Arial" w:eastAsia="Arial" w:hAnsi="Arial"/>
          <w:sz w:val="19"/>
          <w:szCs w:val="19"/>
          <w:color w:val="auto"/>
        </w:rPr>
        <w:t xml:space="preserve">” means Investments consisting of an Acquisition by the Parent or any Subsidiary, in each case, other than Private Label Credit Card Expenditures,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shall have occurred and be continuing or would result from such Acquisition, (ii) the property acquired (or the property of the Person acquired) in such Acquisition is used or useful in the same or a similar, related or complementary line of business as the Parent and its Subsidiaries were engaged in on the Third Amendment Effective Date (or any reasonable extensions or expansions thereof), (iii) the Administrative Agent shall have received all items in respect of the Person and/or property acquired in such Acquisition required to be delivered by the terms of </w:t>
      </w:r>
      <w:r>
        <w:rPr>
          <w:rFonts w:ascii="Arial" w:cs="Arial" w:eastAsia="Arial" w:hAnsi="Arial"/>
          <w:sz w:val="19"/>
          <w:szCs w:val="19"/>
          <w:u w:val="single" w:color="auto"/>
          <w:color w:val="auto"/>
        </w:rPr>
        <w:t>Section 7.12(a)</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(iv) in the case of an Acquisition of the Equity Interests of another Person, the board of directors (or other comparable governing body) of such other Person shall have duly approved such Acquisition, (v) the Parent shall have delivered to the Administrative Agent a Pro Forma Compliance Certificate demonstrating that, upon giving effect to such Acquisition on a Pro Forma Basis, the Loan Parties would be in compliance with the financial covenants set forth in </w:t>
      </w:r>
      <w:r>
        <w:rPr>
          <w:rFonts w:ascii="Arial" w:cs="Arial" w:eastAsia="Arial" w:hAnsi="Arial"/>
          <w:sz w:val="19"/>
          <w:szCs w:val="19"/>
          <w:u w:val="single" w:color="auto"/>
          <w:color w:val="auto"/>
        </w:rPr>
        <w:t>Section 8.11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757" w:right="239" w:bottom="1440" w:gutter="0" w:footer="0" w:header="0"/>
        </w:sectPr>
      </w:pPr>
    </w:p>
    <w:bookmarkStart w:id="150" w:name="page151"/>
    <w:bookmarkEnd w:id="150"/>
    <w:p>
      <w:pPr>
        <w:jc w:val="both"/>
        <w:spacing w:after="0" w:line="276" w:lineRule="auto"/>
        <w:rPr>
          <w:sz w:val="20"/>
          <w:szCs w:val="20"/>
          <w:color w:val="auto"/>
        </w:rPr>
      </w:pPr>
      <w:r>
        <w:rPr>
          <w:rFonts w:ascii="Arial" w:cs="Arial" w:eastAsia="Arial" w:hAnsi="Arial"/>
          <w:sz w:val="18"/>
          <w:szCs w:val="18"/>
          <w:color w:val="auto"/>
        </w:rPr>
        <w:t xml:space="preserve">as of the most recent fiscal quarter for which the Parent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(vi) if the total aggregate consideration paid for such Acquisition equals or exceeds $250,000,000, the Parent shall have delivered to the Administrative Agent pro forma financial statements for the Parent and its Subsidiaries after giving effect to such Acquisition for the twelve month period ending as of the most recent fiscal quarter in a form satisfactory to the Administrative Agent, and (vii)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First Priority Refinancing Indebtedness</w:t>
      </w:r>
      <w:r>
        <w:rPr>
          <w:rFonts w:ascii="Arial" w:cs="Arial" w:eastAsia="Arial" w:hAnsi="Arial"/>
          <w:sz w:val="20"/>
          <w:szCs w:val="20"/>
          <w:color w:val="auto"/>
        </w:rPr>
        <w:t xml:space="preserve">” means any secured Indebtedness incurred by the Company in the form of one or more series of senior secured notes that are secured by a Lien ranking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to the Lien securing the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constitutes Refinancing Indebtedness.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means any of Summit Partners, Bain Capital LLC, and their respective Affiliates.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xml:space="preserve">” means, at any time, Investments by any Loan Party or any of its Subsidiaries not prohibited at such time pursuant to the terms of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Junior Priority Refinancing Indebtedness</w:t>
      </w:r>
      <w:r>
        <w:rPr>
          <w:rFonts w:ascii="Arial" w:cs="Arial" w:eastAsia="Arial" w:hAnsi="Arial"/>
          <w:sz w:val="20"/>
          <w:szCs w:val="20"/>
          <w:color w:val="auto"/>
        </w:rPr>
        <w:t xml:space="preserve">” secured Indebtedness incurred by the Company in the form of one or more series of second lien (or other junior lien) secured notes that are secured by a Lien ranking junior to the Lien securing the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constitutes Refinancing Indebtedness.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at any time, Liens in respect of property of any Loan Party or any of its Subsidiaries not prohibited at such time pursuant to the terms of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Unsecured Refinancing Indebtedness</w:t>
      </w:r>
      <w:r>
        <w:rPr>
          <w:rFonts w:ascii="Arial" w:cs="Arial" w:eastAsia="Arial" w:hAnsi="Arial"/>
          <w:sz w:val="20"/>
          <w:szCs w:val="20"/>
          <w:color w:val="auto"/>
        </w:rPr>
        <w:t xml:space="preserve">” means unsecured Indebtedness incurred by the Company in the form of one or more series of senior unsecured notes;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constitutes Refinancing Indebtedness.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Private Label Credit Card Expenditures</w:t>
      </w:r>
      <w:r>
        <w:rPr>
          <w:rFonts w:ascii="Arial" w:cs="Arial" w:eastAsia="Arial" w:hAnsi="Arial"/>
          <w:sz w:val="20"/>
          <w:szCs w:val="20"/>
          <w:color w:val="auto"/>
        </w:rPr>
        <w:t>” means any expenditures by a Loan Party or its Subsidiaries in connection with the acquisition or establishment of any private label credit card program.</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xml:space="preserve">” means, for purposes of calculating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(including for purposes of determining the Applicable Rate), that any Disposition, Involuntary Disposition, Acquisition or Restricted Payment shall be deemed to have occurred as of the first day of the most recent four fiscal quarter period preceding the date of such transaction for which the Parent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In connection with the foregoing, (i)(a) with respect to any Disposition or Involuntary Disposition, income statement and cash flow statement items (whether positive or negative) attributable to the Person or property disposed of shall be excluded to the extent relating to any period occurring prior to the date of such transaction and (b) with respect to any Acquisition, income statement items (whether positive or negative) attributable to the Person or property acquired shall be included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757" w:right="239" w:bottom="1440" w:gutter="0" w:footer="0" w:header="0"/>
        </w:sectPr>
      </w:pPr>
    </w:p>
    <w:bookmarkStart w:id="151" w:name="page152"/>
    <w:bookmarkEnd w:id="151"/>
    <w:p>
      <w:pPr>
        <w:jc w:val="both"/>
        <w:spacing w:after="0" w:line="258" w:lineRule="auto"/>
        <w:rPr>
          <w:sz w:val="20"/>
          <w:szCs w:val="20"/>
          <w:color w:val="auto"/>
        </w:rPr>
      </w:pPr>
      <w:r>
        <w:rPr>
          <w:rFonts w:ascii="Arial" w:cs="Arial" w:eastAsia="Arial" w:hAnsi="Arial"/>
          <w:sz w:val="19"/>
          <w:szCs w:val="19"/>
          <w:color w:val="auto"/>
        </w:rPr>
        <w:t xml:space="preserve">to the extent relating to any period applicable in such calculations to the extent (A) such items are not otherwise included in such income statement items for the Parent and its Subsidiaries in accordance with GAAP or in accordance with any defined terms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(B) such items are supported by financial statements or other information satisfactory to the Administrative Agent and (ii) any Indebtedness incurred or assumed by the Parent or any Subsidiary (including the Person or property acquired)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Compliance Certificate</w:t>
      </w:r>
      <w:r>
        <w:rPr>
          <w:rFonts w:ascii="Arial" w:cs="Arial" w:eastAsia="Arial" w:hAnsi="Arial"/>
          <w:sz w:val="18"/>
          <w:szCs w:val="18"/>
          <w:color w:val="auto"/>
        </w:rPr>
        <w:t xml:space="preserve">” means a certificate of a Responsible Officer of the Parent containing reasonably detailed calculations of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as of the most recent fiscal quarter end for which the Parent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after giving effect to the applicable transaction on a Pro Forma Basis.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means, at any time, the Company and each Guarantor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 Determination Date</w:t>
      </w:r>
      <w:r>
        <w:rPr>
          <w:rFonts w:ascii="Arial" w:cs="Arial" w:eastAsia="Arial" w:hAnsi="Arial"/>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w:t>
      </w:r>
      <w:r>
        <w:rPr>
          <w:rFonts w:ascii="Arial" w:cs="Arial" w:eastAsia="Arial" w:hAnsi="Arial"/>
          <w:sz w:val="18"/>
          <w:szCs w:val="18"/>
          <w:color w:val="auto"/>
        </w:rPr>
        <w:t>” means, collectively, ratings (i) for each of the credit facilities under this Agreement from each of Moody’s and S&amp;P and (ii) a public corporate credit rating and public corporate family rating from Moody’s and S&amp;P in respect of the Parent after giving effect to the Comdata Acquisition, the Borrowings hereunder and the other transactions contemplated by this Agreement and the Merger Agreement.</w:t>
      </w:r>
    </w:p>
    <w:p>
      <w:pPr>
        <w:spacing w:after="0" w:line="15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Facility</w:t>
      </w:r>
      <w:r>
        <w:rPr>
          <w:rFonts w:ascii="Arial" w:cs="Arial" w:eastAsia="Arial" w:hAnsi="Arial"/>
          <w:sz w:val="18"/>
          <w:szCs w:val="18"/>
          <w:color w:val="auto"/>
        </w:rPr>
        <w:t>” means, collectively, with respect to any Person, (a) any financing transaction or series of financing transactions pursuant to which such Person or any Subsidiary of such Person may sell, convey or otherwise transfer, or grant a security interest in, accounts, payments, payment intangibles, receivables, rights to future lease payments or residuals or similar rights to payment and related assets (i) to a special purpose subsidiary or affiliate of such Person; (ii) as security for a credit agreement or other borrowing arrangement of one or more Foreign Subsidiaries, if such assets so sold, conveyed, transferred or encumbered are assets of one or more Foreign Subsidiaries; or (iii) that is a factoring arrangement, and (b) each trade receivables commercial paper, co</w:t>
      </w:r>
      <w:r>
        <w:rPr>
          <w:rFonts w:ascii="MS PGothic" w:cs="MS PGothic" w:eastAsia="MS PGothic" w:hAnsi="MS PGothic"/>
          <w:sz w:val="18"/>
          <w:szCs w:val="18"/>
          <w:color w:val="auto"/>
        </w:rPr>
        <w:t>‑</w:t>
      </w:r>
      <w:r>
        <w:rPr>
          <w:rFonts w:ascii="Arial" w:cs="Arial" w:eastAsia="Arial" w:hAnsi="Arial"/>
          <w:sz w:val="18"/>
          <w:szCs w:val="18"/>
          <w:color w:val="auto"/>
        </w:rPr>
        <w:t>purchase conduit facility or other receivables facility pursuant to which the Parent or any of its Subsidiaries sells or contributes accounts, payments, payment intangibles, receivables, rights to future lease payments or residuals or similar rights to payment and related assets to FleetCor Funding LLC or to any other Subsidiary of the Parent formed as a special purpose entity in connection with any such transaction.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Debt</w:t>
      </w:r>
      <w:r>
        <w:rPr>
          <w:rFonts w:ascii="Arial" w:cs="Arial" w:eastAsia="Arial" w:hAnsi="Arial"/>
          <w:sz w:val="20"/>
          <w:szCs w:val="20"/>
          <w:color w:val="auto"/>
        </w:rPr>
        <w:t>” has the meaning specified in the definition of “Refinancing Indebtedness”.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757" w:right="239" w:bottom="1440" w:gutter="0" w:footer="0" w:header="0"/>
        </w:sectPr>
      </w:pPr>
    </w:p>
    <w:bookmarkStart w:id="152" w:name="page153"/>
    <w:bookmarkEnd w:id="152"/>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xml:space="preserve">” means an amendment to this Agreement entered into in connection with the incurrence of any Refinancing Indebtedness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and executed by each of (a) the Company, (b) the Administrative Agent, and (c) each lender providing such Refinancing Indebtedness.</w:t>
      </w:r>
    </w:p>
    <w:p>
      <w:pPr>
        <w:spacing w:after="0" w:line="18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means any (a) Indebtedness of the Company structured as one or more tranches of term loans under this Agreement, (b) Permitted First Priority Refinancing Indebtedness, (c) Permitted Junior Priority Refinancing Indebtedness, or (d) Permitted Unsecured Refinancing Indebtedness, in each case, issued, incurred or otherwise obtained in exchange for, or to extend, renew, replace, repurchase, retire or refinance, in whole or part, any existing Term Loans and/or any existing Incremental Term Loans (such existing Indebtedness, the “</w:t>
      </w:r>
      <w:r>
        <w:rPr>
          <w:rFonts w:ascii="Arial" w:cs="Arial" w:eastAsia="Arial" w:hAnsi="Arial"/>
          <w:sz w:val="18"/>
          <w:szCs w:val="18"/>
          <w:u w:val="single" w:color="auto"/>
          <w:color w:val="auto"/>
        </w:rPr>
        <w:t>Refinanced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with respect to any Permitted First Priority Refinancing Indebtedness or any Permitted Junior Priority Refinancing Indebtedness, such Permitted First Priority Refinancing Indebtedness or such Permitted Junior Priority Refinancing Indebtedness shall be subject to an intercreditor agreement on terms and conditions reasonably satisfactory to the Administrative Agent, (ii) the final maturity date of any such Refinancing Indebtedness shall be no earlier than the Maturity Date of the Refinanced Debt, (iii) the Weighted Average Life to Maturity of any such Refinancing Indebtedness shall be no shorter than the remaining Weighted Average Life to Maturity of the Refinanced Debt, (iv) any such Refinancing Indebtedness shall not have mandatory redemption, repurchase, prepayment or sinking fund obligations (except for customary asset sale, insurance, condemnation proceedings events or change of control provisions that provide for the prior repayment in full of such Refinancing Indebtedness) that would result in any redemption, repurchase, prepayment or sinking fund obligations with respect to such Refinancing Indebtedness prior to the Maturity Date with respect to the Refinanced Debt, (v) the aggregate principal amount of any such Refinancing Indebtedness shall not be greater than the aggregate principal amount of the Refinanced Debt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fees, premiums, original issue discount, and accrued interest associated therewith and costs and expenses related thereto, (vi) simultaneously upon the borrowing of any such Refinancing Indebtedness, the outstanding principal amount of the Refinanced Debt shall be automatically and permanently reduced in an aggregate amount equal to the principal amount of such Refinancing Indebtedness (net of (A) the portion of such Refinancing Indebtedness incurred to finance fees, original issue discount, costs and expenses related to such Refinancing Indebtedness and (B) the portion of such Refinancing Indebtedness incurred to pay interest, fees and expenses accrued in respect of such Refinanced Debt), (vii) the Refinancing Indebtedness, to the extent secured, shall not be secured by any Lien on any asset that does not constitute Collateral, (viii) there shall be no guarantors with respect to such Refinancing Indebtedness that are not Guarantors, (ix) all other terms and conditions applicable to any such Refinancing Indebtedness are (taken as a whole) no more favorable to the lenders providing such Refinancing Indebtedness than those applicable to the Refinanced Debt (taken as a whole) (except for (A) covenants or other provisions (1) applicable only to periods after the latest Maturity Date existing at the time of such Refinancing Indebtedness is incurred, or (2) that are added for the benefit of the Administrative Agent and the Lenders under this Agreement, or (B) customary “MFN” protection and call protection, in each case, which may be applicable solely with respect to any Refinancing Indebtedness to the extent required by the lenders providing such Refinancing Indebtedness), (x) no Default shall have occurred and be continuing or would result from the incurrence of such Refinancing Indebtedness, (xi) at least five (5) Business Days prior to the incurrence of any such Refinancing Indebtedness (or such shorter period of time as is agreed by the Administrative Agent in its sole discretion), the Company shall deliver to the Administrative Agent a certificate of a Responsible Officer, together with a reasonably detailed description of the material terms and conditions of such Refinancing Indebtedness or drafts of the documentation relating thereto, certifying that the terms and conditions specified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above in this definition applicable to such Refinancing Indebtedness have been satisfied, and (xii) no existing Lender shall be under any obligation to provide all or any portion of such Refinancing Indebtedness and any such decision whether to provide all or any portion of such Refinancing Indebtedness shall be in such Lender’s sole and absolute discretion.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757" w:right="239" w:bottom="1440" w:gutter="0" w:footer="0" w:header="0"/>
        </w:sectPr>
      </w:pPr>
    </w:p>
    <w:bookmarkStart w:id="153" w:name="page154"/>
    <w:bookmarkEnd w:id="15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jc w:val="both"/>
        <w:ind w:firstLine="648"/>
        <w:spacing w:after="0" w:line="24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w:t>
      </w:r>
      <w:r>
        <w:rPr>
          <w:rFonts w:ascii="MS PGothic" w:cs="MS PGothic" w:eastAsia="MS PGothic" w:hAnsi="MS PGothic"/>
          <w:sz w:val="20"/>
          <w:szCs w:val="20"/>
          <w:color w:val="auto"/>
        </w:rPr>
        <w:t>‑</w:t>
      </w:r>
      <w:r>
        <w:rPr>
          <w:rFonts w:ascii="Arial" w:cs="Arial" w:eastAsia="Arial" w:hAnsi="Arial"/>
          <w:sz w:val="20"/>
          <w:szCs w:val="20"/>
          <w:color w:val="auto"/>
        </w:rPr>
        <w:t>day notice period has been waived.</w:t>
      </w:r>
    </w:p>
    <w:p>
      <w:pPr>
        <w:spacing w:after="0" w:line="19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means (a) any prepayment or repayment of the Term B</w:t>
      </w:r>
      <w:r>
        <w:rPr>
          <w:rFonts w:ascii="MS PGothic" w:cs="MS PGothic" w:eastAsia="MS PGothic" w:hAnsi="MS PGothic"/>
          <w:sz w:val="18"/>
          <w:szCs w:val="18"/>
          <w:color w:val="auto"/>
        </w:rPr>
        <w:t>‑</w:t>
      </w:r>
      <w:r>
        <w:rPr>
          <w:rFonts w:ascii="Arial" w:cs="Arial" w:eastAsia="Arial" w:hAnsi="Arial"/>
          <w:sz w:val="18"/>
          <w:szCs w:val="18"/>
          <w:color w:val="auto"/>
        </w:rPr>
        <w:t>3 Loan, in whole or in part, with the proceeds of any new or replacement tranche of loans (including by way of conversion by a Lender of its portion of the Term B</w:t>
      </w:r>
      <w:r>
        <w:rPr>
          <w:rFonts w:ascii="MS PGothic" w:cs="MS PGothic" w:eastAsia="MS PGothic" w:hAnsi="MS PGothic"/>
          <w:sz w:val="18"/>
          <w:szCs w:val="18"/>
          <w:color w:val="auto"/>
        </w:rPr>
        <w:t>‑</w:t>
      </w:r>
      <w:r>
        <w:rPr>
          <w:rFonts w:ascii="Arial" w:cs="Arial" w:eastAsia="Arial" w:hAnsi="Arial"/>
          <w:sz w:val="18"/>
          <w:szCs w:val="18"/>
          <w:color w:val="auto"/>
        </w:rPr>
        <w:t xml:space="preserve">3 Loan into new term loans or pursuant to an amendment to this Agreement) incurred by the Parent or any of its Subsidiaries for which the interest rate payable thereon is lower than Eurocurrency Rate on the date of such prepayment or repayment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then in effect for the Term B</w:t>
      </w:r>
      <w:r>
        <w:rPr>
          <w:rFonts w:ascii="MS PGothic" w:cs="MS PGothic" w:eastAsia="MS PGothic" w:hAnsi="MS PGothic"/>
          <w:sz w:val="18"/>
          <w:szCs w:val="18"/>
          <w:color w:val="auto"/>
        </w:rPr>
        <w:t>‑</w:t>
      </w:r>
      <w:r>
        <w:rPr>
          <w:rFonts w:ascii="Arial" w:cs="Arial" w:eastAsia="Arial" w:hAnsi="Arial"/>
          <w:sz w:val="18"/>
          <w:szCs w:val="18"/>
          <w:color w:val="auto"/>
        </w:rPr>
        <w:t>3 Loan or</w:t>
      </w:r>
    </w:p>
    <w:p>
      <w:pPr>
        <w:spacing w:after="0" w:line="3" w:lineRule="exact"/>
        <w:rPr>
          <w:sz w:val="20"/>
          <w:szCs w:val="20"/>
          <w:color w:val="auto"/>
        </w:rPr>
      </w:pPr>
    </w:p>
    <w:p>
      <w:pPr>
        <w:ind w:right="20" w:firstLine="8"/>
        <w:spacing w:after="0" w:line="232" w:lineRule="exact"/>
        <w:tabs>
          <w:tab w:leader="none" w:pos="283"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amendment to this Agreement that reduces the interest rate applicable to the Term B</w:t>
      </w:r>
      <w:r>
        <w:rPr>
          <w:rFonts w:ascii="MS PGothic" w:cs="MS PGothic" w:eastAsia="MS PGothic" w:hAnsi="MS PGothic"/>
          <w:sz w:val="20"/>
          <w:szCs w:val="20"/>
          <w:color w:val="auto"/>
        </w:rPr>
        <w:t>‑</w:t>
      </w:r>
      <w:r>
        <w:rPr>
          <w:rFonts w:ascii="Arial" w:cs="Arial" w:eastAsia="Arial" w:hAnsi="Arial"/>
          <w:sz w:val="20"/>
          <w:szCs w:val="20"/>
          <w:color w:val="auto"/>
        </w:rPr>
        <w:t>3 Loan. A prepayment or repayment in connection with a transaction that would be a Change of Control shall not be a Repricing Transaction.</w:t>
      </w:r>
    </w:p>
    <w:p>
      <w:pPr>
        <w:spacing w:after="0" w:line="19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3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at any time, Lenders holding in the aggregate more than 50% of (a) the unfunded Commitments, the outstanding Loans and participation interests in outstanding Swing Line Loans and L/C Obligations or (b) if the Commitments have been terminated, the outstanding Loans and participation interests in outstanding Swing Line Loans and L/C Obligations. The unfunded Commitments of, and the outstanding Loans, L/C Obligations and participations therein held or deemed held by, any Defaulting Lender shall be disregarded for purposes of making a determination of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Pro Rata Facilities Lenders</w:t>
      </w:r>
      <w:r>
        <w:rPr>
          <w:rFonts w:ascii="Arial" w:cs="Arial" w:eastAsia="Arial" w:hAnsi="Arial"/>
          <w:sz w:val="20"/>
          <w:szCs w:val="20"/>
          <w:color w:val="auto"/>
        </w:rPr>
        <w:t xml:space="preserve">” means, at any time, Lenders holding in the aggregate more than 50% of the sum of (a) the Aggregate Revolving Commitments at such time (or, if the Aggregate Revolving Commitments have been terminated, the aggregate outstanding Revolving Loans and participation interests in outstanding Swing Line Loans and L/C Obligations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unfunded Term A Loan Commitments and the aggregate outstanding Term A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aggregate outstanding Incremental Term A Loans at such time. The Revolving Commitments, Revolving Loans, participation interests in Swing Line Loans and L/C Obligations, Term A Loan Commitments, Term A Loan and Incremental Term A Loans held or deemed held by any Defaulting Lender shall be disregarded in determining Required Pro Rata Facilities Lenders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participation interest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vice president, chief financial officer, treasurer, assistant treasurer or controller of a Loan Party or, in the case of a Designated Borrower only, one or two directors (as required by such applicable jurisdiction), a manager, or a director and company secretary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or employee of the applicable Loan Party so designated by any of the foregoing officers in a notice to the Administrative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758" w:right="239" w:bottom="1440" w:gutter="0" w:footer="0" w:header="0"/>
        </w:sectPr>
      </w:pPr>
    </w:p>
    <w:bookmarkStart w:id="154" w:name="page155"/>
    <w:bookmarkEnd w:id="154"/>
    <w:p>
      <w:pPr>
        <w:jc w:val="both"/>
        <w:spacing w:after="0" w:line="243" w:lineRule="auto"/>
        <w:rPr>
          <w:sz w:val="20"/>
          <w:szCs w:val="20"/>
          <w:color w:val="auto"/>
        </w:rPr>
      </w:pPr>
      <w:r>
        <w:rPr>
          <w:rFonts w:ascii="Arial" w:cs="Arial" w:eastAsia="Arial" w:hAnsi="Arial"/>
          <w:sz w:val="20"/>
          <w:szCs w:val="20"/>
          <w:color w:val="auto"/>
        </w:rPr>
        <w:t xml:space="preserve">Agent or any other officer or employee of the applicable Loan Party designated in or pursuant to an agreement between the applicable Loan Party and the Administrative Agent and, solely for purposes of the delivery of certificates pursuant to </w:t>
      </w:r>
      <w:r>
        <w:rPr>
          <w:rFonts w:ascii="Arial" w:cs="Arial" w:eastAsia="Arial" w:hAnsi="Arial"/>
          <w:sz w:val="20"/>
          <w:szCs w:val="20"/>
          <w:u w:val="single" w:color="auto"/>
          <w:color w:val="auto"/>
        </w:rPr>
        <w:t>Sections 5.02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7.12(a)(ii)</w:t>
      </w:r>
      <w:r>
        <w:rPr>
          <w:rFonts w:ascii="Arial" w:cs="Arial" w:eastAsia="Arial" w:hAnsi="Arial"/>
          <w:sz w:val="20"/>
          <w:szCs w:val="20"/>
          <w:color w:val="auto"/>
        </w:rPr>
        <w:t>, the secretary or any assistant secretary of a Loan Party or, in the case of a Designated Borrower only, a director or a company secretary.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Interests of any Loan Party or any Subsidiary, or any payment (whether in cash, securities or other property), including any sinking fund or similar deposit, on account of the purchase, redemption, retirement, acquisition, cancellation or termination of any such Equity Interests or on account of any return of capital to the Parent’s stockholders, partners or members (or the equivalent Person thereof), or any setting apart of funds or property for any of the foregoing.</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Australian Dollars or New Zealand Dollars, (ii) each date of a continuation of a Eurocurrency Rate Loan denominated in an Alternative Currency, Australian Dollars or New Zealand Dollars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determine or the Required Pro Rata Facilities Lenders shall require; and (b) with respect to any Letter of Credit, each of the following: (i) each date of issuance of a Letter of Credit denominated in an Alternative Currency, Australian Dollars or New Zealand Dollars, (ii) each date of an amendment of any such Letter of Credit having the effect of increasing the amount thereof,</w:t>
      </w:r>
    </w:p>
    <w:p>
      <w:pPr>
        <w:spacing w:after="0" w:line="2" w:lineRule="exact"/>
        <w:rPr>
          <w:sz w:val="20"/>
          <w:szCs w:val="20"/>
          <w:color w:val="auto"/>
        </w:rPr>
      </w:pPr>
    </w:p>
    <w:p>
      <w:pPr>
        <w:jc w:val="both"/>
        <w:ind w:firstLine="8"/>
        <w:spacing w:after="0" w:line="241" w:lineRule="auto"/>
        <w:tabs>
          <w:tab w:leader="none" w:pos="350" w:val="left"/>
        </w:tabs>
        <w:numPr>
          <w:ilvl w:val="0"/>
          <w:numId w:val="58"/>
        </w:numPr>
        <w:rPr>
          <w:rFonts w:ascii="Arial" w:cs="Arial" w:eastAsia="Arial" w:hAnsi="Arial"/>
          <w:sz w:val="20"/>
          <w:szCs w:val="20"/>
          <w:color w:val="auto"/>
        </w:rPr>
      </w:pPr>
      <w:r>
        <w:rPr>
          <w:rFonts w:ascii="Arial" w:cs="Arial" w:eastAsia="Arial" w:hAnsi="Arial"/>
          <w:sz w:val="20"/>
          <w:szCs w:val="20"/>
          <w:color w:val="auto"/>
        </w:rPr>
        <w:t>each date of any payment by the L/C Issuer under any Letter of Credit denominated in an Alternative Currency, Australian Dollars or New Zealand Dollars and (iv) such additional dates as the Administrative Agent or the L/C Issuer shall determine or the Required Pro Rata Facilities Lenders shall require.</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A/B Borrower</w:t>
      </w:r>
      <w:r>
        <w:rPr>
          <w:rFonts w:ascii="Arial" w:cs="Arial" w:eastAsia="Arial" w:hAnsi="Arial"/>
          <w:sz w:val="20"/>
          <w:szCs w:val="20"/>
          <w:color w:val="auto"/>
        </w:rPr>
        <w:t xml:space="preserve">” means each of the Company, AllStar, FleetCor UK, Lux 2, any Designated Borrower that becomes a Revolving A/B Borrower under the terms of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and the Additional Borrower, to the extent the Additional Borrower becomes a Borrower hereunder pursuant to </w:t>
      </w:r>
      <w:r>
        <w:rPr>
          <w:rFonts w:ascii="Arial" w:cs="Arial" w:eastAsia="Arial" w:hAnsi="Arial"/>
          <w:sz w:val="20"/>
          <w:szCs w:val="20"/>
          <w:u w:val="single" w:color="auto"/>
          <w:color w:val="auto"/>
        </w:rPr>
        <w:t>Section 7.12(b)</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A Commitment</w:t>
      </w:r>
      <w:r>
        <w:rPr>
          <w:rFonts w:ascii="Arial" w:cs="Arial" w:eastAsia="Arial" w:hAnsi="Arial"/>
          <w:sz w:val="19"/>
          <w:szCs w:val="19"/>
          <w:color w:val="auto"/>
        </w:rPr>
        <w:t xml:space="preserve">” means, as to each Lender, its obligation to (a) make Revolving A Loans to a Revolving A/B Borrower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(b) purchase participations in L/C Obligations and (c) purchase participations in Domestic Swing Line Loans, in an aggregate principal amount at any one time outstanding not to exceed the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or such other document pursuant to which such Lender becomes a party hereto, as applicable, as such amount may be adjusted from time to time in accordance with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A Lender</w:t>
      </w:r>
      <w:r>
        <w:rPr>
          <w:rFonts w:ascii="Arial" w:cs="Arial" w:eastAsia="Arial" w:hAnsi="Arial"/>
          <w:sz w:val="20"/>
          <w:szCs w:val="20"/>
          <w:color w:val="auto"/>
        </w:rPr>
        <w:t>” means a Lender with a Revolving A Commitment.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A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 Commitment</w:t>
      </w:r>
      <w:r>
        <w:rPr>
          <w:rFonts w:ascii="Arial" w:cs="Arial" w:eastAsia="Arial" w:hAnsi="Arial"/>
          <w:sz w:val="20"/>
          <w:szCs w:val="20"/>
          <w:color w:val="auto"/>
        </w:rPr>
        <w:t xml:space="preserve">” means, as to each Lender, its obligation to (a) make Revolving B Loans to a Revolving A/B Borrower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and (b) purchase participations in Foreign Swing Line Loans, in an aggregate principal amount at any one time outstanding not to exceed the Dollar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or such other document pursuant to which such Lender becomes a party hereto, as applicable, as such amount may be adjusted from time to time in accordance with this Agreement.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758" w:right="239" w:bottom="1440" w:gutter="0" w:footer="0" w:header="0"/>
        </w:sectPr>
      </w:pPr>
    </w:p>
    <w:bookmarkStart w:id="155" w:name="page156"/>
    <w:bookmarkEnd w:id="15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 Lender</w:t>
      </w:r>
      <w:r>
        <w:rPr>
          <w:rFonts w:ascii="Arial" w:cs="Arial" w:eastAsia="Arial" w:hAnsi="Arial"/>
          <w:sz w:val="20"/>
          <w:szCs w:val="20"/>
          <w:color w:val="auto"/>
        </w:rPr>
        <w:t>” means a Lender with a Revolving B Commitment.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 Borrower</w:t>
      </w:r>
      <w:r>
        <w:rPr>
          <w:rFonts w:ascii="Arial" w:cs="Arial" w:eastAsia="Arial" w:hAnsi="Arial"/>
          <w:sz w:val="20"/>
          <w:szCs w:val="20"/>
          <w:color w:val="auto"/>
        </w:rPr>
        <w:t>” means each of the Company, FleetCor Australia and FleetCor New Zealand.</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 Commitment</w:t>
      </w:r>
      <w:r>
        <w:rPr>
          <w:rFonts w:ascii="Arial" w:cs="Arial" w:eastAsia="Arial" w:hAnsi="Arial"/>
          <w:sz w:val="19"/>
          <w:szCs w:val="19"/>
          <w:color w:val="auto"/>
        </w:rPr>
        <w:t xml:space="preserve">” means, as to each Lender, its obligation to make Revolving C Loans to a Revolving C Borrower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in an aggregate principal amount at any one time outstanding not to exceed the Dollar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or such other document pursuant to which such Lender becomes a party hereto, as applicable, as such amount may be adjusted from time to time in accordance with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 Lender</w:t>
      </w:r>
      <w:r>
        <w:rPr>
          <w:rFonts w:ascii="Arial" w:cs="Arial" w:eastAsia="Arial" w:hAnsi="Arial"/>
          <w:sz w:val="20"/>
          <w:szCs w:val="20"/>
          <w:color w:val="auto"/>
        </w:rPr>
        <w:t>” means a Lender with a Revolving C Commitment.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2.01(f)</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means a Revolving A Commitment, a Revolving B Commitment and/or a Revolving C Commitment, as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means a Revolving A Loan, a Revolving B Loan and/or a Revolving C Loan, as applicable.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McGraw</w:t>
      </w:r>
      <w:r>
        <w:rPr>
          <w:rFonts w:ascii="MS PGothic" w:cs="MS PGothic" w:eastAsia="MS PGothic" w:hAnsi="MS PGothic"/>
          <w:sz w:val="19"/>
          <w:szCs w:val="19"/>
          <w:color w:val="auto"/>
        </w:rPr>
        <w:t>‑</w:t>
      </w:r>
      <w:r>
        <w:rPr>
          <w:rFonts w:ascii="Arial" w:cs="Arial" w:eastAsia="Arial" w:hAnsi="Arial"/>
          <w:sz w:val="19"/>
          <w:szCs w:val="19"/>
          <w:color w:val="auto"/>
        </w:rPr>
        <w:t>Hill Financial, Inc., and any successor thereto.</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means, with respect to any Loan Party or any Subsidiary, any arrangement, directly or indirectly, with any Person whereby the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Australian Dollars or New Zealand Dollars, same day or other funds as may be determined by the Administrative Agent or the L/C Issuer, as the case may be, to be customary in the place of disbursement or payment for the settlement of international banking transactions in the relevant currency.</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or trade embargo imposed, administered or enforced by the United States Government (including without limitation, OFAC and the U.S. Department of State), the United Nations Security Council, the European Union, Her Majesty’s Treasury or other relevant sanctions authority.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Party Designation Notice</w:t>
      </w:r>
      <w:r>
        <w:rPr>
          <w:rFonts w:ascii="Arial" w:cs="Arial" w:eastAsia="Arial" w:hAnsi="Arial"/>
          <w:sz w:val="20"/>
          <w:szCs w:val="20"/>
          <w:color w:val="auto"/>
        </w:rPr>
        <w:t>” shall mean a notice from any Lender or an Affiliate of a Lender relating to the existence of Swap Contracts and/or Treasury Management Agreements, in a form provided by the Administrative Agent.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757" w:right="239" w:bottom="1440" w:gutter="0" w:footer="0" w:header="0"/>
        </w:sectPr>
      </w:pPr>
    </w:p>
    <w:bookmarkStart w:id="156" w:name="page157"/>
    <w:bookmarkEnd w:id="156"/>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xml:space="preserve">” means the security and pledge agreement substantially in the form of </w:t>
      </w:r>
      <w:r>
        <w:rPr>
          <w:rFonts w:ascii="Arial" w:cs="Arial" w:eastAsia="Arial" w:hAnsi="Arial"/>
          <w:sz w:val="20"/>
          <w:szCs w:val="20"/>
          <w:u w:val="single" w:color="auto"/>
          <w:color w:val="auto"/>
        </w:rPr>
        <w:t>Exhibit M</w:t>
      </w:r>
      <w:r>
        <w:rPr>
          <w:rFonts w:ascii="Arial" w:cs="Arial" w:eastAsia="Arial" w:hAnsi="Arial"/>
          <w:sz w:val="20"/>
          <w:szCs w:val="20"/>
          <w:color w:val="auto"/>
        </w:rPr>
        <w:t xml:space="preserve"> executed in favor of the Administrative Agent, for the benefit of the holders of the Obligations, by the Company, the Guarantors and the other parties thereto from time to time.</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or “</w:t>
      </w:r>
      <w:r>
        <w:rPr>
          <w:rFonts w:ascii="Arial" w:cs="Arial" w:eastAsia="Arial" w:hAnsi="Arial"/>
          <w:sz w:val="19"/>
          <w:szCs w:val="19"/>
          <w:u w:val="single" w:color="auto"/>
          <w:color w:val="auto"/>
        </w:rPr>
        <w:t>Solvency</w:t>
      </w:r>
      <w:r>
        <w:rPr>
          <w:rFonts w:ascii="Arial" w:cs="Arial" w:eastAsia="Arial" w:hAnsi="Arial"/>
          <w:sz w:val="19"/>
          <w:szCs w:val="19"/>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 (e) the present fair 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Equity Sale</w:t>
      </w:r>
      <w:r>
        <w:rPr>
          <w:rFonts w:ascii="Arial" w:cs="Arial" w:eastAsia="Arial" w:hAnsi="Arial"/>
          <w:sz w:val="20"/>
          <w:szCs w:val="20"/>
          <w:color w:val="auto"/>
        </w:rPr>
        <w:t>” means the sale, transfer or other disposition by the Company of all or any portion of the Equity Interests of the Unrestricted Subsidiary.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Guarantor</w:t>
      </w:r>
      <w:r>
        <w:rPr>
          <w:rFonts w:ascii="Arial" w:cs="Arial" w:eastAsia="Arial" w:hAnsi="Arial"/>
          <w:sz w:val="20"/>
          <w:szCs w:val="20"/>
          <w:color w:val="auto"/>
        </w:rPr>
        <w:t>” has the meaning given thereto in the Guaranty.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Investments</w:t>
      </w:r>
      <w:r>
        <w:rPr>
          <w:rFonts w:ascii="Arial" w:cs="Arial" w:eastAsia="Arial" w:hAnsi="Arial"/>
          <w:sz w:val="20"/>
          <w:szCs w:val="20"/>
          <w:color w:val="auto"/>
        </w:rPr>
        <w:t>” shall have the meaning given thereto in the Closing Certificate.</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Merger Agreement Representations</w:t>
      </w:r>
      <w:r>
        <w:rPr>
          <w:rFonts w:ascii="Arial" w:cs="Arial" w:eastAsia="Arial" w:hAnsi="Arial"/>
          <w:sz w:val="18"/>
          <w:szCs w:val="18"/>
          <w:color w:val="auto"/>
        </w:rPr>
        <w:t>” means such of the representations made by the Target with respect to the Target and its subsidiaries and assets in the Merger Agreement that are material to the interests of the Lenders, but only to the extent that the Parent (or its Subsidiary or Affiliate) has the right to terminate its (or its Subsidiary’s or Affiliate’s) obligations under the Merger Agreement, or decline to consummate the Comdata Acquisition, as a result of a breach of such representations in the Merger Agreement.</w:t>
      </w:r>
    </w:p>
    <w:p>
      <w:pPr>
        <w:spacing w:after="0" w:line="16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xml:space="preserve">” means the representations and warranties made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(as to valid existence) and </w:t>
      </w:r>
      <w:r>
        <w:rPr>
          <w:rFonts w:ascii="Arial" w:cs="Arial" w:eastAsia="Arial" w:hAnsi="Arial"/>
          <w:sz w:val="20"/>
          <w:szCs w:val="20"/>
          <w:u w:val="single" w:color="auto"/>
          <w:color w:val="auto"/>
        </w:rPr>
        <w:t>(b)(ii)</w:t>
      </w:r>
      <w:r>
        <w:rPr>
          <w:rFonts w:ascii="Arial" w:cs="Arial" w:eastAsia="Arial" w:hAnsi="Arial"/>
          <w:sz w:val="20"/>
          <w:szCs w:val="20"/>
          <w:color w:val="auto"/>
        </w:rPr>
        <w:t xml:space="preserve">, the first clause of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6.02(a)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6.18</w:t>
      </w:r>
      <w:r>
        <w:rPr>
          <w:rFonts w:ascii="Arial" w:cs="Arial" w:eastAsia="Arial" w:hAnsi="Arial"/>
          <w:sz w:val="20"/>
          <w:szCs w:val="20"/>
          <w:color w:val="auto"/>
        </w:rPr>
        <w:t xml:space="preserve"> (after giving effect to the consummation of the Comdata Acquisition, the Borrowings under the Comdata Facilities and the payment of the Comdata Acquisition Costs), </w:t>
      </w:r>
      <w:r>
        <w:rPr>
          <w:rFonts w:ascii="Arial" w:cs="Arial" w:eastAsia="Arial" w:hAnsi="Arial"/>
          <w:sz w:val="20"/>
          <w:szCs w:val="20"/>
          <w:u w:val="single" w:color="auto"/>
          <w:color w:val="auto"/>
        </w:rPr>
        <w:t>Section 6.19</w:t>
      </w:r>
      <w:r>
        <w:rPr>
          <w:rFonts w:ascii="Arial" w:cs="Arial" w:eastAsia="Arial" w:hAnsi="Arial"/>
          <w:sz w:val="20"/>
          <w:szCs w:val="20"/>
          <w:color w:val="auto"/>
        </w:rPr>
        <w:t xml:space="preserve"> (but only with respect to (i) assets with respect to which a lien may be perfected by the filing of a financing statement under the Uniform Commercial Code, (ii) the pledge and perfection of security interests in Equity Interests of the Parent’s material, wholly</w:t>
      </w:r>
      <w:r>
        <w:rPr>
          <w:rFonts w:ascii="MS PGothic" w:cs="MS PGothic" w:eastAsia="MS PGothic" w:hAnsi="MS PGothic"/>
          <w:sz w:val="20"/>
          <w:szCs w:val="20"/>
          <w:color w:val="auto"/>
        </w:rPr>
        <w:t>‑</w:t>
      </w:r>
      <w:r>
        <w:rPr>
          <w:rFonts w:ascii="Arial" w:cs="Arial" w:eastAsia="Arial" w:hAnsi="Arial"/>
          <w:sz w:val="20"/>
          <w:szCs w:val="20"/>
          <w:color w:val="auto"/>
        </w:rPr>
        <w:t xml:space="preserve">owned Domestic Subsidiaries and (iii) other assets a security interest in which can be provided and perfected after the Loan Parties’ use of commercially reasonable efforts to do so), </w:t>
      </w:r>
      <w:r>
        <w:rPr>
          <w:rFonts w:ascii="Arial" w:cs="Arial" w:eastAsia="Arial" w:hAnsi="Arial"/>
          <w:sz w:val="20"/>
          <w:szCs w:val="20"/>
          <w:u w:val="single" w:color="auto"/>
          <w:color w:val="auto"/>
        </w:rPr>
        <w:t>Section 6.22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6.23</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Spot Rate</w:t>
      </w:r>
      <w:r>
        <w:rPr>
          <w:rFonts w:ascii="Arial" w:cs="Arial" w:eastAsia="Arial" w:hAnsi="Arial"/>
          <w:sz w:val="20"/>
          <w:szCs w:val="20"/>
          <w:color w:val="auto"/>
        </w:rPr>
        <w:t>” for a currency means the rate determined by the Administrative Agent, the Swing Line Lender or the L/C Issuer, as applicable, to be the rate quoted by the Person acting in such capacity as the spot rate for the purchase by such Person of such currency with another currency through its principal foreign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757" w:right="239" w:bottom="1440" w:gutter="0" w:footer="0" w:header="0"/>
        </w:sectPr>
      </w:pPr>
    </w:p>
    <w:bookmarkStart w:id="157" w:name="page158"/>
    <w:bookmarkEnd w:id="157"/>
    <w:p>
      <w:pPr>
        <w:jc w:val="both"/>
        <w:spacing w:after="0" w:line="243" w:lineRule="auto"/>
        <w:rPr>
          <w:sz w:val="20"/>
          <w:szCs w:val="20"/>
          <w:color w:val="auto"/>
        </w:rPr>
      </w:pPr>
      <w:r>
        <w:rPr>
          <w:rFonts w:ascii="Arial" w:cs="Arial" w:eastAsia="Arial" w:hAnsi="Arial"/>
          <w:sz w:val="20"/>
          <w:szCs w:val="20"/>
          <w:color w:val="auto"/>
        </w:rPr>
        <w:t xml:space="preserve">exchange trading office at approximately 11:00 a.m. on the date two Business Days prior to the date as of which the foreign exchange computation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the Swing Line Lender or the L/C Issuer may obtain such spot rate from another financial institution designated by the Administrative Agent, the Swing Line Lender or the L/C Issuer if the Person acting in such capacity does not have as of the date of determination a spot buying rate for any such currency;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the L/C Issuer may use such spot rate quoted on the date as of which the foreign exchange computation is made in the case of any Letter of Credit denominated in an Alternative Currency, Australian Dollars or New Zealand Dollars.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“Subsidiary” shall not refer to or include (i) FleetCor Funding LLC or any other Subsidiary formed as a special purpose entity in connection with a Receivables Facility or (ii) the Unrestricted Subsidiary or any of the Unrestricted Subsidiary’s direct or indirect subsidiaries.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SVS</w:t>
      </w:r>
      <w:r>
        <w:rPr>
          <w:rFonts w:ascii="Arial" w:cs="Arial" w:eastAsia="Arial" w:hAnsi="Arial"/>
          <w:sz w:val="20"/>
          <w:szCs w:val="20"/>
          <w:color w:val="auto"/>
        </w:rPr>
        <w:t>” means Stored Value Solutions International B.V., a company incorporated under the laws of the Netherlands.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SVS Contribution Agreement</w:t>
      </w:r>
      <w:r>
        <w:rPr>
          <w:rFonts w:ascii="Arial" w:cs="Arial" w:eastAsia="Arial" w:hAnsi="Arial"/>
          <w:sz w:val="19"/>
          <w:szCs w:val="19"/>
          <w:color w:val="auto"/>
        </w:rPr>
        <w:t>” means that certain Contribution Agreement, dated as of March 3, 2017, among First Data Corporation, a Delaware corporation, the Parent, and the SVS Joint Venture, including all schedules and exhibits thereto, as in effect on the Third Amendment Effective Date without giving effect to any amendments or modifications thereof or supplements thereto (except for any such amendments, modifications or supplements that are not materially adverse to the interest of the Lenders).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SVS Disposition</w:t>
      </w:r>
      <w:r>
        <w:rPr>
          <w:rFonts w:ascii="Arial" w:cs="Arial" w:eastAsia="Arial" w:hAnsi="Arial"/>
          <w:sz w:val="20"/>
          <w:szCs w:val="20"/>
          <w:color w:val="auto"/>
        </w:rPr>
        <w:t>” means the contribution by the Parent to the SVS Joint Venture of the FleetCor Shares (as defined in the SVS Contribution Agreement), the FleetCor Contributed Assets (as defined in the SVS Contribution Agreement), the FleetCor Assumed Liabilities (as defined in the SVS Contribution Agreement) and the FleetCor Contributed Cash (as defined in the SVS Contribution Agreement), in each case pursuant to the SVS Contribution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SVS Joint Venture</w:t>
      </w:r>
      <w:r>
        <w:rPr>
          <w:rFonts w:ascii="Arial" w:cs="Arial" w:eastAsia="Arial" w:hAnsi="Arial"/>
          <w:sz w:val="20"/>
          <w:szCs w:val="20"/>
          <w:color w:val="auto"/>
        </w:rPr>
        <w:t>” means Gift Solutions LLC, a Delaware limited liability company.</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Bank</w:t>
      </w:r>
      <w:r>
        <w:rPr>
          <w:rFonts w:ascii="Arial" w:cs="Arial" w:eastAsia="Arial" w:hAnsi="Arial"/>
          <w:sz w:val="18"/>
          <w:szCs w:val="18"/>
          <w:color w:val="auto"/>
        </w:rPr>
        <w:t xml:space="preserve">” means (a) any Person that is a Lender or an Affiliate of a Lender at the time that it becomes a party to a Swap Contract with any Loan Party or Subsidiary and (b) any Lender or Affiliate of a Lender that is party to a Swap Contract with any Loan Party or Subsidiary in existence at the time such Person (or its Affiliate) becomes a Lender, in each case in its capacity as a party to such Swap Contract and to the extent such Swap Contract is permitted by </w:t>
      </w:r>
      <w:r>
        <w:rPr>
          <w:rFonts w:ascii="Arial" w:cs="Arial" w:eastAsia="Arial" w:hAnsi="Arial"/>
          <w:sz w:val="18"/>
          <w:szCs w:val="18"/>
          <w:u w:val="single" w:color="auto"/>
          <w:color w:val="auto"/>
        </w:rPr>
        <w:t>Section 8.03(d)</w:t>
      </w:r>
      <w:r>
        <w:rPr>
          <w:rFonts w:ascii="Arial" w:cs="Arial" w:eastAsia="Arial" w:hAnsi="Arial"/>
          <w:sz w:val="18"/>
          <w:szCs w:val="18"/>
          <w:color w:val="auto"/>
        </w:rPr>
        <w:t xml:space="preserve">, and even if such Person ceases to be a Lender or such Person’s Affiliate ceases to be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Person who is no longer a Lender (or Affiliate of a Lender), such Person shall be considered a Swap Bank only through the stated termination date (without extension or renewal) of such Swap Contract.</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Contract</w:t>
      </w:r>
      <w:r>
        <w:rPr>
          <w:rFonts w:ascii="Arial" w:cs="Arial" w:eastAsia="Arial" w:hAnsi="Arial"/>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757" w:right="239" w:bottom="1440" w:gutter="0" w:footer="0" w:header="0"/>
        </w:sectPr>
      </w:pPr>
    </w:p>
    <w:bookmarkStart w:id="158" w:name="page159"/>
    <w:bookmarkEnd w:id="158"/>
    <w:p>
      <w:pPr>
        <w:jc w:val="both"/>
        <w:spacing w:after="0" w:line="233" w:lineRule="exact"/>
        <w:rPr>
          <w:sz w:val="20"/>
          <w:szCs w:val="20"/>
          <w:color w:val="auto"/>
        </w:rPr>
      </w:pPr>
      <w:r>
        <w:rPr>
          <w:rFonts w:ascii="Arial" w:cs="Arial" w:eastAsia="Arial" w:hAnsi="Arial"/>
          <w:sz w:val="19"/>
          <w:szCs w:val="19"/>
          <w:color w:val="auto"/>
        </w:rPr>
        <w:t>transactions, cap transactions, floor transactions, collar transactions, currency swap transactions, cross</w:t>
      </w:r>
      <w:r>
        <w:rPr>
          <w:rFonts w:ascii="MS PGothic" w:cs="MS PGothic" w:eastAsia="MS PGothic" w:hAnsi="MS PGothic"/>
          <w:sz w:val="19"/>
          <w:szCs w:val="19"/>
          <w:color w:val="auto"/>
        </w:rPr>
        <w:t>‑</w:t>
      </w:r>
      <w:r>
        <w:rPr>
          <w:rFonts w:ascii="Arial" w:cs="Arial" w:eastAsia="Arial" w:hAnsi="Arial"/>
          <w:sz w:val="19"/>
          <w:szCs w:val="19"/>
          <w:color w:val="auto"/>
        </w:rPr>
        <w:t>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Obligations</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market value(s) for such Swap Contracts, as determined based upon one or more mid</w:t>
      </w:r>
      <w:r>
        <w:rPr>
          <w:rFonts w:ascii="MS PGothic" w:cs="MS PGothic" w:eastAsia="MS PGothic" w:hAnsi="MS PGothic"/>
          <w:sz w:val="20"/>
          <w:szCs w:val="20"/>
          <w:color w:val="auto"/>
        </w:rPr>
        <w:t>‑</w:t>
      </w:r>
      <w:r>
        <w:rPr>
          <w:rFonts w:ascii="Arial" w:cs="Arial" w:eastAsia="Arial" w:hAnsi="Arial"/>
          <w:sz w:val="20"/>
          <w:szCs w:val="20"/>
          <w:color w:val="auto"/>
        </w:rPr>
        <w:t>market or other readily available quotations provided by any recognized dealer in such Swap Contracts (which may include a Lender or any Affiliate of a Lender).</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means Bank of America in its capacity as provider of Swing Line Loans, or any successor swing line lender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Borrowing of Swing Line Loans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 other form as is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xml:space="preserve">” means an amount equal to the Domestic Swing Line Loan Sublimit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Foreign Swing Line Loan Sublimit.</w:t>
      </w:r>
    </w:p>
    <w:p>
      <w:pPr>
        <w:spacing w:after="0" w:line="239"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w:t>
      </w:r>
      <w:r>
        <w:rPr>
          <w:rFonts w:ascii="Arial" w:cs="Arial" w:eastAsia="Arial" w:hAnsi="Arial"/>
          <w:sz w:val="20"/>
          <w:szCs w:val="20"/>
          <w:color w:val="auto"/>
        </w:rPr>
        <w:t>” means any synthetic lease, tax retention operating lease, off</w:t>
      </w:r>
      <w:r>
        <w:rPr>
          <w:rFonts w:ascii="MS PGothic" w:cs="MS PGothic" w:eastAsia="MS PGothic" w:hAnsi="MS PGothic"/>
          <w:sz w:val="20"/>
          <w:szCs w:val="20"/>
          <w:color w:val="auto"/>
        </w:rPr>
        <w:t>‑</w:t>
      </w:r>
      <w:r>
        <w:rPr>
          <w:rFonts w:ascii="Arial" w:cs="Arial" w:eastAsia="Arial" w:hAnsi="Arial"/>
          <w:sz w:val="20"/>
          <w:szCs w:val="20"/>
          <w:color w:val="auto"/>
        </w:rPr>
        <w:t>balance sheet loan or similar off</w:t>
      </w:r>
      <w:r>
        <w:rPr>
          <w:rFonts w:ascii="MS PGothic" w:cs="MS PGothic" w:eastAsia="MS PGothic" w:hAnsi="MS PGothic"/>
          <w:sz w:val="20"/>
          <w:szCs w:val="20"/>
          <w:color w:val="auto"/>
        </w:rPr>
        <w:t>‑</w:t>
      </w:r>
      <w:r>
        <w:rPr>
          <w:rFonts w:ascii="Arial" w:cs="Arial" w:eastAsia="Arial" w:hAnsi="Arial"/>
          <w:sz w:val="20"/>
          <w:szCs w:val="20"/>
          <w:color w:val="auto"/>
        </w:rPr>
        <w:t>balance sheet financing arrangement whereby the arrangement is considered borrowed money indebtedness for tax purposes but is classified as an operating lease or does not otherwise appear on a balance sheet under GAAP.</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means Comdata Inc., a Delaware corporation.</w:t>
      </w:r>
    </w:p>
    <w:p>
      <w:pPr>
        <w:spacing w:after="0" w:line="216"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the Trans</w:t>
      </w:r>
      <w:r>
        <w:rPr>
          <w:rFonts w:ascii="MS PGothic" w:cs="MS PGothic" w:eastAsia="MS PGothic" w:hAnsi="MS PGothic"/>
          <w:sz w:val="20"/>
          <w:szCs w:val="20"/>
          <w:color w:val="auto"/>
        </w:rPr>
        <w:t>‑</w:t>
      </w:r>
      <w:r>
        <w:rPr>
          <w:rFonts w:ascii="Arial" w:cs="Arial" w:eastAsia="Arial" w:hAnsi="Arial"/>
          <w:sz w:val="20"/>
          <w:szCs w:val="20"/>
          <w:color w:val="auto"/>
        </w:rPr>
        <w:t>European Automated Real</w:t>
      </w:r>
      <w:r>
        <w:rPr>
          <w:rFonts w:ascii="MS PGothic" w:cs="MS PGothic" w:eastAsia="MS PGothic" w:hAnsi="MS PGothic"/>
          <w:sz w:val="20"/>
          <w:szCs w:val="20"/>
          <w:color w:val="auto"/>
        </w:rPr>
        <w:t>‑</w:t>
      </w:r>
      <w:r>
        <w:rPr>
          <w:rFonts w:ascii="Arial" w:cs="Arial" w:eastAsia="Arial" w:hAnsi="Arial"/>
          <w:sz w:val="20"/>
          <w:szCs w:val="20"/>
          <w:color w:val="auto"/>
        </w:rPr>
        <w:t>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758" w:right="239" w:bottom="1440" w:gutter="0" w:footer="0" w:header="0"/>
        </w:sectPr>
      </w:pPr>
    </w:p>
    <w:bookmarkStart w:id="159" w:name="page160"/>
    <w:bookmarkEnd w:id="159"/>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Lender</w:t>
      </w:r>
      <w:r>
        <w:rPr>
          <w:rFonts w:ascii="Arial" w:cs="Arial" w:eastAsia="Arial" w:hAnsi="Arial"/>
          <w:sz w:val="20"/>
          <w:szCs w:val="20"/>
          <w:color w:val="auto"/>
        </w:rPr>
        <w:t>” means a Lender with a Term A Loan Commitment or a Term A Loan.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Loan Commitment</w:t>
      </w:r>
      <w:r>
        <w:rPr>
          <w:rFonts w:ascii="Arial" w:cs="Arial" w:eastAsia="Arial" w:hAnsi="Arial"/>
          <w:sz w:val="20"/>
          <w:szCs w:val="20"/>
          <w:color w:val="auto"/>
        </w:rPr>
        <w:t xml:space="preserve">” means, as to each Lender, its obligation to make its portion of the Term A Loan to the Company pursuant to </w:t>
      </w:r>
      <w:r>
        <w:rPr>
          <w:rFonts w:ascii="Arial" w:cs="Arial" w:eastAsia="Arial" w:hAnsi="Arial"/>
          <w:sz w:val="20"/>
          <w:szCs w:val="20"/>
          <w:u w:val="single" w:color="auto"/>
          <w:color w:val="auto"/>
        </w:rPr>
        <w:t>Section 2.01(c)</w:t>
      </w:r>
      <w:r>
        <w:rPr>
          <w:rFonts w:ascii="Arial" w:cs="Arial" w:eastAsia="Arial" w:hAnsi="Arial"/>
          <w:sz w:val="20"/>
          <w:szCs w:val="20"/>
          <w:color w:val="auto"/>
        </w:rPr>
        <w:t xml:space="preserve">, in the principal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The aggregate principal amount of the Term A Loan Commitments of all of the Lenders as in effect on the Third Amendment Effective Date is TWO BILLION SIX HUNDRED NINETY MILLION DOLLARS ($2,690,000,000).</w:t>
      </w:r>
    </w:p>
    <w:p>
      <w:pPr>
        <w:spacing w:after="0" w:line="192"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3 Lender</w:t>
      </w:r>
      <w:r>
        <w:rPr>
          <w:rFonts w:ascii="Arial" w:cs="Arial" w:eastAsia="Arial" w:hAnsi="Arial"/>
          <w:sz w:val="20"/>
          <w:szCs w:val="20"/>
          <w:color w:val="auto"/>
        </w:rPr>
        <w:t>” means a Lender with a Term B</w:t>
      </w:r>
      <w:r>
        <w:rPr>
          <w:rFonts w:ascii="MS PGothic" w:cs="MS PGothic" w:eastAsia="MS PGothic" w:hAnsi="MS PGothic"/>
          <w:sz w:val="20"/>
          <w:szCs w:val="20"/>
          <w:color w:val="auto"/>
        </w:rPr>
        <w:t>‑</w:t>
      </w:r>
      <w:r>
        <w:rPr>
          <w:rFonts w:ascii="Arial" w:cs="Arial" w:eastAsia="Arial" w:hAnsi="Arial"/>
          <w:sz w:val="20"/>
          <w:szCs w:val="20"/>
          <w:color w:val="auto"/>
        </w:rPr>
        <w:t>3 Loan Commitment or holding a portion of the Term B</w:t>
      </w:r>
      <w:r>
        <w:rPr>
          <w:rFonts w:ascii="MS PGothic" w:cs="MS PGothic" w:eastAsia="MS PGothic" w:hAnsi="MS PGothic"/>
          <w:sz w:val="20"/>
          <w:szCs w:val="20"/>
          <w:color w:val="auto"/>
        </w:rPr>
        <w:t>‑</w:t>
      </w:r>
      <w:r>
        <w:rPr>
          <w:rFonts w:ascii="Arial" w:cs="Arial" w:eastAsia="Arial" w:hAnsi="Arial"/>
          <w:sz w:val="20"/>
          <w:szCs w:val="20"/>
          <w:color w:val="auto"/>
        </w:rPr>
        <w:t>3 Loan.</w:t>
      </w:r>
    </w:p>
    <w:p>
      <w:pPr>
        <w:spacing w:after="0" w:line="216"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3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3 Loan Commitment</w:t>
      </w:r>
      <w:r>
        <w:rPr>
          <w:rFonts w:ascii="Arial" w:cs="Arial" w:eastAsia="Arial" w:hAnsi="Arial"/>
          <w:sz w:val="20"/>
          <w:szCs w:val="20"/>
          <w:color w:val="auto"/>
        </w:rPr>
        <w:t>” means, as to each Lender, its obligation to make its portion of the Term B</w:t>
      </w:r>
      <w:r>
        <w:rPr>
          <w:rFonts w:ascii="MS PGothic" w:cs="MS PGothic" w:eastAsia="MS PGothic" w:hAnsi="MS PGothic"/>
          <w:sz w:val="20"/>
          <w:szCs w:val="20"/>
          <w:color w:val="auto"/>
        </w:rPr>
        <w:t>‑</w:t>
      </w:r>
      <w:r>
        <w:rPr>
          <w:rFonts w:ascii="Arial" w:cs="Arial" w:eastAsia="Arial" w:hAnsi="Arial"/>
          <w:sz w:val="20"/>
          <w:szCs w:val="20"/>
          <w:color w:val="auto"/>
        </w:rPr>
        <w:t xml:space="preserve">3 Loan to the Company pursuant to </w:t>
      </w:r>
      <w:r>
        <w:rPr>
          <w:rFonts w:ascii="Arial" w:cs="Arial" w:eastAsia="Arial" w:hAnsi="Arial"/>
          <w:sz w:val="20"/>
          <w:szCs w:val="20"/>
          <w:u w:val="single" w:color="auto"/>
          <w:color w:val="auto"/>
        </w:rPr>
        <w:t>Section 2.01(d)</w:t>
      </w:r>
      <w:r>
        <w:rPr>
          <w:rFonts w:ascii="Arial" w:cs="Arial" w:eastAsia="Arial" w:hAnsi="Arial"/>
          <w:sz w:val="20"/>
          <w:szCs w:val="20"/>
          <w:color w:val="auto"/>
        </w:rPr>
        <w:t>, in the principal amount set forth opposite such Lender’s name on the Register. The aggregate principal amount of the Term B</w:t>
      </w:r>
      <w:r>
        <w:rPr>
          <w:rFonts w:ascii="MS PGothic" w:cs="MS PGothic" w:eastAsia="MS PGothic" w:hAnsi="MS PGothic"/>
          <w:sz w:val="20"/>
          <w:szCs w:val="20"/>
          <w:color w:val="auto"/>
        </w:rPr>
        <w:t>‑</w:t>
      </w:r>
      <w:r>
        <w:rPr>
          <w:rFonts w:ascii="Arial" w:cs="Arial" w:eastAsia="Arial" w:hAnsi="Arial"/>
          <w:sz w:val="20"/>
          <w:szCs w:val="20"/>
          <w:color w:val="auto"/>
        </w:rPr>
        <w:t>3 Loan Commitments of all of the Lenders as in effect on the Third Amendment Effective Date is THREE HUNDRED FIFTY MILLION DOLLARS ($350,000,000).</w:t>
      </w:r>
    </w:p>
    <w:p>
      <w:pPr>
        <w:spacing w:after="0" w:line="195"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w:t>
      </w:r>
      <w:r>
        <w:rPr>
          <w:rFonts w:ascii="Arial" w:cs="Arial" w:eastAsia="Arial" w:hAnsi="Arial"/>
          <w:sz w:val="20"/>
          <w:szCs w:val="20"/>
          <w:color w:val="auto"/>
        </w:rPr>
        <w:t>” means a Term A Loan Commitment and/or a Term B</w:t>
      </w:r>
      <w:r>
        <w:rPr>
          <w:rFonts w:ascii="MS PGothic" w:cs="MS PGothic" w:eastAsia="MS PGothic" w:hAnsi="MS PGothic"/>
          <w:sz w:val="20"/>
          <w:szCs w:val="20"/>
          <w:color w:val="auto"/>
        </w:rPr>
        <w:t>‑</w:t>
      </w:r>
      <w:r>
        <w:rPr>
          <w:rFonts w:ascii="Arial" w:cs="Arial" w:eastAsia="Arial" w:hAnsi="Arial"/>
          <w:sz w:val="20"/>
          <w:szCs w:val="20"/>
          <w:color w:val="auto"/>
        </w:rPr>
        <w:t>3 Loan Commitment, as applicable.</w:t>
      </w:r>
    </w:p>
    <w:p>
      <w:pPr>
        <w:spacing w:after="0" w:line="216"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 Term A Loan and/or Term B</w:t>
      </w:r>
      <w:r>
        <w:rPr>
          <w:rFonts w:ascii="MS PGothic" w:cs="MS PGothic" w:eastAsia="MS PGothic" w:hAnsi="MS PGothic"/>
          <w:sz w:val="20"/>
          <w:szCs w:val="20"/>
          <w:color w:val="auto"/>
        </w:rPr>
        <w:t>‑</w:t>
      </w:r>
      <w:r>
        <w:rPr>
          <w:rFonts w:ascii="Arial" w:cs="Arial" w:eastAsia="Arial" w:hAnsi="Arial"/>
          <w:sz w:val="20"/>
          <w:szCs w:val="20"/>
          <w:color w:val="auto"/>
        </w:rPr>
        <w:t>3 Loan, as applicable.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Amendment Effective Date</w:t>
      </w:r>
      <w:r>
        <w:rPr>
          <w:rFonts w:ascii="Arial" w:cs="Arial" w:eastAsia="Arial" w:hAnsi="Arial"/>
          <w:sz w:val="20"/>
          <w:szCs w:val="20"/>
          <w:color w:val="auto"/>
        </w:rPr>
        <w:t>” means August 2, 2017.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$25,000,000.</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A Outstandings</w:t>
      </w:r>
      <w:r>
        <w:rPr>
          <w:rFonts w:ascii="Arial" w:cs="Arial" w:eastAsia="Arial" w:hAnsi="Arial"/>
          <w:sz w:val="20"/>
          <w:szCs w:val="20"/>
          <w:color w:val="auto"/>
        </w:rPr>
        <w:t>” means the aggregate Outstanding Amount of all Revolving A Loans, all Domestic Swing Line Loans and all L/C Obligations.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B Outstandings</w:t>
      </w:r>
      <w:r>
        <w:rPr>
          <w:rFonts w:ascii="Arial" w:cs="Arial" w:eastAsia="Arial" w:hAnsi="Arial"/>
          <w:sz w:val="18"/>
          <w:szCs w:val="18"/>
          <w:color w:val="auto"/>
        </w:rPr>
        <w:t>” means the aggregate Outstanding Amount of all Revolving B Loans and all Foreign Swing Line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 Outstandings</w:t>
      </w:r>
      <w:r>
        <w:rPr>
          <w:rFonts w:ascii="Arial" w:cs="Arial" w:eastAsia="Arial" w:hAnsi="Arial"/>
          <w:sz w:val="20"/>
          <w:szCs w:val="20"/>
          <w:color w:val="auto"/>
        </w:rPr>
        <w:t>” means the aggregate Outstanding Amount of all Revolving C Loans.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Outstandings</w:t>
      </w:r>
      <w:r>
        <w:rPr>
          <w:rFonts w:ascii="Arial" w:cs="Arial" w:eastAsia="Arial" w:hAnsi="Arial"/>
          <w:sz w:val="20"/>
          <w:szCs w:val="20"/>
          <w:color w:val="auto"/>
        </w:rPr>
        <w:t>” means the aggregate Outstanding Amount of all Revolving Loans, all Swing Line Loans and all L/C Obligations.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Management Agreement</w:t>
      </w:r>
      <w:r>
        <w:rPr>
          <w:rFonts w:ascii="Arial" w:cs="Arial" w:eastAsia="Arial" w:hAnsi="Arial"/>
          <w:sz w:val="20"/>
          <w:szCs w:val="20"/>
          <w:color w:val="auto"/>
        </w:rPr>
        <w:t>” means any agreement governing the provision of treasury or cash management services, including deposit accounts, overdraft, credit or debit card, funds transfer,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758" w:right="239" w:bottom="1440" w:gutter="0" w:footer="0" w:header="0"/>
        </w:sectPr>
      </w:pPr>
    </w:p>
    <w:bookmarkStart w:id="160" w:name="page161"/>
    <w:bookmarkEnd w:id="160"/>
    <w:p>
      <w:pPr>
        <w:jc w:val="both"/>
        <w:spacing w:after="0" w:line="260" w:lineRule="auto"/>
        <w:rPr>
          <w:sz w:val="20"/>
          <w:szCs w:val="20"/>
          <w:color w:val="auto"/>
        </w:rPr>
      </w:pPr>
      <w:r>
        <w:rPr>
          <w:rFonts w:ascii="Arial" w:cs="Arial" w:eastAsia="Arial" w:hAnsi="Arial"/>
          <w:sz w:val="20"/>
          <w:szCs w:val="20"/>
          <w:color w:val="auto"/>
        </w:rPr>
        <w:t>automated clearinghouse, zero balance accounts, returned check concentration, controlled disbursement, lockbox, account reconciliation and reporting and trade finance services and other cash management services.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Management Bank</w:t>
      </w:r>
      <w:r>
        <w:rPr>
          <w:rFonts w:ascii="Arial" w:cs="Arial" w:eastAsia="Arial" w:hAnsi="Arial"/>
          <w:sz w:val="20"/>
          <w:szCs w:val="20"/>
          <w:color w:val="auto"/>
        </w:rPr>
        <w:t>” means (a) any Person that is a Lender or an Affiliate of a Lender at the time that it becomes a party to a Treasury Management Agreement with any Loan Party or Subsidiary and (b) any Lender or Affiliate of a Lender that is a party to a Treasury Management Agreement with any Loan Party or Subsidiary in existence at the time such Person (or its Affiliate) becomes a Lender, in each case in its capacity as a party to such Treasury Management Agreement (and even if such Person ceases to be a Lender or such Person’s Affiliate ceases to be a Lender).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any Loan, its character as a Base Rate Loan or a Eurocurrency Rate Loan.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xml:space="preserve">” means, subject to the limitations in </w:t>
      </w:r>
      <w:r>
        <w:rPr>
          <w:rFonts w:ascii="Arial" w:cs="Arial" w:eastAsia="Arial" w:hAnsi="Arial"/>
          <w:sz w:val="18"/>
          <w:szCs w:val="18"/>
          <w:u w:val="single" w:color="auto"/>
          <w:color w:val="auto"/>
        </w:rPr>
        <w:t>Section 1.03(a)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2.02(f)(i)(E)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2.02(f)(ii)(E)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2.02(f)(iii)</w:t>
      </w:r>
    </w:p>
    <w:p>
      <w:pPr>
        <w:spacing w:after="0" w:line="39" w:lineRule="exact"/>
        <w:rPr>
          <w:sz w:val="20"/>
          <w:szCs w:val="20"/>
          <w:color w:val="auto"/>
        </w:rPr>
      </w:pPr>
    </w:p>
    <w:p>
      <w:pPr>
        <w:ind w:firstLine="8"/>
        <w:spacing w:after="0" w:line="244" w:lineRule="auto"/>
        <w:tabs>
          <w:tab w:leader="none" w:pos="314" w:val="left"/>
        </w:tabs>
        <w:numPr>
          <w:ilvl w:val="0"/>
          <w:numId w:val="59"/>
        </w:numPr>
        <w:rPr>
          <w:rFonts w:ascii="Arial" w:cs="Arial" w:eastAsia="Arial" w:hAnsi="Arial"/>
          <w:sz w:val="20"/>
          <w:szCs w:val="20"/>
          <w:u w:val="single" w:color="auto"/>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Section 2.02(f)(iii)(G)</w:t>
      </w:r>
      <w:r>
        <w:rPr>
          <w:rFonts w:ascii="Arial" w:cs="Arial" w:eastAsia="Arial" w:hAnsi="Arial"/>
          <w:sz w:val="20"/>
          <w:szCs w:val="20"/>
          <w:color w:val="auto"/>
        </w:rPr>
        <w:t>, the aggregate amount of unrestricted cash and Cash Equivalents of the U.S. Loan Parties, not to exceed $200,000,000.</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xml:space="preserve">” shall mean Masternaut Luxembourg Holding S.a. r.l., a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xml:space="preserve"> incorporated under the laws of Luxembourg.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 Party</w:t>
      </w:r>
      <w:r>
        <w:rPr>
          <w:rFonts w:ascii="Arial" w:cs="Arial" w:eastAsia="Arial" w:hAnsi="Arial"/>
          <w:sz w:val="18"/>
          <w:szCs w:val="18"/>
          <w:color w:val="auto"/>
        </w:rPr>
        <w:t>” means any Loan Party that is organized under the laws of any state of the United States or the District of Columbia.</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6"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w:t>
      </w:r>
      <w:r>
        <w:rPr>
          <w:rFonts w:ascii="MS PGothic" w:cs="MS PGothic" w:eastAsia="MS PGothic" w:hAnsi="MS PGothic"/>
          <w:sz w:val="19"/>
          <w:szCs w:val="19"/>
          <w:color w:val="auto"/>
        </w:rPr>
        <w:t>‑</w:t>
      </w:r>
      <w:r>
        <w:rPr>
          <w:rFonts w:ascii="Arial" w:cs="Arial" w:eastAsia="Arial" w:hAnsi="Arial"/>
          <w:sz w:val="19"/>
          <w:szCs w:val="19"/>
          <w:color w:val="auto"/>
        </w:rPr>
        <w:t>twelfth) that will elapse between such date of determination and the making of such payment; by (b) the then outstanding principal amount of such Indebtedness as of such date of determination.</w:t>
      </w:r>
    </w:p>
    <w:p>
      <w:pPr>
        <w:spacing w:after="0" w:line="212" w:lineRule="exact"/>
        <w:rPr>
          <w:sz w:val="20"/>
          <w:szCs w:val="20"/>
          <w:color w:val="auto"/>
        </w:rPr>
      </w:pPr>
    </w:p>
    <w:p>
      <w:pPr>
        <w:jc w:val="both"/>
        <w:ind w:firstLine="648"/>
        <w:spacing w:after="0" w:line="254"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Down and Conversion Powers</w:t>
      </w:r>
      <w:r>
        <w:rPr>
          <w:rFonts w:ascii="Arial" w:cs="Arial" w:eastAsia="Arial" w:hAnsi="Arial"/>
          <w:sz w:val="20"/>
          <w:szCs w:val="20"/>
          <w:color w:val="auto"/>
        </w:rPr>
        <w:t>” means, with respect to any EEA Resolution Authority, the write</w:t>
      </w:r>
      <w:r>
        <w:rPr>
          <w:rFonts w:ascii="MS PGothic" w:cs="MS PGothic" w:eastAsia="MS PGothic" w:hAnsi="MS PGothic"/>
          <w:sz w:val="20"/>
          <w:szCs w:val="20"/>
          <w:color w:val="auto"/>
        </w:rPr>
        <w:t>‑</w:t>
      </w:r>
      <w:r>
        <w:rPr>
          <w:rFonts w:ascii="Arial" w:cs="Arial" w:eastAsia="Arial" w:hAnsi="Arial"/>
          <w:sz w:val="20"/>
          <w:szCs w:val="20"/>
          <w:color w:val="auto"/>
        </w:rPr>
        <w:t>down and conversion powers of such EEA Resolution Authority from time to time under the Bail</w:t>
      </w:r>
      <w:r>
        <w:rPr>
          <w:rFonts w:ascii="MS PGothic" w:cs="MS PGothic" w:eastAsia="MS PGothic" w:hAnsi="MS PGothic"/>
          <w:sz w:val="20"/>
          <w:szCs w:val="20"/>
          <w:color w:val="auto"/>
        </w:rPr>
        <w:t>‑</w:t>
      </w:r>
      <w:r>
        <w:rPr>
          <w:rFonts w:ascii="Arial" w:cs="Arial" w:eastAsia="Arial" w:hAnsi="Arial"/>
          <w:sz w:val="20"/>
          <w:szCs w:val="20"/>
          <w:color w:val="auto"/>
        </w:rPr>
        <w:t>In Legislation for the applicable EEA Member Country, which write</w:t>
      </w:r>
      <w:r>
        <w:rPr>
          <w:rFonts w:ascii="MS PGothic" w:cs="MS PGothic" w:eastAsia="MS PGothic" w:hAnsi="MS PGothic"/>
          <w:sz w:val="20"/>
          <w:szCs w:val="20"/>
          <w:color w:val="auto"/>
        </w:rPr>
        <w:t>‑</w:t>
      </w:r>
      <w:r>
        <w:rPr>
          <w:rFonts w:ascii="Arial" w:cs="Arial" w:eastAsia="Arial" w:hAnsi="Arial"/>
          <w:sz w:val="20"/>
          <w:szCs w:val="20"/>
          <w:color w:val="auto"/>
        </w:rPr>
        <w:t>down and conversion powers are described in the EU Bail</w:t>
      </w:r>
      <w:r>
        <w:rPr>
          <w:rFonts w:ascii="MS PGothic" w:cs="MS PGothic" w:eastAsia="MS PGothic" w:hAnsi="MS PGothic"/>
          <w:sz w:val="20"/>
          <w:szCs w:val="20"/>
          <w:color w:val="auto"/>
        </w:rPr>
        <w:t>‑</w:t>
      </w:r>
      <w:r>
        <w:rPr>
          <w:rFonts w:ascii="Arial" w:cs="Arial" w:eastAsia="Arial" w:hAnsi="Arial"/>
          <w:sz w:val="20"/>
          <w:szCs w:val="20"/>
          <w:color w:val="auto"/>
        </w:rPr>
        <w:t>In Legislation Schedule.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Yen</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Japan.</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758"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52" w:lineRule="exact"/>
        <w:rPr>
          <w:sz w:val="20"/>
          <w:szCs w:val="20"/>
          <w:color w:val="auto"/>
        </w:rPr>
      </w:pPr>
    </w:p>
    <w:p>
      <w:pPr>
        <w:jc w:val="both"/>
        <w:ind w:firstLine="645"/>
        <w:spacing w:after="0" w:line="300" w:lineRule="auto"/>
        <w:tabs>
          <w:tab w:leader="none" w:pos="11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rules, regulations and orders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real and personal property and tangible and intangible assets and properties, including cash, securities, accounts and contract rights.</w:t>
      </w:r>
    </w:p>
    <w:p>
      <w:pPr>
        <w:spacing w:after="0" w:line="181" w:lineRule="exact"/>
        <w:rPr>
          <w:rFonts w:ascii="Arial" w:cs="Arial" w:eastAsia="Arial" w:hAnsi="Arial"/>
          <w:sz w:val="18"/>
          <w:szCs w:val="18"/>
          <w:color w:val="auto"/>
        </w:rPr>
      </w:pPr>
    </w:p>
    <w:p>
      <w:pPr>
        <w:ind w:firstLine="645"/>
        <w:spacing w:after="0" w:line="316" w:lineRule="auto"/>
        <w:tabs>
          <w:tab w:leader="none" w:pos="11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firstLine="645"/>
        <w:spacing w:after="0" w:line="289" w:lineRule="auto"/>
        <w:tabs>
          <w:tab w:leader="none" w:pos="1102" w:val="left"/>
        </w:tabs>
        <w:numPr>
          <w:ilvl w:val="0"/>
          <w:numId w:val="60"/>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1" w:lineRule="exact"/>
        <w:rPr>
          <w:sz w:val="20"/>
          <w:szCs w:val="20"/>
          <w:color w:val="auto"/>
        </w:rPr>
      </w:pPr>
    </w:p>
    <w:p>
      <w:pPr>
        <w:spacing w:after="0"/>
        <w:tabs>
          <w:tab w:leader="none" w:pos="500" w:val="left"/>
          <w:tab w:leader="none" w:pos="23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2"/>
          <w:szCs w:val="22"/>
          <w:color w:val="auto"/>
        </w:rPr>
        <w:t>Accounting Terms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-17780</wp:posOffset>
            </wp:positionV>
            <wp:extent cx="11525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52525" cy="8890"/>
                    </a:xfrm>
                    <a:prstGeom prst="rect">
                      <a:avLst/>
                    </a:prstGeom>
                    <a:noFill/>
                  </pic:spPr>
                </pic:pic>
              </a:graphicData>
            </a:graphic>
          </wp:anchor>
        </w:drawing>
      </w:r>
    </w:p>
    <w:p>
      <w:pPr>
        <w:spacing w:after="0" w:line="231" w:lineRule="exact"/>
        <w:rPr>
          <w:sz w:val="20"/>
          <w:szCs w:val="20"/>
          <w:color w:val="auto"/>
        </w:rPr>
      </w:pPr>
    </w:p>
    <w:p>
      <w:pPr>
        <w:jc w:val="both"/>
        <w:ind w:firstLine="645"/>
        <w:spacing w:after="0" w:line="286" w:lineRule="auto"/>
        <w:tabs>
          <w:tab w:leader="none" w:pos="106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calculations of Attributable Indebtedness under any Synthetic Lease or the implied interest component of any Synthetic Lease shall be made by the Company in accordance with accepted financial practice and consistent with the terms of such Synthetic Lease. Notwithstanding the foregoing, for purposes of determining compliance with any covenant (including the computation of any financial covenant) contained herein, Indebtedness of the Parent and its Subsidiaries shall be deemed to be carried at 100% of the outstanding principal</w:t>
      </w: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760"/>
          </w:cols>
          <w:pgMar w:left="900" w:top="757" w:right="239" w:bottom="1440" w:gutter="0" w:footer="0" w:header="0"/>
        </w:sectPr>
      </w:pPr>
    </w:p>
    <w:bookmarkStart w:id="162" w:name="page163"/>
    <w:bookmarkEnd w:id="162"/>
    <w:p>
      <w:pPr>
        <w:jc w:val="both"/>
        <w:ind w:left="660"/>
        <w:spacing w:after="0" w:line="255" w:lineRule="exact"/>
        <w:rPr>
          <w:sz w:val="20"/>
          <w:szCs w:val="20"/>
          <w:color w:val="auto"/>
        </w:rPr>
      </w:pPr>
      <w:r>
        <w:rPr>
          <w:rFonts w:ascii="Arial" w:cs="Arial" w:eastAsia="Arial" w:hAnsi="Arial"/>
          <w:sz w:val="20"/>
          <w:szCs w:val="20"/>
          <w:color w:val="auto"/>
        </w:rPr>
        <w:t>amount thereof, and the effects of FASB ASC 825 and FASB ASC 470</w:t>
      </w:r>
      <w:r>
        <w:rPr>
          <w:rFonts w:ascii="MS PGothic" w:cs="MS PGothic" w:eastAsia="MS PGothic" w:hAnsi="MS PGothic"/>
          <w:sz w:val="20"/>
          <w:szCs w:val="20"/>
          <w:color w:val="auto"/>
        </w:rPr>
        <w:t>‑</w:t>
      </w:r>
      <w:r>
        <w:rPr>
          <w:rFonts w:ascii="Arial" w:cs="Arial" w:eastAsia="Arial" w:hAnsi="Arial"/>
          <w:sz w:val="20"/>
          <w:szCs w:val="20"/>
          <w:color w:val="auto"/>
        </w:rPr>
        <w:t>20 on financial liabilities shall be disregarded. Notwithstanding anything contained herein to the contrary, with respect to determining the permissibility of the incurrence of any Indebtedness, the proceeds thereof shall not be counted as Unrestricted Cash for the purposes of clause (a)(ii) of the definition of Consolidated Leverage Ratio.</w:t>
      </w:r>
    </w:p>
    <w:p>
      <w:pPr>
        <w:spacing w:after="0" w:line="223" w:lineRule="exact"/>
        <w:rPr>
          <w:sz w:val="20"/>
          <w:szCs w:val="20"/>
          <w:color w:val="auto"/>
        </w:rPr>
      </w:pPr>
    </w:p>
    <w:p>
      <w:pPr>
        <w:jc w:val="both"/>
        <w:ind w:left="660" w:firstLine="645"/>
        <w:spacing w:after="0" w:line="302" w:lineRule="auto"/>
        <w:tabs>
          <w:tab w:leader="none" w:pos="182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The Parent will provide a written summary of material changes in GAAP and in the consistent application thereof with each annual and quarterly Compliance Certificate delivered in accordance with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Parent or the Required Pro Rata Facilities Lenders shall so request, the Administrative Agent, the Lenders and the Parent shall negotiate in good faith to amend such ratio or requirement to preserve the original intent thereof in light of such change in GAAP (subject to the approval of the Required Pro Rata Facilities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Parent shall provide to the Administrative Agent and the Lenders financial statements and other documents required under this Agreement or as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69" w:lineRule="exact"/>
        <w:rPr>
          <w:rFonts w:ascii="Arial" w:cs="Arial" w:eastAsia="Arial" w:hAnsi="Arial"/>
          <w:sz w:val="18"/>
          <w:szCs w:val="18"/>
          <w:color w:val="auto"/>
        </w:rPr>
      </w:pPr>
    </w:p>
    <w:p>
      <w:pPr>
        <w:jc w:val="both"/>
        <w:ind w:left="660" w:firstLine="645"/>
        <w:spacing w:after="0" w:line="272" w:lineRule="auto"/>
        <w:tabs>
          <w:tab w:leader="none" w:pos="176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Calculations</w:t>
      </w:r>
      <w:r>
        <w:rPr>
          <w:rFonts w:ascii="Arial" w:cs="Arial" w:eastAsia="Arial" w:hAnsi="Arial"/>
          <w:sz w:val="20"/>
          <w:szCs w:val="20"/>
          <w:color w:val="auto"/>
        </w:rPr>
        <w:t xml:space="preserve">. Notwithstanding the above, the parties hereto acknowledge and agree that all calculations of the financial covenants in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(including for purposes of determining the Applicable Rate) shall be made on a Pro Forma Basis. In connection with any Material Acquisition Pro Forma Calculation, the maximum Consolidated Leverage Ratio that was permitted pursuant to </w:t>
      </w:r>
      <w:r>
        <w:rPr>
          <w:rFonts w:ascii="Arial" w:cs="Arial" w:eastAsia="Arial" w:hAnsi="Arial"/>
          <w:sz w:val="20"/>
          <w:szCs w:val="20"/>
          <w:u w:val="single" w:color="auto"/>
          <w:color w:val="auto"/>
        </w:rPr>
        <w:t>Section 8.11(a)</w:t>
      </w:r>
      <w:r>
        <w:rPr>
          <w:rFonts w:ascii="Arial" w:cs="Arial" w:eastAsia="Arial" w:hAnsi="Arial"/>
          <w:sz w:val="20"/>
          <w:szCs w:val="20"/>
          <w:color w:val="auto"/>
        </w:rPr>
        <w:t xml:space="preserve"> for the most recent fiscal quarter ended for which the Company was required to deliver financial statements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shall be deemed to be 4.25 to 1.00 solely for purposes of such Material Acquisition Pro Forma Calculation.</w:t>
      </w:r>
    </w:p>
    <w:p>
      <w:pPr>
        <w:spacing w:after="0" w:line="187" w:lineRule="exact"/>
        <w:rPr>
          <w:sz w:val="20"/>
          <w:szCs w:val="20"/>
          <w:color w:val="auto"/>
        </w:rPr>
      </w:pPr>
    </w:p>
    <w:p>
      <w:pPr>
        <w:ind w:left="660"/>
        <w:spacing w:after="0"/>
        <w:tabs>
          <w:tab w:leader="none" w:pos="1160" w:val="left"/>
          <w:tab w:leader="none" w:pos="22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2"/>
          <w:szCs w:val="22"/>
          <w:color w:val="auto"/>
        </w:rPr>
        <w:t>Rounding</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-17780</wp:posOffset>
            </wp:positionV>
            <wp:extent cx="678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8180" cy="8890"/>
                    </a:xfrm>
                    <a:prstGeom prst="rect">
                      <a:avLst/>
                    </a:prstGeom>
                    <a:noFill/>
                  </pic:spPr>
                </pic:pic>
              </a:graphicData>
            </a:graphic>
          </wp:anchor>
        </w:drawing>
      </w:r>
    </w:p>
    <w:p>
      <w:pPr>
        <w:spacing w:after="0" w:line="218"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19"/>
          <w:szCs w:val="19"/>
          <w:color w:val="auto"/>
        </w:rPr>
        <w:t>Any financial ratios required to be maintained by the Parent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w:t>
      </w:r>
      <w:r>
        <w:rPr>
          <w:rFonts w:ascii="MS PGothic" w:cs="MS PGothic" w:eastAsia="MS PGothic" w:hAnsi="MS PGothic"/>
          <w:sz w:val="19"/>
          <w:szCs w:val="19"/>
          <w:color w:val="auto"/>
        </w:rPr>
        <w:t>‑</w:t>
      </w:r>
      <w:r>
        <w:rPr>
          <w:rFonts w:ascii="Arial" w:cs="Arial" w:eastAsia="Arial" w:hAnsi="Arial"/>
          <w:sz w:val="19"/>
          <w:szCs w:val="19"/>
          <w:color w:val="auto"/>
        </w:rPr>
        <w:t>up if there is no nearest number).</w:t>
      </w:r>
    </w:p>
    <w:p>
      <w:pPr>
        <w:spacing w:after="0" w:line="21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Exchange Rates; Currency Equivalents</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293" w:lineRule="auto"/>
        <w:tabs>
          <w:tab w:leader="none" w:pos="174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Administrative Agent, the Swing Line Lender or the L/C Issuer, as applicable, shall determine the Spot Rates as of each Revaluation Date to be used for calculating Dollar Equivalent amounts of Credit Extensions and Outstanding Amounts denominated in Alternative Currencies, Australian Dollars and New Zealand Dollars. Such Spot Rates shall become effective as of such Revaluation Date and shall be the Spot Rates employed in converting any amounts between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771" w:right="239" w:bottom="1440" w:gutter="0" w:footer="0" w:header="0"/>
        </w:sectPr>
      </w:pPr>
    </w:p>
    <w:bookmarkStart w:id="163" w:name="page164"/>
    <w:bookmarkEnd w:id="163"/>
    <w:p>
      <w:pPr>
        <w:jc w:val="both"/>
        <w:spacing w:after="0" w:line="274" w:lineRule="auto"/>
        <w:rPr>
          <w:sz w:val="20"/>
          <w:szCs w:val="20"/>
          <w:color w:val="auto"/>
        </w:rPr>
      </w:pPr>
      <w:r>
        <w:rPr>
          <w:rFonts w:ascii="Arial" w:cs="Arial" w:eastAsia="Arial" w:hAnsi="Arial"/>
          <w:sz w:val="20"/>
          <w:szCs w:val="20"/>
          <w:color w:val="auto"/>
        </w:rPr>
        <w:t>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the Swing Line Lender or the L/C Issuer, as applicable.</w:t>
      </w:r>
    </w:p>
    <w:p>
      <w:pPr>
        <w:spacing w:after="0" w:line="192" w:lineRule="exact"/>
        <w:rPr>
          <w:sz w:val="20"/>
          <w:szCs w:val="20"/>
          <w:color w:val="auto"/>
        </w:rPr>
      </w:pPr>
    </w:p>
    <w:p>
      <w:pPr>
        <w:jc w:val="both"/>
        <w:ind w:firstLine="645"/>
        <w:spacing w:after="0" w:line="307" w:lineRule="auto"/>
        <w:tabs>
          <w:tab w:leader="none" w:pos="10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Foreign Swing Line Loan or Letter of Credit is denominated in an Alternative Currency, Australian Dollars or New Zealand Dollars, such amount shall be the relevant Alternative Currency Equivalent of such Dollar amount (rounded to the nearest unit of such currency, with 0.5 of a unit being rounded upward), as determined by the Administrative Agent, the Swing Line Lender or the L/C Issuer, as the case may be.</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243" w:lineRule="exact"/>
        <w:rPr>
          <w:sz w:val="20"/>
          <w:szCs w:val="20"/>
          <w:color w:val="auto"/>
        </w:rPr>
      </w:pPr>
    </w:p>
    <w:p>
      <w:pPr>
        <w:jc w:val="both"/>
        <w:ind w:firstLine="645"/>
        <w:spacing w:after="0" w:line="287" w:lineRule="auto"/>
        <w:tabs>
          <w:tab w:leader="none" w:pos="1089"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Company may from time to time request that Eurocurrency Rate Loans be made under the Aggregate Revolving B Commitments and/or Letters of Credit be issued under the Aggregate Revolving A Commitments, in each case, in a currency other than those specifically listed in the definition of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requested currency is a lawful currency (other than Dollars) that is readily available and freely transferable and convertible into Dollars. In the case of any such request with respect to the making of Eurocurrency Rate Loans, such request shall be subject to the approval of the Administrative Agent and the Revolving B Lenders; and in the case of any such request with respect to the issuance of Letters of Credit, such request shall be subject to the approval of the Administrative Agent and the L/C Issuer.</w:t>
      </w:r>
    </w:p>
    <w:p>
      <w:pPr>
        <w:spacing w:after="0" w:line="183" w:lineRule="exact"/>
        <w:rPr>
          <w:rFonts w:ascii="Arial" w:cs="Arial" w:eastAsia="Arial" w:hAnsi="Arial"/>
          <w:sz w:val="19"/>
          <w:szCs w:val="19"/>
          <w:color w:val="auto"/>
        </w:rPr>
      </w:pPr>
    </w:p>
    <w:p>
      <w:pPr>
        <w:jc w:val="both"/>
        <w:ind w:firstLine="645"/>
        <w:spacing w:after="0" w:line="286" w:lineRule="auto"/>
        <w:tabs>
          <w:tab w:leader="none" w:pos="1072"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Revolving B Lender thereof; and in the case of any such request pertaining to Letters of Credit, the Administrative Agent shall promptly notify the L/C Issuer thereof. Each Revolving B Lender (in the case of any such request pertaining to Eurocurrency Rate Loans) or the L/C Issuer (in the case of a request pertaining to Letters of Credit) shall notify the Administrative Agent, not later than 11:00 a.m., 10 Business Days after receipt of such request whether it consents, in its sole discretion, to the making of Eurocurrency Rate Loans or the issuance of Letters of Credit, as the case may be, in such requested currency.</w:t>
      </w:r>
    </w:p>
    <w:p>
      <w:pPr>
        <w:spacing w:after="0" w:line="182" w:lineRule="exact"/>
        <w:rPr>
          <w:rFonts w:ascii="Arial" w:cs="Arial" w:eastAsia="Arial" w:hAnsi="Arial"/>
          <w:sz w:val="19"/>
          <w:szCs w:val="19"/>
          <w:color w:val="auto"/>
        </w:rPr>
      </w:pPr>
    </w:p>
    <w:p>
      <w:pPr>
        <w:jc w:val="both"/>
        <w:ind w:firstLine="645"/>
        <w:spacing w:after="0" w:line="273" w:lineRule="auto"/>
        <w:tabs>
          <w:tab w:leader="none" w:pos="1102"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failure by a Revolving B Lender or the L/C Issuer, as the case may be, to respond to such request within the time period specified in the preceding sentence shall be deemed to be a refusal by such Revolving B Lender or the L/C Issuer, as the case may be, to permit Eurocurrency Rate Loans to be made or Letters of Credit to be issued in such requested currency. If the Administrative Agent and all the Revolving B Lenders consent to making Eurocurrency Rate Loans in such requested currency and the Administrative Agent and the Revolving B Lenders</w:t>
      </w:r>
    </w:p>
    <w:p>
      <w:pPr>
        <w:spacing w:after="0" w:line="200" w:lineRule="exact"/>
        <w:rPr>
          <w:sz w:val="20"/>
          <w:szCs w:val="20"/>
          <w:color w:val="auto"/>
        </w:rPr>
      </w:pPr>
    </w:p>
    <w:p>
      <w:pPr>
        <w:spacing w:after="0" w:line="23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760"/>
          </w:cols>
          <w:pgMar w:left="900" w:top="771" w:right="239" w:bottom="1440" w:gutter="0" w:footer="0" w:header="0"/>
        </w:sectPr>
      </w:pPr>
    </w:p>
    <w:bookmarkStart w:id="164" w:name="page165"/>
    <w:bookmarkEnd w:id="164"/>
    <w:p>
      <w:pPr>
        <w:jc w:val="both"/>
        <w:ind w:left="660"/>
        <w:spacing w:after="0" w:line="305" w:lineRule="auto"/>
        <w:rPr>
          <w:sz w:val="20"/>
          <w:szCs w:val="20"/>
          <w:color w:val="auto"/>
        </w:rPr>
      </w:pPr>
      <w:r>
        <w:rPr>
          <w:rFonts w:ascii="Arial" w:cs="Arial" w:eastAsia="Arial" w:hAnsi="Arial"/>
          <w:sz w:val="18"/>
          <w:szCs w:val="18"/>
          <w:color w:val="auto"/>
        </w:rPr>
        <w:t xml:space="preserve">reasonably determine that a Eurocurrency Base Rate is available to be used for such requested currency, the Administrative Agent shall so notify the Company and such currency shall thereupon be deemed for all purposes to be an Alternative Currency hereunder for purposes of any Borrowings of Eurocurrency Rate Loans under the Aggregate Revolving B Commitments; and if the Administrative Agent and the L/C Issuer consent to the issuance of Letters of Credit in such requested currency, the Administrative Agent shall so notify the Company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8"/>
          <w:szCs w:val="18"/>
          <w:u w:val="single" w:color="auto"/>
          <w:color w:val="auto"/>
        </w:rPr>
        <w:t>Section 1.06</w:t>
      </w:r>
      <w:r>
        <w:rPr>
          <w:rFonts w:ascii="Arial" w:cs="Arial" w:eastAsia="Arial" w:hAnsi="Arial"/>
          <w:sz w:val="18"/>
          <w:szCs w:val="18"/>
          <w:color w:val="auto"/>
        </w:rPr>
        <w:t>, the Administrative Agent shall promptly so notify the Company.</w:t>
      </w:r>
    </w:p>
    <w:p>
      <w:pPr>
        <w:spacing w:after="0" w:line="1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u w:val="single" w:color="auto"/>
          <w:color w:val="auto"/>
        </w:rPr>
        <w:t>Change of Currency</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286" w:lineRule="auto"/>
        <w:tabs>
          <w:tab w:leader="none" w:pos="1708"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Each obligation of the Borrowers to make a payment denominated in the national currency unit of any member state of the European Union that adopts the Euro as its lawful currency after the Third Amendment Effective Date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5" w:lineRule="exact"/>
        <w:rPr>
          <w:rFonts w:ascii="Arial" w:cs="Arial" w:eastAsia="Arial" w:hAnsi="Arial"/>
          <w:sz w:val="19"/>
          <w:szCs w:val="19"/>
          <w:color w:val="auto"/>
        </w:rPr>
      </w:pPr>
    </w:p>
    <w:p>
      <w:pPr>
        <w:jc w:val="both"/>
        <w:ind w:left="660" w:firstLine="645"/>
        <w:spacing w:after="0" w:line="278" w:lineRule="auto"/>
        <w:tabs>
          <w:tab w:leader="none" w:pos="1719" w:val="left"/>
        </w:tabs>
        <w:numPr>
          <w:ilvl w:val="0"/>
          <w:numId w:val="66"/>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6" w:lineRule="exact"/>
        <w:rPr>
          <w:rFonts w:ascii="Arial" w:cs="Arial" w:eastAsia="Arial" w:hAnsi="Arial"/>
          <w:sz w:val="20"/>
          <w:szCs w:val="20"/>
          <w:color w:val="auto"/>
        </w:rPr>
      </w:pPr>
    </w:p>
    <w:p>
      <w:pPr>
        <w:jc w:val="both"/>
        <w:ind w:left="660" w:firstLine="645"/>
        <w:spacing w:after="0" w:line="278" w:lineRule="auto"/>
        <w:tabs>
          <w:tab w:leader="none" w:pos="1749" w:val="left"/>
        </w:tabs>
        <w:numPr>
          <w:ilvl w:val="0"/>
          <w:numId w:val="66"/>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2" w:lineRule="exact"/>
        <w:rPr>
          <w:sz w:val="20"/>
          <w:szCs w:val="20"/>
          <w:color w:val="auto"/>
        </w:rPr>
      </w:pPr>
    </w:p>
    <w:p>
      <w:pPr>
        <w:ind w:left="660"/>
        <w:spacing w:after="0"/>
        <w:tabs>
          <w:tab w:leader="none" w:pos="1160" w:val="left"/>
          <w:tab w:leader="none" w:pos="316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2"/>
          <w:szCs w:val="22"/>
          <w:color w:val="auto"/>
        </w:rPr>
        <w:t>Times of Day; Rates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-17780</wp:posOffset>
            </wp:positionV>
            <wp:extent cx="12642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spacing w:after="0" w:line="2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the rates in the definition of “Eurocurrency Base Rate” or with respect to any comparable or successor rate thereto.</w:t>
      </w:r>
    </w:p>
    <w:p>
      <w:pPr>
        <w:spacing w:after="0" w:line="200" w:lineRule="exact"/>
        <w:rPr>
          <w:sz w:val="20"/>
          <w:szCs w:val="20"/>
          <w:color w:val="auto"/>
        </w:rPr>
      </w:pPr>
    </w:p>
    <w:p>
      <w:pPr>
        <w:ind w:left="660"/>
        <w:spacing w:after="0"/>
        <w:tabs>
          <w:tab w:leader="none" w:pos="1160" w:val="left"/>
          <w:tab w:leader="none" w:pos="356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2"/>
          <w:szCs w:val="22"/>
          <w:color w:val="auto"/>
        </w:rPr>
        <w:t>Letter of Credit Amounts</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-17780</wp:posOffset>
            </wp:positionV>
            <wp:extent cx="15278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27810" cy="8890"/>
                    </a:xfrm>
                    <a:prstGeom prst="rect">
                      <a:avLst/>
                    </a:prstGeom>
                    <a:noFill/>
                  </pic:spPr>
                </pic:pic>
              </a:graphicData>
            </a:graphic>
          </wp:anchor>
        </w:drawing>
      </w:r>
    </w:p>
    <w:p>
      <w:pPr>
        <w:spacing w:after="0" w:line="2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Letter of Credit that, by its terms or the terms of any Issuer Document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771" w:right="239" w:bottom="1440" w:gutter="0" w:footer="0" w:header="0"/>
        </w:sectPr>
      </w:pPr>
    </w:p>
    <w:bookmarkStart w:id="165" w:name="page166"/>
    <w:bookmarkEnd w:id="165"/>
    <w:p>
      <w:pPr>
        <w:jc w:val="both"/>
        <w:spacing w:after="0" w:line="250" w:lineRule="auto"/>
        <w:rPr>
          <w:sz w:val="20"/>
          <w:szCs w:val="20"/>
          <w:color w:val="auto"/>
        </w:rPr>
      </w:pPr>
      <w:r>
        <w:rPr>
          <w:rFonts w:ascii="Arial" w:cs="Arial" w:eastAsia="Arial" w:hAnsi="Arial"/>
          <w:sz w:val="20"/>
          <w:szCs w:val="20"/>
          <w:color w:val="auto"/>
        </w:rPr>
        <w:t>related thereto, provides for one or more automatic increases in the stated amount thereof, the amount of such Letter of Credit shall be deemed to be the Dollar Equivalent to the maximum stated amount of such Letter of Credit after giving effect to all such increases, whether or not such maximum stated amount is in effect at such time.</w:t>
      </w:r>
    </w:p>
    <w:p>
      <w:pPr>
        <w:spacing w:after="0" w:line="18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COMMITMENTS AND CREDIT EXTENSIONS</w:t>
      </w:r>
    </w:p>
    <w:p>
      <w:pPr>
        <w:spacing w:after="0" w:line="244" w:lineRule="exact"/>
        <w:rPr>
          <w:sz w:val="20"/>
          <w:szCs w:val="20"/>
          <w:color w:val="auto"/>
        </w:rPr>
      </w:pPr>
    </w:p>
    <w:p>
      <w:pPr>
        <w:ind w:left="660"/>
        <w:spacing w:after="0"/>
        <w:tabs>
          <w:tab w:leader="none" w:pos="1160" w:val="left"/>
          <w:tab w:leader="none" w:pos="260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22"/>
          <w:szCs w:val="22"/>
          <w:color w:val="auto"/>
        </w:rPr>
        <w:t>Commitments</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-17780</wp:posOffset>
            </wp:positionV>
            <wp:extent cx="915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231" w:lineRule="exact"/>
        <w:rPr>
          <w:sz w:val="20"/>
          <w:szCs w:val="20"/>
          <w:color w:val="auto"/>
        </w:rPr>
      </w:pPr>
    </w:p>
    <w:p>
      <w:pPr>
        <w:jc w:val="both"/>
        <w:ind w:left="660" w:firstLine="645"/>
        <w:spacing w:after="0" w:line="301" w:lineRule="auto"/>
        <w:tabs>
          <w:tab w:leader="none" w:pos="177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Revolving A Loans</w:t>
      </w:r>
      <w:r>
        <w:rPr>
          <w:rFonts w:ascii="Arial" w:cs="Arial" w:eastAsia="Arial" w:hAnsi="Arial"/>
          <w:sz w:val="18"/>
          <w:szCs w:val="18"/>
          <w:color w:val="auto"/>
        </w:rPr>
        <w:t>. Subject to the terms and conditions set forth herein, each Revolving A Lender severally agrees to make loans (each such loan, a “</w:t>
      </w:r>
      <w:r>
        <w:rPr>
          <w:rFonts w:ascii="Arial" w:cs="Arial" w:eastAsia="Arial" w:hAnsi="Arial"/>
          <w:sz w:val="18"/>
          <w:szCs w:val="18"/>
          <w:u w:val="single" w:color="auto"/>
          <w:color w:val="auto"/>
        </w:rPr>
        <w:t>Revolving A Loan</w:t>
      </w:r>
      <w:r>
        <w:rPr>
          <w:rFonts w:ascii="Arial" w:cs="Arial" w:eastAsia="Arial" w:hAnsi="Arial"/>
          <w:sz w:val="18"/>
          <w:szCs w:val="18"/>
          <w:color w:val="auto"/>
        </w:rPr>
        <w:t xml:space="preserve">”) to the Revolving A/B Borrowers in Dollars from time to time on any Business Day during the Availability Period for the Revolving A Commitments in an aggregate amount not to exceed at any time outstanding the amount of such Lender’s Revolving A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Borrowing of Revolving A Loans, (i) the Total Revolving A Outstandings shall not exceed the Aggregate Revolving A Commitments, (ii) the aggregate Outstanding Amount of the Revolving A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Domestic Swing Line Loans shall not exceed such Lender’s Revolving A Commitment, and (iii) the Total Revolving Outstandings shall not exceed the Aggregate Revolving Commitments. Each Revolving A Lender may, at its option, make any Revolving A Loan available to any Revolving A/B Borrower that is a Foreign Subsidiary by causing any foreign or domestic branch or Affiliate of such Lender to make such Revolving A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such Revolving A/B Borrower to repay such Revolving A Loan in accordance with the terms of this Agreement. Within the limits of each Lender’s Revolving A Commitment, and subject to the other terms and conditions hereof, the Revolving A/B Borrowers may borrow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Revolving A Loans may be Base Rate Loans or Eurocurrency Rate Loans, or a combination thereof, as further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Lux 2 may not borrow Base Rate Loans).</w:t>
      </w:r>
    </w:p>
    <w:p>
      <w:pPr>
        <w:spacing w:after="0" w:line="171" w:lineRule="exact"/>
        <w:rPr>
          <w:rFonts w:ascii="Arial" w:cs="Arial" w:eastAsia="Arial" w:hAnsi="Arial"/>
          <w:sz w:val="18"/>
          <w:szCs w:val="18"/>
          <w:color w:val="auto"/>
        </w:rPr>
      </w:pPr>
    </w:p>
    <w:p>
      <w:pPr>
        <w:jc w:val="both"/>
        <w:ind w:left="660" w:firstLine="645"/>
        <w:spacing w:after="0" w:line="285" w:lineRule="auto"/>
        <w:tabs>
          <w:tab w:leader="none" w:pos="1787"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Revolving B Loans</w:t>
      </w:r>
      <w:r>
        <w:rPr>
          <w:rFonts w:ascii="Arial" w:cs="Arial" w:eastAsia="Arial" w:hAnsi="Arial"/>
          <w:sz w:val="19"/>
          <w:szCs w:val="19"/>
          <w:color w:val="auto"/>
        </w:rPr>
        <w:t>. Subject to the terms and conditions set forth herein, each Revolving B Lender severally agrees to make loans (each such loan, a “</w:t>
      </w:r>
      <w:r>
        <w:rPr>
          <w:rFonts w:ascii="Arial" w:cs="Arial" w:eastAsia="Arial" w:hAnsi="Arial"/>
          <w:sz w:val="19"/>
          <w:szCs w:val="19"/>
          <w:u w:val="single" w:color="auto"/>
          <w:color w:val="auto"/>
        </w:rPr>
        <w:t>Revolving B Loan</w:t>
      </w:r>
      <w:r>
        <w:rPr>
          <w:rFonts w:ascii="Arial" w:cs="Arial" w:eastAsia="Arial" w:hAnsi="Arial"/>
          <w:sz w:val="19"/>
          <w:szCs w:val="19"/>
          <w:color w:val="auto"/>
        </w:rPr>
        <w:t xml:space="preserve">”) to the Revolving A/B Borrowers in Dollars or in one or more Alternative Currencies from time to time on any Business Day during the Availability Period for the Revolving B Commitments in an aggregate amount not to exceed at any time outstanding the amount of such Lender’s Revolving B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Borrowing of Revolving B Loans, (i) the Total Revolving B Outstandings shall not exceed the Aggregate Revolving B Commitments, (ii) the aggregate Outstanding Amount of the Revolving B Loans of any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Applicable Percentage of the Outstanding Amount of all Foreign Swing Line Loans shall not exceed such Lender’s Revolving B Commitment, and (iii) the Total Revolving Outstandings shall not exceed the Aggregate Revolving Commitments. Each Revolving B Lender may, at its option, make any Revolving B Loan available to any Revolving A/B Borrower that is a Foreign Subsidiary by causing any foreign or domestic branch or Affiliate of such Lender to make such Revolving B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such Revolving A/B Borrower to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758" w:right="239" w:bottom="1440" w:gutter="0" w:footer="0" w:header="0"/>
        </w:sectPr>
      </w:pPr>
    </w:p>
    <w:bookmarkStart w:id="166" w:name="page167"/>
    <w:bookmarkEnd w:id="166"/>
    <w:p>
      <w:pPr>
        <w:jc w:val="both"/>
        <w:spacing w:after="0" w:line="314" w:lineRule="auto"/>
        <w:rPr>
          <w:sz w:val="20"/>
          <w:szCs w:val="20"/>
          <w:color w:val="auto"/>
        </w:rPr>
      </w:pPr>
      <w:r>
        <w:rPr>
          <w:rFonts w:ascii="Arial" w:cs="Arial" w:eastAsia="Arial" w:hAnsi="Arial"/>
          <w:sz w:val="18"/>
          <w:szCs w:val="18"/>
          <w:color w:val="auto"/>
        </w:rPr>
        <w:t xml:space="preserve">repay such Revolving B Loan in accordance with the terms of this Agreement. Within the limits of each Lender’s Revolving B Commitment, and subject to the other terms and conditions hereof, the Revolving A/B Borrowers may borrow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Revolving B Loans may be Base Rate Loans or Eurocurrency Rate Loans, or a combination thereof, as further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Lux 2 may not borrow Base Rate Loans).</w:t>
      </w:r>
    </w:p>
    <w:p>
      <w:pPr>
        <w:spacing w:after="0" w:line="159" w:lineRule="exact"/>
        <w:rPr>
          <w:sz w:val="20"/>
          <w:szCs w:val="20"/>
          <w:color w:val="auto"/>
        </w:rPr>
      </w:pPr>
    </w:p>
    <w:p>
      <w:pPr>
        <w:jc w:val="both"/>
        <w:ind w:firstLine="645"/>
        <w:spacing w:after="0" w:line="314" w:lineRule="auto"/>
        <w:tabs>
          <w:tab w:leader="none" w:pos="112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 A Loan</w:t>
      </w:r>
      <w:r>
        <w:rPr>
          <w:rFonts w:ascii="Arial" w:cs="Arial" w:eastAsia="Arial" w:hAnsi="Arial"/>
          <w:sz w:val="18"/>
          <w:szCs w:val="18"/>
          <w:color w:val="auto"/>
        </w:rPr>
        <w:t>. Subject to the terms and conditions set forth herein, each Term A Lender severally agrees to make its portion of a term loan (the “</w:t>
      </w:r>
      <w:r>
        <w:rPr>
          <w:rFonts w:ascii="Arial" w:cs="Arial" w:eastAsia="Arial" w:hAnsi="Arial"/>
          <w:sz w:val="18"/>
          <w:szCs w:val="18"/>
          <w:u w:val="single" w:color="auto"/>
          <w:color w:val="auto"/>
        </w:rPr>
        <w:t>Term A Loan</w:t>
      </w:r>
      <w:r>
        <w:rPr>
          <w:rFonts w:ascii="Arial" w:cs="Arial" w:eastAsia="Arial" w:hAnsi="Arial"/>
          <w:sz w:val="18"/>
          <w:szCs w:val="18"/>
          <w:color w:val="auto"/>
        </w:rPr>
        <w:t>”) to the Company in Dollars on the Third Amendment Effective Date in an amount not to exceed such Term A Lender’s Term A Loan Commitment. Amounts repaid on the Term A Loan may not be reborrowed. The Term A Loan may consist of Base Rate Loans or Eurocurrency Rate Loans or a combination thereof, as further provided herein.</w:t>
      </w:r>
    </w:p>
    <w:p>
      <w:pPr>
        <w:spacing w:after="0" w:line="159" w:lineRule="exact"/>
        <w:rPr>
          <w:rFonts w:ascii="Arial" w:cs="Arial" w:eastAsia="Arial" w:hAnsi="Arial"/>
          <w:sz w:val="18"/>
          <w:szCs w:val="18"/>
          <w:color w:val="auto"/>
        </w:rPr>
      </w:pPr>
    </w:p>
    <w:p>
      <w:pPr>
        <w:jc w:val="both"/>
        <w:ind w:firstLine="645"/>
        <w:spacing w:after="0" w:line="255" w:lineRule="exact"/>
        <w:tabs>
          <w:tab w:leader="none" w:pos="108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 B</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3 Loan</w:t>
      </w:r>
      <w:r>
        <w:rPr>
          <w:rFonts w:ascii="Arial" w:cs="Arial" w:eastAsia="Arial" w:hAnsi="Arial"/>
          <w:sz w:val="18"/>
          <w:szCs w:val="18"/>
          <w:color w:val="auto"/>
        </w:rPr>
        <w:t>. Subject to the terms and conditions set forth herein, each Term B</w:t>
      </w:r>
      <w:r>
        <w:rPr>
          <w:rFonts w:ascii="MS PGothic" w:cs="MS PGothic" w:eastAsia="MS PGothic" w:hAnsi="MS PGothic"/>
          <w:sz w:val="18"/>
          <w:szCs w:val="18"/>
          <w:color w:val="auto"/>
        </w:rPr>
        <w:t>‑</w:t>
      </w:r>
      <w:r>
        <w:rPr>
          <w:rFonts w:ascii="Arial" w:cs="Arial" w:eastAsia="Arial" w:hAnsi="Arial"/>
          <w:sz w:val="18"/>
          <w:szCs w:val="18"/>
          <w:color w:val="auto"/>
        </w:rPr>
        <w:t>3 Lender severally agrees to make its portion of a term loan (the “</w:t>
      </w:r>
      <w:r>
        <w:rPr>
          <w:rFonts w:ascii="Arial" w:cs="Arial" w:eastAsia="Arial" w:hAnsi="Arial"/>
          <w:sz w:val="18"/>
          <w:szCs w:val="18"/>
          <w:u w:val="single" w:color="auto"/>
          <w:color w:val="auto"/>
        </w:rPr>
        <w:t>Term B</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3 Loan</w:t>
      </w:r>
      <w:r>
        <w:rPr>
          <w:rFonts w:ascii="Arial" w:cs="Arial" w:eastAsia="Arial" w:hAnsi="Arial"/>
          <w:sz w:val="18"/>
          <w:szCs w:val="18"/>
          <w:color w:val="auto"/>
        </w:rPr>
        <w:t>”) to the Company in Dollars on the Third Amendment Effective Date in an amount not to exceed such Term B</w:t>
      </w:r>
      <w:r>
        <w:rPr>
          <w:rFonts w:ascii="MS PGothic" w:cs="MS PGothic" w:eastAsia="MS PGothic" w:hAnsi="MS PGothic"/>
          <w:sz w:val="18"/>
          <w:szCs w:val="18"/>
          <w:color w:val="auto"/>
        </w:rPr>
        <w:t>‑</w:t>
      </w:r>
      <w:r>
        <w:rPr>
          <w:rFonts w:ascii="Arial" w:cs="Arial" w:eastAsia="Arial" w:hAnsi="Arial"/>
          <w:sz w:val="18"/>
          <w:szCs w:val="18"/>
          <w:color w:val="auto"/>
        </w:rPr>
        <w:t>3 Lender’s Term B</w:t>
      </w:r>
      <w:r>
        <w:rPr>
          <w:rFonts w:ascii="MS PGothic" w:cs="MS PGothic" w:eastAsia="MS PGothic" w:hAnsi="MS PGothic"/>
          <w:sz w:val="18"/>
          <w:szCs w:val="18"/>
          <w:color w:val="auto"/>
        </w:rPr>
        <w:t>‑</w:t>
      </w:r>
      <w:r>
        <w:rPr>
          <w:rFonts w:ascii="Arial" w:cs="Arial" w:eastAsia="Arial" w:hAnsi="Arial"/>
          <w:sz w:val="18"/>
          <w:szCs w:val="18"/>
          <w:color w:val="auto"/>
        </w:rPr>
        <w:t>3 Loan Commitment. Amounts repaid on the Term B</w:t>
      </w:r>
      <w:r>
        <w:rPr>
          <w:rFonts w:ascii="MS PGothic" w:cs="MS PGothic" w:eastAsia="MS PGothic" w:hAnsi="MS PGothic"/>
          <w:sz w:val="18"/>
          <w:szCs w:val="18"/>
          <w:color w:val="auto"/>
        </w:rPr>
        <w:t>‑</w:t>
      </w:r>
      <w:r>
        <w:rPr>
          <w:rFonts w:ascii="Arial" w:cs="Arial" w:eastAsia="Arial" w:hAnsi="Arial"/>
          <w:sz w:val="18"/>
          <w:szCs w:val="18"/>
          <w:color w:val="auto"/>
        </w:rPr>
        <w:t>3 Loan may not be reborrowed. The Term B</w:t>
      </w:r>
      <w:r>
        <w:rPr>
          <w:rFonts w:ascii="MS PGothic" w:cs="MS PGothic" w:eastAsia="MS PGothic" w:hAnsi="MS PGothic"/>
          <w:sz w:val="18"/>
          <w:szCs w:val="18"/>
          <w:color w:val="auto"/>
        </w:rPr>
        <w:t>‑</w:t>
      </w:r>
      <w:r>
        <w:rPr>
          <w:rFonts w:ascii="Arial" w:cs="Arial" w:eastAsia="Arial" w:hAnsi="Arial"/>
          <w:sz w:val="18"/>
          <w:szCs w:val="18"/>
          <w:color w:val="auto"/>
        </w:rPr>
        <w:t>3 Loan may consist of Base Rate Loans or Eurocurrency Rate Loans or a combination thereof, as further provided herein.</w:t>
      </w:r>
    </w:p>
    <w:p>
      <w:pPr>
        <w:spacing w:after="0" w:line="224" w:lineRule="exact"/>
        <w:rPr>
          <w:rFonts w:ascii="Arial" w:cs="Arial" w:eastAsia="Arial" w:hAnsi="Arial"/>
          <w:sz w:val="18"/>
          <w:szCs w:val="18"/>
          <w:color w:val="auto"/>
        </w:rPr>
      </w:pPr>
    </w:p>
    <w:p>
      <w:pPr>
        <w:jc w:val="both"/>
        <w:ind w:firstLine="645"/>
        <w:spacing w:after="0" w:line="287" w:lineRule="auto"/>
        <w:tabs>
          <w:tab w:leader="none" w:pos="119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Incremental Term Loans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2.02(f)</w:t>
      </w:r>
      <w:r>
        <w:rPr>
          <w:rFonts w:ascii="Arial" w:cs="Arial" w:eastAsia="Arial" w:hAnsi="Arial"/>
          <w:sz w:val="19"/>
          <w:szCs w:val="19"/>
          <w:color w:val="auto"/>
        </w:rPr>
        <w:t xml:space="preserve">, on the effective date of any Lender Joinder Agreement, each Incremental Term Loan Lender severally agrees to make its portion of its Incremental Term Loan to the Company in the amount of its respective Incremental Term Loan Commitment as set forth in such Lender Joinder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after giving effect to such advances, the Outstanding Amount of such Incremental Term Loan shall not exceed the aggregate amount of the Incremental Term Loan Commitments of the Incremental Term Loan Lenders with respect thereto. Amounts repaid on any Incremental Term Loan may not be reborrowed. Each Incremental Term Loan may consist of Base Rate Loans, Eurocurrency Rate Loans, or a combination thereof, as the Company may request.</w:t>
      </w:r>
    </w:p>
    <w:p>
      <w:pPr>
        <w:spacing w:after="0" w:line="183" w:lineRule="exact"/>
        <w:rPr>
          <w:rFonts w:ascii="Arial" w:cs="Arial" w:eastAsia="Arial" w:hAnsi="Arial"/>
          <w:sz w:val="19"/>
          <w:szCs w:val="19"/>
          <w:color w:val="auto"/>
        </w:rPr>
      </w:pPr>
    </w:p>
    <w:p>
      <w:pPr>
        <w:jc w:val="both"/>
        <w:ind w:firstLine="645"/>
        <w:spacing w:after="0" w:line="285" w:lineRule="auto"/>
        <w:tabs>
          <w:tab w:leader="none" w:pos="109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Revolving C Loans</w:t>
      </w:r>
      <w:r>
        <w:rPr>
          <w:rFonts w:ascii="Arial" w:cs="Arial" w:eastAsia="Arial" w:hAnsi="Arial"/>
          <w:sz w:val="19"/>
          <w:szCs w:val="19"/>
          <w:color w:val="auto"/>
        </w:rPr>
        <w:t>. Subject to the terms and conditions set forth herein, each Revolving C Lender severally agrees to make loans (each such loan, a “</w:t>
      </w:r>
      <w:r>
        <w:rPr>
          <w:rFonts w:ascii="Arial" w:cs="Arial" w:eastAsia="Arial" w:hAnsi="Arial"/>
          <w:sz w:val="19"/>
          <w:szCs w:val="19"/>
          <w:u w:val="single" w:color="auto"/>
          <w:color w:val="auto"/>
        </w:rPr>
        <w:t>Revolving C Loan</w:t>
      </w:r>
      <w:r>
        <w:rPr>
          <w:rFonts w:ascii="Arial" w:cs="Arial" w:eastAsia="Arial" w:hAnsi="Arial"/>
          <w:sz w:val="19"/>
          <w:szCs w:val="19"/>
          <w:color w:val="auto"/>
        </w:rPr>
        <w:t xml:space="preserve">”) to the Revolving C Borrowers in Dollars, Australian Dollars or New Zealand Dollars from time to time on any Business Day during the Availability Period for the Revolving C Commitments in an aggregate amount not to exceed at any time outstanding the amount of such Lender’s Revolving C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Borrowing of Revolving C Loans, (i) the Total Revolving C Outstandings shall not exceed the Aggregate Revolving C Commitments, (ii) the aggregate Outstanding Amount of the Revolving C Loans of any Lender shall not exceed such Lender’s Revolving C Commitment, and (iii) the Total Revolving Outstandings shall not exceed the Aggregate Revolving Commitments. Each Revolving C Lender may, at its option, make any Revolving C Loan available to any Revolving C Borrower that is a Foreign Subsidiary by causing any foreign or domestic branch or Affiliate of such Lender to make such Revolving C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such Revolving C Borrower to repay such Revolving C Loan in accordance with the terms of this Agreement. Within the limits of each Lender’s Revolving C Commitment, and subject to the other terms and conditions hereof, the</w:t>
      </w: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760"/>
          </w:cols>
          <w:pgMar w:left="900" w:top="771" w:right="239" w:bottom="1440" w:gutter="0" w:footer="0" w:header="0"/>
        </w:sectPr>
      </w:pPr>
    </w:p>
    <w:bookmarkStart w:id="167" w:name="page168"/>
    <w:bookmarkEnd w:id="167"/>
    <w:p>
      <w:pPr>
        <w:jc w:val="both"/>
        <w:ind w:left="4"/>
        <w:spacing w:after="0" w:line="322" w:lineRule="auto"/>
        <w:rPr>
          <w:sz w:val="20"/>
          <w:szCs w:val="20"/>
          <w:color w:val="auto"/>
        </w:rPr>
      </w:pPr>
      <w:r>
        <w:rPr>
          <w:rFonts w:ascii="Arial" w:cs="Arial" w:eastAsia="Arial" w:hAnsi="Arial"/>
          <w:sz w:val="18"/>
          <w:szCs w:val="18"/>
          <w:color w:val="auto"/>
        </w:rPr>
        <w:t xml:space="preserve">Revolving C Borrowers may borrow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Revolving C Loans denominated in Dollars may be Base Rate Loans or Eurocurrency Rate Loans, or a combination thereof, as further provided herein. Revolving C Loans denominated in Australian Dollars or New Zealand Dollars shall be Eurocurrency Rate Loans.</w:t>
      </w:r>
    </w:p>
    <w:p>
      <w:pPr>
        <w:spacing w:after="0" w:line="148" w:lineRule="exact"/>
        <w:rPr>
          <w:sz w:val="20"/>
          <w:szCs w:val="20"/>
          <w:color w:val="auto"/>
        </w:rPr>
      </w:pPr>
    </w:p>
    <w:p>
      <w:pPr>
        <w:ind w:left="4"/>
        <w:spacing w:after="0"/>
        <w:tabs>
          <w:tab w:leader="none" w:pos="503" w:val="left"/>
          <w:tab w:leader="none" w:pos="5383"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color w:val="auto"/>
        </w:rPr>
        <w:t>Borrowings, Conversions and Continuations of Loans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-3175</wp:posOffset>
            </wp:positionV>
            <wp:extent cx="30943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54" w:lineRule="exact"/>
        <w:rPr>
          <w:sz w:val="20"/>
          <w:szCs w:val="20"/>
          <w:color w:val="auto"/>
        </w:rPr>
      </w:pPr>
    </w:p>
    <w:p>
      <w:pPr>
        <w:jc w:val="both"/>
        <w:ind w:left="4" w:firstLine="645"/>
        <w:spacing w:after="0" w:line="297" w:lineRule="auto"/>
        <w:tabs>
          <w:tab w:leader="none" w:pos="1052"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Loans from one Type to the other, and each continuation of Eurocurrency Rate Loans shall be made upon the Company’s (or other applicable Borrower’s)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Loan Notice must be received by the Administrative Agent not later than 11:00 a.m.</w:t>
      </w:r>
    </w:p>
    <w:p>
      <w:pPr>
        <w:spacing w:after="0" w:line="1" w:lineRule="exact"/>
        <w:rPr>
          <w:rFonts w:ascii="Arial" w:cs="Arial" w:eastAsia="Arial" w:hAnsi="Arial"/>
          <w:sz w:val="18"/>
          <w:szCs w:val="18"/>
          <w:color w:val="auto"/>
        </w:rPr>
      </w:pPr>
    </w:p>
    <w:p>
      <w:pPr>
        <w:jc w:val="both"/>
        <w:ind w:left="4" w:hanging="4"/>
        <w:spacing w:after="0" w:line="257" w:lineRule="exact"/>
        <w:tabs>
          <w:tab w:leader="none" w:pos="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three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or continuation of Eurocurrency Rate Loans denominated in Alternative Currencies, Australian Dollars or New Zealand Dollars, and (iii) on the requested date of any Borrowing of Base Rate Loans. Each Borrowing of, conversion to or continuation of Eurocurrency Rate Loans shall be in a principal amount of $5,000,000 or a whole multiple of $1,000,000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each Borrowing of or conversion to Base Rate Loans shall be in a principal amount of $1,000,000 or a whole multiple of $500,000 in excess thereof. Each Loan Notice shall specify (i) whether the applicable Borrower is requesting a Borrowing, a conversion of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(vi) whether the Loans to be borrowed are Revolving A Loans, Revolving B Loans, Revolving C Loans, the Term A Loan, the Term B</w:t>
      </w:r>
      <w:r>
        <w:rPr>
          <w:rFonts w:ascii="MS PGothic" w:cs="MS PGothic" w:eastAsia="MS PGothic" w:hAnsi="MS PGothic"/>
          <w:sz w:val="18"/>
          <w:szCs w:val="18"/>
          <w:color w:val="auto"/>
        </w:rPr>
        <w:t>‑</w:t>
      </w:r>
      <w:r>
        <w:rPr>
          <w:rFonts w:ascii="Arial" w:cs="Arial" w:eastAsia="Arial" w:hAnsi="Arial"/>
          <w:sz w:val="18"/>
          <w:szCs w:val="18"/>
          <w:color w:val="auto"/>
        </w:rPr>
        <w:t xml:space="preserve">3 Loan, or an Incremental Term Loan, and, as applicable, the currency of the Loans to be borrowed, and (vii) the applicable Borrower. If the Company or other applicable Borrower fails to specify a currency in a Loan Notice requesting a Borrowing, then the Loans so requested shall be made in Dollars. If the Company or other applicable Borrower fails to specify a Type of a Loan in a Loan Notice or if the Company or other applicable Borrower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Loans denominated in an Alternative Currency, Australian Dollars or New Zealand Dollars,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Loans. If the Company or other applicable Borrower requests a Borrowing of, conversion to, or continuation of Eurocurrency Rate Loans in any Loan Notice, but fails to specify an Interest Period, it will be deemed to have specified an Interest Period of one month. No Loan may be</w:t>
      </w:r>
    </w:p>
    <w:p>
      <w:pPr>
        <w:spacing w:after="0" w:line="200" w:lineRule="exact"/>
        <w:rPr>
          <w:sz w:val="20"/>
          <w:szCs w:val="20"/>
          <w:color w:val="auto"/>
        </w:rPr>
      </w:pPr>
    </w:p>
    <w:p>
      <w:pPr>
        <w:spacing w:after="0" w:line="270"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0764"/>
          </w:cols>
          <w:pgMar w:left="896" w:top="771" w:right="239" w:bottom="1440" w:gutter="0" w:footer="0" w:header="0"/>
        </w:sectPr>
      </w:pPr>
    </w:p>
    <w:bookmarkStart w:id="168" w:name="page169"/>
    <w:bookmarkEnd w:id="168"/>
    <w:p>
      <w:pPr>
        <w:spacing w:after="0" w:line="289" w:lineRule="auto"/>
        <w:rPr>
          <w:sz w:val="20"/>
          <w:szCs w:val="20"/>
          <w:color w:val="auto"/>
        </w:rPr>
      </w:pPr>
      <w:r>
        <w:rPr>
          <w:rFonts w:ascii="Arial" w:cs="Arial" w:eastAsia="Arial" w:hAnsi="Arial"/>
          <w:sz w:val="20"/>
          <w:szCs w:val="20"/>
          <w:color w:val="auto"/>
        </w:rPr>
        <w:t>converted into or continued as a Loan denominated in a different currency, but instead must be prepaid in the original currency of such Loan and reborrowed in the other currency.</w:t>
      </w:r>
    </w:p>
    <w:p>
      <w:pPr>
        <w:spacing w:after="0" w:line="175" w:lineRule="exact"/>
        <w:rPr>
          <w:sz w:val="20"/>
          <w:szCs w:val="20"/>
          <w:color w:val="auto"/>
        </w:rPr>
      </w:pPr>
    </w:p>
    <w:p>
      <w:pPr>
        <w:jc w:val="both"/>
        <w:ind w:firstLine="645"/>
        <w:spacing w:after="0" w:line="301" w:lineRule="auto"/>
        <w:tabs>
          <w:tab w:leader="none" w:pos="10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the Administrative Agent shall promptly notify each applicable Lender of the amount (and currency) of its Applicable Percentage of the applicable Loans, and if no timely notice of a conversion or continuation is provided by the Company or other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Australian Dollars or New Zealand Dollars,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acceptable to) the Administrative Agent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of a Borrowing of Revolving Loans denominated in Dollars, there are L/C Borrowings outstanding, then the proceeds of such Borrowing, first,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applicable Borrower as provided above.</w:t>
      </w:r>
    </w:p>
    <w:p>
      <w:pPr>
        <w:spacing w:after="0" w:line="171" w:lineRule="exact"/>
        <w:rPr>
          <w:rFonts w:ascii="Arial" w:cs="Arial" w:eastAsia="Arial" w:hAnsi="Arial"/>
          <w:sz w:val="18"/>
          <w:szCs w:val="18"/>
          <w:color w:val="auto"/>
        </w:rPr>
      </w:pPr>
    </w:p>
    <w:p>
      <w:pPr>
        <w:jc w:val="both"/>
        <w:ind w:firstLine="645"/>
        <w:spacing w:after="0" w:line="274" w:lineRule="auto"/>
        <w:tabs>
          <w:tab w:leader="none" w:pos="1048" w:val="left"/>
        </w:tabs>
        <w:numPr>
          <w:ilvl w:val="0"/>
          <w:numId w:val="71"/>
        </w:numPr>
        <w:rPr>
          <w:rFonts w:ascii="Arial" w:cs="Arial" w:eastAsia="Arial" w:hAnsi="Arial"/>
          <w:sz w:val="20"/>
          <w:szCs w:val="20"/>
          <w:color w:val="auto"/>
        </w:rPr>
      </w:pPr>
      <w:r>
        <w:rPr>
          <w:rFonts w:ascii="Arial" w:cs="Arial" w:eastAsia="Arial" w:hAnsi="Arial"/>
          <w:sz w:val="20"/>
          <w:szCs w:val="20"/>
          <w:color w:val="auto"/>
        </w:rPr>
        <w:t>Except as otherwise provided herein, a Eurocurrency Rate Loan may be continued or converted only on the last day of the Interest Period for such Eurocurrency Rate Loan. During the existence of a Default, no Loans (whether in denominated in Dollars or any other currency) may be requested as, converted to or continued as Eurocurrency Rate Loans without the consent of the Required Lenders.</w:t>
      </w:r>
    </w:p>
    <w:p>
      <w:pPr>
        <w:spacing w:after="0" w:line="192" w:lineRule="exact"/>
        <w:rPr>
          <w:rFonts w:ascii="Arial" w:cs="Arial" w:eastAsia="Arial" w:hAnsi="Arial"/>
          <w:sz w:val="20"/>
          <w:szCs w:val="20"/>
          <w:color w:val="auto"/>
        </w:rPr>
      </w:pPr>
    </w:p>
    <w:p>
      <w:pPr>
        <w:jc w:val="both"/>
        <w:ind w:firstLine="645"/>
        <w:spacing w:after="0" w:line="274" w:lineRule="auto"/>
        <w:tabs>
          <w:tab w:leader="none" w:pos="1167"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Company and the Lenders of the interest rate applicable to any Interest Period for Eurocurrency Rate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92" w:lineRule="exact"/>
        <w:rPr>
          <w:rFonts w:ascii="Arial" w:cs="Arial" w:eastAsia="Arial" w:hAnsi="Arial"/>
          <w:sz w:val="20"/>
          <w:szCs w:val="20"/>
          <w:color w:val="auto"/>
        </w:rPr>
      </w:pPr>
    </w:p>
    <w:p>
      <w:pPr>
        <w:ind w:firstLine="645"/>
        <w:spacing w:after="0" w:line="289" w:lineRule="auto"/>
        <w:tabs>
          <w:tab w:leader="none" w:pos="1062" w:val="left"/>
        </w:tabs>
        <w:numPr>
          <w:ilvl w:val="0"/>
          <w:numId w:val="71"/>
        </w:numPr>
        <w:rPr>
          <w:rFonts w:ascii="Arial" w:cs="Arial" w:eastAsia="Arial" w:hAnsi="Arial"/>
          <w:sz w:val="20"/>
          <w:szCs w:val="20"/>
          <w:color w:val="auto"/>
        </w:rPr>
      </w:pPr>
      <w:r>
        <w:rPr>
          <w:rFonts w:ascii="Arial" w:cs="Arial" w:eastAsia="Arial" w:hAnsi="Arial"/>
          <w:sz w:val="20"/>
          <w:szCs w:val="20"/>
          <w:color w:val="auto"/>
        </w:rPr>
        <w:t>After giving effect to all Borrowings, all conversions of Loans from one Type to the other, and all continuations of Loans as the same Type, there shall not be more than 15 Interest Periods in effect with respect to all Loans.</w:t>
      </w:r>
    </w:p>
    <w:p>
      <w:pPr>
        <w:spacing w:after="0" w:line="175" w:lineRule="exact"/>
        <w:rPr>
          <w:rFonts w:ascii="Arial" w:cs="Arial" w:eastAsia="Arial" w:hAnsi="Arial"/>
          <w:sz w:val="20"/>
          <w:szCs w:val="20"/>
          <w:color w:val="auto"/>
        </w:rPr>
      </w:pPr>
    </w:p>
    <w:p>
      <w:pPr>
        <w:jc w:val="both"/>
        <w:ind w:left="640" w:firstLine="5"/>
        <w:spacing w:after="0" w:line="274" w:lineRule="auto"/>
        <w:tabs>
          <w:tab w:leader="none" w:pos="1031"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(i) </w:t>
      </w:r>
      <w:r>
        <w:rPr>
          <w:rFonts w:ascii="Arial" w:cs="Arial" w:eastAsia="Arial" w:hAnsi="Arial"/>
          <w:sz w:val="20"/>
          <w:szCs w:val="20"/>
          <w:u w:val="single" w:color="auto"/>
          <w:color w:val="auto"/>
        </w:rPr>
        <w:t>Increase in Aggregate Revolving A Commitments</w:t>
      </w:r>
      <w:r>
        <w:rPr>
          <w:rFonts w:ascii="Arial" w:cs="Arial" w:eastAsia="Arial" w:hAnsi="Arial"/>
          <w:sz w:val="20"/>
          <w:szCs w:val="20"/>
          <w:color w:val="auto"/>
        </w:rPr>
        <w:t xml:space="preserve">. The Company may, at any time and from time to time prior to the Maturity Date with respect to the Aggregate Revolving A Commitments, upon prior written notice to the Administrative Agent, increase the Aggregate Revolving A Commitments by a maximum aggregate amount of up to the sum of (x) SEVEN HUNDRED FIFTY MILLION DOLLARS ($750,000,000)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(y) the</w:t>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0760"/>
          </w:cols>
          <w:pgMar w:left="900" w:top="771" w:right="239" w:bottom="1440" w:gutter="0" w:footer="0" w:header="0"/>
        </w:sectPr>
      </w:pPr>
    </w:p>
    <w:bookmarkStart w:id="169" w:name="page170"/>
    <w:bookmarkEnd w:id="169"/>
    <w:p>
      <w:pPr>
        <w:jc w:val="both"/>
        <w:ind w:left="100"/>
        <w:spacing w:after="0" w:line="307" w:lineRule="auto"/>
        <w:rPr>
          <w:sz w:val="20"/>
          <w:szCs w:val="20"/>
          <w:color w:val="auto"/>
        </w:rPr>
      </w:pPr>
      <w:r>
        <w:rPr>
          <w:rFonts w:ascii="Arial" w:cs="Arial" w:eastAsia="Arial" w:hAnsi="Arial"/>
          <w:sz w:val="18"/>
          <w:szCs w:val="18"/>
          <w:color w:val="auto"/>
        </w:rPr>
        <w:t xml:space="preserve">amount, if any, of any increase in the Aggregate Revolving B Commitments instituted after the Third Amendment Effective Date pursuant to clause (ii) below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(z) the amount, if any, of any Incremental Term Loans instituted after the Third Amendment Effective Date pursuant to clause (iii) below (other than any Additional Incremental Term B Loans), with additional Revolving A Commitments from any existing Lender with a Revolving A Commitment or new Revolving A Commitments from any other Person (other than any Borrower or any Affiliate or Subsidiary of any Borrower) selected by the Borrowers and reasonably acceptable to the Administrative Agent, the L/C Issuer and the Swing Line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7" w:lineRule="exact"/>
        <w:rPr>
          <w:sz w:val="20"/>
          <w:szCs w:val="20"/>
          <w:color w:val="auto"/>
        </w:rPr>
      </w:pPr>
    </w:p>
    <w:p>
      <w:pPr>
        <w:ind w:left="760" w:firstLine="641"/>
        <w:spacing w:after="0" w:line="289" w:lineRule="auto"/>
        <w:tabs>
          <w:tab w:leader="none" w:pos="1917"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such increase shall be in a minimum principal amount of $10,000,000 and in integral multiples of $1,000,000 in excess thereof;</w:t>
      </w:r>
    </w:p>
    <w:p>
      <w:pPr>
        <w:spacing w:after="0" w:line="175" w:lineRule="exact"/>
        <w:rPr>
          <w:rFonts w:ascii="Arial" w:cs="Arial" w:eastAsia="Arial" w:hAnsi="Arial"/>
          <w:sz w:val="20"/>
          <w:szCs w:val="20"/>
          <w:color w:val="auto"/>
        </w:rPr>
      </w:pPr>
    </w:p>
    <w:p>
      <w:pPr>
        <w:ind w:left="760" w:right="20" w:firstLine="641"/>
        <w:spacing w:after="0" w:line="289" w:lineRule="auto"/>
        <w:tabs>
          <w:tab w:leader="none" w:pos="19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 Default or Event of Default shall exist and be continuing at the time of any such increase, or after giving effect to any such increase;</w:t>
      </w:r>
    </w:p>
    <w:p>
      <w:pPr>
        <w:spacing w:after="0" w:line="175" w:lineRule="exact"/>
        <w:rPr>
          <w:rFonts w:ascii="Arial" w:cs="Arial" w:eastAsia="Arial" w:hAnsi="Arial"/>
          <w:sz w:val="20"/>
          <w:szCs w:val="20"/>
          <w:color w:val="auto"/>
        </w:rPr>
      </w:pPr>
    </w:p>
    <w:p>
      <w:pPr>
        <w:ind w:left="760" w:firstLine="641"/>
        <w:spacing w:after="0" w:line="347" w:lineRule="auto"/>
        <w:tabs>
          <w:tab w:leader="none" w:pos="1879"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existing Lender shall be under any obligation to increase its Revolving A Commitment and any such decision whether to increase its Revolving A Commitment shall be in such Lender’s sole and absolute discretion;</w:t>
      </w:r>
    </w:p>
    <w:p>
      <w:pPr>
        <w:spacing w:after="0" w:line="130" w:lineRule="exact"/>
        <w:rPr>
          <w:rFonts w:ascii="Arial" w:cs="Arial" w:eastAsia="Arial" w:hAnsi="Arial"/>
          <w:sz w:val="18"/>
          <w:szCs w:val="18"/>
          <w:color w:val="auto"/>
        </w:rPr>
      </w:pPr>
    </w:p>
    <w:p>
      <w:pPr>
        <w:jc w:val="both"/>
        <w:ind w:left="760" w:firstLine="641"/>
        <w:spacing w:after="0" w:line="278" w:lineRule="auto"/>
        <w:tabs>
          <w:tab w:leader="none" w:pos="1904" w:val="left"/>
        </w:tabs>
        <w:numPr>
          <w:ilvl w:val="0"/>
          <w:numId w:val="72"/>
        </w:numPr>
        <w:rPr>
          <w:rFonts w:ascii="Arial" w:cs="Arial" w:eastAsia="Arial" w:hAnsi="Arial"/>
          <w:sz w:val="20"/>
          <w:szCs w:val="20"/>
          <w:color w:val="auto"/>
        </w:rPr>
      </w:pPr>
      <w:r>
        <w:rPr>
          <w:rFonts w:ascii="Arial" w:cs="Arial" w:eastAsia="Arial" w:hAnsi="Arial"/>
          <w:sz w:val="20"/>
          <w:szCs w:val="20"/>
          <w:color w:val="auto"/>
        </w:rPr>
        <w:t>(1) any new Lender shall join this Agreement by executing a Lender Joinder Agreement and/or (2) any existing Lender electing to increase its Revolving A Commitment shall have executed a commitment agreement in form and substance satisfactory to the Administrative Agent;</w:t>
      </w:r>
    </w:p>
    <w:p>
      <w:pPr>
        <w:spacing w:after="0" w:line="186" w:lineRule="exact"/>
        <w:rPr>
          <w:rFonts w:ascii="Arial" w:cs="Arial" w:eastAsia="Arial" w:hAnsi="Arial"/>
          <w:sz w:val="20"/>
          <w:szCs w:val="20"/>
          <w:color w:val="auto"/>
        </w:rPr>
      </w:pPr>
    </w:p>
    <w:p>
      <w:pPr>
        <w:jc w:val="both"/>
        <w:ind w:left="760" w:firstLine="641"/>
        <w:spacing w:after="0" w:line="286" w:lineRule="auto"/>
        <w:tabs>
          <w:tab w:leader="none" w:pos="1895"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 Responsible Officer of the Parent shall deliver to the Administrative Agent a Pro Forma Compliance Certificate demonstrating that, upon giving effect to any such increase in the Revolving A Commitments on a Pro Forma Basis (and for such purpose assuming that the entire amount of such increase is funded), the Loan Parties would be in compliance with the financial covenants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as of the most recent fiscal quarter for which the Company was required to deliver financial statements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(it being understood and agreed that for purposes of calculating the Consolidated Leverage Ratio under this </w:t>
      </w:r>
      <w:r>
        <w:rPr>
          <w:rFonts w:ascii="Arial" w:cs="Arial" w:eastAsia="Arial" w:hAnsi="Arial"/>
          <w:sz w:val="19"/>
          <w:szCs w:val="19"/>
          <w:u w:val="single" w:color="auto"/>
          <w:color w:val="auto"/>
        </w:rPr>
        <w:t>clause (f)(i)(E)</w:t>
      </w:r>
      <w:r>
        <w:rPr>
          <w:rFonts w:ascii="Arial" w:cs="Arial" w:eastAsia="Arial" w:hAnsi="Arial"/>
          <w:sz w:val="19"/>
          <w:szCs w:val="19"/>
          <w:color w:val="auto"/>
        </w:rPr>
        <w:t xml:space="preserve">, the identifiable proceeds of such increase shall not qualify as Unrestricted Cash for the purposes of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of the definition of Consolidated Leverage Ratio); and</w:t>
      </w:r>
    </w:p>
    <w:p>
      <w:pPr>
        <w:spacing w:after="0" w:line="185" w:lineRule="exact"/>
        <w:rPr>
          <w:rFonts w:ascii="Arial" w:cs="Arial" w:eastAsia="Arial" w:hAnsi="Arial"/>
          <w:sz w:val="19"/>
          <w:szCs w:val="19"/>
          <w:color w:val="auto"/>
        </w:rPr>
      </w:pPr>
    </w:p>
    <w:p>
      <w:pPr>
        <w:jc w:val="both"/>
        <w:ind w:left="760" w:firstLine="641"/>
        <w:spacing w:after="0" w:line="287" w:lineRule="auto"/>
        <w:tabs>
          <w:tab w:leader="none" w:pos="195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as a condition precedent to such increase, the Company shall deliver to the Administrative Agent a certificate of each Loan Party dated as of the date of such increase (in sufficient copies for each Lender) signed by a Responsible Officer of such Loan Party (1) certifying and attaching the resolutions adopted by such Loan Party approving or consenting to such increase, and (2) in the case of the Company, certifying that, before and after giving effect to such increase, (x) the representations and warranties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the other Loan Documents are true and correct in all material respects (and in all respects if any such representation or warranty is already qualified by materiality) on and as of the date of such increase,</w:t>
      </w: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220"/>
          </w:cols>
          <w:pgMar w:left="1440" w:top="771" w:right="239" w:bottom="1440" w:gutter="0" w:footer="0" w:header="0"/>
        </w:sectPr>
      </w:pPr>
    </w:p>
    <w:bookmarkStart w:id="170" w:name="page171"/>
    <w:bookmarkEnd w:id="170"/>
    <w:p>
      <w:pPr>
        <w:jc w:val="both"/>
        <w:ind w:left="760"/>
        <w:spacing w:after="0" w:line="356" w:lineRule="auto"/>
        <w:rPr>
          <w:sz w:val="20"/>
          <w:szCs w:val="20"/>
          <w:color w:val="auto"/>
        </w:rPr>
      </w:pPr>
      <w:r>
        <w:rPr>
          <w:rFonts w:ascii="Arial" w:cs="Arial" w:eastAsia="Arial" w:hAnsi="Arial"/>
          <w:sz w:val="16"/>
          <w:szCs w:val="16"/>
          <w:color w:val="auto"/>
        </w:rPr>
        <w:t xml:space="preserve">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Arial" w:cs="Arial" w:eastAsia="Arial" w:hAnsi="Arial"/>
          <w:sz w:val="16"/>
          <w:szCs w:val="16"/>
          <w:u w:val="single" w:color="auto"/>
          <w:color w:val="auto"/>
        </w:rPr>
        <w:t>Section 2.02(f)</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7.01</w:t>
      </w:r>
      <w:r>
        <w:rPr>
          <w:rFonts w:ascii="Arial" w:cs="Arial" w:eastAsia="Arial" w:hAnsi="Arial"/>
          <w:sz w:val="16"/>
          <w:szCs w:val="16"/>
          <w:color w:val="auto"/>
        </w:rPr>
        <w:t>, and (y) no Default or Event of Default exists.</w:t>
      </w:r>
    </w:p>
    <w:p>
      <w:pPr>
        <w:spacing w:after="0" w:line="121" w:lineRule="exact"/>
        <w:rPr>
          <w:sz w:val="20"/>
          <w:szCs w:val="20"/>
          <w:color w:val="auto"/>
        </w:rPr>
      </w:pPr>
    </w:p>
    <w:p>
      <w:pPr>
        <w:jc w:val="both"/>
        <w:ind w:left="100" w:firstLine="648"/>
        <w:spacing w:after="0" w:line="257" w:lineRule="auto"/>
        <w:rPr>
          <w:sz w:val="20"/>
          <w:szCs w:val="20"/>
          <w:color w:val="auto"/>
        </w:rPr>
      </w:pPr>
      <w:r>
        <w:rPr>
          <w:rFonts w:ascii="Arial" w:cs="Arial" w:eastAsia="Arial" w:hAnsi="Arial"/>
          <w:sz w:val="19"/>
          <w:szCs w:val="19"/>
          <w:color w:val="auto"/>
        </w:rPr>
        <w:t xml:space="preserve">The Company shall prepay any Loans owing by it and outstanding on the date of any such increase (and pay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to the extent necessary to keep the outstanding Loans ratable with any revised Commitments arising from any nonratable increase in the Commitments under this Section. In connection with any increase of the Aggregate Revolving A Commitments pursuant to this </w:t>
      </w:r>
      <w:r>
        <w:rPr>
          <w:rFonts w:ascii="Arial" w:cs="Arial" w:eastAsia="Arial" w:hAnsi="Arial"/>
          <w:sz w:val="19"/>
          <w:szCs w:val="19"/>
          <w:u w:val="single" w:color="auto"/>
          <w:color w:val="auto"/>
        </w:rPr>
        <w:t>Section 2.02(f)(i)</w:t>
      </w:r>
      <w:r>
        <w:rPr>
          <w:rFonts w:ascii="Arial" w:cs="Arial" w:eastAsia="Arial" w:hAnsi="Arial"/>
          <w:sz w:val="19"/>
          <w:szCs w:val="19"/>
          <w:color w:val="auto"/>
        </w:rPr>
        <w:t>, the Company may increase (i) the Letter of Credit Sublimit by an amount consented to by the L/C Issuer in its sole discretion; and/or (ii) the Domestic Swing Line Loan Sublimit by an amount consented to by the Swing Line Lender in its sole discretion. The L/C Issuer or the Swing Line Lender, as applicable, shall notify the Revolving A Lenders of any such increase of the Letter of Credit Sublimit or the Domestic Swing Line Loan Sublimit.</w:t>
      </w:r>
    </w:p>
    <w:p>
      <w:pPr>
        <w:spacing w:after="0" w:line="195" w:lineRule="exact"/>
        <w:rPr>
          <w:sz w:val="20"/>
          <w:szCs w:val="20"/>
          <w:color w:val="auto"/>
        </w:rPr>
      </w:pPr>
    </w:p>
    <w:p>
      <w:pPr>
        <w:jc w:val="both"/>
        <w:ind w:left="100" w:firstLine="653"/>
        <w:spacing w:after="0" w:line="285" w:lineRule="auto"/>
        <w:tabs>
          <w:tab w:leader="none" w:pos="1183"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Increase in Aggregate Revolving B Commitments</w:t>
      </w:r>
      <w:r>
        <w:rPr>
          <w:rFonts w:ascii="Arial" w:cs="Arial" w:eastAsia="Arial" w:hAnsi="Arial"/>
          <w:sz w:val="19"/>
          <w:szCs w:val="19"/>
          <w:color w:val="auto"/>
        </w:rPr>
        <w:t xml:space="preserve">. The Company may, at any time and from time to time prior to the Maturity Date with respect to the Aggregate Revolving B Commitments, upon prior written notice to the Administrative Agent, increase the Aggregate Revolving B Commitments by a maximum aggregate amount of up to the sum of (x) SEVEN HUNDRED FIFTY MILLION DOLLARS ($750,000,000)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(y) the amount, if any, of any increase in the Aggregate Revolving A Commitments instituted after the Third Amendment Effective Date pursuant to clause (i) above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(z) the amount, if any, of any Incremental Term Loans instituted after the Third Amendment Effective Date pursuant to clause (iii) below (other than any Additional Incremental Term B Loans), with additional Revolving B Commitments from any existing Lender with a Revolving B Commitment or new Revolving B Commitments from any other Person (other than any Borrower or any Affiliate or Subsidiary of any Borrower) selected by the Borrowers and reasonably acceptable to the Administrative Agent and the Swing Line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7" w:lineRule="exact"/>
        <w:rPr>
          <w:rFonts w:ascii="Arial" w:cs="Arial" w:eastAsia="Arial" w:hAnsi="Arial"/>
          <w:sz w:val="19"/>
          <w:szCs w:val="19"/>
          <w:color w:val="auto"/>
        </w:rPr>
      </w:pPr>
    </w:p>
    <w:p>
      <w:pPr>
        <w:ind w:left="760" w:firstLine="641"/>
        <w:spacing w:after="0" w:line="289" w:lineRule="auto"/>
        <w:tabs>
          <w:tab w:leader="none" w:pos="1917" w:val="left"/>
        </w:tabs>
        <w:numPr>
          <w:ilvl w:val="1"/>
          <w:numId w:val="73"/>
        </w:numPr>
        <w:rPr>
          <w:rFonts w:ascii="Arial" w:cs="Arial" w:eastAsia="Arial" w:hAnsi="Arial"/>
          <w:sz w:val="20"/>
          <w:szCs w:val="20"/>
          <w:color w:val="auto"/>
        </w:rPr>
      </w:pPr>
      <w:r>
        <w:rPr>
          <w:rFonts w:ascii="Arial" w:cs="Arial" w:eastAsia="Arial" w:hAnsi="Arial"/>
          <w:sz w:val="20"/>
          <w:szCs w:val="20"/>
          <w:color w:val="auto"/>
        </w:rPr>
        <w:t>any such increase shall be in a minimum principal amount of $10,000,000 and in integral multiples of $1,000,000 in excess thereof;</w:t>
      </w:r>
    </w:p>
    <w:p>
      <w:pPr>
        <w:spacing w:after="0" w:line="175" w:lineRule="exact"/>
        <w:rPr>
          <w:rFonts w:ascii="Arial" w:cs="Arial" w:eastAsia="Arial" w:hAnsi="Arial"/>
          <w:sz w:val="20"/>
          <w:szCs w:val="20"/>
          <w:color w:val="auto"/>
        </w:rPr>
      </w:pPr>
    </w:p>
    <w:p>
      <w:pPr>
        <w:ind w:left="760" w:right="20" w:firstLine="641"/>
        <w:spacing w:after="0" w:line="289" w:lineRule="auto"/>
        <w:tabs>
          <w:tab w:leader="none" w:pos="1920" w:val="left"/>
        </w:tabs>
        <w:numPr>
          <w:ilvl w:val="1"/>
          <w:numId w:val="73"/>
        </w:numPr>
        <w:rPr>
          <w:rFonts w:ascii="Arial" w:cs="Arial" w:eastAsia="Arial" w:hAnsi="Arial"/>
          <w:sz w:val="20"/>
          <w:szCs w:val="20"/>
          <w:color w:val="auto"/>
        </w:rPr>
      </w:pPr>
      <w:r>
        <w:rPr>
          <w:rFonts w:ascii="Arial" w:cs="Arial" w:eastAsia="Arial" w:hAnsi="Arial"/>
          <w:sz w:val="20"/>
          <w:szCs w:val="20"/>
          <w:color w:val="auto"/>
        </w:rPr>
        <w:t>no Default or Event of Default shall exist and be continuing at the time of any such increase, or after giving effect to any such increase;</w:t>
      </w:r>
    </w:p>
    <w:p>
      <w:pPr>
        <w:spacing w:after="0" w:line="175" w:lineRule="exact"/>
        <w:rPr>
          <w:rFonts w:ascii="Arial" w:cs="Arial" w:eastAsia="Arial" w:hAnsi="Arial"/>
          <w:sz w:val="20"/>
          <w:szCs w:val="20"/>
          <w:color w:val="auto"/>
        </w:rPr>
      </w:pPr>
    </w:p>
    <w:p>
      <w:pPr>
        <w:ind w:left="760" w:right="20" w:firstLine="641"/>
        <w:spacing w:after="0" w:line="347" w:lineRule="auto"/>
        <w:tabs>
          <w:tab w:leader="none" w:pos="1879"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 existing Lender shall be under any obligation to increase its Revolving B Commitment and any such decision whether to increase its Revolving B Commitment shall be in such Lender’s sole and absolute discretion;</w:t>
      </w:r>
    </w:p>
    <w:p>
      <w:pPr>
        <w:spacing w:after="0" w:line="130" w:lineRule="exact"/>
        <w:rPr>
          <w:rFonts w:ascii="Arial" w:cs="Arial" w:eastAsia="Arial" w:hAnsi="Arial"/>
          <w:sz w:val="18"/>
          <w:szCs w:val="18"/>
          <w:color w:val="auto"/>
        </w:rPr>
      </w:pPr>
    </w:p>
    <w:p>
      <w:pPr>
        <w:ind w:left="760" w:firstLine="641"/>
        <w:spacing w:after="0" w:line="289" w:lineRule="auto"/>
        <w:tabs>
          <w:tab w:leader="none" w:pos="1904" w:val="left"/>
        </w:tabs>
        <w:numPr>
          <w:ilvl w:val="1"/>
          <w:numId w:val="73"/>
        </w:numPr>
        <w:rPr>
          <w:rFonts w:ascii="Arial" w:cs="Arial" w:eastAsia="Arial" w:hAnsi="Arial"/>
          <w:sz w:val="20"/>
          <w:szCs w:val="20"/>
          <w:color w:val="auto"/>
        </w:rPr>
      </w:pPr>
      <w:r>
        <w:rPr>
          <w:rFonts w:ascii="Arial" w:cs="Arial" w:eastAsia="Arial" w:hAnsi="Arial"/>
          <w:sz w:val="20"/>
          <w:szCs w:val="20"/>
          <w:color w:val="auto"/>
        </w:rPr>
        <w:t>(1) any new Lender shall join this Agreement by executing a Lender Joinder Agreement and/or (2) any existing Lender electing to increase its Revolving</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0220"/>
          </w:cols>
          <w:pgMar w:left="1440" w:top="771" w:right="239" w:bottom="1440" w:gutter="0" w:footer="0" w:header="0"/>
        </w:sectPr>
      </w:pPr>
    </w:p>
    <w:bookmarkStart w:id="171" w:name="page172"/>
    <w:bookmarkEnd w:id="171"/>
    <w:p>
      <w:pPr>
        <w:ind w:left="760"/>
        <w:spacing w:after="0" w:line="289" w:lineRule="auto"/>
        <w:rPr>
          <w:sz w:val="20"/>
          <w:szCs w:val="20"/>
          <w:color w:val="auto"/>
        </w:rPr>
      </w:pPr>
      <w:r>
        <w:rPr>
          <w:rFonts w:ascii="Arial" w:cs="Arial" w:eastAsia="Arial" w:hAnsi="Arial"/>
          <w:sz w:val="20"/>
          <w:szCs w:val="20"/>
          <w:color w:val="auto"/>
        </w:rPr>
        <w:t>B Commitment shall have executed a commitment agreement in form and substance satisfactory to the Administrative Agent;</w:t>
      </w:r>
    </w:p>
    <w:p>
      <w:pPr>
        <w:spacing w:after="0" w:line="175" w:lineRule="exact"/>
        <w:rPr>
          <w:sz w:val="20"/>
          <w:szCs w:val="20"/>
          <w:color w:val="auto"/>
        </w:rPr>
      </w:pPr>
    </w:p>
    <w:p>
      <w:pPr>
        <w:jc w:val="both"/>
        <w:ind w:left="760" w:firstLine="641"/>
        <w:spacing w:after="0" w:line="286" w:lineRule="auto"/>
        <w:tabs>
          <w:tab w:leader="none" w:pos="189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 Responsible Officer of the Parent shall deliver to the Administrative Agent a Pro Forma Compliance Certificate demonstrating that, upon giving effect to any such increase in the Revolving B Commitments on a Pro Forma Basis (and for such purpose assuming that the entire amount of such increase is funded), the Loan Parties would be in compliance with the financial covenants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as of the most recent fiscal quarter for which the Company was required to deliver financial statements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(it being understood and agreed that for purposes of calculating the Consolidated Leverage Ratio under this </w:t>
      </w:r>
      <w:r>
        <w:rPr>
          <w:rFonts w:ascii="Arial" w:cs="Arial" w:eastAsia="Arial" w:hAnsi="Arial"/>
          <w:sz w:val="19"/>
          <w:szCs w:val="19"/>
          <w:u w:val="single" w:color="auto"/>
          <w:color w:val="auto"/>
        </w:rPr>
        <w:t>clause (f)(ii)(E)</w:t>
      </w:r>
      <w:r>
        <w:rPr>
          <w:rFonts w:ascii="Arial" w:cs="Arial" w:eastAsia="Arial" w:hAnsi="Arial"/>
          <w:sz w:val="19"/>
          <w:szCs w:val="19"/>
          <w:color w:val="auto"/>
        </w:rPr>
        <w:t xml:space="preserve">, the identifiable proceeds of such increase shall not qualify as Unrestricted Cash for the purposes of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of the definition of Consolidated Leverage Ratio); and</w:t>
      </w:r>
    </w:p>
    <w:p>
      <w:pPr>
        <w:spacing w:after="0" w:line="185" w:lineRule="exact"/>
        <w:rPr>
          <w:rFonts w:ascii="Arial" w:cs="Arial" w:eastAsia="Arial" w:hAnsi="Arial"/>
          <w:sz w:val="19"/>
          <w:szCs w:val="19"/>
          <w:color w:val="auto"/>
        </w:rPr>
      </w:pPr>
    </w:p>
    <w:p>
      <w:pPr>
        <w:jc w:val="both"/>
        <w:ind w:left="760" w:firstLine="641"/>
        <w:spacing w:after="0" w:line="302" w:lineRule="auto"/>
        <w:tabs>
          <w:tab w:leader="none" w:pos="19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as a condition precedent to such increase, the Company shall deliver to the Administrative Agent a certificate of each Loan Party dated as of the date of such increase (in sufficient copies for each Lender) signed by a Responsible Officer of such Loan Party (1) certifying and attaching the resolutions adopted by such Loan Party approving or consenting to such increase, and (2) in the case of the Company, certifying that, before and after giving effect to such increase, (x) the representations and warranties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the other Loan Documents are true and correct in all material respects (and in all respects if any such representation or warranty is already qualified by materiality) on and as of the date of such increase,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Arial" w:cs="Arial" w:eastAsia="Arial" w:hAnsi="Arial"/>
          <w:sz w:val="18"/>
          <w:szCs w:val="18"/>
          <w:u w:val="single" w:color="auto"/>
          <w:color w:val="auto"/>
        </w:rPr>
        <w:t>Section 2.02(f)</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7.01</w:t>
      </w:r>
      <w:r>
        <w:rPr>
          <w:rFonts w:ascii="Arial" w:cs="Arial" w:eastAsia="Arial" w:hAnsi="Arial"/>
          <w:sz w:val="18"/>
          <w:szCs w:val="18"/>
          <w:color w:val="auto"/>
        </w:rPr>
        <w:t>, and (y) no Default or Event of Default exists.</w:t>
      </w:r>
    </w:p>
    <w:p>
      <w:pPr>
        <w:spacing w:after="0" w:line="156" w:lineRule="exact"/>
        <w:rPr>
          <w:sz w:val="20"/>
          <w:szCs w:val="20"/>
          <w:color w:val="auto"/>
        </w:rPr>
      </w:pPr>
    </w:p>
    <w:p>
      <w:pPr>
        <w:jc w:val="both"/>
        <w:ind w:left="100" w:firstLine="648"/>
        <w:spacing w:after="0" w:line="276" w:lineRule="auto"/>
        <w:rPr>
          <w:sz w:val="20"/>
          <w:szCs w:val="20"/>
          <w:color w:val="auto"/>
        </w:rPr>
      </w:pPr>
      <w:r>
        <w:rPr>
          <w:rFonts w:ascii="Arial" w:cs="Arial" w:eastAsia="Arial" w:hAnsi="Arial"/>
          <w:sz w:val="18"/>
          <w:szCs w:val="18"/>
          <w:color w:val="auto"/>
        </w:rPr>
        <w:t xml:space="preserve">The Company shall prepay any Loans owing by it and outstanding on the date of any such increase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to the extent necessary to keep the outstanding Loans ratable with any revised Commitments arising from any nonratable increase in the Commitments under this Section. In connection with any increase of the Aggregate Revolving B Commitments pursuant to this </w:t>
      </w:r>
      <w:r>
        <w:rPr>
          <w:rFonts w:ascii="Arial" w:cs="Arial" w:eastAsia="Arial" w:hAnsi="Arial"/>
          <w:sz w:val="18"/>
          <w:szCs w:val="18"/>
          <w:u w:val="single" w:color="auto"/>
          <w:color w:val="auto"/>
        </w:rPr>
        <w:t>Section 2.02(f)(ii)</w:t>
      </w:r>
      <w:r>
        <w:rPr>
          <w:rFonts w:ascii="Arial" w:cs="Arial" w:eastAsia="Arial" w:hAnsi="Arial"/>
          <w:sz w:val="18"/>
          <w:szCs w:val="18"/>
          <w:color w:val="auto"/>
        </w:rPr>
        <w:t>, the Company may increase the Foreign Swing Line Loan Sublimit by an amount consented to by the Swing Line Lender in its sole discretion. The Swing Line Lender shall notify the Revolving B Lenders of any such increase of the Foreign Swing Line Loan Sublimit.</w:t>
      </w:r>
    </w:p>
    <w:p>
      <w:pPr>
        <w:spacing w:after="0" w:line="179" w:lineRule="exact"/>
        <w:rPr>
          <w:sz w:val="20"/>
          <w:szCs w:val="20"/>
          <w:color w:val="auto"/>
        </w:rPr>
      </w:pPr>
    </w:p>
    <w:p>
      <w:pPr>
        <w:jc w:val="both"/>
        <w:ind w:left="100" w:firstLine="653"/>
        <w:spacing w:after="0" w:line="278" w:lineRule="auto"/>
        <w:tabs>
          <w:tab w:leader="none" w:pos="1225"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Institution of Incremental Term Loans</w:t>
      </w:r>
      <w:r>
        <w:rPr>
          <w:rFonts w:ascii="Arial" w:cs="Arial" w:eastAsia="Arial" w:hAnsi="Arial"/>
          <w:sz w:val="20"/>
          <w:szCs w:val="20"/>
          <w:color w:val="auto"/>
        </w:rPr>
        <w:t>. Upon prior written notice to the Administrative Agent, the Company may institute one or more incremental term loan tranches (each an “</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that are Incremental Term A Loans, at any time</w:t>
      </w: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0220"/>
          </w:cols>
          <w:pgMar w:left="1440" w:top="771" w:right="239" w:bottom="1440" w:gutter="0" w:footer="0" w:header="0"/>
        </w:sectPr>
      </w:pPr>
    </w:p>
    <w:bookmarkStart w:id="172" w:name="page173"/>
    <w:bookmarkEnd w:id="172"/>
    <w:p>
      <w:pPr>
        <w:jc w:val="both"/>
        <w:ind w:left="100"/>
        <w:spacing w:after="0" w:line="256" w:lineRule="exact"/>
        <w:rPr>
          <w:sz w:val="20"/>
          <w:szCs w:val="20"/>
          <w:color w:val="auto"/>
        </w:rPr>
      </w:pPr>
      <w:r>
        <w:rPr>
          <w:rFonts w:ascii="Arial" w:cs="Arial" w:eastAsia="Arial" w:hAnsi="Arial"/>
          <w:sz w:val="18"/>
          <w:szCs w:val="18"/>
          <w:color w:val="auto"/>
        </w:rPr>
        <w:t>prior to the Maturity Date with respect to the Term A Loan, or that are Incremental Term B Loans, at any time prior to the Maturity Date with respect to the Term B</w:t>
      </w:r>
      <w:r>
        <w:rPr>
          <w:rFonts w:ascii="MS PGothic" w:cs="MS PGothic" w:eastAsia="MS PGothic" w:hAnsi="MS PGothic"/>
          <w:sz w:val="18"/>
          <w:szCs w:val="18"/>
          <w:color w:val="auto"/>
        </w:rPr>
        <w:t>‑</w:t>
      </w:r>
      <w:r>
        <w:rPr>
          <w:rFonts w:ascii="Arial" w:cs="Arial" w:eastAsia="Arial" w:hAnsi="Arial"/>
          <w:sz w:val="18"/>
          <w:szCs w:val="18"/>
          <w:color w:val="auto"/>
        </w:rPr>
        <w:t xml:space="preserve">3 Loan, (x) in a maximum aggregate amount (for all Incremental Term Loans instituted after the Third Amendment Effective Date other than those constituting Additional Incremental Term B Loans) of up to the sum of (1) SEVEN HUNDRED FIFTY MILLION DOLLARS ($750,000,000)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(2) the amount, if any, of any increase in the Aggregate Revolving A Commitments pursuant to clause (i) above,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(3) the amount, if any, of any increase in the Aggregate Revolving B Commitments pursuant to clause (ii) above; and (y) in addition, in an unlimited amount of Incremental Term B Loans that are instituted at any time that the Consolidated Leverage Ratio (in each case, giving effect to the incurrence of such Incremental Term B Loan on a Pro Forma Basis and calculated as of the most recent fiscal quarter for which the Company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is less than 3.00 to 1.00 (each an “</w:t>
      </w:r>
      <w:r>
        <w:rPr>
          <w:rFonts w:ascii="Arial" w:cs="Arial" w:eastAsia="Arial" w:hAnsi="Arial"/>
          <w:sz w:val="18"/>
          <w:szCs w:val="18"/>
          <w:u w:val="single" w:color="auto"/>
          <w:color w:val="auto"/>
        </w:rPr>
        <w:t>Additional Incremental Term B Loan</w:t>
      </w:r>
      <w:r>
        <w:rPr>
          <w:rFonts w:ascii="Arial" w:cs="Arial" w:eastAsia="Arial" w:hAnsi="Arial"/>
          <w:sz w:val="18"/>
          <w:szCs w:val="18"/>
          <w:color w:val="auto"/>
        </w:rPr>
        <w:t xml:space="preserve">”) (it being understood and agreed that for purposes of calculating the Consolidated Leverage Ratio under this </w:t>
      </w:r>
      <w:r>
        <w:rPr>
          <w:rFonts w:ascii="Arial" w:cs="Arial" w:eastAsia="Arial" w:hAnsi="Arial"/>
          <w:sz w:val="18"/>
          <w:szCs w:val="18"/>
          <w:u w:val="single" w:color="auto"/>
          <w:color w:val="auto"/>
        </w:rPr>
        <w:t>clause (f)(iii)(y)</w:t>
      </w:r>
      <w:r>
        <w:rPr>
          <w:rFonts w:ascii="Arial" w:cs="Arial" w:eastAsia="Arial" w:hAnsi="Arial"/>
          <w:sz w:val="18"/>
          <w:szCs w:val="18"/>
          <w:color w:val="auto"/>
        </w:rPr>
        <w:t xml:space="preserve">, the identifiable proceeds of such Incremental Term B Loans shall not qualify as Unrestricted Cash for the purposes of </w:t>
      </w:r>
      <w:r>
        <w:rPr>
          <w:rFonts w:ascii="Arial" w:cs="Arial" w:eastAsia="Arial" w:hAnsi="Arial"/>
          <w:sz w:val="18"/>
          <w:szCs w:val="18"/>
          <w:u w:val="single" w:color="auto"/>
          <w:color w:val="auto"/>
        </w:rPr>
        <w:t>clause (a)(ii)</w:t>
      </w:r>
      <w:r>
        <w:rPr>
          <w:rFonts w:ascii="Arial" w:cs="Arial" w:eastAsia="Arial" w:hAnsi="Arial"/>
          <w:sz w:val="18"/>
          <w:szCs w:val="18"/>
          <w:color w:val="auto"/>
        </w:rPr>
        <w:t xml:space="preserve"> of the definition of Consolidated Leverage Ratio);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32" w:lineRule="exact"/>
        <w:rPr>
          <w:sz w:val="20"/>
          <w:szCs w:val="20"/>
          <w:color w:val="auto"/>
        </w:rPr>
      </w:pPr>
    </w:p>
    <w:p>
      <w:pPr>
        <w:jc w:val="both"/>
        <w:ind w:left="760" w:firstLine="641"/>
        <w:spacing w:after="0" w:line="293" w:lineRule="auto"/>
        <w:tabs>
          <w:tab w:leader="none" w:pos="1863"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Company (in consultation and coordination with the Administrative Agent) shall obtain commitments for the amount of each such Incremental Term Loan from existing Lenders or other Persons acceptable to the Administrative Agent, which Lenders shall join in this Agreement as Incremental Term Loan Lenders by executing a Lender Joinder Agreement or other agreement acceptable to the Administrative Agent;</w:t>
      </w:r>
    </w:p>
    <w:p>
      <w:pPr>
        <w:spacing w:after="0" w:line="175" w:lineRule="exact"/>
        <w:rPr>
          <w:rFonts w:ascii="Arial" w:cs="Arial" w:eastAsia="Arial" w:hAnsi="Arial"/>
          <w:sz w:val="19"/>
          <w:szCs w:val="19"/>
          <w:color w:val="auto"/>
        </w:rPr>
      </w:pPr>
    </w:p>
    <w:p>
      <w:pPr>
        <w:ind w:left="760" w:firstLine="641"/>
        <w:spacing w:after="0" w:line="289" w:lineRule="auto"/>
        <w:tabs>
          <w:tab w:leader="none" w:pos="1893" w:val="left"/>
        </w:tabs>
        <w:numPr>
          <w:ilvl w:val="0"/>
          <w:numId w:val="76"/>
        </w:numPr>
        <w:rPr>
          <w:rFonts w:ascii="Arial" w:cs="Arial" w:eastAsia="Arial" w:hAnsi="Arial"/>
          <w:sz w:val="20"/>
          <w:szCs w:val="20"/>
          <w:color w:val="auto"/>
        </w:rPr>
      </w:pPr>
      <w:r>
        <w:rPr>
          <w:rFonts w:ascii="Arial" w:cs="Arial" w:eastAsia="Arial" w:hAnsi="Arial"/>
          <w:sz w:val="20"/>
          <w:szCs w:val="20"/>
          <w:color w:val="auto"/>
        </w:rPr>
        <w:t>any such institution of an Incremental Term Loan shall be in a minimum aggregate principal amount of $10,000,000 and integral multiples of $1,000,000 in excess thereof;</w:t>
      </w:r>
    </w:p>
    <w:p>
      <w:pPr>
        <w:spacing w:after="0" w:line="175" w:lineRule="exact"/>
        <w:rPr>
          <w:rFonts w:ascii="Arial" w:cs="Arial" w:eastAsia="Arial" w:hAnsi="Arial"/>
          <w:sz w:val="20"/>
          <w:szCs w:val="20"/>
          <w:color w:val="auto"/>
        </w:rPr>
      </w:pPr>
    </w:p>
    <w:p>
      <w:pPr>
        <w:ind w:left="760" w:firstLine="641"/>
        <w:spacing w:after="0" w:line="289" w:lineRule="auto"/>
        <w:tabs>
          <w:tab w:leader="none" w:pos="1852" w:val="left"/>
        </w:tabs>
        <w:numPr>
          <w:ilvl w:val="0"/>
          <w:numId w:val="76"/>
        </w:numPr>
        <w:rPr>
          <w:rFonts w:ascii="Arial" w:cs="Arial" w:eastAsia="Arial" w:hAnsi="Arial"/>
          <w:sz w:val="20"/>
          <w:szCs w:val="20"/>
          <w:color w:val="auto"/>
        </w:rPr>
      </w:pPr>
      <w:r>
        <w:rPr>
          <w:rFonts w:ascii="Arial" w:cs="Arial" w:eastAsia="Arial" w:hAnsi="Arial"/>
          <w:sz w:val="20"/>
          <w:szCs w:val="20"/>
          <w:color w:val="auto"/>
        </w:rPr>
        <w:t>no Default or Event of Default shall exist and be continuing at the time of such institution, or after giving effect to any such Incremental Term Loan;</w:t>
      </w:r>
    </w:p>
    <w:p>
      <w:pPr>
        <w:spacing w:after="0" w:line="175" w:lineRule="exact"/>
        <w:rPr>
          <w:rFonts w:ascii="Arial" w:cs="Arial" w:eastAsia="Arial" w:hAnsi="Arial"/>
          <w:sz w:val="20"/>
          <w:szCs w:val="20"/>
          <w:color w:val="auto"/>
        </w:rPr>
      </w:pPr>
    </w:p>
    <w:p>
      <w:pPr>
        <w:ind w:left="760" w:firstLine="641"/>
        <w:spacing w:after="0" w:line="289" w:lineRule="auto"/>
        <w:tabs>
          <w:tab w:leader="none" w:pos="1863" w:val="left"/>
        </w:tabs>
        <w:numPr>
          <w:ilvl w:val="0"/>
          <w:numId w:val="76"/>
        </w:numPr>
        <w:rPr>
          <w:rFonts w:ascii="Arial" w:cs="Arial" w:eastAsia="Arial" w:hAnsi="Arial"/>
          <w:sz w:val="20"/>
          <w:szCs w:val="20"/>
          <w:color w:val="auto"/>
        </w:rPr>
      </w:pPr>
      <w:r>
        <w:rPr>
          <w:rFonts w:ascii="Arial" w:cs="Arial" w:eastAsia="Arial" w:hAnsi="Arial"/>
          <w:sz w:val="20"/>
          <w:szCs w:val="20"/>
          <w:color w:val="auto"/>
        </w:rPr>
        <w:t>With respect to any Incremental Term Loan that is an Incremental Term A Loan (each of the following is an “</w:t>
      </w:r>
      <w:r>
        <w:rPr>
          <w:rFonts w:ascii="Arial" w:cs="Arial" w:eastAsia="Arial" w:hAnsi="Arial"/>
          <w:sz w:val="20"/>
          <w:szCs w:val="20"/>
          <w:u w:val="single" w:color="auto"/>
          <w:color w:val="auto"/>
        </w:rPr>
        <w:t>Incremental Term A Loan Condition</w:t>
      </w:r>
      <w:r>
        <w:rPr>
          <w:rFonts w:ascii="Arial" w:cs="Arial" w:eastAsia="Arial" w:hAnsi="Arial"/>
          <w:sz w:val="20"/>
          <w:szCs w:val="20"/>
          <w:color w:val="auto"/>
        </w:rPr>
        <w:t>”):</w:t>
      </w:r>
    </w:p>
    <w:p>
      <w:pPr>
        <w:spacing w:after="0" w:line="175" w:lineRule="exact"/>
        <w:rPr>
          <w:sz w:val="20"/>
          <w:szCs w:val="20"/>
          <w:color w:val="auto"/>
        </w:rPr>
      </w:pPr>
    </w:p>
    <w:p>
      <w:pPr>
        <w:jc w:val="both"/>
        <w:ind w:left="1400" w:firstLine="649"/>
        <w:spacing w:after="0" w:line="278" w:lineRule="auto"/>
        <w:tabs>
          <w:tab w:leader="none" w:pos="24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the Incremental Term Loan Maturity Date with respect to such Incremental Term A Loan shall be as set forth in the Lender Joinder Agreement applicable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such date shall not be earlier than the Maturity Date with respect to the Term A Loan;</w:t>
      </w:r>
    </w:p>
    <w:p>
      <w:pPr>
        <w:spacing w:after="0" w:line="187" w:lineRule="exact"/>
        <w:rPr>
          <w:sz w:val="20"/>
          <w:szCs w:val="20"/>
          <w:color w:val="auto"/>
        </w:rPr>
      </w:pPr>
    </w:p>
    <w:p>
      <w:pPr>
        <w:jc w:val="both"/>
        <w:ind w:left="1400" w:firstLine="649"/>
        <w:spacing w:after="0" w:line="255" w:lineRule="exact"/>
        <w:tabs>
          <w:tab w:leader="none" w:pos="2519"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the scheduled principal amortization payments under such Incremental Term A Loan shall be as set forth in the Lender Joinder Agreement applicable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Weighted Average Life to Maturity of such Incremental Term A Loan shall not be shorter than the then</w:t>
      </w:r>
      <w:r>
        <w:rPr>
          <w:rFonts w:ascii="MS PGothic" w:cs="MS PGothic" w:eastAsia="MS PGothic" w:hAnsi="MS PGothic"/>
          <w:sz w:val="20"/>
          <w:szCs w:val="20"/>
          <w:color w:val="auto"/>
        </w:rPr>
        <w:t>‑</w:t>
      </w:r>
      <w:r>
        <w:rPr>
          <w:rFonts w:ascii="Arial" w:cs="Arial" w:eastAsia="Arial" w:hAnsi="Arial"/>
          <w:sz w:val="20"/>
          <w:szCs w:val="20"/>
          <w:color w:val="auto"/>
        </w:rPr>
        <w:t>remaining Weighted Average Life to Maturity of the Term A Loan;</w:t>
      </w:r>
    </w:p>
    <w:p>
      <w:pPr>
        <w:spacing w:after="0" w:line="200" w:lineRule="exact"/>
        <w:rPr>
          <w:sz w:val="20"/>
          <w:szCs w:val="20"/>
          <w:color w:val="auto"/>
        </w:rPr>
      </w:pPr>
    </w:p>
    <w:p>
      <w:pPr>
        <w:spacing w:after="0" w:line="26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0220"/>
          </w:cols>
          <w:pgMar w:left="1440" w:top="771" w:right="239" w:bottom="1440" w:gutter="0" w:footer="0" w:header="0"/>
        </w:sectPr>
      </w:pPr>
    </w:p>
    <w:bookmarkStart w:id="173" w:name="page174"/>
    <w:bookmarkEnd w:id="173"/>
    <w:p>
      <w:pPr>
        <w:jc w:val="both"/>
        <w:ind w:left="1400" w:firstLine="649"/>
        <w:spacing w:after="0" w:line="255" w:lineRule="exact"/>
        <w:tabs>
          <w:tab w:leader="none" w:pos="25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other terms and conditions applicable to such Incremental Term A Loan must be consistent with then</w:t>
      </w:r>
      <w:r>
        <w:rPr>
          <w:rFonts w:ascii="MS PGothic" w:cs="MS PGothic" w:eastAsia="MS PGothic" w:hAnsi="MS PGothic"/>
          <w:sz w:val="18"/>
          <w:szCs w:val="18"/>
          <w:color w:val="auto"/>
        </w:rPr>
        <w:t>‑</w:t>
      </w:r>
      <w:r>
        <w:rPr>
          <w:rFonts w:ascii="Arial" w:cs="Arial" w:eastAsia="Arial" w:hAnsi="Arial"/>
          <w:sz w:val="18"/>
          <w:szCs w:val="18"/>
          <w:color w:val="auto"/>
        </w:rPr>
        <w:t>current market terms for tranche A term loans in the syndicated loan markets, as determined by the Administrative Agent in its discretion, and otherwise reasonably acceptable to the Administrative Agent;</w:t>
      </w:r>
    </w:p>
    <w:p>
      <w:pPr>
        <w:spacing w:after="0" w:line="223" w:lineRule="exact"/>
        <w:rPr>
          <w:sz w:val="20"/>
          <w:szCs w:val="20"/>
          <w:color w:val="auto"/>
        </w:rPr>
      </w:pPr>
    </w:p>
    <w:p>
      <w:pPr>
        <w:jc w:val="both"/>
        <w:ind w:left="1400" w:firstLine="648"/>
        <w:spacing w:after="0" w:line="272" w:lineRule="auto"/>
        <w:rPr>
          <w:sz w:val="20"/>
          <w:szCs w:val="20"/>
          <w:color w:val="auto"/>
        </w:rPr>
      </w:pPr>
      <w:r>
        <w:rPr>
          <w:rFonts w:ascii="Arial" w:cs="Arial" w:eastAsia="Arial" w:hAnsi="Arial"/>
          <w:sz w:val="20"/>
          <w:szCs w:val="20"/>
          <w:color w:val="auto"/>
        </w:rPr>
        <w:t xml:space="preserve">(IV) such Incremental Term A Loan shall share ratably in any prepayments of the Term A Loan and any other Incremental Term A Loans pursuant to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(or otherwise provide for more favorable prepayment treatment for the then outstanding Term A Loan and other Incremental Term A Loans) and shall have ratable voting rights with the Term A Loan and the other Incremental Term A Loans (or otherwise provide for more favorable voting rights for the then outstanding Term A Loan and other Incremental Term A Loans).</w:t>
      </w:r>
    </w:p>
    <w:p>
      <w:pPr>
        <w:spacing w:after="0" w:line="192" w:lineRule="exact"/>
        <w:rPr>
          <w:sz w:val="20"/>
          <w:szCs w:val="20"/>
          <w:color w:val="auto"/>
        </w:rPr>
      </w:pPr>
    </w:p>
    <w:p>
      <w:pPr>
        <w:ind w:left="760" w:firstLine="641"/>
        <w:spacing w:after="0" w:line="289" w:lineRule="auto"/>
        <w:tabs>
          <w:tab w:leader="none" w:pos="1854" w:val="left"/>
        </w:tabs>
        <w:numPr>
          <w:ilvl w:val="0"/>
          <w:numId w:val="80"/>
        </w:numPr>
        <w:rPr>
          <w:rFonts w:ascii="Arial" w:cs="Arial" w:eastAsia="Arial" w:hAnsi="Arial"/>
          <w:sz w:val="20"/>
          <w:szCs w:val="20"/>
          <w:color w:val="auto"/>
        </w:rPr>
      </w:pPr>
      <w:r>
        <w:rPr>
          <w:rFonts w:ascii="Arial" w:cs="Arial" w:eastAsia="Arial" w:hAnsi="Arial"/>
          <w:sz w:val="20"/>
          <w:szCs w:val="20"/>
          <w:color w:val="auto"/>
        </w:rPr>
        <w:t>With respect to any Incremental Term Loan that is an Incremental Term B Loan (each of the following is an “</w:t>
      </w:r>
      <w:r>
        <w:rPr>
          <w:rFonts w:ascii="Arial" w:cs="Arial" w:eastAsia="Arial" w:hAnsi="Arial"/>
          <w:sz w:val="20"/>
          <w:szCs w:val="20"/>
          <w:u w:val="single" w:color="auto"/>
          <w:color w:val="auto"/>
        </w:rPr>
        <w:t>Incremental Term B Loan Condition</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400" w:firstLine="649"/>
        <w:spacing w:after="0" w:line="254" w:lineRule="exact"/>
        <w:tabs>
          <w:tab w:leader="none" w:pos="2440" w:val="left"/>
        </w:tabs>
        <w:numPr>
          <w:ilvl w:val="1"/>
          <w:numId w:val="80"/>
        </w:numPr>
        <w:rPr>
          <w:rFonts w:ascii="Arial" w:cs="Arial" w:eastAsia="Arial" w:hAnsi="Arial"/>
          <w:sz w:val="20"/>
          <w:szCs w:val="20"/>
          <w:color w:val="auto"/>
        </w:rPr>
      </w:pPr>
      <w:r>
        <w:rPr>
          <w:rFonts w:ascii="Arial" w:cs="Arial" w:eastAsia="Arial" w:hAnsi="Arial"/>
          <w:sz w:val="20"/>
          <w:szCs w:val="20"/>
          <w:color w:val="auto"/>
        </w:rPr>
        <w:t xml:space="preserve">the Incremental Term Loan Maturity Date with respect to such Incremental Term B Loan shall be as set forth in the Lender Joinder Agreement applicable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such date shall not be earlier than the Maturity Date with respect to the Term B</w:t>
      </w:r>
      <w:r>
        <w:rPr>
          <w:rFonts w:ascii="MS PGothic" w:cs="MS PGothic" w:eastAsia="MS PGothic" w:hAnsi="MS PGothic"/>
          <w:sz w:val="20"/>
          <w:szCs w:val="20"/>
          <w:color w:val="auto"/>
        </w:rPr>
        <w:t>‑</w:t>
      </w:r>
      <w:r>
        <w:rPr>
          <w:rFonts w:ascii="Arial" w:cs="Arial" w:eastAsia="Arial" w:hAnsi="Arial"/>
          <w:sz w:val="20"/>
          <w:szCs w:val="20"/>
          <w:color w:val="auto"/>
        </w:rPr>
        <w:t>3 Loan;</w:t>
      </w:r>
    </w:p>
    <w:p>
      <w:pPr>
        <w:spacing w:after="0" w:line="224" w:lineRule="exact"/>
        <w:rPr>
          <w:sz w:val="20"/>
          <w:szCs w:val="20"/>
          <w:color w:val="auto"/>
        </w:rPr>
      </w:pPr>
    </w:p>
    <w:p>
      <w:pPr>
        <w:jc w:val="both"/>
        <w:ind w:left="1400" w:firstLine="649"/>
        <w:spacing w:after="0" w:line="255" w:lineRule="exact"/>
        <w:tabs>
          <w:tab w:leader="none" w:pos="2519"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the scheduled principal amortization payments under such Incremental Term B Loan shall be as set forth in the Lender Joinder Agreement applicable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Weighted Average Life to Maturity of such Incremental Term B Loan shall not be shorter than the then</w:t>
      </w:r>
      <w:r>
        <w:rPr>
          <w:rFonts w:ascii="MS PGothic" w:cs="MS PGothic" w:eastAsia="MS PGothic" w:hAnsi="MS PGothic"/>
          <w:sz w:val="20"/>
          <w:szCs w:val="20"/>
          <w:color w:val="auto"/>
        </w:rPr>
        <w:t>‑</w:t>
      </w:r>
      <w:r>
        <w:rPr>
          <w:rFonts w:ascii="Arial" w:cs="Arial" w:eastAsia="Arial" w:hAnsi="Arial"/>
          <w:sz w:val="20"/>
          <w:szCs w:val="20"/>
          <w:color w:val="auto"/>
        </w:rPr>
        <w:t>remaining Weighted Average Life to Maturity of the Term B</w:t>
      </w:r>
      <w:r>
        <w:rPr>
          <w:rFonts w:ascii="MS PGothic" w:cs="MS PGothic" w:eastAsia="MS PGothic" w:hAnsi="MS PGothic"/>
          <w:sz w:val="20"/>
          <w:szCs w:val="20"/>
          <w:color w:val="auto"/>
        </w:rPr>
        <w:t>‑</w:t>
      </w:r>
      <w:r>
        <w:rPr>
          <w:rFonts w:ascii="Arial" w:cs="Arial" w:eastAsia="Arial" w:hAnsi="Arial"/>
          <w:sz w:val="20"/>
          <w:szCs w:val="20"/>
          <w:color w:val="auto"/>
        </w:rPr>
        <w:t>3 Loan;</w:t>
      </w:r>
    </w:p>
    <w:p>
      <w:pPr>
        <w:spacing w:after="0" w:line="223" w:lineRule="exact"/>
        <w:rPr>
          <w:sz w:val="20"/>
          <w:szCs w:val="20"/>
          <w:color w:val="auto"/>
        </w:rPr>
      </w:pPr>
    </w:p>
    <w:p>
      <w:pPr>
        <w:jc w:val="both"/>
        <w:ind w:left="1400" w:firstLine="649"/>
        <w:spacing w:after="0" w:line="256" w:lineRule="exact"/>
        <w:tabs>
          <w:tab w:leader="none" w:pos="257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All</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Yield on such Incremental Term B Loan exceeds the All</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Yield on the Term B</w:t>
      </w:r>
      <w:r>
        <w:rPr>
          <w:rFonts w:ascii="MS PGothic" w:cs="MS PGothic" w:eastAsia="MS PGothic" w:hAnsi="MS PGothic"/>
          <w:sz w:val="18"/>
          <w:szCs w:val="18"/>
          <w:color w:val="auto"/>
        </w:rPr>
        <w:t>‑</w:t>
      </w:r>
      <w:r>
        <w:rPr>
          <w:rFonts w:ascii="Arial" w:cs="Arial" w:eastAsia="Arial" w:hAnsi="Arial"/>
          <w:sz w:val="18"/>
          <w:szCs w:val="18"/>
          <w:color w:val="auto"/>
        </w:rPr>
        <w:t>3 Loan or any other Incremental Term B Loan by more than fifty basis points (0.50%) per annum, then the Applicable Rate or fees payable by the Company with respect to the Term B</w:t>
      </w:r>
      <w:r>
        <w:rPr>
          <w:rFonts w:ascii="MS PGothic" w:cs="MS PGothic" w:eastAsia="MS PGothic" w:hAnsi="MS PGothic"/>
          <w:sz w:val="18"/>
          <w:szCs w:val="18"/>
          <w:color w:val="auto"/>
        </w:rPr>
        <w:t>‑</w:t>
      </w:r>
      <w:r>
        <w:rPr>
          <w:rFonts w:ascii="Arial" w:cs="Arial" w:eastAsia="Arial" w:hAnsi="Arial"/>
          <w:sz w:val="18"/>
          <w:szCs w:val="18"/>
          <w:color w:val="auto"/>
        </w:rPr>
        <w:t>3 Loan and such other Incremental Term B Loans shall on the effective date of such Incremental Term B Loan be increased to the extent necessary to cause the All</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Yield on the Term B</w:t>
      </w:r>
      <w:r>
        <w:rPr>
          <w:rFonts w:ascii="MS PGothic" w:cs="MS PGothic" w:eastAsia="MS PGothic" w:hAnsi="MS PGothic"/>
          <w:sz w:val="18"/>
          <w:szCs w:val="18"/>
          <w:color w:val="auto"/>
        </w:rPr>
        <w:t>‑</w:t>
      </w:r>
      <w:r>
        <w:rPr>
          <w:rFonts w:ascii="Arial" w:cs="Arial" w:eastAsia="Arial" w:hAnsi="Arial"/>
          <w:sz w:val="18"/>
          <w:szCs w:val="18"/>
          <w:color w:val="auto"/>
        </w:rPr>
        <w:t>3 Loan and such other Incremental Term B Loans to be fifty basis points (0.50%) less than the All</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Yield on such Incremental Term B Loan (such increase to be allocated as reasonably determined by the Administrative Agent in consultation with the Company);</w:t>
      </w:r>
    </w:p>
    <w:p>
      <w:pPr>
        <w:spacing w:after="0" w:line="225" w:lineRule="exact"/>
        <w:rPr>
          <w:sz w:val="20"/>
          <w:szCs w:val="20"/>
          <w:color w:val="auto"/>
        </w:rPr>
      </w:pPr>
    </w:p>
    <w:p>
      <w:pPr>
        <w:jc w:val="both"/>
        <w:ind w:left="1400" w:firstLine="648"/>
        <w:spacing w:after="0" w:line="255" w:lineRule="exact"/>
        <w:rPr>
          <w:sz w:val="20"/>
          <w:szCs w:val="20"/>
          <w:color w:val="auto"/>
        </w:rPr>
      </w:pPr>
      <w:r>
        <w:rPr>
          <w:rFonts w:ascii="Arial" w:cs="Arial" w:eastAsia="Arial" w:hAnsi="Arial"/>
          <w:sz w:val="18"/>
          <w:szCs w:val="18"/>
          <w:color w:val="auto"/>
        </w:rPr>
        <w:t>(IV) all other terms and conditions applicable to such Incremental Term B Loan must be consistent with then</w:t>
      </w:r>
      <w:r>
        <w:rPr>
          <w:rFonts w:ascii="MS PGothic" w:cs="MS PGothic" w:eastAsia="MS PGothic" w:hAnsi="MS PGothic"/>
          <w:sz w:val="18"/>
          <w:szCs w:val="18"/>
          <w:color w:val="auto"/>
        </w:rPr>
        <w:t>‑</w:t>
      </w:r>
      <w:r>
        <w:rPr>
          <w:rFonts w:ascii="Arial" w:cs="Arial" w:eastAsia="Arial" w:hAnsi="Arial"/>
          <w:sz w:val="18"/>
          <w:szCs w:val="18"/>
          <w:color w:val="auto"/>
        </w:rPr>
        <w:t>current market terms for tranche B term loans in the syndicated loan markets, as determined by the Administrative Agent in its discretion, and otherwise reasonably acceptable to the Administrative Agent; and</w:t>
      </w:r>
    </w:p>
    <w:p>
      <w:pPr>
        <w:spacing w:after="0" w:line="200" w:lineRule="exact"/>
        <w:rPr>
          <w:sz w:val="20"/>
          <w:szCs w:val="20"/>
          <w:color w:val="auto"/>
        </w:rPr>
      </w:pPr>
    </w:p>
    <w:p>
      <w:pPr>
        <w:spacing w:after="0" w:line="26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0220"/>
          </w:cols>
          <w:pgMar w:left="1440" w:top="771" w:right="239" w:bottom="1440" w:gutter="0" w:footer="0" w:header="0"/>
        </w:sectPr>
      </w:pPr>
    </w:p>
    <w:bookmarkStart w:id="174" w:name="page175"/>
    <w:bookmarkEnd w:id="174"/>
    <w:p>
      <w:pPr>
        <w:jc w:val="both"/>
        <w:ind w:left="1400" w:firstLine="649"/>
        <w:spacing w:after="0" w:line="255" w:lineRule="exact"/>
        <w:tabs>
          <w:tab w:leader="none" w:pos="2503" w:val="left"/>
        </w:tabs>
        <w:numPr>
          <w:ilvl w:val="1"/>
          <w:numId w:val="83"/>
        </w:numPr>
        <w:rPr>
          <w:rFonts w:ascii="Arial" w:cs="Arial" w:eastAsia="Arial" w:hAnsi="Arial"/>
          <w:sz w:val="20"/>
          <w:szCs w:val="20"/>
          <w:color w:val="auto"/>
        </w:rPr>
      </w:pPr>
      <w:r>
        <w:rPr>
          <w:rFonts w:ascii="Arial" w:cs="Arial" w:eastAsia="Arial" w:hAnsi="Arial"/>
          <w:sz w:val="20"/>
          <w:szCs w:val="20"/>
          <w:color w:val="auto"/>
        </w:rPr>
        <w:t>such Incremental Term B Loan shall share ratably in any prepayments of the Term B</w:t>
      </w:r>
      <w:r>
        <w:rPr>
          <w:rFonts w:ascii="MS PGothic" w:cs="MS PGothic" w:eastAsia="MS PGothic" w:hAnsi="MS PGothic"/>
          <w:sz w:val="20"/>
          <w:szCs w:val="20"/>
          <w:color w:val="auto"/>
        </w:rPr>
        <w:t>‑</w:t>
      </w:r>
      <w:r>
        <w:rPr>
          <w:rFonts w:ascii="Arial" w:cs="Arial" w:eastAsia="Arial" w:hAnsi="Arial"/>
          <w:sz w:val="20"/>
          <w:szCs w:val="20"/>
          <w:color w:val="auto"/>
        </w:rPr>
        <w:t xml:space="preserve">3 Loan and any other Incremental Term B Loans pursuant to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(or otherwise provide for more favorable prepayment treatment for the then outstanding Term B</w:t>
      </w:r>
      <w:r>
        <w:rPr>
          <w:rFonts w:ascii="MS PGothic" w:cs="MS PGothic" w:eastAsia="MS PGothic" w:hAnsi="MS PGothic"/>
          <w:sz w:val="20"/>
          <w:szCs w:val="20"/>
          <w:color w:val="auto"/>
        </w:rPr>
        <w:t>‑</w:t>
      </w:r>
      <w:r>
        <w:rPr>
          <w:rFonts w:ascii="Arial" w:cs="Arial" w:eastAsia="Arial" w:hAnsi="Arial"/>
          <w:sz w:val="20"/>
          <w:szCs w:val="20"/>
          <w:color w:val="auto"/>
        </w:rPr>
        <w:t>3 Loan and other Incremental Term B Loans) and shall have ratable voting rights with the Term B</w:t>
      </w:r>
      <w:r>
        <w:rPr>
          <w:rFonts w:ascii="MS PGothic" w:cs="MS PGothic" w:eastAsia="MS PGothic" w:hAnsi="MS PGothic"/>
          <w:sz w:val="20"/>
          <w:szCs w:val="20"/>
          <w:color w:val="auto"/>
        </w:rPr>
        <w:t>‑</w:t>
      </w:r>
      <w:r>
        <w:rPr>
          <w:rFonts w:ascii="Arial" w:cs="Arial" w:eastAsia="Arial" w:hAnsi="Arial"/>
          <w:sz w:val="20"/>
          <w:szCs w:val="20"/>
          <w:color w:val="auto"/>
        </w:rPr>
        <w:t>3 Loan and the other Incremental Term B Loans (or otherwise provide for more favorable voting rights for the then outstanding Term B</w:t>
      </w:r>
      <w:r>
        <w:rPr>
          <w:rFonts w:ascii="MS PGothic" w:cs="MS PGothic" w:eastAsia="MS PGothic" w:hAnsi="MS PGothic"/>
          <w:sz w:val="20"/>
          <w:szCs w:val="20"/>
          <w:color w:val="auto"/>
        </w:rPr>
        <w:t>‑</w:t>
      </w:r>
      <w:r>
        <w:rPr>
          <w:rFonts w:ascii="Arial" w:cs="Arial" w:eastAsia="Arial" w:hAnsi="Arial"/>
          <w:sz w:val="20"/>
          <w:szCs w:val="20"/>
          <w:color w:val="auto"/>
        </w:rPr>
        <w:t>3 Loan and other Incremental Term B Loans);</w:t>
      </w:r>
    </w:p>
    <w:p>
      <w:pPr>
        <w:spacing w:after="0" w:line="226" w:lineRule="exact"/>
        <w:rPr>
          <w:rFonts w:ascii="Arial" w:cs="Arial" w:eastAsia="Arial" w:hAnsi="Arial"/>
          <w:sz w:val="20"/>
          <w:szCs w:val="20"/>
          <w:color w:val="auto"/>
        </w:rPr>
      </w:pPr>
    </w:p>
    <w:p>
      <w:pPr>
        <w:ind w:left="760" w:firstLine="641"/>
        <w:spacing w:after="0" w:line="316" w:lineRule="auto"/>
        <w:tabs>
          <w:tab w:leader="none" w:pos="188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shall be deemed revised to reflect the commitments and commitment percentages of the Incremental Term Loan Lenders as set forth in the applicable Lender Joinder Agreement;</w:t>
      </w:r>
    </w:p>
    <w:p>
      <w:pPr>
        <w:spacing w:after="0" w:line="153" w:lineRule="exact"/>
        <w:rPr>
          <w:rFonts w:ascii="Arial" w:cs="Arial" w:eastAsia="Arial" w:hAnsi="Arial"/>
          <w:sz w:val="19"/>
          <w:szCs w:val="19"/>
          <w:color w:val="auto"/>
        </w:rPr>
      </w:pPr>
    </w:p>
    <w:p>
      <w:pPr>
        <w:jc w:val="both"/>
        <w:ind w:left="760" w:firstLine="641"/>
        <w:spacing w:after="0" w:line="286" w:lineRule="auto"/>
        <w:tabs>
          <w:tab w:leader="none" w:pos="1917"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 Responsible Officer of the Parent shall deliver to the Administrative Agent a Pro Forma Compliance Certificate demonstrating that, upon giving effect to the institution of such Incremental Term Loan and any Permitted Acquisition consummated in connection therewith, if applicable, in each case on a Pro Forma Basis, the Loan Parties would be in compliance with the financial covenants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as of the most recent fiscal quarter for which the Company was required to deliver financial statements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(it being understood and agreed that for purposes of calculating the Consolidated Leverage Ratio under this </w:t>
      </w:r>
      <w:r>
        <w:rPr>
          <w:rFonts w:ascii="Arial" w:cs="Arial" w:eastAsia="Arial" w:hAnsi="Arial"/>
          <w:sz w:val="19"/>
          <w:szCs w:val="19"/>
          <w:u w:val="single" w:color="auto"/>
          <w:color w:val="auto"/>
        </w:rPr>
        <w:t>clause (f)(iii)(G)</w:t>
      </w:r>
      <w:r>
        <w:rPr>
          <w:rFonts w:ascii="Arial" w:cs="Arial" w:eastAsia="Arial" w:hAnsi="Arial"/>
          <w:sz w:val="19"/>
          <w:szCs w:val="19"/>
          <w:color w:val="auto"/>
        </w:rPr>
        <w:t xml:space="preserve">, the identifiable proceeds of such Incremental Term Loan shall not qualify as Unrestricted Cash for the purposes of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of the definition of Consolidated Leverage Ratio);</w:t>
      </w:r>
    </w:p>
    <w:p>
      <w:pPr>
        <w:spacing w:after="0" w:line="185" w:lineRule="exact"/>
        <w:rPr>
          <w:rFonts w:ascii="Arial" w:cs="Arial" w:eastAsia="Arial" w:hAnsi="Arial"/>
          <w:sz w:val="19"/>
          <w:szCs w:val="19"/>
          <w:color w:val="auto"/>
        </w:rPr>
      </w:pPr>
    </w:p>
    <w:p>
      <w:pPr>
        <w:jc w:val="both"/>
        <w:ind w:left="760" w:firstLine="641"/>
        <w:spacing w:after="0" w:line="301" w:lineRule="auto"/>
        <w:tabs>
          <w:tab w:leader="none" w:pos="19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as a condition precedent to such institution of such Incremental Term Loan and the effectiveness of the Lender Joinder Agreement, the Company shall deliver to the Administrative Agent a certificate of each Loan Party dated as of the date of such institution and effectiveness (in sufficient copies for each Lender) signed by a Responsible Officer of such Loan Party (x) certifying and attaching the resolutions adopted by such Loan Party approving or consenting to such Incremental Term Loan, and (y) in the case of the Company, certifying that, before and after giving effect to such Incremental Term Loan, (i) the representations and warranties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the other Loan Documents are true and correct in all material respects (and in all respects if any such representation or warranty is already qualified by materiality) on and as of the date of such institution and effectiveness,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Arial" w:cs="Arial" w:eastAsia="Arial" w:hAnsi="Arial"/>
          <w:sz w:val="18"/>
          <w:szCs w:val="18"/>
          <w:u w:val="single" w:color="auto"/>
          <w:color w:val="auto"/>
        </w:rPr>
        <w:t>Section 2.02(f)</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7.01</w:t>
      </w:r>
      <w:r>
        <w:rPr>
          <w:rFonts w:ascii="Arial" w:cs="Arial" w:eastAsia="Arial" w:hAnsi="Arial"/>
          <w:sz w:val="18"/>
          <w:szCs w:val="18"/>
          <w:color w:val="auto"/>
        </w:rPr>
        <w:t>, and (ii) no Default or Event of Default exists; and</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0220"/>
          </w:cols>
          <w:pgMar w:left="1440" w:top="771" w:right="239" w:bottom="1440" w:gutter="0" w:footer="0" w:header="0"/>
        </w:sectPr>
      </w:pPr>
    </w:p>
    <w:bookmarkStart w:id="175" w:name="page176"/>
    <w:bookmarkEnd w:id="175"/>
    <w:p>
      <w:pPr>
        <w:ind w:left="760" w:right="20" w:firstLine="641"/>
        <w:spacing w:after="0" w:line="347" w:lineRule="auto"/>
        <w:tabs>
          <w:tab w:leader="none" w:pos="18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 existing Lender shall be under any obligation to become an Incremental Term Loan Lender and any such decision whether to become an Incremental Term Loan Lender shall be in such Lender’s sole discretion.</w:t>
      </w:r>
    </w:p>
    <w:p>
      <w:pPr>
        <w:spacing w:after="0" w:line="130" w:lineRule="exact"/>
        <w:rPr>
          <w:rFonts w:ascii="Arial" w:cs="Arial" w:eastAsia="Arial" w:hAnsi="Arial"/>
          <w:sz w:val="18"/>
          <w:szCs w:val="18"/>
          <w:color w:val="auto"/>
        </w:rPr>
      </w:pPr>
    </w:p>
    <w:p>
      <w:pPr>
        <w:jc w:val="both"/>
        <w:ind w:left="100" w:firstLine="653"/>
        <w:spacing w:after="0" w:line="285" w:lineRule="auto"/>
        <w:tabs>
          <w:tab w:leader="none" w:pos="134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With respect to any increase of the Aggregate Revolving A Commitments, any increase in the Aggregate Revolving B Commitments or institution of an Incremental Term Loan pursuant to this </w:t>
      </w:r>
      <w:r>
        <w:rPr>
          <w:rFonts w:ascii="Arial" w:cs="Arial" w:eastAsia="Arial" w:hAnsi="Arial"/>
          <w:sz w:val="19"/>
          <w:szCs w:val="19"/>
          <w:u w:val="single" w:color="auto"/>
          <w:color w:val="auto"/>
        </w:rPr>
        <w:t>Section 2.02(f)</w:t>
      </w:r>
      <w:r>
        <w:rPr>
          <w:rFonts w:ascii="Arial" w:cs="Arial" w:eastAsia="Arial" w:hAnsi="Arial"/>
          <w:sz w:val="19"/>
          <w:szCs w:val="19"/>
          <w:color w:val="auto"/>
        </w:rPr>
        <w:t>, the Administrative Agent shall have received (A) such amendments to the Collateral Documents as the Administrative Agent reasonably requests to cause the Collateral Documents to secure the Obligations after giving effect to such increase or Incremental Term Loan, (B) to the extent requested by the Administrative Agent, customary opinions of legal counsel to the Loan Parties, addressed to the Administrative Agent and each Lender (including each Person providing any portion of such increase or Incremental Term Loan), dated as of the effective date of such increase or Incremental Term Loan; and (C) such other documents and certificates it may reasonably request relating to the necessary authority for such increase or Incremental Term Loan and the validity of such increase or Incremental Term Loan, and any other matters relevant thereto, all in form and substance reasonably satisfactory to the Administrative Agent.</w:t>
      </w:r>
    </w:p>
    <w:p>
      <w:pPr>
        <w:spacing w:after="0" w:line="187" w:lineRule="exact"/>
        <w:rPr>
          <w:rFonts w:ascii="Arial" w:cs="Arial" w:eastAsia="Arial" w:hAnsi="Arial"/>
          <w:sz w:val="19"/>
          <w:szCs w:val="19"/>
          <w:color w:val="auto"/>
        </w:rPr>
      </w:pPr>
    </w:p>
    <w:p>
      <w:pPr>
        <w:jc w:val="both"/>
        <w:ind w:left="100" w:firstLine="653"/>
        <w:spacing w:after="0" w:line="301" w:lineRule="auto"/>
        <w:tabs>
          <w:tab w:leader="none" w:pos="118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commitments with respect to any increase of the Aggregate Revolving A Commitments, any increase of the Aggregate Revolving B Commitments or institution of an Incremental Term Loan pursuant to this </w:t>
      </w:r>
      <w:r>
        <w:rPr>
          <w:rFonts w:ascii="Arial" w:cs="Arial" w:eastAsia="Arial" w:hAnsi="Arial"/>
          <w:sz w:val="18"/>
          <w:szCs w:val="18"/>
          <w:u w:val="single" w:color="auto"/>
          <w:color w:val="auto"/>
        </w:rPr>
        <w:t>Section 2.02(f)</w:t>
      </w:r>
      <w:r>
        <w:rPr>
          <w:rFonts w:ascii="Arial" w:cs="Arial" w:eastAsia="Arial" w:hAnsi="Arial"/>
          <w:sz w:val="18"/>
          <w:szCs w:val="18"/>
          <w:color w:val="auto"/>
        </w:rPr>
        <w:t xml:space="preserve">, and the credit extensions thereunder, shall constitute Commitments and Credit Extensions under, and shall be entitled to all the benefits afforded by, this Agreement and the other Loan Documents, and shall, without limiting the foregoing, benefit equally and ratably from the security interests created by the Collateral Documents and any guarantees provided with respect to the Obligations. The Lenders hereby authorize the Administrative Agent to enter into, and the Lenders agree that this Agreement and the other Loan Documents shall be amended by, an agreement in writing entered into by the applicable Borrower(s), the Administrative Agent and each Person (including any existing Lender) that agrees to provide a portion of any increase of the Aggregate Revolving A Commitments, any increase of the Aggregate Revolving B Commitments or institution of an Incremental Term Loan pursuant to this </w:t>
      </w:r>
      <w:r>
        <w:rPr>
          <w:rFonts w:ascii="Arial" w:cs="Arial" w:eastAsia="Arial" w:hAnsi="Arial"/>
          <w:sz w:val="18"/>
          <w:szCs w:val="18"/>
          <w:u w:val="single" w:color="auto"/>
          <w:color w:val="auto"/>
        </w:rPr>
        <w:t>Section 2.02(f)</w:t>
      </w:r>
      <w:r>
        <w:rPr>
          <w:rFonts w:ascii="Arial" w:cs="Arial" w:eastAsia="Arial" w:hAnsi="Arial"/>
          <w:sz w:val="18"/>
          <w:szCs w:val="18"/>
          <w:color w:val="auto"/>
        </w:rPr>
        <w:t xml:space="preserve"> (each an “</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to the extent (and only to the extent) the Administrative Agent deems necessary in order to establish such increase or Incremental Term Loan on terms consistent with and/or to effect the provisions of this </w:t>
      </w:r>
      <w:r>
        <w:rPr>
          <w:rFonts w:ascii="Arial" w:cs="Arial" w:eastAsia="Arial" w:hAnsi="Arial"/>
          <w:sz w:val="18"/>
          <w:szCs w:val="18"/>
          <w:u w:val="single" w:color="auto"/>
          <w:color w:val="auto"/>
        </w:rPr>
        <w:t>Section 2.02(f)</w:t>
      </w:r>
      <w:r>
        <w:rPr>
          <w:rFonts w:ascii="Arial" w:cs="Arial" w:eastAsia="Arial" w:hAnsi="Arial"/>
          <w:sz w:val="18"/>
          <w:szCs w:val="18"/>
          <w:color w:val="auto"/>
        </w:rPr>
        <w:t>. The Administrative Agent shall promptly notify each Lender as to the effectiveness of each such increase or Incremental Term Loan.</w:t>
      </w:r>
    </w:p>
    <w:p>
      <w:pPr>
        <w:spacing w:after="0" w:line="177" w:lineRule="exact"/>
        <w:rPr>
          <w:rFonts w:ascii="Arial" w:cs="Arial" w:eastAsia="Arial" w:hAnsi="Arial"/>
          <w:sz w:val="18"/>
          <w:szCs w:val="18"/>
          <w:color w:val="auto"/>
        </w:rPr>
      </w:pPr>
    </w:p>
    <w:p>
      <w:pPr>
        <w:jc w:val="both"/>
        <w:ind w:left="100" w:firstLine="653"/>
        <w:spacing w:after="0" w:line="287" w:lineRule="auto"/>
        <w:tabs>
          <w:tab w:leader="none" w:pos="1254" w:val="left"/>
        </w:tabs>
        <w:numPr>
          <w:ilvl w:val="0"/>
          <w:numId w:val="86"/>
        </w:numPr>
        <w:rPr>
          <w:rFonts w:ascii="Arial" w:cs="Arial" w:eastAsia="Arial" w:hAnsi="Arial"/>
          <w:sz w:val="19"/>
          <w:szCs w:val="19"/>
          <w:color w:val="auto"/>
        </w:rPr>
      </w:pPr>
      <w:r>
        <w:rPr>
          <w:rFonts w:ascii="Arial" w:cs="Arial" w:eastAsia="Arial" w:hAnsi="Arial"/>
          <w:sz w:val="19"/>
          <w:szCs w:val="19"/>
          <w:color w:val="auto"/>
        </w:rPr>
        <w:t>It is understood and agreed that, notwithstanding anything to the contrary in this Agreement, if the proceeds of any Incremental Term Loan are being used to finance a Limited Conditionality Acquisition, and the Company has obtained binding commitments of Lenders to fund such Incremental Term Loan (“</w:t>
      </w:r>
      <w:r>
        <w:rPr>
          <w:rFonts w:ascii="Arial" w:cs="Arial" w:eastAsia="Arial" w:hAnsi="Arial"/>
          <w:sz w:val="19"/>
          <w:szCs w:val="19"/>
          <w:u w:val="single" w:color="auto"/>
          <w:color w:val="auto"/>
        </w:rPr>
        <w:t>Incremental Financing Commitments</w:t>
      </w:r>
      <w:r>
        <w:rPr>
          <w:rFonts w:ascii="Arial" w:cs="Arial" w:eastAsia="Arial" w:hAnsi="Arial"/>
          <w:sz w:val="19"/>
          <w:szCs w:val="19"/>
          <w:color w:val="auto"/>
        </w:rPr>
        <w:t xml:space="preserve">”), then (A) the condition in clause (i) of the proviso of the definition of Permitted Acquisition that no Default shall have occurred and be continuing and the conditions in </w:t>
      </w:r>
      <w:r>
        <w:rPr>
          <w:rFonts w:ascii="Arial" w:cs="Arial" w:eastAsia="Arial" w:hAnsi="Arial"/>
          <w:sz w:val="19"/>
          <w:szCs w:val="19"/>
          <w:u w:val="single" w:color="auto"/>
          <w:color w:val="auto"/>
        </w:rPr>
        <w:t>Sections 2.02(f)(iii)(C)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5.03(b)</w:t>
      </w:r>
      <w:r>
        <w:rPr>
          <w:rFonts w:ascii="Arial" w:cs="Arial" w:eastAsia="Arial" w:hAnsi="Arial"/>
          <w:sz w:val="19"/>
          <w:szCs w:val="19"/>
          <w:color w:val="auto"/>
        </w:rPr>
        <w:t xml:space="preserve"> that no Default or Event of Default shall exist shall, in each case, be satisfied if (1) no Default (or Event of Default, as applicable) shall have occurred and be continuing at the time of the execution of the definitive agreement governing such Limited</w:t>
      </w: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0220"/>
          </w:cols>
          <w:pgMar w:left="1440" w:top="771" w:right="239" w:bottom="1440" w:gutter="0" w:footer="0" w:header="0"/>
        </w:sectPr>
      </w:pPr>
    </w:p>
    <w:bookmarkStart w:id="176" w:name="page177"/>
    <w:bookmarkEnd w:id="176"/>
    <w:p>
      <w:pPr>
        <w:jc w:val="both"/>
        <w:ind w:left="640"/>
        <w:spacing w:after="0" w:line="300" w:lineRule="auto"/>
        <w:rPr>
          <w:sz w:val="20"/>
          <w:szCs w:val="20"/>
          <w:color w:val="auto"/>
        </w:rPr>
      </w:pPr>
      <w:r>
        <w:rPr>
          <w:rFonts w:ascii="Arial" w:cs="Arial" w:eastAsia="Arial" w:hAnsi="Arial"/>
          <w:sz w:val="18"/>
          <w:szCs w:val="18"/>
          <w:color w:val="auto"/>
        </w:rPr>
        <w:t xml:space="preserve">Conditionality Acquisition, and (2) no Event of Default pursuant to </w:t>
      </w:r>
      <w:r>
        <w:rPr>
          <w:rFonts w:ascii="Arial" w:cs="Arial" w:eastAsia="Arial" w:hAnsi="Arial"/>
          <w:sz w:val="18"/>
          <w:szCs w:val="18"/>
          <w:u w:val="single" w:color="auto"/>
          <w:color w:val="auto"/>
        </w:rPr>
        <w:t>Sections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shall have occurred and be continuing at the time that such Limited Conditionality Acquisition is consummated and such Incremental Term Loan is incurred, (B) the condition in clause (vii) of the proviso of the definition of Permitted Acquisition and in </w:t>
      </w:r>
      <w:r>
        <w:rPr>
          <w:rFonts w:ascii="Arial" w:cs="Arial" w:eastAsia="Arial" w:hAnsi="Arial"/>
          <w:sz w:val="18"/>
          <w:szCs w:val="18"/>
          <w:u w:val="single" w:color="auto"/>
          <w:color w:val="auto"/>
        </w:rPr>
        <w:t>Section 5.03(a)</w:t>
      </w:r>
      <w:r>
        <w:rPr>
          <w:rFonts w:ascii="Arial" w:cs="Arial" w:eastAsia="Arial" w:hAnsi="Arial"/>
          <w:sz w:val="18"/>
          <w:szCs w:val="18"/>
          <w:color w:val="auto"/>
        </w:rPr>
        <w:t xml:space="preserve"> that the representations and warranties shall be true and correct in all material respects (and in all respects if any such representation or warranty is already qualified by materiality) at the time such Limited Conditionality Acquisition is consummated and such Incremental Term Loan is incurred shall be satisfied if (1) all such representations and warranties are true and correct in all material respects (and in all respects if any such representation or warranty is already qualified by materiality) at the time of the execution of the definitive agreement governing such Limited Conditionality Acquisition and (2) customary “specified credit agreement representations” and “specified acquisition agreement representations” (as agreed by the Lenders providing such Incremental Term Loan) are true and correct in all material respects (and in all respects if any such representation or warranty is already qualified by materiality) at the time such Limited Conditionality Acquisition is consummated and such Incremental Term Loan is incurred, (C) the condition in clause (v) of the proviso of the definition of Permitted Acquisition and in </w:t>
      </w:r>
      <w:r>
        <w:rPr>
          <w:rFonts w:ascii="Arial" w:cs="Arial" w:eastAsia="Arial" w:hAnsi="Arial"/>
          <w:sz w:val="18"/>
          <w:szCs w:val="18"/>
          <w:u w:val="single" w:color="auto"/>
          <w:color w:val="auto"/>
        </w:rPr>
        <w:t>Section 2.02(f)(iii)(G)</w:t>
      </w:r>
      <w:r>
        <w:rPr>
          <w:rFonts w:ascii="Arial" w:cs="Arial" w:eastAsia="Arial" w:hAnsi="Arial"/>
          <w:sz w:val="18"/>
          <w:szCs w:val="18"/>
          <w:color w:val="auto"/>
        </w:rPr>
        <w:t xml:space="preserve"> that the Parent deliver a Pro Forma Compliance Certificate demonstrating that, upon giving effect to the institution of such Incremental Term Loan on a Pro Forma Basis, the Loan Parties would be in compliance with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as of the most recent fiscal quarter for which the Company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shall be satisfied if the Parent demonstrates compliance on a Pro Forma Basis solely at the time of the execution of the definitive agreement governing such Limited Conditionality Acquisition, and (D) the implementation of such Incremental Term Loan shall be subject to other customary “SunGard” or other customary applicable “certain funds” conditionality provisions.</w:t>
      </w:r>
    </w:p>
    <w:p>
      <w:pPr>
        <w:spacing w:after="0" w:line="176" w:lineRule="exact"/>
        <w:rPr>
          <w:sz w:val="20"/>
          <w:szCs w:val="20"/>
          <w:color w:val="auto"/>
        </w:rPr>
      </w:pPr>
    </w:p>
    <w:p>
      <w:pPr>
        <w:jc w:val="both"/>
        <w:ind w:firstLine="645"/>
        <w:spacing w:after="0" w:line="274" w:lineRule="auto"/>
        <w:tabs>
          <w:tab w:leader="none" w:pos="1072"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Cashless Settlement Mechanism</w:t>
      </w:r>
      <w:r>
        <w:rPr>
          <w:rFonts w:ascii="Arial" w:cs="Arial" w:eastAsia="Arial" w:hAnsi="Arial"/>
          <w:sz w:val="20"/>
          <w:szCs w:val="20"/>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88" w:lineRule="exact"/>
        <w:rPr>
          <w:sz w:val="20"/>
          <w:szCs w:val="20"/>
          <w:color w:val="auto"/>
        </w:rPr>
      </w:pPr>
    </w:p>
    <w:p>
      <w:pPr>
        <w:spacing w:after="0"/>
        <w:tabs>
          <w:tab w:leader="none" w:pos="500" w:val="left"/>
          <w:tab w:leader="none" w:pos="214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22"/>
          <w:szCs w:val="22"/>
          <w:color w:val="auto"/>
        </w:rPr>
        <w:t>Letters of Credit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-17780</wp:posOffset>
            </wp:positionV>
            <wp:extent cx="10439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spacing w:after="0" w:line="231" w:lineRule="exact"/>
        <w:rPr>
          <w:sz w:val="20"/>
          <w:szCs w:val="20"/>
          <w:color w:val="auto"/>
        </w:rPr>
      </w:pPr>
    </w:p>
    <w:p>
      <w:pPr>
        <w:ind w:left="1040" w:hanging="395"/>
        <w:spacing w:after="0"/>
        <w:tabs>
          <w:tab w:leader="none" w:pos="104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40" w:firstLine="653"/>
        <w:spacing w:after="0" w:line="271" w:lineRule="auto"/>
        <w:tabs>
          <w:tab w:leader="none" w:pos="1668"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(A) the L/C Issuer agrees, in reliance upon the agreements of the Revolving A Lenders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(1) from time to time on any Business Day during the period from the Initial Borrowing Date until the Letter of Credit Expiration Date, to issue Letters of Credit denominated in Dollars or in one or more Alternative Currencies, Australian Dollars or New Zealand Dollars for the account of the Parent or any of its Subsidiaries, and to amend or extend Letters of Credit previously issued by it, in accordance with subsection (b) below, and (2) to honor drawings under the Letters of Credit; and (B) the Revolving A Lenders severally agree to participate in Letters of Credit issued for the account of the Parent or its</w:t>
      </w: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0760"/>
          </w:cols>
          <w:pgMar w:left="900" w:top="771" w:right="239" w:bottom="1440" w:gutter="0" w:footer="0" w:header="0"/>
        </w:sectPr>
      </w:pPr>
    </w:p>
    <w:bookmarkStart w:id="177" w:name="page178"/>
    <w:bookmarkEnd w:id="177"/>
    <w:p>
      <w:pPr>
        <w:jc w:val="both"/>
        <w:ind w:left="100"/>
        <w:spacing w:after="0" w:line="302" w:lineRule="auto"/>
        <w:rPr>
          <w:sz w:val="20"/>
          <w:szCs w:val="20"/>
          <w:color w:val="auto"/>
        </w:rPr>
      </w:pPr>
      <w:r>
        <w:rPr>
          <w:rFonts w:ascii="Arial" w:cs="Arial" w:eastAsia="Arial" w:hAnsi="Arial"/>
          <w:sz w:val="18"/>
          <w:szCs w:val="18"/>
          <w:color w:val="auto"/>
        </w:rPr>
        <w:t xml:space="preserve">Subsidiaries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(v) the Total Revolving A Outstandings shall not exceed the Aggregate Revolving A Commitments, (w) the Total Revolving Outstandings shall not exceed the Aggregate Revolving Commitments, (x) the aggregate Outstanding Amount of the Revolving A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Domestic Swing Line Loans shall not exceed such Lender’s Revolving A Commitment and (y)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w:t>
      </w:r>
    </w:p>
    <w:p>
      <w:pPr>
        <w:spacing w:after="0" w:line="174" w:lineRule="exact"/>
        <w:rPr>
          <w:sz w:val="20"/>
          <w:szCs w:val="20"/>
          <w:color w:val="auto"/>
        </w:rPr>
      </w:pPr>
    </w:p>
    <w:p>
      <w:pPr>
        <w:ind w:left="1180" w:hanging="427"/>
        <w:spacing w:after="0"/>
        <w:tabs>
          <w:tab w:leader="none" w:pos="11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L/C Issuer shall not issue any Letter of Credit if:</w:t>
      </w:r>
    </w:p>
    <w:p>
      <w:pPr>
        <w:spacing w:after="0" w:line="242" w:lineRule="exact"/>
        <w:rPr>
          <w:rFonts w:ascii="Arial" w:cs="Arial" w:eastAsia="Arial" w:hAnsi="Arial"/>
          <w:sz w:val="20"/>
          <w:szCs w:val="20"/>
          <w:color w:val="auto"/>
        </w:rPr>
      </w:pPr>
    </w:p>
    <w:p>
      <w:pPr>
        <w:jc w:val="both"/>
        <w:ind w:left="760" w:firstLine="641"/>
        <w:spacing w:after="0" w:line="278" w:lineRule="auto"/>
        <w:tabs>
          <w:tab w:leader="none" w:pos="1890" w:val="left"/>
        </w:tabs>
        <w:numPr>
          <w:ilvl w:val="1"/>
          <w:numId w:val="8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the expiry date of such requested Letter of Credit would occur more than twelve months after the date of issuance or last extension, unless the Required Lenders have approved such expiry date; or</w:t>
      </w:r>
    </w:p>
    <w:p>
      <w:pPr>
        <w:spacing w:after="0" w:line="186" w:lineRule="exact"/>
        <w:rPr>
          <w:rFonts w:ascii="Arial" w:cs="Arial" w:eastAsia="Arial" w:hAnsi="Arial"/>
          <w:sz w:val="20"/>
          <w:szCs w:val="20"/>
          <w:color w:val="auto"/>
        </w:rPr>
      </w:pPr>
    </w:p>
    <w:p>
      <w:pPr>
        <w:ind w:left="760" w:firstLine="641"/>
        <w:spacing w:after="0" w:line="289" w:lineRule="auto"/>
        <w:tabs>
          <w:tab w:leader="none" w:pos="1866"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expiry date of such requested Letter of Credit would occur after the Letter of Credit Expiration Date, unless all the Revolving A Lenders have approved such expiry date.</w:t>
      </w:r>
    </w:p>
    <w:p>
      <w:pPr>
        <w:spacing w:after="0" w:line="175" w:lineRule="exact"/>
        <w:rPr>
          <w:rFonts w:ascii="Arial" w:cs="Arial" w:eastAsia="Arial" w:hAnsi="Arial"/>
          <w:sz w:val="20"/>
          <w:szCs w:val="20"/>
          <w:color w:val="auto"/>
        </w:rPr>
      </w:pPr>
    </w:p>
    <w:p>
      <w:pPr>
        <w:ind w:left="1220" w:hanging="467"/>
        <w:spacing w:after="0"/>
        <w:tabs>
          <w:tab w:leader="none" w:pos="12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L/C Issuer shall not be under any obligation to issue any Letter of Credit if:</w:t>
      </w:r>
    </w:p>
    <w:p>
      <w:pPr>
        <w:spacing w:after="0" w:line="242" w:lineRule="exact"/>
        <w:rPr>
          <w:rFonts w:ascii="Arial" w:cs="Arial" w:eastAsia="Arial" w:hAnsi="Arial"/>
          <w:sz w:val="20"/>
          <w:szCs w:val="20"/>
          <w:color w:val="auto"/>
        </w:rPr>
      </w:pPr>
    </w:p>
    <w:p>
      <w:pPr>
        <w:jc w:val="both"/>
        <w:ind w:left="760" w:firstLine="641"/>
        <w:spacing w:after="0" w:line="304" w:lineRule="auto"/>
        <w:tabs>
          <w:tab w:leader="none" w:pos="19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Effective Date, or shall impose upon the L/C Issuer any unreimbursed loss, cost or expense which was not applicable on the Effective Date and which the L/C Issuer in good faith deems material to it;</w:t>
      </w:r>
    </w:p>
    <w:p>
      <w:pPr>
        <w:spacing w:after="0" w:line="171" w:lineRule="exact"/>
        <w:rPr>
          <w:rFonts w:ascii="Arial" w:cs="Arial" w:eastAsia="Arial" w:hAnsi="Arial"/>
          <w:sz w:val="18"/>
          <w:szCs w:val="18"/>
          <w:color w:val="auto"/>
        </w:rPr>
      </w:pPr>
    </w:p>
    <w:p>
      <w:pPr>
        <w:ind w:left="760" w:firstLine="641"/>
        <w:spacing w:after="0" w:line="289" w:lineRule="auto"/>
        <w:tabs>
          <w:tab w:leader="none" w:pos="1893"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the L/C Issuer applicable to letters of credit generally;</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0220"/>
          </w:cols>
          <w:pgMar w:left="1440" w:top="771" w:right="239" w:bottom="1440" w:gutter="0" w:footer="0" w:header="0"/>
        </w:sectPr>
      </w:pPr>
    </w:p>
    <w:bookmarkStart w:id="178" w:name="page179"/>
    <w:bookmarkEnd w:id="178"/>
    <w:p>
      <w:pPr>
        <w:ind w:left="760" w:right="20" w:firstLine="641"/>
        <w:spacing w:after="0" w:line="289" w:lineRule="auto"/>
        <w:tabs>
          <w:tab w:leader="none" w:pos="1866" w:val="left"/>
        </w:tabs>
        <w:numPr>
          <w:ilvl w:val="2"/>
          <w:numId w:val="90"/>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L/C Issuer, such Letter of Credit is in an initial stated amount less than $500,000;</w:t>
      </w:r>
    </w:p>
    <w:p>
      <w:pPr>
        <w:spacing w:after="0" w:line="175" w:lineRule="exact"/>
        <w:rPr>
          <w:rFonts w:ascii="Arial" w:cs="Arial" w:eastAsia="Arial" w:hAnsi="Arial"/>
          <w:sz w:val="20"/>
          <w:szCs w:val="20"/>
          <w:color w:val="auto"/>
        </w:rPr>
      </w:pPr>
    </w:p>
    <w:p>
      <w:pPr>
        <w:ind w:left="760" w:right="20" w:firstLine="641"/>
        <w:spacing w:after="0" w:line="289" w:lineRule="auto"/>
        <w:tabs>
          <w:tab w:leader="none" w:pos="1863" w:val="left"/>
        </w:tabs>
        <w:numPr>
          <w:ilvl w:val="2"/>
          <w:numId w:val="90"/>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L/C Issuer, such Letter of Credit is to be denominated in a currency other than Dollars or an Alternative Currency;</w:t>
      </w:r>
    </w:p>
    <w:p>
      <w:pPr>
        <w:spacing w:after="0" w:line="175" w:lineRule="exact"/>
        <w:rPr>
          <w:rFonts w:ascii="Arial" w:cs="Arial" w:eastAsia="Arial" w:hAnsi="Arial"/>
          <w:sz w:val="20"/>
          <w:szCs w:val="20"/>
          <w:color w:val="auto"/>
        </w:rPr>
      </w:pPr>
    </w:p>
    <w:p>
      <w:pPr>
        <w:ind w:left="760" w:firstLine="641"/>
        <w:spacing w:after="0" w:line="289" w:lineRule="auto"/>
        <w:tabs>
          <w:tab w:leader="none" w:pos="1841" w:val="left"/>
        </w:tabs>
        <w:numPr>
          <w:ilvl w:val="2"/>
          <w:numId w:val="90"/>
        </w:numPr>
        <w:rPr>
          <w:rFonts w:ascii="Arial" w:cs="Arial" w:eastAsia="Arial" w:hAnsi="Arial"/>
          <w:sz w:val="20"/>
          <w:szCs w:val="20"/>
          <w:color w:val="auto"/>
        </w:rPr>
      </w:pPr>
      <w:r>
        <w:rPr>
          <w:rFonts w:ascii="Arial" w:cs="Arial" w:eastAsia="Arial" w:hAnsi="Arial"/>
          <w:sz w:val="20"/>
          <w:szCs w:val="20"/>
          <w:color w:val="auto"/>
        </w:rPr>
        <w:t>the L/C Issuer does not as of the issuance date of such requested Letter of Credit issue Letters of Credit in the requested currency; or</w:t>
      </w:r>
    </w:p>
    <w:p>
      <w:pPr>
        <w:spacing w:after="0" w:line="175" w:lineRule="exact"/>
        <w:rPr>
          <w:rFonts w:ascii="Arial" w:cs="Arial" w:eastAsia="Arial" w:hAnsi="Arial"/>
          <w:sz w:val="20"/>
          <w:szCs w:val="20"/>
          <w:color w:val="auto"/>
        </w:rPr>
      </w:pPr>
    </w:p>
    <w:p>
      <w:pPr>
        <w:jc w:val="both"/>
        <w:ind w:left="760" w:firstLine="641"/>
        <w:spacing w:after="0" w:line="272" w:lineRule="auto"/>
        <w:tabs>
          <w:tab w:leader="none" w:pos="1938" w:val="left"/>
        </w:tabs>
        <w:numPr>
          <w:ilvl w:val="2"/>
          <w:numId w:val="90"/>
        </w:numPr>
        <w:rPr>
          <w:rFonts w:ascii="Arial" w:cs="Arial" w:eastAsia="Arial" w:hAnsi="Arial"/>
          <w:sz w:val="20"/>
          <w:szCs w:val="20"/>
          <w:color w:val="auto"/>
        </w:rPr>
      </w:pPr>
      <w:r>
        <w:rPr>
          <w:rFonts w:ascii="Arial" w:cs="Arial" w:eastAsia="Arial" w:hAnsi="Arial"/>
          <w:sz w:val="20"/>
          <w:szCs w:val="20"/>
          <w:color w:val="auto"/>
        </w:rPr>
        <w:t xml:space="preserve">any Revolving A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Arial" w:cs="Arial" w:eastAsia="Arial" w:hAnsi="Arial"/>
          <w:sz w:val="20"/>
          <w:szCs w:val="20"/>
          <w:u w:val="single" w:color="auto"/>
          <w:color w:val="auto"/>
        </w:rPr>
        <w:t>Section 2.15(a)(iv</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91" w:lineRule="exact"/>
        <w:rPr>
          <w:rFonts w:ascii="Arial" w:cs="Arial" w:eastAsia="Arial" w:hAnsi="Arial"/>
          <w:sz w:val="20"/>
          <w:szCs w:val="20"/>
          <w:color w:val="auto"/>
        </w:rPr>
      </w:pPr>
    </w:p>
    <w:p>
      <w:pPr>
        <w:ind w:left="100" w:firstLine="653"/>
        <w:spacing w:after="0" w:line="289" w:lineRule="auto"/>
        <w:tabs>
          <w:tab w:leader="none" w:pos="1214"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L/C Issuer shall not amend any Letter of Credit if the L/C Issuer would not be permitted at such time to issue the Letter of Credit in its amended form under the terms hereof.</w:t>
      </w:r>
    </w:p>
    <w:p>
      <w:pPr>
        <w:spacing w:after="0" w:line="175" w:lineRule="exact"/>
        <w:rPr>
          <w:rFonts w:ascii="Arial" w:cs="Arial" w:eastAsia="Arial" w:hAnsi="Arial"/>
          <w:sz w:val="20"/>
          <w:szCs w:val="20"/>
          <w:color w:val="auto"/>
        </w:rPr>
      </w:pPr>
    </w:p>
    <w:p>
      <w:pPr>
        <w:jc w:val="both"/>
        <w:ind w:left="100" w:firstLine="653"/>
        <w:spacing w:after="0" w:line="278" w:lineRule="auto"/>
        <w:tabs>
          <w:tab w:leader="none" w:pos="1199"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6" w:lineRule="exact"/>
        <w:rPr>
          <w:rFonts w:ascii="Arial" w:cs="Arial" w:eastAsia="Arial" w:hAnsi="Arial"/>
          <w:sz w:val="20"/>
          <w:szCs w:val="20"/>
          <w:color w:val="auto"/>
        </w:rPr>
      </w:pPr>
    </w:p>
    <w:p>
      <w:pPr>
        <w:jc w:val="both"/>
        <w:ind w:left="100" w:firstLine="653"/>
        <w:spacing w:after="0" w:line="297" w:lineRule="auto"/>
        <w:tabs>
          <w:tab w:leader="none" w:pos="1241"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Revolving A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included the L/C Issuer with respect to such acts or omissions, and</w:t>
      </w:r>
    </w:p>
    <w:p>
      <w:pPr>
        <w:spacing w:after="0" w:line="2" w:lineRule="exact"/>
        <w:rPr>
          <w:rFonts w:ascii="Arial" w:cs="Arial" w:eastAsia="Arial" w:hAnsi="Arial"/>
          <w:sz w:val="18"/>
          <w:szCs w:val="18"/>
          <w:color w:val="auto"/>
        </w:rPr>
      </w:pPr>
    </w:p>
    <w:p>
      <w:pPr>
        <w:ind w:left="420" w:hanging="315"/>
        <w:spacing w:after="0"/>
        <w:tabs>
          <w:tab w:leader="none" w:pos="4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as additionally provided herein with respect to the L/C Issuer.</w:t>
      </w:r>
    </w:p>
    <w:p>
      <w:pPr>
        <w:spacing w:after="0" w:line="243" w:lineRule="exact"/>
        <w:rPr>
          <w:sz w:val="20"/>
          <w:szCs w:val="20"/>
          <w:color w:val="auto"/>
        </w:rPr>
      </w:pPr>
    </w:p>
    <w:p>
      <w:pPr>
        <w:ind w:left="520" w:hanging="415"/>
        <w:spacing w:after="0" w:line="230" w:lineRule="exact"/>
        <w:tabs>
          <w:tab w:leader="none" w:pos="5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Procedures for Issuance and Amendment of Letters of Credit; Auto</w:t>
      </w:r>
      <w:r>
        <w:rPr>
          <w:rFonts w:ascii="MS PGothic" w:cs="MS PGothic" w:eastAsia="MS PGothic" w:hAnsi="MS PGothic"/>
          <w:sz w:val="20"/>
          <w:szCs w:val="20"/>
          <w:color w:val="auto"/>
        </w:rPr>
        <w:t>‑</w:t>
      </w:r>
      <w:r>
        <w:rPr>
          <w:rFonts w:ascii="Arial" w:cs="Arial" w:eastAsia="Arial" w:hAnsi="Arial"/>
          <w:sz w:val="20"/>
          <w:szCs w:val="20"/>
          <w:color w:val="auto"/>
        </w:rPr>
        <w:t>Extension Letters of Credit.</w:t>
      </w:r>
    </w:p>
    <w:p>
      <w:pPr>
        <w:spacing w:after="0" w:line="242" w:lineRule="exact"/>
        <w:rPr>
          <w:rFonts w:ascii="Arial" w:cs="Arial" w:eastAsia="Arial" w:hAnsi="Arial"/>
          <w:sz w:val="20"/>
          <w:szCs w:val="20"/>
          <w:color w:val="auto"/>
        </w:rPr>
      </w:pPr>
    </w:p>
    <w:p>
      <w:pPr>
        <w:jc w:val="both"/>
        <w:ind w:left="100" w:firstLine="653"/>
        <w:spacing w:after="0" w:line="273" w:lineRule="auto"/>
        <w:tabs>
          <w:tab w:leader="none" w:pos="1128" w:val="left"/>
        </w:tabs>
        <w:numPr>
          <w:ilvl w:val="1"/>
          <w:numId w:val="93"/>
        </w:numPr>
        <w:rPr>
          <w:rFonts w:ascii="Arial" w:cs="Arial" w:eastAsia="Arial" w:hAnsi="Arial"/>
          <w:sz w:val="20"/>
          <w:szCs w:val="20"/>
          <w:color w:val="auto"/>
        </w:rPr>
      </w:pPr>
      <w:r>
        <w:rPr>
          <w:rFonts w:ascii="Arial" w:cs="Arial" w:eastAsia="Arial" w:hAnsi="Arial"/>
          <w:sz w:val="20"/>
          <w:szCs w:val="20"/>
          <w:color w:val="auto"/>
        </w:rPr>
        <w:t>Each Letter of Credit shall be issued or amended, as the case may be, upon the request of the Company delivered to the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L/C Issuer, by personal delivery or by any other means acceptable</w:t>
      </w:r>
    </w:p>
    <w:p>
      <w:pPr>
        <w:spacing w:after="0" w:line="200" w:lineRule="exact"/>
        <w:rPr>
          <w:sz w:val="20"/>
          <w:szCs w:val="20"/>
          <w:color w:val="auto"/>
        </w:rPr>
      </w:pPr>
    </w:p>
    <w:p>
      <w:pPr>
        <w:spacing w:after="0" w:line="23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0220"/>
          </w:cols>
          <w:pgMar w:left="1440" w:top="771" w:right="239" w:bottom="1440" w:gutter="0" w:footer="0" w:header="0"/>
        </w:sectPr>
      </w:pPr>
    </w:p>
    <w:bookmarkStart w:id="179" w:name="page180"/>
    <w:bookmarkEnd w:id="179"/>
    <w:p>
      <w:pPr>
        <w:jc w:val="both"/>
        <w:ind w:left="100"/>
        <w:spacing w:after="0" w:line="297" w:lineRule="auto"/>
        <w:rPr>
          <w:sz w:val="20"/>
          <w:szCs w:val="20"/>
          <w:color w:val="auto"/>
        </w:rPr>
      </w:pPr>
      <w:r>
        <w:rPr>
          <w:rFonts w:ascii="Arial" w:cs="Arial" w:eastAsia="Arial" w:hAnsi="Arial"/>
          <w:sz w:val="18"/>
          <w:szCs w:val="18"/>
          <w:color w:val="auto"/>
        </w:rPr>
        <w:t>to the L/C Issuer. Such Letter of Credit Application must be received by the L/C Issuer and the Administrative Agent not later than 11:00 a.m. at least five (5)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w:t>
      </w:r>
    </w:p>
    <w:p>
      <w:pPr>
        <w:spacing w:after="0" w:line="3" w:lineRule="exact"/>
        <w:rPr>
          <w:sz w:val="20"/>
          <w:szCs w:val="20"/>
          <w:color w:val="auto"/>
        </w:rPr>
      </w:pPr>
    </w:p>
    <w:p>
      <w:pPr>
        <w:jc w:val="both"/>
        <w:ind w:left="100" w:firstLine="5"/>
        <w:spacing w:after="0" w:line="347" w:lineRule="auto"/>
        <w:tabs>
          <w:tab w:leader="none" w:pos="4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Company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40" w:lineRule="exact"/>
        <w:rPr>
          <w:rFonts w:ascii="Arial" w:cs="Arial" w:eastAsia="Arial" w:hAnsi="Arial"/>
          <w:sz w:val="16"/>
          <w:szCs w:val="16"/>
          <w:color w:val="auto"/>
        </w:rPr>
      </w:pPr>
    </w:p>
    <w:p>
      <w:pPr>
        <w:jc w:val="both"/>
        <w:ind w:left="100" w:firstLine="653"/>
        <w:spacing w:after="0" w:line="301" w:lineRule="auto"/>
        <w:tabs>
          <w:tab w:leader="none" w:pos="12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be satisfied, then, subject to the terms and conditions hereof, the L/C Issuer shall, on the requested date, issue a Letter of Credit for the account of the Parent or the applicable Subsidiary or enter into the applicable amendment, as the case may be, in each case in accordance with the L/C Issuer’s usual and customary business practices. The L/C Issuer may, at its option, make any Letter of Credit available by causing any foreign or domestic branch or Affiliate of the L/C Issuer to issue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Company and the Parent or such Subsidiary to reimburse the L/C Issuer with respect to such Letter of Credit in accordance with the terms of this Agreement. Immediately upon the issuance of each Letter of Credit, each Revolving A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174" w:lineRule="exact"/>
        <w:rPr>
          <w:rFonts w:ascii="Arial" w:cs="Arial" w:eastAsia="Arial" w:hAnsi="Arial"/>
          <w:sz w:val="18"/>
          <w:szCs w:val="18"/>
          <w:color w:val="auto"/>
        </w:rPr>
      </w:pPr>
    </w:p>
    <w:p>
      <w:pPr>
        <w:ind w:left="100" w:firstLine="653"/>
        <w:spacing w:after="0" w:line="289" w:lineRule="auto"/>
        <w:tabs>
          <w:tab w:leader="none" w:pos="1346" w:val="left"/>
        </w:tabs>
        <w:numPr>
          <w:ilvl w:val="1"/>
          <w:numId w:val="94"/>
        </w:numPr>
        <w:rPr>
          <w:rFonts w:ascii="Arial" w:cs="Arial" w:eastAsia="Arial" w:hAnsi="Arial"/>
          <w:sz w:val="20"/>
          <w:szCs w:val="20"/>
          <w:color w:val="auto"/>
        </w:rPr>
      </w:pPr>
      <w:r>
        <w:rPr>
          <w:rFonts w:ascii="Arial" w:cs="Arial" w:eastAsia="Arial" w:hAnsi="Arial"/>
          <w:sz w:val="20"/>
          <w:szCs w:val="20"/>
          <w:color w:val="auto"/>
        </w:rPr>
        <w:t>If the Company so requests in any applicable Letter of Credit Application, the L/C Issuer may, in its sole discretion, agree to issue a Letter of Credit that has automatic</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0220"/>
          </w:cols>
          <w:pgMar w:left="1440" w:top="771" w:right="239" w:bottom="1440" w:gutter="0" w:footer="0" w:header="0"/>
        </w:sectPr>
      </w:pPr>
    </w:p>
    <w:bookmarkStart w:id="180" w:name="page181"/>
    <w:bookmarkEnd w:id="180"/>
    <w:p>
      <w:pPr>
        <w:jc w:val="both"/>
        <w:ind w:left="100"/>
        <w:spacing w:after="0" w:line="256" w:lineRule="exact"/>
        <w:rPr>
          <w:sz w:val="20"/>
          <w:szCs w:val="20"/>
          <w:color w:val="auto"/>
        </w:rPr>
      </w:pPr>
      <w:r>
        <w:rPr>
          <w:rFonts w:ascii="Arial" w:cs="Arial" w:eastAsia="Arial" w:hAnsi="Arial"/>
          <w:sz w:val="18"/>
          <w:szCs w:val="18"/>
          <w:color w:val="auto"/>
        </w:rPr>
        <w:t>extension provisions (each, an “</w:t>
      </w:r>
      <w:r>
        <w:rPr>
          <w:rFonts w:ascii="Arial" w:cs="Arial" w:eastAsia="Arial" w:hAnsi="Arial"/>
          <w:sz w:val="18"/>
          <w:szCs w:val="18"/>
          <w:u w:val="single" w:color="auto"/>
          <w:color w:val="auto"/>
        </w:rPr>
        <w:t>Auto</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w:t>
      </w:r>
      <w:r>
        <w:rPr>
          <w:rFonts w:ascii="MS PGothic" w:cs="MS PGothic" w:eastAsia="MS PGothic" w:hAnsi="MS PGothic"/>
          <w:sz w:val="18"/>
          <w:szCs w:val="18"/>
          <w:color w:val="auto"/>
        </w:rPr>
        <w:t>‑</w:t>
      </w:r>
      <w:r>
        <w:rPr>
          <w:rFonts w:ascii="Arial" w:cs="Arial" w:eastAsia="Arial" w:hAnsi="Arial"/>
          <w:sz w:val="18"/>
          <w:szCs w:val="18"/>
          <w:color w:val="auto"/>
        </w:rPr>
        <w:t>Extension Letter of Credit must permit the L/C Issuer to prevent any such extension at least once in each twelve</w:t>
      </w:r>
      <w:r>
        <w:rPr>
          <w:rFonts w:ascii="MS PGothic" w:cs="MS PGothic" w:eastAsia="MS PGothic" w:hAnsi="MS PGothic"/>
          <w:sz w:val="18"/>
          <w:szCs w:val="18"/>
          <w:color w:val="auto"/>
        </w:rPr>
        <w:t>‑</w:t>
      </w:r>
      <w:r>
        <w:rPr>
          <w:rFonts w:ascii="Arial" w:cs="Arial" w:eastAsia="Arial" w:hAnsi="Arial"/>
          <w:sz w:val="18"/>
          <w:szCs w:val="18"/>
          <w:color w:val="auto"/>
        </w:rPr>
        <w:t>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 Date</w:t>
      </w:r>
      <w:r>
        <w:rPr>
          <w:rFonts w:ascii="Arial" w:cs="Arial" w:eastAsia="Arial" w:hAnsi="Arial"/>
          <w:sz w:val="18"/>
          <w:szCs w:val="18"/>
          <w:color w:val="auto"/>
        </w:rPr>
        <w:t>”) in each such twelve</w:t>
      </w:r>
      <w:r>
        <w:rPr>
          <w:rFonts w:ascii="MS PGothic" w:cs="MS PGothic" w:eastAsia="MS PGothic" w:hAnsi="MS PGothic"/>
          <w:sz w:val="18"/>
          <w:szCs w:val="18"/>
          <w:color w:val="auto"/>
        </w:rPr>
        <w:t>‑</w:t>
      </w:r>
      <w:r>
        <w:rPr>
          <w:rFonts w:ascii="Arial" w:cs="Arial" w:eastAsia="Arial" w:hAnsi="Arial"/>
          <w:sz w:val="18"/>
          <w:szCs w:val="18"/>
          <w:color w:val="auto"/>
        </w:rPr>
        <w:t>month period to be agreed upon at the time such Letter of Credit is issued. Unless otherwise directed by the L/C Issuer, the Company shall not be required to make a specific request to the L/C Issuer for any such extension. Once an Auto</w:t>
      </w:r>
      <w:r>
        <w:rPr>
          <w:rFonts w:ascii="MS PGothic" w:cs="MS PGothic" w:eastAsia="MS PGothic" w:hAnsi="MS PGothic"/>
          <w:sz w:val="18"/>
          <w:szCs w:val="18"/>
          <w:color w:val="auto"/>
        </w:rPr>
        <w:t>‑</w:t>
      </w:r>
      <w:r>
        <w:rPr>
          <w:rFonts w:ascii="Arial" w:cs="Arial" w:eastAsia="Arial" w:hAnsi="Arial"/>
          <w:sz w:val="18"/>
          <w:szCs w:val="18"/>
          <w:color w:val="auto"/>
        </w:rPr>
        <w:t xml:space="preserve">Extension Letter of Credit has been issued, the Revolving A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L/C Issuer shall not permit any such extension if</w:t>
      </w:r>
    </w:p>
    <w:p>
      <w:pPr>
        <w:spacing w:after="0" w:line="11" w:lineRule="exact"/>
        <w:rPr>
          <w:sz w:val="20"/>
          <w:szCs w:val="20"/>
          <w:color w:val="auto"/>
        </w:rPr>
      </w:pPr>
    </w:p>
    <w:p>
      <w:pPr>
        <w:jc w:val="both"/>
        <w:ind w:left="100" w:firstLine="5"/>
        <w:spacing w:after="0" w:line="255" w:lineRule="exact"/>
        <w:tabs>
          <w:tab w:leader="none" w:pos="426"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otherwise), or (B) it has received notice (which may be by telephone or in writing) on or before the day that is seven Business Days before the Non</w:t>
      </w:r>
      <w:r>
        <w:rPr>
          <w:rFonts w:ascii="MS PGothic" w:cs="MS PGothic" w:eastAsia="MS PGothic" w:hAnsi="MS PGothic"/>
          <w:sz w:val="19"/>
          <w:szCs w:val="19"/>
          <w:color w:val="auto"/>
        </w:rPr>
        <w:t>‑</w:t>
      </w:r>
      <w:r>
        <w:rPr>
          <w:rFonts w:ascii="Arial" w:cs="Arial" w:eastAsia="Arial" w:hAnsi="Arial"/>
          <w:sz w:val="19"/>
          <w:szCs w:val="19"/>
          <w:color w:val="auto"/>
        </w:rPr>
        <w:t xml:space="preserve">Extension Notice Date (1) from the Administrative Agent that the Required Pro Rata Facilities Lenders have elected not to permit such extension or (2) from the Administrative Agent, any Revolving A Lender or the Company that one or more of the applicable conditions specified in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is not then satisfied, and in each case directing the L/C Issuer not to permit such extension.</w:t>
      </w:r>
    </w:p>
    <w:p>
      <w:pPr>
        <w:spacing w:after="0" w:line="227" w:lineRule="exact"/>
        <w:rPr>
          <w:rFonts w:ascii="Arial" w:cs="Arial" w:eastAsia="Arial" w:hAnsi="Arial"/>
          <w:sz w:val="19"/>
          <w:szCs w:val="19"/>
          <w:color w:val="auto"/>
        </w:rPr>
      </w:pPr>
    </w:p>
    <w:p>
      <w:pPr>
        <w:jc w:val="both"/>
        <w:ind w:left="100" w:right="20" w:firstLine="653"/>
        <w:spacing w:after="0" w:line="278" w:lineRule="auto"/>
        <w:tabs>
          <w:tab w:leader="none" w:pos="1268" w:val="left"/>
        </w:tabs>
        <w:numPr>
          <w:ilvl w:val="1"/>
          <w:numId w:val="95"/>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187" w:lineRule="exact"/>
        <w:rPr>
          <w:sz w:val="20"/>
          <w:szCs w:val="20"/>
          <w:color w:val="auto"/>
        </w:rPr>
      </w:pPr>
    </w:p>
    <w:p>
      <w:pPr>
        <w:ind w:left="500" w:hanging="395"/>
        <w:spacing w:after="0"/>
        <w:tabs>
          <w:tab w:leader="none" w:pos="5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Drawings and Reimbursements; Funding of Participations.</w:t>
      </w:r>
    </w:p>
    <w:p>
      <w:pPr>
        <w:spacing w:after="0" w:line="242" w:lineRule="exact"/>
        <w:rPr>
          <w:rFonts w:ascii="Arial" w:cs="Arial" w:eastAsia="Arial" w:hAnsi="Arial"/>
          <w:sz w:val="20"/>
          <w:szCs w:val="20"/>
          <w:color w:val="auto"/>
        </w:rPr>
      </w:pPr>
    </w:p>
    <w:p>
      <w:pPr>
        <w:jc w:val="both"/>
        <w:ind w:left="100" w:firstLine="653"/>
        <w:spacing w:after="0" w:line="301" w:lineRule="auto"/>
        <w:tabs>
          <w:tab w:leader="none" w:pos="1115" w:val="left"/>
        </w:tabs>
        <w:numPr>
          <w:ilvl w:val="1"/>
          <w:numId w:val="96"/>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drawing under such Letter of Credit, the L/C Issuer shall notify the Company and the Administrative Agent thereof. In the case of a Letter of Credit denominated in an Alternative Currency, Australian Dollars or New Zealand Dollars, the Company shall reimburse the L/C Issuer in such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denominated in an Alternative Currency, Australian Dollars or New Zealand Dollars, the L/C Issuer shall notify the Company of the Dollar Equivalent of the amount of the drawing promptly following the determination thereof. Not later than (x) 11:00 a.m. on the date of any payment by the L/C Issuer under a Letter of Credit to be reimbursed in Dollars, or the Applicable Time on the date of any payment by the L/C Issuer under a Letter of Credit to be reimbursed in an Alternative Currency, Australian Dollars or New Zealand Dollars, or (y) if the Company has not received notice of such payment from the L/C Issuer by 11:00 a.m. on such date of payment by the L/C Issuer, 10:00 a.m. on the next succeeding Business Day following the date the Company receives notice of such</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0220"/>
          </w:cols>
          <w:pgMar w:left="1440" w:top="771" w:right="239" w:bottom="1440" w:gutter="0" w:footer="0" w:header="0"/>
        </w:sectPr>
      </w:pPr>
    </w:p>
    <w:bookmarkStart w:id="181" w:name="page182"/>
    <w:bookmarkEnd w:id="181"/>
    <w:p>
      <w:pPr>
        <w:jc w:val="both"/>
        <w:ind w:left="100"/>
        <w:spacing w:after="0" w:line="300" w:lineRule="auto"/>
        <w:rPr>
          <w:sz w:val="20"/>
          <w:szCs w:val="20"/>
          <w:color w:val="auto"/>
        </w:rPr>
      </w:pPr>
      <w:r>
        <w:rPr>
          <w:rFonts w:ascii="Arial" w:cs="Arial" w:eastAsia="Arial" w:hAnsi="Arial"/>
          <w:sz w:val="18"/>
          <w:szCs w:val="18"/>
          <w:color w:val="auto"/>
        </w:rPr>
        <w:t>payment from the L/C Issuer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the Company shall reimburse the L/C Issuer through the Administrative Agent in an amount equal to the amount of such drawing and in the applicable currency. In the event that (A) a drawing denominated in an Alternative Currency, Australian Dollars or New Zealand Dollars is to be reimbursed in Dollars pursuant to the second sentence in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and (B) the Dollar amount paid by the Company, whether on or after the Honor Date, shall not be adequate on the date of that payment to purchase in accordance with normal banking procedures a sum denominated in the Alternative Currency, Australian Dollars or New Zealand Dollars, as applicable, equal to the drawing, the Company agrees, as a separate and independent obligation, to indemnify the L/C Issuer for the loss resulting from its inability on that date to purchase the Alternative Currency, Australian Dollars or New Zealand Dollars, as applicable, in the full amount of the drawing. If the Company fails to so reimburse the L/C Issuer by such time, the Administrative Agent shall promptly notify each Revolving A Lender of the Honor Date, the amount of the unreimbursed drawing (expressed in Dollars in the amount of the Dollar Equivalent thereof in the case of a Letter of Credit denominated in an Alternative Currency, Australian Dollars or New Zealand Dollars)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Lender’s Applicable Percentage thereof. In such event, the Company shall be deemed to have requested a Borrowing of Revolving A Loans that are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(other than the delivery of a Loan Notice) and provided that, after giving effect to such Borrowing, (A) the Total Revolving A Outstandings shall not exceed the Aggregate Revolving A Commitments and (B) the Total Revolving Outstandings shall not exceed the Aggregate Revolving Commitments. Any notice given by the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73" w:lineRule="exact"/>
        <w:rPr>
          <w:sz w:val="20"/>
          <w:szCs w:val="20"/>
          <w:color w:val="auto"/>
        </w:rPr>
      </w:pPr>
    </w:p>
    <w:p>
      <w:pPr>
        <w:jc w:val="both"/>
        <w:ind w:left="100" w:firstLine="653"/>
        <w:spacing w:after="0" w:line="255" w:lineRule="exact"/>
        <w:tabs>
          <w:tab w:leader="none" w:pos="1251"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Each Revolving A Lender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(and the Administrative Agent may apply Cash Collateral provided for this purpose) to the Administrative Agent for the account of the L/C Issuer, in Dollars, at the Administrative Agent’s Office for Dollar</w:t>
      </w:r>
      <w:r>
        <w:rPr>
          <w:rFonts w:ascii="MS PGothic" w:cs="MS PGothic" w:eastAsia="MS PGothic" w:hAnsi="MS PGothic"/>
          <w:sz w:val="19"/>
          <w:szCs w:val="19"/>
          <w:color w:val="auto"/>
        </w:rPr>
        <w:t>‑</w:t>
      </w:r>
      <w:r>
        <w:rPr>
          <w:rFonts w:ascii="Arial" w:cs="Arial" w:eastAsia="Arial" w:hAnsi="Arial"/>
          <w:sz w:val="19"/>
          <w:szCs w:val="19"/>
          <w:color w:val="auto"/>
        </w:rPr>
        <w:t xml:space="preserve">denominated payments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Revolving A Lender that so makes funds available shall be deemed to have made a Revolving A Loan that is a Base Rate Loan to the Company in such amount. The Administrative Agent shall remit the funds so received to the L/C Issuer in Dollars.</w:t>
      </w:r>
    </w:p>
    <w:p>
      <w:pPr>
        <w:spacing w:after="0" w:line="227" w:lineRule="exact"/>
        <w:rPr>
          <w:rFonts w:ascii="Arial" w:cs="Arial" w:eastAsia="Arial" w:hAnsi="Arial"/>
          <w:sz w:val="19"/>
          <w:szCs w:val="19"/>
          <w:color w:val="auto"/>
        </w:rPr>
      </w:pPr>
    </w:p>
    <w:p>
      <w:pPr>
        <w:jc w:val="both"/>
        <w:ind w:left="100" w:firstLine="653"/>
        <w:spacing w:after="0" w:line="274" w:lineRule="auto"/>
        <w:tabs>
          <w:tab w:leader="none" w:pos="1319"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With respect to any Unreimbursed Amount that is not fully refinanced by a Borrowing of Base Rate Loans because the conditions set forth in </w:t>
      </w:r>
      <w:r>
        <w:rPr>
          <w:rFonts w:ascii="Arial" w:cs="Arial" w:eastAsia="Arial" w:hAnsi="Arial"/>
          <w:sz w:val="20"/>
          <w:szCs w:val="20"/>
          <w:u w:val="single" w:color="auto"/>
          <w:color w:val="auto"/>
        </w:rPr>
        <w:t>Section 5.03</w:t>
      </w:r>
      <w:r>
        <w:rPr>
          <w:rFonts w:ascii="Arial" w:cs="Arial" w:eastAsia="Arial" w:hAnsi="Arial"/>
          <w:sz w:val="20"/>
          <w:szCs w:val="20"/>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0220"/>
          </w:cols>
          <w:pgMar w:left="1440" w:top="771" w:right="239" w:bottom="1440" w:gutter="0" w:footer="0" w:header="0"/>
        </w:sectPr>
      </w:pPr>
    </w:p>
    <w:bookmarkStart w:id="182" w:name="page183"/>
    <w:bookmarkEnd w:id="182"/>
    <w:p>
      <w:pPr>
        <w:jc w:val="both"/>
        <w:ind w:left="100"/>
        <w:spacing w:after="0" w:line="274" w:lineRule="auto"/>
        <w:rPr>
          <w:sz w:val="20"/>
          <w:szCs w:val="20"/>
          <w:color w:val="auto"/>
        </w:rPr>
      </w:pPr>
      <w:r>
        <w:rPr>
          <w:rFonts w:ascii="Arial" w:cs="Arial" w:eastAsia="Arial" w:hAnsi="Arial"/>
          <w:sz w:val="20"/>
          <w:szCs w:val="20"/>
          <w:color w:val="auto"/>
        </w:rPr>
        <w:t xml:space="preserve">interest) and shall bear interest at the Default Rate. In such event, each Revolving A Lender’s payment to the Administrative Agent for the account of the L/C Issuer pursuant to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92" w:lineRule="exact"/>
        <w:rPr>
          <w:sz w:val="20"/>
          <w:szCs w:val="20"/>
          <w:color w:val="auto"/>
        </w:rPr>
      </w:pPr>
    </w:p>
    <w:p>
      <w:pPr>
        <w:jc w:val="both"/>
        <w:ind w:left="100" w:right="20" w:firstLine="653"/>
        <w:spacing w:after="0" w:line="278" w:lineRule="auto"/>
        <w:tabs>
          <w:tab w:leader="none" w:pos="1241"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Until each Revolving A Lender funds its Revolving A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L/C Issuer for any amount drawn under any Letter of Credit, interest in respect of such Lender’s Applicable Percentage of such amount shall be solely for the account of the L/C Issuer.</w:t>
      </w:r>
    </w:p>
    <w:p>
      <w:pPr>
        <w:spacing w:after="0" w:line="186" w:lineRule="exact"/>
        <w:rPr>
          <w:rFonts w:ascii="Arial" w:cs="Arial" w:eastAsia="Arial" w:hAnsi="Arial"/>
          <w:sz w:val="20"/>
          <w:szCs w:val="20"/>
          <w:color w:val="auto"/>
        </w:rPr>
      </w:pPr>
    </w:p>
    <w:p>
      <w:pPr>
        <w:jc w:val="both"/>
        <w:ind w:left="100" w:firstLine="653"/>
        <w:spacing w:after="0" w:line="303" w:lineRule="auto"/>
        <w:tabs>
          <w:tab w:leader="none" w:pos="1172"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Each Revolving A Lender’s obligation to make Revolving A Loans or L/C Advances to reimburse the L/C Issuer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L/C Issuer, the Company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A Lender’s obligation to make Revolving A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(other than delivery of a Loan Notice). No such making of an L/C Advance shall relieve or otherwise impair the obligation of the Company to reimburse the L/C Issuer for the amount of any payment made by the L/C Issuer under any Letter of Credit, together with interest as provided herein.</w:t>
      </w:r>
    </w:p>
    <w:p>
      <w:pPr>
        <w:spacing w:after="0" w:line="173" w:lineRule="exact"/>
        <w:rPr>
          <w:rFonts w:ascii="Arial" w:cs="Arial" w:eastAsia="Arial" w:hAnsi="Arial"/>
          <w:sz w:val="18"/>
          <w:szCs w:val="18"/>
          <w:color w:val="auto"/>
        </w:rPr>
      </w:pPr>
    </w:p>
    <w:p>
      <w:pPr>
        <w:jc w:val="both"/>
        <w:ind w:left="100" w:firstLine="653"/>
        <w:spacing w:after="0" w:line="302" w:lineRule="auto"/>
        <w:tabs>
          <w:tab w:leader="none" w:pos="1227"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If any Revolving A Lender fails to make available to the Administrative Agent for the account of the L/C Issuer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Revolving A Lender pays such amount (with interest and fees as aforesaid), the amount so paid shall constitute such Lender’s Revolving A Loan included in the relevant Borrowing or L/C Advance in respect of the relevant L/C Borrowing, as the case may be. A certificate of the L/C Issuer submitted to any Revolving A Lender (through the Administrative Agent) with respect to any amounts owing under this clause (vi) shall be conclusive absent manifest error.</w:t>
      </w:r>
    </w:p>
    <w:p>
      <w:pPr>
        <w:spacing w:after="0" w:line="173" w:lineRule="exact"/>
        <w:rPr>
          <w:rFonts w:ascii="Arial" w:cs="Arial" w:eastAsia="Arial" w:hAnsi="Arial"/>
          <w:sz w:val="18"/>
          <w:szCs w:val="18"/>
          <w:color w:val="auto"/>
        </w:rPr>
      </w:pPr>
    </w:p>
    <w:p>
      <w:pPr>
        <w:ind w:left="520" w:hanging="415"/>
        <w:spacing w:after="0"/>
        <w:tabs>
          <w:tab w:leader="none" w:pos="52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00" w:firstLine="653"/>
        <w:spacing w:after="0" w:line="278" w:lineRule="auto"/>
        <w:tabs>
          <w:tab w:leader="none" w:pos="1223" w:val="left"/>
        </w:tabs>
        <w:numPr>
          <w:ilvl w:val="1"/>
          <w:numId w:val="99"/>
        </w:numPr>
        <w:rPr>
          <w:rFonts w:ascii="Arial" w:cs="Arial" w:eastAsia="Arial" w:hAnsi="Arial"/>
          <w:sz w:val="20"/>
          <w:szCs w:val="20"/>
          <w:color w:val="auto"/>
        </w:rPr>
      </w:pPr>
      <w:r>
        <w:rPr>
          <w:rFonts w:ascii="Arial" w:cs="Arial" w:eastAsia="Arial" w:hAnsi="Arial"/>
          <w:sz w:val="20"/>
          <w:szCs w:val="20"/>
          <w:color w:val="auto"/>
        </w:rPr>
        <w:t xml:space="preserve">At any time after the L/C Issuer has made a payment under any Letter of Credit and has received from any Revolving A Lender such Lender’s L/C Advance in respect of such payment in accordance with </w:t>
      </w:r>
      <w:r>
        <w:rPr>
          <w:rFonts w:ascii="Arial" w:cs="Arial" w:eastAsia="Arial" w:hAnsi="Arial"/>
          <w:sz w:val="20"/>
          <w:szCs w:val="20"/>
          <w:u w:val="single" w:color="auto"/>
          <w:color w:val="auto"/>
        </w:rPr>
        <w:t>Section 2.03(c)</w:t>
      </w:r>
      <w:r>
        <w:rPr>
          <w:rFonts w:ascii="Arial" w:cs="Arial" w:eastAsia="Arial" w:hAnsi="Arial"/>
          <w:sz w:val="20"/>
          <w:szCs w:val="20"/>
          <w:color w:val="auto"/>
        </w:rPr>
        <w:t>, if the Administrative Agent receives</w:t>
      </w: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0220"/>
          </w:cols>
          <w:pgMar w:left="1440" w:top="771" w:right="239" w:bottom="1440" w:gutter="0" w:footer="0" w:header="0"/>
        </w:sectPr>
      </w:pPr>
    </w:p>
    <w:bookmarkStart w:id="183" w:name="page184"/>
    <w:bookmarkEnd w:id="183"/>
    <w:p>
      <w:pPr>
        <w:jc w:val="both"/>
        <w:ind w:left="100"/>
        <w:spacing w:after="0" w:line="273" w:lineRule="auto"/>
        <w:rPr>
          <w:sz w:val="20"/>
          <w:szCs w:val="20"/>
          <w:color w:val="auto"/>
        </w:rPr>
      </w:pPr>
      <w:r>
        <w:rPr>
          <w:rFonts w:ascii="Arial" w:cs="Arial" w:eastAsia="Arial" w:hAnsi="Arial"/>
          <w:sz w:val="20"/>
          <w:szCs w:val="20"/>
          <w:color w:val="auto"/>
        </w:rPr>
        <w:t>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Dollars and in the same funds as those received by the Administrative Agent.</w:t>
      </w:r>
    </w:p>
    <w:p>
      <w:pPr>
        <w:spacing w:after="0" w:line="191" w:lineRule="exact"/>
        <w:rPr>
          <w:sz w:val="20"/>
          <w:szCs w:val="20"/>
          <w:color w:val="auto"/>
        </w:rPr>
      </w:pPr>
    </w:p>
    <w:p>
      <w:pPr>
        <w:ind w:left="1180" w:hanging="427"/>
        <w:spacing w:after="0"/>
        <w:tabs>
          <w:tab w:leader="none" w:pos="11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w:t>
      </w:r>
    </w:p>
    <w:p>
      <w:pPr>
        <w:spacing w:after="0" w:line="49" w:lineRule="exact"/>
        <w:rPr>
          <w:rFonts w:ascii="Arial" w:cs="Arial" w:eastAsia="Arial" w:hAnsi="Arial"/>
          <w:sz w:val="18"/>
          <w:szCs w:val="18"/>
          <w:color w:val="auto"/>
        </w:rPr>
      </w:pPr>
    </w:p>
    <w:p>
      <w:pPr>
        <w:jc w:val="both"/>
        <w:ind w:left="100" w:firstLine="5"/>
        <w:spacing w:after="0" w:line="288" w:lineRule="auto"/>
        <w:tabs>
          <w:tab w:leader="none" w:pos="349" w:val="left"/>
        </w:tabs>
        <w:numPr>
          <w:ilvl w:val="0"/>
          <w:numId w:val="101"/>
        </w:numPr>
        <w:rPr>
          <w:rFonts w:ascii="Arial" w:cs="Arial" w:eastAsia="Arial" w:hAnsi="Arial"/>
          <w:sz w:val="19"/>
          <w:szCs w:val="19"/>
          <w:u w:val="single" w:color="auto"/>
          <w:color w:val="auto"/>
        </w:rPr>
      </w:pPr>
      <w:r>
        <w:rPr>
          <w:rFonts w:ascii="Arial" w:cs="Arial" w:eastAsia="Arial" w:hAnsi="Arial"/>
          <w:sz w:val="19"/>
          <w:szCs w:val="19"/>
          <w:color w:val="auto"/>
        </w:rPr>
        <w:t xml:space="preserve">is required to be returned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the L/C Issuer in its discretion), each Revolving A Lender shall pay to the Administrative Agent for the account of the L/C Issuer its Applicable Percentage thereof on demand of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amount is returned by such Lender, at a rate per annum equal to the applicable Overnight Rate from time to time in effect. The obligations of the Revolving A Lenders under this clause shall survive the payment in full of the Obligations and the termination of this Agreement.</w:t>
      </w:r>
    </w:p>
    <w:p>
      <w:pPr>
        <w:spacing w:after="0" w:line="183" w:lineRule="exact"/>
        <w:rPr>
          <w:sz w:val="20"/>
          <w:szCs w:val="20"/>
          <w:color w:val="auto"/>
        </w:rPr>
      </w:pPr>
    </w:p>
    <w:p>
      <w:pPr>
        <w:jc w:val="both"/>
        <w:ind w:left="-540" w:firstLine="645"/>
        <w:spacing w:after="0" w:line="278" w:lineRule="auto"/>
        <w:tabs>
          <w:tab w:leader="none" w:pos="535"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Company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6" w:lineRule="exact"/>
        <w:rPr>
          <w:rFonts w:ascii="Arial" w:cs="Arial" w:eastAsia="Arial" w:hAnsi="Arial"/>
          <w:sz w:val="20"/>
          <w:szCs w:val="20"/>
          <w:color w:val="auto"/>
        </w:rPr>
      </w:pPr>
    </w:p>
    <w:p>
      <w:pPr>
        <w:ind w:left="1120" w:hanging="367"/>
        <w:spacing w:after="0"/>
        <w:tabs>
          <w:tab w:leader="none" w:pos="112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254" w:lineRule="exact"/>
        <w:rPr>
          <w:rFonts w:ascii="Arial" w:cs="Arial" w:eastAsia="Arial" w:hAnsi="Arial"/>
          <w:sz w:val="19"/>
          <w:szCs w:val="19"/>
          <w:color w:val="auto"/>
        </w:rPr>
      </w:pPr>
    </w:p>
    <w:p>
      <w:pPr>
        <w:jc w:val="both"/>
        <w:ind w:left="100" w:firstLine="653"/>
        <w:spacing w:after="0" w:line="273" w:lineRule="auto"/>
        <w:tabs>
          <w:tab w:leader="none" w:pos="1251"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the Parent, any Loan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91" w:lineRule="exact"/>
        <w:rPr>
          <w:rFonts w:ascii="Arial" w:cs="Arial" w:eastAsia="Arial" w:hAnsi="Arial"/>
          <w:sz w:val="20"/>
          <w:szCs w:val="20"/>
          <w:color w:val="auto"/>
        </w:rPr>
      </w:pPr>
    </w:p>
    <w:p>
      <w:pPr>
        <w:jc w:val="both"/>
        <w:ind w:left="100" w:firstLine="653"/>
        <w:spacing w:after="0" w:line="322" w:lineRule="auto"/>
        <w:tabs>
          <w:tab w:leader="none" w:pos="130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2" w:lineRule="exact"/>
        <w:rPr>
          <w:rFonts w:ascii="Arial" w:cs="Arial" w:eastAsia="Arial" w:hAnsi="Arial"/>
          <w:sz w:val="18"/>
          <w:szCs w:val="18"/>
          <w:color w:val="auto"/>
        </w:rPr>
      </w:pPr>
    </w:p>
    <w:p>
      <w:pPr>
        <w:ind w:left="100" w:firstLine="653"/>
        <w:spacing w:after="0" w:line="316" w:lineRule="auto"/>
        <w:tabs>
          <w:tab w:leader="none" w:pos="1241" w:val="left"/>
        </w:tabs>
        <w:numPr>
          <w:ilvl w:val="1"/>
          <w:numId w:val="102"/>
        </w:numPr>
        <w:rPr>
          <w:rFonts w:ascii="Arial" w:cs="Arial" w:eastAsia="Arial" w:hAnsi="Arial"/>
          <w:sz w:val="19"/>
          <w:szCs w:val="19"/>
          <w:color w:val="auto"/>
        </w:rPr>
      </w:pPr>
      <w:r>
        <w:rPr>
          <w:rFonts w:ascii="Arial" w:cs="Arial" w:eastAsia="Arial" w:hAnsi="Arial"/>
          <w:sz w:val="19"/>
          <w:szCs w:val="19"/>
          <w:color w:val="auto"/>
        </w:rPr>
        <w:t>waiver by the L/C Issuer of any requirement that exists for the L/C Issuer’s protection and not the protection of the Company or any waiver by the L/C Issuer which does not in fact materially prejudice the Company;</w:t>
      </w:r>
    </w:p>
    <w:p>
      <w:pPr>
        <w:spacing w:after="0" w:line="153" w:lineRule="exact"/>
        <w:rPr>
          <w:rFonts w:ascii="Arial" w:cs="Arial" w:eastAsia="Arial" w:hAnsi="Arial"/>
          <w:sz w:val="19"/>
          <w:szCs w:val="19"/>
          <w:color w:val="auto"/>
        </w:rPr>
      </w:pPr>
    </w:p>
    <w:p>
      <w:pPr>
        <w:ind w:left="100" w:right="20" w:firstLine="653"/>
        <w:spacing w:after="0" w:line="289" w:lineRule="auto"/>
        <w:tabs>
          <w:tab w:leader="none" w:pos="1186" w:val="left"/>
        </w:tabs>
        <w:numPr>
          <w:ilvl w:val="1"/>
          <w:numId w:val="102"/>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requires that demand be in the form of a draft;</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0220"/>
          </w:cols>
          <w:pgMar w:left="1440" w:top="771" w:right="239" w:bottom="1440" w:gutter="0" w:footer="0" w:header="0"/>
        </w:sectPr>
      </w:pPr>
    </w:p>
    <w:bookmarkStart w:id="184" w:name="page185"/>
    <w:bookmarkEnd w:id="184"/>
    <w:p>
      <w:pPr>
        <w:jc w:val="both"/>
        <w:ind w:left="640" w:firstLine="653"/>
        <w:spacing w:after="0" w:line="278" w:lineRule="auto"/>
        <w:tabs>
          <w:tab w:leader="none" w:pos="175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86" w:lineRule="exact"/>
        <w:rPr>
          <w:rFonts w:ascii="Arial" w:cs="Arial" w:eastAsia="Arial" w:hAnsi="Arial"/>
          <w:sz w:val="20"/>
          <w:szCs w:val="20"/>
          <w:color w:val="auto"/>
        </w:rPr>
      </w:pPr>
    </w:p>
    <w:p>
      <w:pPr>
        <w:jc w:val="both"/>
        <w:ind w:left="640" w:firstLine="653"/>
        <w:spacing w:after="0" w:line="255" w:lineRule="exact"/>
        <w:tabs>
          <w:tab w:leader="none" w:pos="182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24" w:lineRule="exact"/>
        <w:rPr>
          <w:rFonts w:ascii="Arial" w:cs="Arial" w:eastAsia="Arial" w:hAnsi="Arial"/>
          <w:sz w:val="19"/>
          <w:szCs w:val="19"/>
          <w:color w:val="auto"/>
        </w:rPr>
      </w:pPr>
    </w:p>
    <w:p>
      <w:pPr>
        <w:jc w:val="both"/>
        <w:ind w:left="640" w:firstLine="653"/>
        <w:spacing w:after="0" w:line="278" w:lineRule="auto"/>
        <w:tabs>
          <w:tab w:leader="none" w:pos="191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Alternative Currency, Australian Dollars or New Zealand Dollars to any Loan Party or any Subsidiary or in the relevant currency markets generally; or</w:t>
      </w:r>
    </w:p>
    <w:p>
      <w:pPr>
        <w:spacing w:after="0" w:line="186" w:lineRule="exact"/>
        <w:rPr>
          <w:rFonts w:ascii="Arial" w:cs="Arial" w:eastAsia="Arial" w:hAnsi="Arial"/>
          <w:sz w:val="20"/>
          <w:szCs w:val="20"/>
          <w:color w:val="auto"/>
        </w:rPr>
      </w:pPr>
    </w:p>
    <w:p>
      <w:pPr>
        <w:ind w:left="640" w:firstLine="653"/>
        <w:spacing w:after="0" w:line="347" w:lineRule="auto"/>
        <w:tabs>
          <w:tab w:leader="none" w:pos="179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Loan Party or any Subsidiary.</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205" w:lineRule="exact"/>
        <w:rPr>
          <w:sz w:val="20"/>
          <w:szCs w:val="20"/>
          <w:color w:val="auto"/>
        </w:rPr>
      </w:pPr>
    </w:p>
    <w:p>
      <w:pPr>
        <w:jc w:val="both"/>
        <w:ind w:firstLine="645"/>
        <w:spacing w:after="0" w:line="284" w:lineRule="auto"/>
        <w:tabs>
          <w:tab w:leader="none" w:pos="108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Role of L/C Issuer</w:t>
      </w:r>
      <w:r>
        <w:rPr>
          <w:rFonts w:ascii="Arial" w:cs="Arial" w:eastAsia="Arial" w:hAnsi="Arial"/>
          <w:sz w:val="19"/>
          <w:szCs w:val="19"/>
          <w:color w:val="auto"/>
        </w:rPr>
        <w:t xml:space="preserve">. Each Lender and the Company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 the Required Lenders or the Required Pro Rata Facilities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shall not, preclude the Company’s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such clauses to the contrary notwithstanding, the Company may have a claim against the L/C Issuer, and the L/C Issuer may be liable to the Company, to the extent,</w:t>
      </w: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0760"/>
          </w:cols>
          <w:pgMar w:left="900" w:top="771" w:right="239" w:bottom="1440" w:gutter="0" w:footer="0" w:header="0"/>
        </w:sectPr>
      </w:pPr>
    </w:p>
    <w:bookmarkStart w:id="185" w:name="page186"/>
    <w:bookmarkEnd w:id="185"/>
    <w:p>
      <w:pPr>
        <w:jc w:val="both"/>
        <w:spacing w:after="0" w:line="302" w:lineRule="auto"/>
        <w:rPr>
          <w:sz w:val="20"/>
          <w:szCs w:val="20"/>
          <w:color w:val="auto"/>
        </w:rPr>
      </w:pPr>
      <w:r>
        <w:rPr>
          <w:rFonts w:ascii="Arial" w:cs="Arial" w:eastAsia="Arial" w:hAnsi="Arial"/>
          <w:sz w:val="18"/>
          <w:szCs w:val="18"/>
          <w:color w:val="auto"/>
        </w:rPr>
        <w:t>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74" w:lineRule="exact"/>
        <w:rPr>
          <w:sz w:val="20"/>
          <w:szCs w:val="20"/>
          <w:color w:val="auto"/>
        </w:rPr>
      </w:pPr>
    </w:p>
    <w:p>
      <w:pPr>
        <w:jc w:val="both"/>
        <w:ind w:firstLine="645"/>
        <w:spacing w:after="0" w:line="256" w:lineRule="exact"/>
        <w:tabs>
          <w:tab w:leader="none" w:pos="1059"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Applicability of ISP; Limitation of Liability</w:t>
      </w:r>
      <w:r>
        <w:rPr>
          <w:rFonts w:ascii="Arial" w:cs="Arial" w:eastAsia="Arial" w:hAnsi="Arial"/>
          <w:sz w:val="20"/>
          <w:szCs w:val="20"/>
          <w:color w:val="auto"/>
        </w:rPr>
        <w:t>. Unless otherwise expressly agreed by the L/C Issuer and the Company when a Letter of Credit is issued, the rules of the ISP shall apply to each Letter of Credit. Notwithstanding the foregoing, the L/C Issuer shall not be responsible to any Loan Party or Subsidiary for, and the L/C Issuer’s rights and remedies against the Loan Parties and Subsidiaries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w:t>
      </w:r>
      <w:r>
        <w:rPr>
          <w:rFonts w:ascii="MS PGothic" w:cs="MS PGothic" w:eastAsia="MS PGothic" w:hAnsi="MS PGothic"/>
          <w:sz w:val="20"/>
          <w:szCs w:val="20"/>
          <w:color w:val="auto"/>
        </w:rPr>
        <w:t>‑</w:t>
      </w:r>
      <w:r>
        <w:rPr>
          <w:rFonts w:ascii="Arial" w:cs="Arial" w:eastAsia="Arial" w:hAnsi="Arial"/>
          <w:sz w:val="20"/>
          <w:szCs w:val="20"/>
          <w:color w:val="auto"/>
        </w:rPr>
        <w:t>IFSA), or the Institute of International Banking Law &amp; Practice, whether or not any Letter of Credit chooses such law or practice.</w:t>
      </w:r>
    </w:p>
    <w:p>
      <w:pPr>
        <w:spacing w:after="0" w:line="222" w:lineRule="exact"/>
        <w:rPr>
          <w:rFonts w:ascii="Arial" w:cs="Arial" w:eastAsia="Arial" w:hAnsi="Arial"/>
          <w:sz w:val="20"/>
          <w:szCs w:val="20"/>
          <w:color w:val="auto"/>
        </w:rPr>
      </w:pPr>
    </w:p>
    <w:p>
      <w:pPr>
        <w:jc w:val="both"/>
        <w:ind w:firstLine="645"/>
        <w:spacing w:after="0" w:line="301" w:lineRule="auto"/>
        <w:tabs>
          <w:tab w:leader="none" w:pos="1059"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The Company shall pay to the Administrative Agent for the account of each Revolving A Lender in accordance with its Applicable Percentage, in Dollars, 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each Letter of Credit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Dollar Equivalent of the daily maximum amount available to be drawn under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shall be payable, to the maximum extent permitted by applicable Law, to the other Revolving A Lenders in accordance with the upward adjustments in their respective Applicable Percentages allocable to such Letter of Credit pursuant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0760"/>
          </w:cols>
          <w:pgMar w:left="900" w:top="771" w:right="239" w:bottom="1440" w:gutter="0" w:footer="0" w:header="0"/>
        </w:sectPr>
      </w:pPr>
    </w:p>
    <w:bookmarkStart w:id="186" w:name="page187"/>
    <w:bookmarkEnd w:id="186"/>
    <w:p>
      <w:pPr>
        <w:jc w:val="both"/>
        <w:spacing w:after="0" w:line="278" w:lineRule="auto"/>
        <w:rPr>
          <w:sz w:val="20"/>
          <w:szCs w:val="20"/>
          <w:color w:val="auto"/>
        </w:rPr>
      </w:pPr>
      <w:r>
        <w:rPr>
          <w:rFonts w:ascii="Arial" w:cs="Arial" w:eastAsia="Arial" w:hAnsi="Arial"/>
          <w:sz w:val="20"/>
          <w:szCs w:val="20"/>
          <w:color w:val="auto"/>
        </w:rPr>
        <w:t>computed and multiplied by the Applicable Rate separately for each period during such quarter that such Applicable Rate was in effect. Notwithstanding anything to the contrary contained herein, upon the request of the Required Pro Rata Facilities Lenders while any Event of Default exists, all Letter of Credit Fees shall accrue at the Default Rate.</w:t>
      </w:r>
    </w:p>
    <w:p>
      <w:pPr>
        <w:spacing w:after="0" w:line="187" w:lineRule="exact"/>
        <w:rPr>
          <w:sz w:val="20"/>
          <w:szCs w:val="20"/>
          <w:color w:val="auto"/>
        </w:rPr>
      </w:pPr>
    </w:p>
    <w:p>
      <w:pPr>
        <w:jc w:val="both"/>
        <w:ind w:firstLine="645"/>
        <w:spacing w:after="0" w:line="256" w:lineRule="exact"/>
        <w:tabs>
          <w:tab w:leader="none" w:pos="1029"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w:t>
      </w:r>
      <w:r>
        <w:rPr>
          <w:rFonts w:ascii="Arial" w:cs="Arial" w:eastAsia="Arial" w:hAnsi="Arial"/>
          <w:sz w:val="19"/>
          <w:szCs w:val="19"/>
          <w:color w:val="auto"/>
        </w:rPr>
        <w:t>. The Company shall pay directly to the L/C Issuer for its own account, in Dollars, a fronting fee with respect to each Letter of Credit, at the rate per annum specified in the Fee Letter, computed on the Dollar Equivalent of the actual daily maximum amount available to be drawn under such Letter of Credit (whether or not such maximum amount is then in effect under such Letter of Credit) and on a quarterly basis in arrears. Such fronting fee shall be due and payable on the tenth Business Day after the end of each March, June, September and December in respect of the most recently</w:t>
      </w:r>
      <w:r>
        <w:rPr>
          <w:rFonts w:ascii="MS PGothic" w:cs="MS PGothic" w:eastAsia="MS PGothic" w:hAnsi="MS PGothic"/>
          <w:sz w:val="19"/>
          <w:szCs w:val="19"/>
          <w:color w:val="auto"/>
        </w:rPr>
        <w:t>‑</w:t>
      </w:r>
      <w:r>
        <w:rPr>
          <w:rFonts w:ascii="Arial" w:cs="Arial" w:eastAsia="Arial" w:hAnsi="Arial"/>
          <w:sz w:val="19"/>
          <w:szCs w:val="19"/>
          <w:color w:val="auto"/>
        </w:rPr>
        <w:t xml:space="preserve">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1.09</w:t>
      </w:r>
      <w:r>
        <w:rPr>
          <w:rFonts w:ascii="Arial" w:cs="Arial" w:eastAsia="Arial" w:hAnsi="Arial"/>
          <w:sz w:val="19"/>
          <w:szCs w:val="19"/>
          <w:color w:val="auto"/>
        </w:rPr>
        <w:t>. In addition, the Company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225" w:lineRule="exact"/>
        <w:rPr>
          <w:rFonts w:ascii="Arial" w:cs="Arial" w:eastAsia="Arial" w:hAnsi="Arial"/>
          <w:sz w:val="19"/>
          <w:szCs w:val="19"/>
          <w:color w:val="auto"/>
        </w:rPr>
      </w:pPr>
    </w:p>
    <w:p>
      <w:pPr>
        <w:ind w:firstLine="645"/>
        <w:spacing w:after="0" w:line="289" w:lineRule="auto"/>
        <w:tabs>
          <w:tab w:leader="none" w:pos="1137"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75" w:lineRule="exact"/>
        <w:rPr>
          <w:rFonts w:ascii="Arial" w:cs="Arial" w:eastAsia="Arial" w:hAnsi="Arial"/>
          <w:sz w:val="20"/>
          <w:szCs w:val="20"/>
          <w:color w:val="auto"/>
        </w:rPr>
      </w:pPr>
    </w:p>
    <w:p>
      <w:pPr>
        <w:jc w:val="both"/>
        <w:ind w:firstLine="645"/>
        <w:spacing w:after="0" w:line="273" w:lineRule="auto"/>
        <w:tabs>
          <w:tab w:leader="none" w:pos="1127"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the Parent or a Subsidiary, the Company shall be obligated to reimburse the L/C Issuer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spacing w:after="0" w:line="186" w:lineRule="exact"/>
        <w:rPr>
          <w:sz w:val="20"/>
          <w:szCs w:val="20"/>
          <w:color w:val="auto"/>
        </w:rPr>
      </w:pPr>
    </w:p>
    <w:p>
      <w:pPr>
        <w:spacing w:after="0"/>
        <w:tabs>
          <w:tab w:leader="none" w:pos="500" w:val="left"/>
          <w:tab w:leader="none" w:pos="230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22"/>
          <w:szCs w:val="22"/>
          <w:color w:val="auto"/>
        </w:rPr>
        <w:t>Swing Line Loans</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-17780</wp:posOffset>
            </wp:positionV>
            <wp:extent cx="11430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31" w:lineRule="exact"/>
        <w:rPr>
          <w:sz w:val="20"/>
          <w:szCs w:val="20"/>
          <w:color w:val="auto"/>
        </w:rPr>
      </w:pPr>
    </w:p>
    <w:p>
      <w:pPr>
        <w:ind w:left="1040" w:hanging="395"/>
        <w:spacing w:after="0"/>
        <w:tabs>
          <w:tab w:leader="none" w:pos="104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Swing Line Facility</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40" w:firstLine="653"/>
        <w:spacing w:after="0" w:line="270" w:lineRule="auto"/>
        <w:tabs>
          <w:tab w:leader="none" w:pos="1655" w:val="left"/>
        </w:tabs>
        <w:numPr>
          <w:ilvl w:val="1"/>
          <w:numId w:val="107"/>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the Swing Line Lender, in reliance upon the agreements of the other Revolving A Lenders set forth in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shall make loans to the Company and, if such entity becomes a Borrower pursuant to </w:t>
      </w:r>
      <w:r>
        <w:rPr>
          <w:rFonts w:ascii="Arial" w:cs="Arial" w:eastAsia="Arial" w:hAnsi="Arial"/>
          <w:sz w:val="20"/>
          <w:szCs w:val="20"/>
          <w:u w:val="single" w:color="auto"/>
          <w:color w:val="auto"/>
        </w:rPr>
        <w:t>Section 7.12(b)</w:t>
      </w:r>
      <w:r>
        <w:rPr>
          <w:rFonts w:ascii="Arial" w:cs="Arial" w:eastAsia="Arial" w:hAnsi="Arial"/>
          <w:sz w:val="20"/>
          <w:szCs w:val="20"/>
          <w:color w:val="auto"/>
        </w:rPr>
        <w:t>, the Additional Borrower, in Dollars (each such loan to the Company or the Additional Borrower, a “</w:t>
      </w:r>
      <w:r>
        <w:rPr>
          <w:rFonts w:ascii="Arial" w:cs="Arial" w:eastAsia="Arial" w:hAnsi="Arial"/>
          <w:sz w:val="20"/>
          <w:szCs w:val="20"/>
          <w:u w:val="single" w:color="auto"/>
          <w:color w:val="auto"/>
        </w:rPr>
        <w:t>Domestic Swing Line Loan</w:t>
      </w:r>
      <w:r>
        <w:rPr>
          <w:rFonts w:ascii="Arial" w:cs="Arial" w:eastAsia="Arial" w:hAnsi="Arial"/>
          <w:sz w:val="20"/>
          <w:szCs w:val="20"/>
          <w:color w:val="auto"/>
        </w:rPr>
        <w:t>”) from time to time on any Business Day during the Availability Period for the Revolving A Commitments in an aggregate amount not to exceed at any time outstanding the amount of the Domestic Swing Line Loan Sublimit, notwithstanding the fact that such Domestic Swing Line Loans, when aggregated with the Applicable Percentage of the Outstanding Amount of Revolving A Loans and L/C Obligations of the Lender acting as Swing Line Lender, may exceed the</w:t>
      </w:r>
    </w:p>
    <w:p>
      <w:pPr>
        <w:spacing w:after="0" w:line="200" w:lineRule="exact"/>
        <w:rPr>
          <w:sz w:val="20"/>
          <w:szCs w:val="20"/>
          <w:color w:val="auto"/>
        </w:rPr>
      </w:pPr>
    </w:p>
    <w:p>
      <w:pPr>
        <w:spacing w:after="0" w:line="24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0760"/>
          </w:cols>
          <w:pgMar w:left="900" w:top="771" w:right="239" w:bottom="1440" w:gutter="0" w:footer="0" w:header="0"/>
        </w:sectPr>
      </w:pPr>
    </w:p>
    <w:bookmarkStart w:id="187" w:name="page188"/>
    <w:bookmarkEnd w:id="187"/>
    <w:p>
      <w:pPr>
        <w:jc w:val="both"/>
        <w:ind w:left="100"/>
        <w:spacing w:after="0" w:line="284" w:lineRule="auto"/>
        <w:rPr>
          <w:sz w:val="20"/>
          <w:szCs w:val="20"/>
          <w:color w:val="auto"/>
        </w:rPr>
      </w:pPr>
      <w:r>
        <w:rPr>
          <w:rFonts w:ascii="Arial" w:cs="Arial" w:eastAsia="Arial" w:hAnsi="Arial"/>
          <w:sz w:val="19"/>
          <w:szCs w:val="19"/>
          <w:color w:val="auto"/>
        </w:rPr>
        <w:t xml:space="preserve">amount of such Lender’s Revolving A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Domestic Swing Line Loan, (A) the Total Revolving Outstandings shall not exceed the Aggregate Revolving Commitments, (B) the Total Revolving A Outstandings shall not exceed the Aggregate Revolving A Commitments, (C) the aggregate Outstanding Amount of the Revolving A Loans of any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Applicable Percentage of the Outstanding Amount of all L/C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Applicable Percentage of the Outstanding Amount of all Domestic Swing Line Loans shall not exceed such Lender’s Revolving A Commitment, and (D) the aggregate Outstanding Amount of all Domestic Swing Line Loans shall not exceed the Domestic Swing Line Loan Sublimit;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(1) no Borrower shall use the proceeds of any Domestic Swing Line Loan to refinance any outstanding Swing Line Loan and (2) the Swing Line Lender shall not be under any obligation to make any Domestic Swing Line Loan if it shall determine (which determination shall be conclusive and binding absent manifest error) that it has, or by such Credit Extension may have, Fronting Exposure. Within the foregoing limits, and subject to the other terms and conditions hereof, the Company and, if such entity becomes a Borrower pursuant to </w:t>
      </w:r>
      <w:r>
        <w:rPr>
          <w:rFonts w:ascii="Arial" w:cs="Arial" w:eastAsia="Arial" w:hAnsi="Arial"/>
          <w:sz w:val="19"/>
          <w:szCs w:val="19"/>
          <w:u w:val="single" w:color="auto"/>
          <w:color w:val="auto"/>
        </w:rPr>
        <w:t>Section 7.12(b)</w:t>
      </w:r>
      <w:r>
        <w:rPr>
          <w:rFonts w:ascii="Arial" w:cs="Arial" w:eastAsia="Arial" w:hAnsi="Arial"/>
          <w:sz w:val="19"/>
          <w:szCs w:val="19"/>
          <w:color w:val="auto"/>
        </w:rPr>
        <w:t xml:space="preserve">, the Additional Borrower, may each borrow Domestic Swing Line Loans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Each Domestic Swing Line Loan shall bear interest as set forth in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Immediately upon the making of a Domestic Swing Line Loan, each Revolving A Lender shall be deemed to, and hereby irrevocably and unconditionally agrees to, purchase from the Swing Line Lender a risk participation in such Domestic Swing Line Loan in an amount equal to the product of such Lender’s Applicable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Domestic Swing Line Loan.</w:t>
      </w:r>
    </w:p>
    <w:p>
      <w:pPr>
        <w:spacing w:after="0" w:line="183" w:lineRule="exact"/>
        <w:rPr>
          <w:sz w:val="20"/>
          <w:szCs w:val="20"/>
          <w:color w:val="auto"/>
        </w:rPr>
      </w:pPr>
    </w:p>
    <w:p>
      <w:pPr>
        <w:jc w:val="both"/>
        <w:ind w:left="100" w:firstLine="653"/>
        <w:spacing w:after="0" w:line="301" w:lineRule="auto"/>
        <w:tabs>
          <w:tab w:leader="none" w:pos="12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the Swing Line Lender, in reliance upon the agreements of the other Revolving B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shall make loans in Euros or Sterling to any Designated Borrower (other than Lux 2) that is a Revolving A/B Borrower (each such loan to any such Designated Borrower, a “</w:t>
      </w:r>
      <w:r>
        <w:rPr>
          <w:rFonts w:ascii="Arial" w:cs="Arial" w:eastAsia="Arial" w:hAnsi="Arial"/>
          <w:sz w:val="18"/>
          <w:szCs w:val="18"/>
          <w:u w:val="single" w:color="auto"/>
          <w:color w:val="auto"/>
        </w:rPr>
        <w:t>Foreign Swing 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and collectively with the Domestic Swing Line Loans, the “</w:t>
      </w: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from time to time on any Business Day during the Availability Period for the Revolving B Commitments in an aggregate amount not to exceed at any time outstanding the amount of the Foreign Swing Line Loan Sublimit, notwithstanding the fact that such Foreign Swing Line Loans, when aggregated with the Applicable Percentage of the Outstanding Amount of Revolving B Loans, may exceed the amount of such Lender’s Revolving B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Foreign Swing Line Loan, (A) the Total Revolving Outstandings shall not exceed the Aggregate Revolving Commitments, (B) the Total Revolving B Outstandings shall not exceed the Aggregate Revolving B Commitments, (C) the aggregate Outstanding Amount of the Revolving B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Foreign Swing Line Loans shall not exceed such Lender’s Revolving B Commitment, and (D) the aggregate Outstanding Amount of all Foreign Swing Line Loans shall not exceed the Foreign Swing Line Loan Sublimit;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(1) no Borrower shall use the proceeds of any Foreign Swing Line Loan to refinance any outstanding Swing Line Loan and (2) the Swing Line Lender shall not be under any obligation to make any Foreign Swing Line Loan if it shall determine (which determination shall be conclusive and binding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0220"/>
          </w:cols>
          <w:pgMar w:left="1440" w:top="771" w:right="239" w:bottom="1440" w:gutter="0" w:footer="0" w:header="0"/>
        </w:sectPr>
      </w:pPr>
    </w:p>
    <w:bookmarkStart w:id="188" w:name="page189"/>
    <w:bookmarkEnd w:id="188"/>
    <w:p>
      <w:pPr>
        <w:jc w:val="both"/>
        <w:ind w:left="100"/>
        <w:spacing w:after="0" w:line="305" w:lineRule="auto"/>
        <w:rPr>
          <w:sz w:val="20"/>
          <w:szCs w:val="20"/>
          <w:color w:val="auto"/>
        </w:rPr>
      </w:pPr>
      <w:r>
        <w:rPr>
          <w:rFonts w:ascii="Arial" w:cs="Arial" w:eastAsia="Arial" w:hAnsi="Arial"/>
          <w:sz w:val="18"/>
          <w:szCs w:val="18"/>
          <w:color w:val="auto"/>
        </w:rPr>
        <w:t xml:space="preserve">absent manifest error) that it has, or by such Credit Extension may have, Fronting Exposure. Within the foregoing limits, and subject to the other terms and conditions hereof, any Designated Borrower (other than Lux 2) that is a Revolving A/B Borrower may borrow Foreign Swing Line Loans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Each Foreign Swing Line Loan shall bear interest as set forth in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Immediately upon the making of a Foreign Swing Line Loan, each Revolving B Lender shall be deemed to, and hereby irrevocably and unconditionally agrees to, purchase from the Swing Line Lender a risk participation in such Foreign Swing Line Loan in an amount equal to the product of such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Foreign Swing Line Loan.</w:t>
      </w:r>
    </w:p>
    <w:p>
      <w:pPr>
        <w:spacing w:after="0" w:line="171" w:lineRule="exact"/>
        <w:rPr>
          <w:sz w:val="20"/>
          <w:szCs w:val="20"/>
          <w:color w:val="auto"/>
        </w:rPr>
      </w:pPr>
    </w:p>
    <w:p>
      <w:pPr>
        <w:ind w:left="520" w:hanging="415"/>
        <w:spacing w:after="0"/>
        <w:tabs>
          <w:tab w:leader="none" w:pos="52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Borrowing Procedures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00" w:firstLine="653"/>
        <w:spacing w:after="0" w:line="297" w:lineRule="auto"/>
        <w:tabs>
          <w:tab w:leader="none" w:pos="115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Each Borrowing of Domestic Swing Line Loans shall be made upon the Company’s or, if such entity becomes a Borrower pursuant to </w:t>
      </w:r>
      <w:r>
        <w:rPr>
          <w:rFonts w:ascii="Arial" w:cs="Arial" w:eastAsia="Arial" w:hAnsi="Arial"/>
          <w:sz w:val="18"/>
          <w:szCs w:val="18"/>
          <w:u w:val="single" w:color="auto"/>
          <w:color w:val="auto"/>
        </w:rPr>
        <w:t>Section 7.12(b)</w:t>
      </w:r>
      <w:r>
        <w:rPr>
          <w:rFonts w:ascii="Arial" w:cs="Arial" w:eastAsia="Arial" w:hAnsi="Arial"/>
          <w:sz w:val="18"/>
          <w:szCs w:val="18"/>
          <w:color w:val="auto"/>
        </w:rPr>
        <w:t>, the Additional Borrower’s, irrevocable notice to the Swing Line Lender and the Administrative Agent at the Administrative Agent’s Office with respect to Dollars, which may be given by (A) telephone or</w:t>
      </w:r>
    </w:p>
    <w:p>
      <w:pPr>
        <w:spacing w:after="0" w:line="1" w:lineRule="exact"/>
        <w:rPr>
          <w:rFonts w:ascii="Arial" w:cs="Arial" w:eastAsia="Arial" w:hAnsi="Arial"/>
          <w:sz w:val="18"/>
          <w:szCs w:val="18"/>
          <w:color w:val="auto"/>
        </w:rPr>
      </w:pPr>
    </w:p>
    <w:p>
      <w:pPr>
        <w:jc w:val="both"/>
        <w:ind w:left="100"/>
        <w:spacing w:after="0" w:line="284" w:lineRule="auto"/>
        <w:rPr>
          <w:rFonts w:ascii="Arial" w:cs="Arial" w:eastAsia="Arial" w:hAnsi="Arial"/>
          <w:sz w:val="18"/>
          <w:szCs w:val="18"/>
          <w:color w:val="auto"/>
        </w:rPr>
      </w:pPr>
      <w:r>
        <w:rPr>
          <w:rFonts w:ascii="Arial" w:cs="Arial" w:eastAsia="Arial" w:hAnsi="Arial"/>
          <w:sz w:val="19"/>
          <w:szCs w:val="19"/>
          <w:color w:val="auto"/>
        </w:rPr>
        <w:t xml:space="preserve">(B) a Swing Line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(A) the amount to be borrowed, which shall be a minimum principal amount of $500,000 and integral multiples of $100,000 in excess thereof, (B) the name of the Borrower to which such Domestic Swing Line Loans are to be made, and (C)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Domestic Swing Line Loans (1) directing the Swing Line Lender not to make such Domestic Swing Line Loan as a result of the limitations set forth in the first proviso to the first sentence of </w:t>
      </w:r>
      <w:r>
        <w:rPr>
          <w:rFonts w:ascii="Arial" w:cs="Arial" w:eastAsia="Arial" w:hAnsi="Arial"/>
          <w:sz w:val="19"/>
          <w:szCs w:val="19"/>
          <w:u w:val="single" w:color="auto"/>
          <w:color w:val="auto"/>
        </w:rPr>
        <w:t>Section 2.04(a)(i)</w:t>
      </w:r>
      <w:r>
        <w:rPr>
          <w:rFonts w:ascii="Arial" w:cs="Arial" w:eastAsia="Arial" w:hAnsi="Arial"/>
          <w:sz w:val="19"/>
          <w:szCs w:val="19"/>
          <w:color w:val="auto"/>
        </w:rPr>
        <w:t xml:space="preserve">, or (2) that one or more of the applicable conditions specified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then satisfied, then, subject to the terms and conditions hereof, the Swing Line Lender will, not later than 3:00 p.m. on the borrowing date specified in such Swing Line Loan Notice, make the amount of its Domestic Swing Line Loan available to the Company or the Additional Borrower, as applicable.</w:t>
      </w:r>
    </w:p>
    <w:p>
      <w:pPr>
        <w:spacing w:after="0" w:line="184" w:lineRule="exact"/>
        <w:rPr>
          <w:rFonts w:ascii="Arial" w:cs="Arial" w:eastAsia="Arial" w:hAnsi="Arial"/>
          <w:sz w:val="18"/>
          <w:szCs w:val="18"/>
          <w:color w:val="auto"/>
        </w:rPr>
      </w:pPr>
    </w:p>
    <w:p>
      <w:pPr>
        <w:jc w:val="both"/>
        <w:ind w:left="100" w:firstLine="653"/>
        <w:spacing w:after="0" w:line="272" w:lineRule="auto"/>
        <w:tabs>
          <w:tab w:leader="none" w:pos="1332" w:val="left"/>
        </w:tabs>
        <w:numPr>
          <w:ilvl w:val="1"/>
          <w:numId w:val="109"/>
        </w:numPr>
        <w:rPr>
          <w:rFonts w:ascii="Arial" w:cs="Arial" w:eastAsia="Arial" w:hAnsi="Arial"/>
          <w:sz w:val="20"/>
          <w:szCs w:val="20"/>
          <w:color w:val="auto"/>
        </w:rPr>
      </w:pPr>
      <w:r>
        <w:rPr>
          <w:rFonts w:ascii="Arial" w:cs="Arial" w:eastAsia="Arial" w:hAnsi="Arial"/>
          <w:sz w:val="20"/>
          <w:szCs w:val="20"/>
          <w:color w:val="auto"/>
        </w:rPr>
        <w:t xml:space="preserve">Each Borrowing of Foreign Swing Line Loans shall be made upon the applicable Designated Borrower’s irrevocable notice to the Swing Line Lender and the Administrative Agent at the Administrative Agent’s Office with respect to the requested currency of such Foreign Swing Line Loan, which may be given by (A) telephone or (B) a Swing Line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telephonic notice must be confirmed promptly by delivery to the Swing Line Lender and the Administrative Agent of a Swing Line Loan Notice. Each such Swing Line Loan Notice must be received by the Swing Line Lender</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0220"/>
          </w:cols>
          <w:pgMar w:left="1440" w:top="771" w:right="239" w:bottom="1440" w:gutter="0" w:footer="0" w:header="0"/>
        </w:sectPr>
      </w:pPr>
    </w:p>
    <w:bookmarkStart w:id="189" w:name="page190"/>
    <w:bookmarkEnd w:id="189"/>
    <w:p>
      <w:pPr>
        <w:jc w:val="both"/>
        <w:ind w:left="100"/>
        <w:spacing w:after="0" w:line="302" w:lineRule="auto"/>
        <w:rPr>
          <w:sz w:val="20"/>
          <w:szCs w:val="20"/>
          <w:color w:val="auto"/>
        </w:rPr>
      </w:pPr>
      <w:r>
        <w:rPr>
          <w:rFonts w:ascii="Arial" w:cs="Arial" w:eastAsia="Arial" w:hAnsi="Arial"/>
          <w:sz w:val="18"/>
          <w:szCs w:val="18"/>
          <w:color w:val="auto"/>
        </w:rPr>
        <w:t xml:space="preserve">and the Administrative Agent not later than 10:00 a.m., London time, on the requested borrowing date, and shall specify (A) the amount to be borrowed, which shall be a minimum of the Alternative Currency Equivalent of $500,000 and integral multiples of the Alternative Currency Equivalent of $100,000 in excess thereof, (B) the currency of the Foreign Swing Line Loans to be borrowed, (C) the name of the applicable Designated Borrower, and (D) the requested borrowing date, which shall be a Business Day. Unless the Swing Line Lender has received notice (by telephone or in writing) from the Administrative Agent (including at the request of any Lender) prior to 11:00 a.m., London time, on the date of the proposed Borrowing of Foreign Swing Line Loans (1) directing the Swing Line Lender not to make such Foreign Swing Line Loan as a result of the limitations set forth in the first proviso to the first sentence of </w:t>
      </w:r>
      <w:r>
        <w:rPr>
          <w:rFonts w:ascii="Arial" w:cs="Arial" w:eastAsia="Arial" w:hAnsi="Arial"/>
          <w:sz w:val="18"/>
          <w:szCs w:val="18"/>
          <w:u w:val="single" w:color="auto"/>
          <w:color w:val="auto"/>
        </w:rPr>
        <w:t>Section 2.04(a)(ii)</w:t>
      </w:r>
      <w:r>
        <w:rPr>
          <w:rFonts w:ascii="Arial" w:cs="Arial" w:eastAsia="Arial" w:hAnsi="Arial"/>
          <w:sz w:val="18"/>
          <w:szCs w:val="18"/>
          <w:color w:val="auto"/>
        </w:rPr>
        <w:t xml:space="preserve">, or (2) that one or more of the applicable conditions specified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then satisfied, then, subject to the terms and conditions hereof, the Swing Line Lender will, not later than 1:00 p.m., London time, on the borrowing date specified in such Swing Line Loan Notice, make the amount of its Foreign Swing Line Loan available to the applicable Designated Borrower.</w:t>
      </w:r>
    </w:p>
    <w:p>
      <w:pPr>
        <w:spacing w:after="0" w:line="174" w:lineRule="exact"/>
        <w:rPr>
          <w:sz w:val="20"/>
          <w:szCs w:val="20"/>
          <w:color w:val="auto"/>
        </w:rPr>
      </w:pPr>
    </w:p>
    <w:p>
      <w:pPr>
        <w:ind w:left="500" w:hanging="395"/>
        <w:spacing w:after="0"/>
        <w:tabs>
          <w:tab w:leader="none" w:pos="500"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760" w:hanging="7"/>
        <w:spacing w:after="0" w:line="297" w:lineRule="auto"/>
        <w:tabs>
          <w:tab w:leader="none" w:pos="119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(A) The Swing Line Lender at any time in its sole discretion may request, on behalf of the Company or the Additional Borrower, as applicable (each of which hereby irrevocably requests and authorizes the Swing Line Lender to so request on its behalf), that each Revolving A Lender make a Revolving A Loan that is a Base Rate Loan in an amount equal to such Lender’s Applicable Percentage of the amount of Domestic Swing Line Loans then outstanding. 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(other than the delivery of a Loan Notice) and provided that, after giving effect to such Borrowing, (1) the Total Revolving A Outstandings shall not exceed the Aggregate Revolving A Commitments and (2) the Total Revolving Outstandings shall not exceed the Aggregate Revolving Commitments. The Swing Line Lender shall furnish the Company or the Additional Borrower, as applicable, with a copy of the applicable Loan Notice promptly after delivering such notice to the Administrative Agent. Each Revolving A Lender shall make an amount equal to its Applicable Percentage of the amount specified in such Loan Notice available to the Administrative Agent in Same Day Funds (and the Administrative Agent may apply Cash Collateral available with respect to the applicable Domestic Swing Line Loan) for the account of the Swing Line Lender at the Administrative Agent’s Office for the applicable currency not later than 1:00 p.m. on the Business Day specified in the applicable Loan Notice, whereupon, subject to </w:t>
      </w:r>
      <w:r>
        <w:rPr>
          <w:rFonts w:ascii="Arial" w:cs="Arial" w:eastAsia="Arial" w:hAnsi="Arial"/>
          <w:sz w:val="18"/>
          <w:szCs w:val="18"/>
          <w:u w:val="single" w:color="auto"/>
          <w:color w:val="auto"/>
        </w:rPr>
        <w:t>Section 2.04(c)(ii)</w:t>
      </w:r>
    </w:p>
    <w:p>
      <w:pPr>
        <w:spacing w:after="0" w:line="7" w:lineRule="exact"/>
        <w:rPr>
          <w:rFonts w:ascii="Arial" w:cs="Arial" w:eastAsia="Arial" w:hAnsi="Arial"/>
          <w:sz w:val="18"/>
          <w:szCs w:val="18"/>
          <w:color w:val="auto"/>
        </w:rPr>
      </w:pPr>
    </w:p>
    <w:p>
      <w:pPr>
        <w:jc w:val="both"/>
        <w:ind w:left="760" w:right="20"/>
        <w:spacing w:after="0" w:line="278" w:lineRule="auto"/>
        <w:rPr>
          <w:rFonts w:ascii="Arial" w:cs="Arial" w:eastAsia="Arial" w:hAnsi="Arial"/>
          <w:sz w:val="18"/>
          <w:szCs w:val="18"/>
          <w:color w:val="auto"/>
        </w:rPr>
      </w:pPr>
      <w:r>
        <w:rPr>
          <w:rFonts w:ascii="Arial" w:cs="Arial" w:eastAsia="Arial" w:hAnsi="Arial"/>
          <w:sz w:val="20"/>
          <w:szCs w:val="20"/>
          <w:u w:val="single" w:color="auto"/>
          <w:color w:val="auto"/>
        </w:rPr>
        <w:t>(A)</w:t>
      </w:r>
      <w:r>
        <w:rPr>
          <w:rFonts w:ascii="Arial" w:cs="Arial" w:eastAsia="Arial" w:hAnsi="Arial"/>
          <w:sz w:val="20"/>
          <w:szCs w:val="20"/>
          <w:color w:val="auto"/>
        </w:rPr>
        <w:t>, each Revolving A Lender that so makes funds available shall be deemed to have made a Base Rate Loan to the Company or the Additional Borrower, as applicable, in such amount. The Administrative Agent shall remit the funds so received to the Swing Line Lender.</w:t>
      </w: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0220"/>
          </w:cols>
          <w:pgMar w:left="1440" w:top="771" w:right="239" w:bottom="1440" w:gutter="0" w:footer="0" w:header="0"/>
        </w:sectPr>
      </w:pPr>
    </w:p>
    <w:bookmarkStart w:id="190" w:name="page191"/>
    <w:bookmarkEnd w:id="190"/>
    <w:p>
      <w:pPr>
        <w:jc w:val="both"/>
        <w:ind w:left="760" w:firstLine="641"/>
        <w:spacing w:after="0" w:line="283" w:lineRule="auto"/>
        <w:tabs>
          <w:tab w:leader="none" w:pos="2039"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discretion may request, on behalf the applicable Designated Borrower (which hereby irrevocably requests and authorizes the Swing Line Lender to so request on its behalf), that each Revolving B Lender make a Revolving B Loan that is a Eurocurrency Rate Loan in an amount equal to such Lender’s Applicable Percentage of the amount of Foreign Swing 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Eurocurrency Rate Loans but subject to the conditions set forth in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(other than the delivery of a Loan Notice) and provided that, after giving effect to such Borrowing, (1) the Total Revolving B Outstandings shall not exceed the Aggregate Revolving B Commitments and (2) the Total Revolving Outstandings shall not exceed the Aggregate Revolving Commitments. The Swing Line Lender shall furnish the applicable Designated Borrower with a copy of the applicable Loan Notice promptly after delivering such notice to the Administrative Agent. Each Revolving B Lender shall make an amount equal to its Applicable Percentage of the amount specified in such Loan Notice available to the Administrative Agent in Same Day Funds (and the Administrative Agent may apply Cash Collateral available with respect to the applicable Foreign Swing Line Loan) for the account of the Swing Line Lender at the Administrative Agent’s Office for the applicable currency not later than the Applicable Time on the Business Day specified in the applicable Loan Notice, whereupon, subject to </w:t>
      </w:r>
      <w:r>
        <w:rPr>
          <w:rFonts w:ascii="Arial" w:cs="Arial" w:eastAsia="Arial" w:hAnsi="Arial"/>
          <w:sz w:val="19"/>
          <w:szCs w:val="19"/>
          <w:u w:val="single" w:color="auto"/>
          <w:color w:val="auto"/>
        </w:rPr>
        <w:t>Section 2.04(c)(ii)(B)</w:t>
      </w:r>
      <w:r>
        <w:rPr>
          <w:rFonts w:ascii="Arial" w:cs="Arial" w:eastAsia="Arial" w:hAnsi="Arial"/>
          <w:sz w:val="19"/>
          <w:szCs w:val="19"/>
          <w:color w:val="auto"/>
        </w:rPr>
        <w:t>, each Revolving B Lender that so makes funds available shall be deemed to have made a Eurocurrency Rate Loan to the applicable Designated Borrower in such amount. The Administrative Agent shall remit the funds so received to the Swing Line Lender.</w:t>
      </w:r>
    </w:p>
    <w:p>
      <w:pPr>
        <w:spacing w:after="0" w:line="196" w:lineRule="exact"/>
        <w:rPr>
          <w:rFonts w:ascii="Arial" w:cs="Arial" w:eastAsia="Arial" w:hAnsi="Arial"/>
          <w:sz w:val="19"/>
          <w:szCs w:val="19"/>
          <w:color w:val="auto"/>
        </w:rPr>
      </w:pPr>
    </w:p>
    <w:p>
      <w:pPr>
        <w:jc w:val="both"/>
        <w:ind w:left="760" w:hanging="7"/>
        <w:spacing w:after="0" w:line="272" w:lineRule="auto"/>
        <w:tabs>
          <w:tab w:leader="none" w:pos="118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(A) If for any reason any Domestic Swing Line Loan cannot be refinanced by such a Borrowing of Revolving A Loans in accordance with </w:t>
      </w:r>
      <w:r>
        <w:rPr>
          <w:rFonts w:ascii="Arial" w:cs="Arial" w:eastAsia="Arial" w:hAnsi="Arial"/>
          <w:sz w:val="20"/>
          <w:szCs w:val="20"/>
          <w:u w:val="single" w:color="auto"/>
          <w:color w:val="auto"/>
        </w:rPr>
        <w:t>Section 2.04(c)(i)(A)</w:t>
      </w:r>
      <w:r>
        <w:rPr>
          <w:rFonts w:ascii="Arial" w:cs="Arial" w:eastAsia="Arial" w:hAnsi="Arial"/>
          <w:sz w:val="20"/>
          <w:szCs w:val="20"/>
          <w:color w:val="auto"/>
        </w:rPr>
        <w:t xml:space="preserve">, the request for Base Rate Loans submitted by the Swing Line Lender as set forth herein shall be deemed to be a request by the Swing Line Lender that each of the Revolving A Lenders fund its risk participation in the relevant Domestic Swing Line Loan and each such Lender’s payment to the Administrative Agent for the account of the Swing Line Lender pursuant to </w:t>
      </w:r>
      <w:r>
        <w:rPr>
          <w:rFonts w:ascii="Arial" w:cs="Arial" w:eastAsia="Arial" w:hAnsi="Arial"/>
          <w:sz w:val="20"/>
          <w:szCs w:val="20"/>
          <w:u w:val="single" w:color="auto"/>
          <w:color w:val="auto"/>
        </w:rPr>
        <w:t>Section 2.04(c)(i)(A)</w:t>
      </w:r>
      <w:r>
        <w:rPr>
          <w:rFonts w:ascii="Arial" w:cs="Arial" w:eastAsia="Arial" w:hAnsi="Arial"/>
          <w:sz w:val="20"/>
          <w:szCs w:val="20"/>
          <w:color w:val="auto"/>
        </w:rPr>
        <w:t xml:space="preserve"> shall be deemed payment in respect of such participation.</w:t>
      </w:r>
    </w:p>
    <w:p>
      <w:pPr>
        <w:spacing w:after="0" w:line="191" w:lineRule="exact"/>
        <w:rPr>
          <w:rFonts w:ascii="Arial" w:cs="Arial" w:eastAsia="Arial" w:hAnsi="Arial"/>
          <w:sz w:val="20"/>
          <w:szCs w:val="20"/>
          <w:color w:val="auto"/>
        </w:rPr>
      </w:pPr>
    </w:p>
    <w:p>
      <w:pPr>
        <w:jc w:val="both"/>
        <w:ind w:left="760" w:firstLine="641"/>
        <w:spacing w:after="0" w:line="272" w:lineRule="auto"/>
        <w:tabs>
          <w:tab w:leader="none" w:pos="1876" w:val="left"/>
        </w:tabs>
        <w:numPr>
          <w:ilvl w:val="1"/>
          <w:numId w:val="112"/>
        </w:numPr>
        <w:rPr>
          <w:rFonts w:ascii="Arial" w:cs="Arial" w:eastAsia="Arial" w:hAnsi="Arial"/>
          <w:sz w:val="20"/>
          <w:szCs w:val="20"/>
          <w:color w:val="auto"/>
        </w:rPr>
      </w:pPr>
      <w:r>
        <w:rPr>
          <w:rFonts w:ascii="Arial" w:cs="Arial" w:eastAsia="Arial" w:hAnsi="Arial"/>
          <w:sz w:val="20"/>
          <w:szCs w:val="20"/>
          <w:color w:val="auto"/>
        </w:rPr>
        <w:t xml:space="preserve">If for any reason any Foreign Swing Line Loan cannot be refinanced by such a Borrowing of Revolving B Loans in accordance with </w:t>
      </w:r>
      <w:r>
        <w:rPr>
          <w:rFonts w:ascii="Arial" w:cs="Arial" w:eastAsia="Arial" w:hAnsi="Arial"/>
          <w:sz w:val="20"/>
          <w:szCs w:val="20"/>
          <w:u w:val="single" w:color="auto"/>
          <w:color w:val="auto"/>
        </w:rPr>
        <w:t>Section 2.04(c)(i)(B)</w:t>
      </w:r>
      <w:r>
        <w:rPr>
          <w:rFonts w:ascii="Arial" w:cs="Arial" w:eastAsia="Arial" w:hAnsi="Arial"/>
          <w:sz w:val="20"/>
          <w:szCs w:val="20"/>
          <w:color w:val="auto"/>
        </w:rPr>
        <w:t xml:space="preserve">, the request for Eurocurrency Rate Loans submitted by the Swing Line Lender as set forth herein shall be deemed to be a request by the Swing Line Lender that each of the Revolving B Lenders fund its risk participation in the relevant Foreign Swing Line Loan and each such Lender’s payment to the Administrative Agent for the account of the Swing Line Lender pursuant to </w:t>
      </w:r>
      <w:r>
        <w:rPr>
          <w:rFonts w:ascii="Arial" w:cs="Arial" w:eastAsia="Arial" w:hAnsi="Arial"/>
          <w:sz w:val="20"/>
          <w:szCs w:val="20"/>
          <w:u w:val="single" w:color="auto"/>
          <w:color w:val="auto"/>
        </w:rPr>
        <w:t>Section 2.04(c)(i)(B)</w:t>
      </w:r>
      <w:r>
        <w:rPr>
          <w:rFonts w:ascii="Arial" w:cs="Arial" w:eastAsia="Arial" w:hAnsi="Arial"/>
          <w:sz w:val="20"/>
          <w:szCs w:val="20"/>
          <w:color w:val="auto"/>
        </w:rPr>
        <w:t xml:space="preserve"> shall be deemed payment in respect of such participation.</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0220"/>
          </w:cols>
          <w:pgMar w:left="1440" w:top="771" w:right="239" w:bottom="1440" w:gutter="0" w:footer="0" w:header="0"/>
        </w:sectPr>
      </w:pPr>
    </w:p>
    <w:bookmarkStart w:id="191" w:name="page192"/>
    <w:bookmarkEnd w:id="191"/>
    <w:p>
      <w:pPr>
        <w:jc w:val="both"/>
        <w:ind w:left="760" w:hanging="7"/>
        <w:spacing w:after="0" w:line="285" w:lineRule="auto"/>
        <w:tabs>
          <w:tab w:leader="none" w:pos="131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(A) If any Revolving A Lender fails to make available to the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2.04(c)(i)(A)</w:t>
      </w:r>
      <w:r>
        <w:rPr>
          <w:rFonts w:ascii="Arial" w:cs="Arial" w:eastAsia="Arial" w:hAnsi="Arial"/>
          <w:sz w:val="19"/>
          <w:szCs w:val="19"/>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Revolving A Lender pays such amount (with interest and fees as aforesaid), the amount so paid shall constitute such Lender’s Revolving A Loan included in the relevant Borrowing or funded participation in the relevant Domestic Swing Line Loan, as the case may be. A certificate of the Swing Line Lender submitted to any Revolving A Lender (through the Administrative Agent) with respect to any amounts owing under this clause (iii)(A) shall be conclusive absent manifest error.</w:t>
      </w:r>
    </w:p>
    <w:p>
      <w:pPr>
        <w:spacing w:after="0" w:line="181" w:lineRule="exact"/>
        <w:rPr>
          <w:rFonts w:ascii="Arial" w:cs="Arial" w:eastAsia="Arial" w:hAnsi="Arial"/>
          <w:sz w:val="19"/>
          <w:szCs w:val="19"/>
          <w:color w:val="auto"/>
        </w:rPr>
      </w:pPr>
    </w:p>
    <w:p>
      <w:pPr>
        <w:jc w:val="both"/>
        <w:ind w:left="760" w:firstLine="641"/>
        <w:spacing w:after="0" w:line="285" w:lineRule="auto"/>
        <w:tabs>
          <w:tab w:leader="none" w:pos="1931"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If any Revolving B Lender fails to make available to the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2.04(c)(i)(B)</w:t>
      </w:r>
      <w:r>
        <w:rPr>
          <w:rFonts w:ascii="Arial" w:cs="Arial" w:eastAsia="Arial" w:hAnsi="Arial"/>
          <w:sz w:val="19"/>
          <w:szCs w:val="19"/>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Revolving B Lender pays such amount (with interest and fees as aforesaid), the amount so paid shall constitute such Lender’s Revolving B Loan included in the relevant Borrowing or funded participation in the relevant Foreign Swing Line Loan, as the case may be. A certificate of the Swing Line Lender submitted to any Revolving B Lender (through the Administrative Agent) with respect to any amounts owing under this clause (iii)(B) shall be conclusive absent manifest error.</w:t>
      </w:r>
    </w:p>
    <w:p>
      <w:pPr>
        <w:spacing w:after="0" w:line="181" w:lineRule="exact"/>
        <w:rPr>
          <w:rFonts w:ascii="Arial" w:cs="Arial" w:eastAsia="Arial" w:hAnsi="Arial"/>
          <w:sz w:val="19"/>
          <w:szCs w:val="19"/>
          <w:color w:val="auto"/>
        </w:rPr>
      </w:pPr>
    </w:p>
    <w:p>
      <w:pPr>
        <w:jc w:val="both"/>
        <w:ind w:left="760" w:hanging="7"/>
        <w:spacing w:after="0" w:line="304" w:lineRule="auto"/>
        <w:tabs>
          <w:tab w:leader="none" w:pos="137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 Each Revolving A Lender’s obligation to make Revolving A Loans or to purchase and fund risk participations in Domestic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that such Lender may have against the Swing 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A Lender’s obligation to make Revolving A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No such purchase or funding of risk participations shall relieve or otherwise impair the obligation of the Company</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0220"/>
          </w:cols>
          <w:pgMar w:left="1440" w:top="771" w:right="239" w:bottom="1440" w:gutter="0" w:footer="0" w:header="0"/>
        </w:sectPr>
      </w:pPr>
    </w:p>
    <w:bookmarkStart w:id="192" w:name="page193"/>
    <w:bookmarkEnd w:id="192"/>
    <w:p>
      <w:pPr>
        <w:ind w:left="760" w:right="20"/>
        <w:spacing w:after="0" w:line="289" w:lineRule="auto"/>
        <w:rPr>
          <w:sz w:val="20"/>
          <w:szCs w:val="20"/>
          <w:color w:val="auto"/>
        </w:rPr>
      </w:pPr>
      <w:r>
        <w:rPr>
          <w:rFonts w:ascii="Arial" w:cs="Arial" w:eastAsia="Arial" w:hAnsi="Arial"/>
          <w:sz w:val="20"/>
          <w:szCs w:val="20"/>
          <w:color w:val="auto"/>
        </w:rPr>
        <w:t>or the Additional Borrower, as applicable, to repay Domestic Swing Line Loans, together with interest as provided herein.</w:t>
      </w:r>
    </w:p>
    <w:p>
      <w:pPr>
        <w:spacing w:after="0" w:line="175" w:lineRule="exact"/>
        <w:rPr>
          <w:sz w:val="20"/>
          <w:szCs w:val="20"/>
          <w:color w:val="auto"/>
        </w:rPr>
      </w:pPr>
    </w:p>
    <w:p>
      <w:pPr>
        <w:jc w:val="both"/>
        <w:ind w:left="760" w:firstLine="641"/>
        <w:spacing w:after="0" w:line="303" w:lineRule="auto"/>
        <w:tabs>
          <w:tab w:leader="none" w:pos="2025" w:val="left"/>
        </w:tabs>
        <w:numPr>
          <w:ilvl w:val="2"/>
          <w:numId w:val="114"/>
        </w:numPr>
        <w:rPr>
          <w:rFonts w:ascii="Arial" w:cs="Arial" w:eastAsia="Arial" w:hAnsi="Arial"/>
          <w:sz w:val="18"/>
          <w:szCs w:val="18"/>
          <w:color w:val="auto"/>
        </w:rPr>
      </w:pPr>
      <w:r>
        <w:rPr>
          <w:rFonts w:ascii="Arial" w:cs="Arial" w:eastAsia="Arial" w:hAnsi="Arial"/>
          <w:sz w:val="18"/>
          <w:szCs w:val="18"/>
          <w:color w:val="auto"/>
        </w:rPr>
        <w:t xml:space="preserve">Each Revolving B Lender’s obligation to make Revolving B Loans or to purchase and fund risk participations in Foreign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that such Lender may have against the Swing 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B Lender’s obligation to make Revolving B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No such purchase or funding of risk participations shall relieve or otherwise impair the obligation of the applicable Designated Borrower to repay Foreign Swing Line Loans, together with interest as provided herein.</w:t>
      </w:r>
    </w:p>
    <w:p>
      <w:pPr>
        <w:spacing w:after="0" w:line="173" w:lineRule="exact"/>
        <w:rPr>
          <w:rFonts w:ascii="Arial" w:cs="Arial" w:eastAsia="Arial" w:hAnsi="Arial"/>
          <w:sz w:val="18"/>
          <w:szCs w:val="18"/>
          <w:color w:val="auto"/>
        </w:rPr>
      </w:pPr>
    </w:p>
    <w:p>
      <w:pPr>
        <w:ind w:left="520" w:hanging="415"/>
        <w:spacing w:after="0"/>
        <w:tabs>
          <w:tab w:leader="none" w:pos="52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760" w:hanging="7"/>
        <w:spacing w:after="0" w:line="290" w:lineRule="auto"/>
        <w:tabs>
          <w:tab w:leader="none" w:pos="119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(A) At any time after any Revolving A Lender has purchased and funded a risk participation in a Domestic Swing Line Loan, if the Swing Line Lender receives any payment on account of such Domestic Swing Line Loan, the Swing Line Lender will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spacing w:after="0" w:line="179" w:lineRule="exact"/>
        <w:rPr>
          <w:rFonts w:ascii="Arial" w:cs="Arial" w:eastAsia="Arial" w:hAnsi="Arial"/>
          <w:sz w:val="19"/>
          <w:szCs w:val="19"/>
          <w:color w:val="auto"/>
        </w:rPr>
      </w:pPr>
    </w:p>
    <w:p>
      <w:pPr>
        <w:jc w:val="both"/>
        <w:ind w:left="760" w:firstLine="641"/>
        <w:spacing w:after="0" w:line="290" w:lineRule="auto"/>
        <w:tabs>
          <w:tab w:leader="none" w:pos="1931" w:val="left"/>
        </w:tabs>
        <w:numPr>
          <w:ilvl w:val="2"/>
          <w:numId w:val="115"/>
        </w:numPr>
        <w:rPr>
          <w:rFonts w:ascii="Arial" w:cs="Arial" w:eastAsia="Arial" w:hAnsi="Arial"/>
          <w:sz w:val="19"/>
          <w:szCs w:val="19"/>
          <w:color w:val="auto"/>
        </w:rPr>
      </w:pPr>
      <w:r>
        <w:rPr>
          <w:rFonts w:ascii="Arial" w:cs="Arial" w:eastAsia="Arial" w:hAnsi="Arial"/>
          <w:sz w:val="19"/>
          <w:szCs w:val="19"/>
          <w:color w:val="auto"/>
        </w:rPr>
        <w:t>At any time after any Revolving B Lender has purchased and funded a risk participation in a Foreign Swing Line Loan, if the Swing Line Lender receives any payment on account of such Foreign Swing Line Loan, the Swing Line Lender will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spacing w:after="0" w:line="179" w:lineRule="exact"/>
        <w:rPr>
          <w:rFonts w:ascii="Arial" w:cs="Arial" w:eastAsia="Arial" w:hAnsi="Arial"/>
          <w:sz w:val="19"/>
          <w:szCs w:val="19"/>
          <w:color w:val="auto"/>
        </w:rPr>
      </w:pPr>
    </w:p>
    <w:p>
      <w:pPr>
        <w:jc w:val="both"/>
        <w:ind w:left="760" w:hanging="7"/>
        <w:spacing w:after="0" w:line="286" w:lineRule="auto"/>
        <w:tabs>
          <w:tab w:leader="none" w:pos="1263"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(A) If any payment received by the Swing Line Lender in respect of principal or interest on any Domestic Swing Line Loan is required to be returned by the Swing Line Lender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the Swing Line Lender in its discretion), each Revolving A Lender shall pay to the Swing Line Lender its Applicable Percentage thereof on demand of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0220"/>
          </w:cols>
          <w:pgMar w:left="1440" w:top="771" w:right="239" w:bottom="1440" w:gutter="0" w:footer="0" w:header="0"/>
        </w:sectPr>
      </w:pPr>
    </w:p>
    <w:bookmarkStart w:id="193" w:name="page194"/>
    <w:bookmarkEnd w:id="193"/>
    <w:p>
      <w:pPr>
        <w:jc w:val="both"/>
        <w:ind w:left="1300" w:firstLine="641"/>
        <w:spacing w:after="0" w:line="286" w:lineRule="auto"/>
        <w:tabs>
          <w:tab w:leader="none" w:pos="248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If any payment received by the Swing Line Lender in respect of principal or interest on any Foreign Swing Line Loan is required to be returned by the Swing Line Lender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the Swing Line Lender in its discretion), each Revolving B Lender shall pay to the Swing Line Lender its Applicable Percentage thereof on demand of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85" w:lineRule="exact"/>
        <w:rPr>
          <w:rFonts w:ascii="Arial" w:cs="Arial" w:eastAsia="Arial" w:hAnsi="Arial"/>
          <w:sz w:val="19"/>
          <w:szCs w:val="19"/>
          <w:color w:val="auto"/>
        </w:rPr>
      </w:pPr>
    </w:p>
    <w:p>
      <w:pPr>
        <w:jc w:val="both"/>
        <w:ind w:firstLine="645"/>
        <w:spacing w:after="0" w:line="287" w:lineRule="auto"/>
        <w:tabs>
          <w:tab w:leader="none" w:pos="1075"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the Company, the Additional Borrower or the applicable Designated Borrower, as applicable, for interest on the Swing Line Loans. Until (i) each Revolving A Lender funds its Revolving A Loans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Lender’s Applicable Percentage of any Domestic Swing Line Loan, interest in respect of such Applicable Percentage shall be solely for the account of the Swing Line Lender, and (ii) each Revolving B Lender funds its Revolving B Loans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Lender’s Applicable Percentage of any Foreign Swing Line Loan, interest in respect of such Applicable Percentage shall be solely for the account of the Swing Line Lender.</w:t>
      </w:r>
    </w:p>
    <w:p>
      <w:pPr>
        <w:spacing w:after="0" w:line="183" w:lineRule="exact"/>
        <w:rPr>
          <w:rFonts w:ascii="Arial" w:cs="Arial" w:eastAsia="Arial" w:hAnsi="Arial"/>
          <w:sz w:val="19"/>
          <w:szCs w:val="19"/>
          <w:color w:val="auto"/>
        </w:rPr>
      </w:pPr>
    </w:p>
    <w:p>
      <w:pPr>
        <w:ind w:firstLine="645"/>
        <w:spacing w:after="0" w:line="347" w:lineRule="auto"/>
        <w:tabs>
          <w:tab w:leader="none" w:pos="10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Company, the Additional Borrower or the applicable Designated Borrower, as applicable, shall make all payments of principal and interest in respect of the Swing Line Loans directly to the Swing Line Lender.</w:t>
      </w:r>
    </w:p>
    <w:p>
      <w:pPr>
        <w:spacing w:after="0" w:line="126" w:lineRule="exact"/>
        <w:rPr>
          <w:sz w:val="20"/>
          <w:szCs w:val="20"/>
          <w:color w:val="auto"/>
        </w:rPr>
      </w:pPr>
    </w:p>
    <w:p>
      <w:pPr>
        <w:spacing w:after="0"/>
        <w:tabs>
          <w:tab w:leader="none" w:pos="500" w:val="left"/>
          <w:tab w:leader="none" w:pos="184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22"/>
          <w:szCs w:val="22"/>
          <w:color w:val="auto"/>
        </w:rPr>
        <w:t>Prepayments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-17780</wp:posOffset>
            </wp:positionV>
            <wp:extent cx="8458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spacing w:after="0" w:line="231" w:lineRule="exact"/>
        <w:rPr>
          <w:sz w:val="20"/>
          <w:szCs w:val="20"/>
          <w:color w:val="auto"/>
        </w:rPr>
      </w:pPr>
    </w:p>
    <w:p>
      <w:pPr>
        <w:ind w:left="1040" w:hanging="395"/>
        <w:spacing w:after="0"/>
        <w:tabs>
          <w:tab w:leader="none" w:pos="104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Voluntary Prepayments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40" w:firstLine="653"/>
        <w:spacing w:after="0" w:line="256" w:lineRule="exact"/>
        <w:tabs>
          <w:tab w:leader="none" w:pos="1912"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Revolving Loans, Term Loans and Incremental Term Loans</w:t>
      </w:r>
      <w:r>
        <w:rPr>
          <w:rFonts w:ascii="Arial" w:cs="Arial" w:eastAsia="Arial" w:hAnsi="Arial"/>
          <w:sz w:val="19"/>
          <w:szCs w:val="19"/>
          <w:color w:val="auto"/>
        </w:rPr>
        <w:t>. Each Borrower may, upon notice to the Administrative Agent pursuant to delivery to the Administrative Agent of a Notice of Loan Prepayment, at any time or from time to time voluntarily prepay Revolving Loans, the Term A Loan, the Term B</w:t>
      </w:r>
      <w:r>
        <w:rPr>
          <w:rFonts w:ascii="MS PGothic" w:cs="MS PGothic" w:eastAsia="MS PGothic" w:hAnsi="MS PGothic"/>
          <w:sz w:val="19"/>
          <w:szCs w:val="19"/>
          <w:color w:val="auto"/>
        </w:rPr>
        <w:t>‑</w:t>
      </w:r>
      <w:r>
        <w:rPr>
          <w:rFonts w:ascii="Arial" w:cs="Arial" w:eastAsia="Arial" w:hAnsi="Arial"/>
          <w:sz w:val="19"/>
          <w:szCs w:val="19"/>
          <w:color w:val="auto"/>
        </w:rPr>
        <w:t xml:space="preserve">3 Loan and/or the Incremental Term Loans in whole or in part without premium or penalty except as set forth in </w:t>
      </w:r>
      <w:r>
        <w:rPr>
          <w:rFonts w:ascii="Arial" w:cs="Arial" w:eastAsia="Arial" w:hAnsi="Arial"/>
          <w:sz w:val="19"/>
          <w:szCs w:val="19"/>
          <w:u w:val="single" w:color="auto"/>
          <w:color w:val="auto"/>
        </w:rPr>
        <w:t>Section 2.05(a)(iii)</w:t>
      </w:r>
      <w:r>
        <w:rPr>
          <w:rFonts w:ascii="Arial" w:cs="Arial" w:eastAsia="Arial" w:hAnsi="Arial"/>
          <w:sz w:val="19"/>
          <w:szCs w:val="19"/>
          <w:color w:val="auto"/>
        </w:rPr>
        <w:t xml:space="preserve">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notice must be received by the Administrative Agent not later than 11:00 a.m. (1) three Business Days prior to any date of prepayment of Eurocurrency Rate Loans denominated in Dollars, (2) four Business Days (or five, in the case of prepayment of Loans denominated in Special Notice Currencies) prior to any date of prepayment of Eurocurrency Rate Loans denominated in Alternative Currencies, Australian Dollars or New Zealand Dollars and (3) on the date of prepayment of Base Rate Loans; (B) any such prepayment of Eurocurrency Rate Loans shall be in a principal amount of $2,000,000 or a whole multiple of $1,000,000 in excess thereof (or, if less, the entire principal amount thereof then outstanding); and (C) any prepayment of Base Rate Loans shall be in a principal amount of $1,000,000 or a whole multiple of $500,000 in excess thereof (or, if less, the entire principal amount thereof then outstanding). Each</w:t>
      </w:r>
    </w:p>
    <w:p>
      <w:pPr>
        <w:spacing w:after="0" w:line="200" w:lineRule="exact"/>
        <w:rPr>
          <w:sz w:val="20"/>
          <w:szCs w:val="20"/>
          <w:color w:val="auto"/>
        </w:rPr>
      </w:pPr>
    </w:p>
    <w:p>
      <w:pPr>
        <w:spacing w:after="0" w:line="26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0760"/>
          </w:cols>
          <w:pgMar w:left="900" w:top="771" w:right="239" w:bottom="1440" w:gutter="0" w:footer="0" w:header="0"/>
        </w:sectPr>
      </w:pPr>
    </w:p>
    <w:bookmarkStart w:id="194" w:name="page195"/>
    <w:bookmarkEnd w:id="194"/>
    <w:p>
      <w:pPr>
        <w:jc w:val="both"/>
        <w:ind w:left="100"/>
        <w:spacing w:after="0" w:line="256" w:lineRule="exact"/>
        <w:rPr>
          <w:sz w:val="20"/>
          <w:szCs w:val="20"/>
          <w:color w:val="auto"/>
        </w:rPr>
      </w:pPr>
      <w:r>
        <w:rPr>
          <w:rFonts w:ascii="Arial" w:cs="Arial" w:eastAsia="Arial" w:hAnsi="Arial"/>
          <w:sz w:val="19"/>
          <w:szCs w:val="19"/>
          <w:color w:val="auto"/>
        </w:rPr>
        <w:t>such notice shall specify the date and amount of such prepayment, the Type(s) and currencies of Loans to be prepaid (and, if Eurocurrency Rate Loans are to be prepaid, the Interest Period(s) of such Loans) and whether the Loans to be prepaid are Revolving A Loans, Revolving B Loans, Revolving C Loans, the Term A Loan, the Term B</w:t>
      </w:r>
      <w:r>
        <w:rPr>
          <w:rFonts w:ascii="MS PGothic" w:cs="MS PGothic" w:eastAsia="MS PGothic" w:hAnsi="MS PGothic"/>
          <w:sz w:val="19"/>
          <w:szCs w:val="19"/>
          <w:color w:val="auto"/>
        </w:rPr>
        <w:t>‑</w:t>
      </w:r>
      <w:r>
        <w:rPr>
          <w:rFonts w:ascii="Arial" w:cs="Arial" w:eastAsia="Arial" w:hAnsi="Arial"/>
          <w:sz w:val="19"/>
          <w:szCs w:val="19"/>
          <w:color w:val="auto"/>
        </w:rPr>
        <w:t xml:space="preserve">3 Loan and/or any Incremental Term Loan. The Administrative Agent will promptly notify each applicable Lender of its receipt of each such notice, and of the amount of such Lender’s Applicable Percentage of such prepayment. If such notice is given by the Company,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2.15</w:t>
      </w:r>
      <w:r>
        <w:rPr>
          <w:rFonts w:ascii="Arial" w:cs="Arial" w:eastAsia="Arial" w:hAnsi="Arial"/>
          <w:sz w:val="19"/>
          <w:szCs w:val="19"/>
          <w:color w:val="auto"/>
        </w:rPr>
        <w:t>, each such prepayment shall be applied to the Loans of the applicable Lenders in accordance with their respective Applicable Percentages. Each such prepayment of the Term A Loan, the Term B</w:t>
      </w:r>
      <w:r>
        <w:rPr>
          <w:rFonts w:ascii="MS PGothic" w:cs="MS PGothic" w:eastAsia="MS PGothic" w:hAnsi="MS PGothic"/>
          <w:sz w:val="19"/>
          <w:szCs w:val="19"/>
          <w:color w:val="auto"/>
        </w:rPr>
        <w:t>‑</w:t>
      </w:r>
      <w:r>
        <w:rPr>
          <w:rFonts w:ascii="Arial" w:cs="Arial" w:eastAsia="Arial" w:hAnsi="Arial"/>
          <w:sz w:val="19"/>
          <w:szCs w:val="19"/>
          <w:color w:val="auto"/>
        </w:rPr>
        <w:t>3 Loan and any Incremental Term Loan shall be applied, at the Company’s election, to the Term A Loan, the Term B</w:t>
      </w:r>
      <w:r>
        <w:rPr>
          <w:rFonts w:ascii="MS PGothic" w:cs="MS PGothic" w:eastAsia="MS PGothic" w:hAnsi="MS PGothic"/>
          <w:sz w:val="19"/>
          <w:szCs w:val="19"/>
          <w:color w:val="auto"/>
        </w:rPr>
        <w:t>‑</w:t>
      </w:r>
      <w:r>
        <w:rPr>
          <w:rFonts w:ascii="Arial" w:cs="Arial" w:eastAsia="Arial" w:hAnsi="Arial"/>
          <w:sz w:val="19"/>
          <w:szCs w:val="19"/>
          <w:color w:val="auto"/>
        </w:rPr>
        <w:t xml:space="preserve">3 Loan and/or any such Incremental Term Loan and to the remaining principal installments thereof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w:t>
      </w:r>
    </w:p>
    <w:p>
      <w:pPr>
        <w:spacing w:after="0" w:line="226" w:lineRule="exact"/>
        <w:rPr>
          <w:sz w:val="20"/>
          <w:szCs w:val="20"/>
          <w:color w:val="auto"/>
        </w:rPr>
      </w:pPr>
    </w:p>
    <w:p>
      <w:pPr>
        <w:jc w:val="both"/>
        <w:ind w:left="100" w:firstLine="653"/>
        <w:spacing w:after="0" w:line="284" w:lineRule="auto"/>
        <w:tabs>
          <w:tab w:leader="none" w:pos="117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Swing Line Loans</w:t>
      </w:r>
      <w:r>
        <w:rPr>
          <w:rFonts w:ascii="Arial" w:cs="Arial" w:eastAsia="Arial" w:hAnsi="Arial"/>
          <w:sz w:val="19"/>
          <w:szCs w:val="19"/>
          <w:color w:val="auto"/>
        </w:rPr>
        <w:t xml:space="preserve">. The Company, the Additional Borrower or the applicable Designated Borrower, as applicable, may, upon notice to the Swingline Lender pursuant to delivery to the Swingline Lender of a Notice of Loan Prepayment (with a copy to the Administrative Agent), at any time or from time to time, voluntarily prepay Swing 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notice must be received by the Swing Line Lender and the Administrative Agent not later than (1) in the case of Domestic Swing Line Loans, 1:00 p.m. on the date of the prepayment and (2) in the case of Foreign Swing line Loans, 10:00 a.m., London time, on the date that is one Business Day prior to the date of such prepayment, and (B) any such prepayment shall be in a minimum principal amount of $500,000 (or, in the case of Foreign Swing Line Loans, the Alternative Currency Equivalent thereof) or a whole multiple of $100,000 (or, in the case of Foreign Swing Line Loans, the Alternative Currency Equivalent thereof) in excess thereof (or, if less, the entire principal thereof then outstanding). Each such notice shall specify the date and amount of such prepayment and whether such prepayment is a prepayment of Domestic Swing Line Loans and/or Foreign Swing Line Loans. If such notice is given by the Company, the Additional Borrower or the applicable Designated Borrower, the Company, the Additional Borrower or the applicable Designated Borrower shall make such prepayment and the payment amount specified in such notice shall be due and payable on the date specified therein.</w:t>
      </w:r>
    </w:p>
    <w:p>
      <w:pPr>
        <w:spacing w:after="0" w:line="188" w:lineRule="exact"/>
        <w:rPr>
          <w:rFonts w:ascii="Arial" w:cs="Arial" w:eastAsia="Arial" w:hAnsi="Arial"/>
          <w:sz w:val="19"/>
          <w:szCs w:val="19"/>
          <w:color w:val="auto"/>
        </w:rPr>
      </w:pPr>
    </w:p>
    <w:p>
      <w:pPr>
        <w:jc w:val="both"/>
        <w:ind w:left="100" w:firstLine="653"/>
        <w:spacing w:after="0" w:line="255" w:lineRule="exact"/>
        <w:tabs>
          <w:tab w:leader="none" w:pos="1333"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Prepayment Premium</w:t>
      </w:r>
      <w:r>
        <w:rPr>
          <w:rFonts w:ascii="Arial" w:cs="Arial" w:eastAsia="Arial" w:hAnsi="Arial"/>
          <w:sz w:val="19"/>
          <w:szCs w:val="19"/>
          <w:color w:val="auto"/>
        </w:rPr>
        <w:t>. If a Repricing Transaction occurs prior to the date that is six months after the Third Amendment Effective Date, then the Company shall pay to the Administrative Agent, for the ratable account of the Term B</w:t>
      </w:r>
      <w:r>
        <w:rPr>
          <w:rFonts w:ascii="MS PGothic" w:cs="MS PGothic" w:eastAsia="MS PGothic" w:hAnsi="MS PGothic"/>
          <w:sz w:val="19"/>
          <w:szCs w:val="19"/>
          <w:color w:val="auto"/>
        </w:rPr>
        <w:t>‑</w:t>
      </w:r>
      <w:r>
        <w:rPr>
          <w:rFonts w:ascii="Arial" w:cs="Arial" w:eastAsia="Arial" w:hAnsi="Arial"/>
          <w:sz w:val="19"/>
          <w:szCs w:val="19"/>
          <w:color w:val="auto"/>
        </w:rPr>
        <w:t>3 Lenders, a prepayment premium in an amount equal to (A) 1.0% of the principal amount of the Term B</w:t>
      </w:r>
      <w:r>
        <w:rPr>
          <w:rFonts w:ascii="MS PGothic" w:cs="MS PGothic" w:eastAsia="MS PGothic" w:hAnsi="MS PGothic"/>
          <w:sz w:val="19"/>
          <w:szCs w:val="19"/>
          <w:color w:val="auto"/>
        </w:rPr>
        <w:t>‑</w:t>
      </w:r>
      <w:r>
        <w:rPr>
          <w:rFonts w:ascii="Arial" w:cs="Arial" w:eastAsia="Arial" w:hAnsi="Arial"/>
          <w:sz w:val="19"/>
          <w:szCs w:val="19"/>
          <w:color w:val="auto"/>
        </w:rPr>
        <w:t>3 Loan that is prepaid or repaid, in the case of a prepayment or repayment of the Term B</w:t>
      </w:r>
      <w:r>
        <w:rPr>
          <w:rFonts w:ascii="MS PGothic" w:cs="MS PGothic" w:eastAsia="MS PGothic" w:hAnsi="MS PGothic"/>
          <w:sz w:val="19"/>
          <w:szCs w:val="19"/>
          <w:color w:val="auto"/>
        </w:rPr>
        <w:t>‑</w:t>
      </w:r>
      <w:r>
        <w:rPr>
          <w:rFonts w:ascii="Arial" w:cs="Arial" w:eastAsia="Arial" w:hAnsi="Arial"/>
          <w:sz w:val="19"/>
          <w:szCs w:val="19"/>
          <w:color w:val="auto"/>
        </w:rPr>
        <w:t>3 Loan described in clause (a) of the definition of “Repricing Transaction,” or (B) 1.0% of the aggregate outstanding principal amount of the Term B</w:t>
      </w:r>
      <w:r>
        <w:rPr>
          <w:rFonts w:ascii="MS PGothic" w:cs="MS PGothic" w:eastAsia="MS PGothic" w:hAnsi="MS PGothic"/>
          <w:sz w:val="19"/>
          <w:szCs w:val="19"/>
          <w:color w:val="auto"/>
        </w:rPr>
        <w:t>‑</w:t>
      </w:r>
      <w:r>
        <w:rPr>
          <w:rFonts w:ascii="Arial" w:cs="Arial" w:eastAsia="Arial" w:hAnsi="Arial"/>
          <w:sz w:val="19"/>
          <w:szCs w:val="19"/>
          <w:color w:val="auto"/>
        </w:rPr>
        <w:t>3 Loan, in the case of an amendment described in clause (b) of the definition of “Repricing Transaction” (it being understood that</w:t>
      </w:r>
    </w:p>
    <w:p>
      <w:pPr>
        <w:spacing w:after="0" w:line="200" w:lineRule="exact"/>
        <w:rPr>
          <w:sz w:val="20"/>
          <w:szCs w:val="20"/>
          <w:color w:val="auto"/>
        </w:rPr>
      </w:pPr>
    </w:p>
    <w:p>
      <w:pPr>
        <w:spacing w:after="0" w:line="26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0220"/>
          </w:cols>
          <w:pgMar w:left="1440" w:top="771" w:right="239" w:bottom="1440" w:gutter="0" w:footer="0" w:header="0"/>
        </w:sectPr>
      </w:pPr>
    </w:p>
    <w:bookmarkStart w:id="195" w:name="page196"/>
    <w:bookmarkEnd w:id="195"/>
    <w:p>
      <w:pPr>
        <w:jc w:val="both"/>
        <w:ind w:left="100"/>
        <w:spacing w:after="0" w:line="254" w:lineRule="exact"/>
        <w:rPr>
          <w:sz w:val="20"/>
          <w:szCs w:val="20"/>
          <w:color w:val="auto"/>
        </w:rPr>
      </w:pPr>
      <w:r>
        <w:rPr>
          <w:rFonts w:ascii="Arial" w:cs="Arial" w:eastAsia="Arial" w:hAnsi="Arial"/>
          <w:sz w:val="20"/>
          <w:szCs w:val="20"/>
          <w:color w:val="auto"/>
        </w:rPr>
        <w:t>such prepayment premium shall apply if such prepayment is made to a Lender as the result of a mandatory assignment of its portion of the Term B</w:t>
      </w:r>
      <w:r>
        <w:rPr>
          <w:rFonts w:ascii="MS PGothic" w:cs="MS PGothic" w:eastAsia="MS PGothic" w:hAnsi="MS PGothic"/>
          <w:sz w:val="20"/>
          <w:szCs w:val="20"/>
          <w:color w:val="auto"/>
        </w:rPr>
        <w:t>‑</w:t>
      </w:r>
      <w:r>
        <w:rPr>
          <w:rFonts w:ascii="Arial" w:cs="Arial" w:eastAsia="Arial" w:hAnsi="Arial"/>
          <w:sz w:val="20"/>
          <w:szCs w:val="20"/>
          <w:color w:val="auto"/>
        </w:rPr>
        <w:t xml:space="preserve">3 Loan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following its failure to consent to an amendment that would reduce the interest rate or interest rate margins applicable to the Term B</w:t>
      </w:r>
      <w:r>
        <w:rPr>
          <w:rFonts w:ascii="MS PGothic" w:cs="MS PGothic" w:eastAsia="MS PGothic" w:hAnsi="MS PGothic"/>
          <w:sz w:val="20"/>
          <w:szCs w:val="20"/>
          <w:color w:val="auto"/>
        </w:rPr>
        <w:t>‑</w:t>
      </w:r>
      <w:r>
        <w:rPr>
          <w:rFonts w:ascii="Arial" w:cs="Arial" w:eastAsia="Arial" w:hAnsi="Arial"/>
          <w:sz w:val="20"/>
          <w:szCs w:val="20"/>
          <w:color w:val="auto"/>
        </w:rPr>
        <w:t>3 Loan).</w:t>
      </w:r>
    </w:p>
    <w:p>
      <w:pPr>
        <w:spacing w:after="0" w:line="224" w:lineRule="exact"/>
        <w:rPr>
          <w:sz w:val="20"/>
          <w:szCs w:val="20"/>
          <w:color w:val="auto"/>
        </w:rPr>
      </w:pPr>
    </w:p>
    <w:p>
      <w:pPr>
        <w:ind w:left="520" w:hanging="415"/>
        <w:spacing w:after="0"/>
        <w:tabs>
          <w:tab w:leader="none" w:pos="52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Mandatory Prepayments of Loans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120" w:hanging="367"/>
        <w:spacing w:after="0"/>
        <w:tabs>
          <w:tab w:leader="none" w:pos="1120" w:val="left"/>
        </w:tabs>
        <w:numPr>
          <w:ilvl w:val="1"/>
          <w:numId w:val="120"/>
        </w:numPr>
        <w:rPr>
          <w:rFonts w:ascii="Arial" w:cs="Arial" w:eastAsia="Arial" w:hAnsi="Arial"/>
          <w:sz w:val="20"/>
          <w:szCs w:val="20"/>
          <w:color w:val="auto"/>
        </w:rPr>
      </w:pPr>
      <w:r>
        <w:rPr>
          <w:rFonts w:ascii="Arial" w:cs="Arial" w:eastAsia="Arial" w:hAnsi="Arial"/>
          <w:sz w:val="20"/>
          <w:szCs w:val="20"/>
          <w:u w:val="single" w:color="auto"/>
          <w:color w:val="auto"/>
        </w:rPr>
        <w:t>Revolving Commitments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760" w:firstLine="641"/>
        <w:spacing w:after="0" w:line="304" w:lineRule="auto"/>
        <w:tabs>
          <w:tab w:leader="none" w:pos="1931" w:val="left"/>
        </w:tabs>
        <w:numPr>
          <w:ilvl w:val="2"/>
          <w:numId w:val="120"/>
        </w:numPr>
        <w:rPr>
          <w:rFonts w:ascii="Arial" w:cs="Arial" w:eastAsia="Arial" w:hAnsi="Arial"/>
          <w:sz w:val="18"/>
          <w:szCs w:val="18"/>
          <w:color w:val="auto"/>
        </w:rPr>
      </w:pPr>
      <w:r>
        <w:rPr>
          <w:rFonts w:ascii="Arial" w:cs="Arial" w:eastAsia="Arial" w:hAnsi="Arial"/>
          <w:sz w:val="18"/>
          <w:szCs w:val="18"/>
          <w:color w:val="auto"/>
        </w:rPr>
        <w:t xml:space="preserve">If for any reason the Total Revolving A Outstandings at any time exceed the Aggregate Revolving A Commitments then in effect, the Company shall immediately prepay Revolving A Loans and/or the Domestic Swing Line Loans and/or Cash Collateralize the L/C Obligations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to Cash Collateralize the L/C Obligations pursuant to this </w:t>
      </w:r>
      <w:r>
        <w:rPr>
          <w:rFonts w:ascii="Arial" w:cs="Arial" w:eastAsia="Arial" w:hAnsi="Arial"/>
          <w:sz w:val="18"/>
          <w:szCs w:val="18"/>
          <w:u w:val="single" w:color="auto"/>
          <w:color w:val="auto"/>
        </w:rPr>
        <w:t>Section 2.05(b)(i)(A)</w:t>
      </w:r>
      <w:r>
        <w:rPr>
          <w:rFonts w:ascii="Arial" w:cs="Arial" w:eastAsia="Arial" w:hAnsi="Arial"/>
          <w:sz w:val="18"/>
          <w:szCs w:val="18"/>
          <w:color w:val="auto"/>
        </w:rPr>
        <w:t xml:space="preserve"> unless after the prepayment in full of the Revolving A Loans and the Domestic Swing Line Loans the Total Revolving A Outstandings exceed the Aggregate Revolving A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71" w:lineRule="exact"/>
        <w:rPr>
          <w:rFonts w:ascii="Arial" w:cs="Arial" w:eastAsia="Arial" w:hAnsi="Arial"/>
          <w:sz w:val="18"/>
          <w:szCs w:val="18"/>
          <w:color w:val="auto"/>
        </w:rPr>
      </w:pPr>
    </w:p>
    <w:p>
      <w:pPr>
        <w:jc w:val="both"/>
        <w:ind w:left="760" w:firstLine="641"/>
        <w:spacing w:after="0" w:line="278" w:lineRule="auto"/>
        <w:tabs>
          <w:tab w:leader="none" w:pos="1933" w:val="left"/>
        </w:tabs>
        <w:numPr>
          <w:ilvl w:val="2"/>
          <w:numId w:val="120"/>
        </w:numPr>
        <w:rPr>
          <w:rFonts w:ascii="Arial" w:cs="Arial" w:eastAsia="Arial" w:hAnsi="Arial"/>
          <w:sz w:val="20"/>
          <w:szCs w:val="20"/>
          <w:color w:val="auto"/>
        </w:rPr>
      </w:pPr>
      <w:r>
        <w:rPr>
          <w:rFonts w:ascii="Arial" w:cs="Arial" w:eastAsia="Arial" w:hAnsi="Arial"/>
          <w:sz w:val="20"/>
          <w:szCs w:val="20"/>
          <w:color w:val="auto"/>
        </w:rPr>
        <w:t>If for any reason the Total Revolving B Outstandings at any time exceed the Aggregate Revolving B Commitments then in effect, the Company shall immediately prepay Revolving B Loans and/or the Foreign Swing Line Loans in an aggregate amount equal to such excess.</w:t>
      </w:r>
    </w:p>
    <w:p>
      <w:pPr>
        <w:spacing w:after="0" w:line="186" w:lineRule="exact"/>
        <w:rPr>
          <w:rFonts w:ascii="Arial" w:cs="Arial" w:eastAsia="Arial" w:hAnsi="Arial"/>
          <w:sz w:val="20"/>
          <w:szCs w:val="20"/>
          <w:color w:val="auto"/>
        </w:rPr>
      </w:pPr>
    </w:p>
    <w:p>
      <w:pPr>
        <w:jc w:val="both"/>
        <w:ind w:left="760" w:firstLine="641"/>
        <w:spacing w:after="0" w:line="278" w:lineRule="auto"/>
        <w:tabs>
          <w:tab w:leader="none" w:pos="1933" w:val="left"/>
        </w:tabs>
        <w:numPr>
          <w:ilvl w:val="2"/>
          <w:numId w:val="120"/>
        </w:numPr>
        <w:rPr>
          <w:rFonts w:ascii="Arial" w:cs="Arial" w:eastAsia="Arial" w:hAnsi="Arial"/>
          <w:sz w:val="20"/>
          <w:szCs w:val="20"/>
          <w:color w:val="auto"/>
        </w:rPr>
      </w:pPr>
      <w:r>
        <w:rPr>
          <w:rFonts w:ascii="Arial" w:cs="Arial" w:eastAsia="Arial" w:hAnsi="Arial"/>
          <w:sz w:val="20"/>
          <w:szCs w:val="20"/>
          <w:color w:val="auto"/>
        </w:rPr>
        <w:t>If for any reason the Total Revolving C Outstandings at any time exceed the Aggregate Revolving C Commitments then in effect, the Company shall immediately prepay Revolving C Loans in an aggregate amount equal to such excess.</w:t>
      </w:r>
    </w:p>
    <w:p>
      <w:pPr>
        <w:spacing w:after="0" w:line="186" w:lineRule="exact"/>
        <w:rPr>
          <w:rFonts w:ascii="Arial" w:cs="Arial" w:eastAsia="Arial" w:hAnsi="Arial"/>
          <w:sz w:val="20"/>
          <w:szCs w:val="20"/>
          <w:color w:val="auto"/>
        </w:rPr>
      </w:pPr>
    </w:p>
    <w:p>
      <w:pPr>
        <w:jc w:val="both"/>
        <w:ind w:left="760" w:firstLine="641"/>
        <w:spacing w:after="0" w:line="270" w:lineRule="auto"/>
        <w:tabs>
          <w:tab w:leader="none" w:pos="1931" w:val="left"/>
        </w:tabs>
        <w:numPr>
          <w:ilvl w:val="2"/>
          <w:numId w:val="120"/>
        </w:numPr>
        <w:rPr>
          <w:rFonts w:ascii="Arial" w:cs="Arial" w:eastAsia="Arial" w:hAnsi="Arial"/>
          <w:sz w:val="20"/>
          <w:szCs w:val="20"/>
          <w:color w:val="auto"/>
        </w:rPr>
      </w:pPr>
      <w:r>
        <w:rPr>
          <w:rFonts w:ascii="Arial" w:cs="Arial" w:eastAsia="Arial" w:hAnsi="Arial"/>
          <w:sz w:val="20"/>
          <w:szCs w:val="20"/>
          <w:color w:val="auto"/>
        </w:rPr>
        <w:t>If the Administrative Agent notifies the Company at any time that (1) the Outstanding Amount of all Domestic Swing Line Loans at such time exceeds an amount equal to the Domestic Swing Line Loan Sublimit then in effect, or (2) the Outstanding Amount of all Foreign Swing Line Loans at such time exceeds an amount equal to the Foreign Swing Line Loan Sublimit then in effect, then within two (2) Business Days after receipt of such notice, the Company, the Additional Borrower or the Designated Borrowers, as applicable, shall prepay such Swing Line Loans in an aggregate amount sufficient to reduce such Outstanding Amount as of such date of payment to an amount not to exceed 100% of the Domestic Swing Line Loan Sublimit or the Foreign Swing Line Loan Sublimit, or both, as applicable.</w:t>
      </w:r>
    </w:p>
    <w:p>
      <w:pPr>
        <w:spacing w:after="0" w:line="199" w:lineRule="exact"/>
        <w:rPr>
          <w:rFonts w:ascii="Arial" w:cs="Arial" w:eastAsia="Arial" w:hAnsi="Arial"/>
          <w:sz w:val="20"/>
          <w:szCs w:val="20"/>
          <w:color w:val="auto"/>
        </w:rPr>
      </w:pPr>
    </w:p>
    <w:p>
      <w:pPr>
        <w:jc w:val="both"/>
        <w:ind w:left="100" w:firstLine="653"/>
        <w:spacing w:after="0" w:line="278" w:lineRule="auto"/>
        <w:tabs>
          <w:tab w:leader="none" w:pos="1237" w:val="left"/>
        </w:tabs>
        <w:numPr>
          <w:ilvl w:val="1"/>
          <w:numId w:val="120"/>
        </w:numPr>
        <w:rPr>
          <w:rFonts w:ascii="Arial" w:cs="Arial" w:eastAsia="Arial" w:hAnsi="Arial"/>
          <w:sz w:val="20"/>
          <w:szCs w:val="20"/>
          <w:color w:val="auto"/>
        </w:rPr>
      </w:pPr>
      <w:r>
        <w:rPr>
          <w:rFonts w:ascii="Arial" w:cs="Arial" w:eastAsia="Arial" w:hAnsi="Arial"/>
          <w:sz w:val="20"/>
          <w:szCs w:val="20"/>
          <w:u w:val="single" w:color="auto"/>
          <w:color w:val="auto"/>
        </w:rPr>
        <w:t>Dispositions and Involuntary Dispositions</w:t>
      </w:r>
      <w:r>
        <w:rPr>
          <w:rFonts w:ascii="Arial" w:cs="Arial" w:eastAsia="Arial" w:hAnsi="Arial"/>
          <w:sz w:val="20"/>
          <w:szCs w:val="20"/>
          <w:color w:val="auto"/>
        </w:rPr>
        <w:t>. The Company shall prepay the Loans and/or Cash Collateralize the L/C Obligations as hereafter provided in an aggregate amount equal to 100% of the Net Cash Proceeds of all Dispositions (other than (x) the</w:t>
      </w: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0220"/>
          </w:cols>
          <w:pgMar w:left="1440" w:top="771" w:right="239" w:bottom="1440" w:gutter="0" w:footer="0" w:header="0"/>
        </w:sectPr>
      </w:pPr>
    </w:p>
    <w:bookmarkStart w:id="196" w:name="page197"/>
    <w:bookmarkEnd w:id="196"/>
    <w:p>
      <w:pPr>
        <w:jc w:val="both"/>
        <w:ind w:left="100"/>
        <w:spacing w:after="0" w:line="274" w:lineRule="auto"/>
        <w:rPr>
          <w:sz w:val="20"/>
          <w:szCs w:val="20"/>
          <w:color w:val="auto"/>
        </w:rPr>
      </w:pPr>
      <w:r>
        <w:rPr>
          <w:rFonts w:ascii="Arial" w:cs="Arial" w:eastAsia="Arial" w:hAnsi="Arial"/>
          <w:sz w:val="20"/>
          <w:szCs w:val="20"/>
          <w:color w:val="auto"/>
        </w:rPr>
        <w:t>Specified Equity Sale, and (y) the NexTraq Disposition) and Involuntary Dispositions to the extent such Net Cash Proceeds are not reinvested in Eligible Assets (including as consideration for a Permitted Acquisition) within 360 days of the date of such Disposition or Involuntary Disposition. Any prepayment pursuant to this clause (ii) shall be applied as set forth in clause (v) below.</w:t>
      </w:r>
    </w:p>
    <w:p>
      <w:pPr>
        <w:spacing w:after="0" w:line="192" w:lineRule="exact"/>
        <w:rPr>
          <w:sz w:val="20"/>
          <w:szCs w:val="20"/>
          <w:color w:val="auto"/>
        </w:rPr>
      </w:pPr>
    </w:p>
    <w:p>
      <w:pPr>
        <w:jc w:val="both"/>
        <w:ind w:left="100" w:firstLine="653"/>
        <w:spacing w:after="0" w:line="304" w:lineRule="auto"/>
        <w:tabs>
          <w:tab w:leader="none" w:pos="122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Debt Issuances; Refinancing Indebtedness</w:t>
      </w:r>
      <w:r>
        <w:rPr>
          <w:rFonts w:ascii="Arial" w:cs="Arial" w:eastAsia="Arial" w:hAnsi="Arial"/>
          <w:sz w:val="18"/>
          <w:szCs w:val="18"/>
          <w:color w:val="auto"/>
        </w:rPr>
        <w:t>. Immediately upon receipt by any Loan Party or any Subsidiary of the Net Cash Proceeds of any Debt Issuance, the Company shall prepay the Loans and/or Cash Collateralize the L/C Obligations as hereafter provided in an aggregate amount equal to 100% of such Net Cash Proceeds (such prepayment to be applied as set forth in clause (v) below). Immediately upon the receipt by any Loan Party or any Subsidiary of the proceeds of any Refinancing Indebtedness, the Company shall prepay the Refinanced Debt in an aggregate amount equal to 100% of such proceeds (net of (A) the portion of such proceeds incurred to finance fees, original issue discount, costs and expenses related to such Refinancing Indebtedness and (B) the portion of such proceeds incurred to pay interest, fees and expenses accrued in respect of such Refinanced Debt) and shall pay all interest, fees and expenses accrued in respect of such Refinanced Debt.</w:t>
      </w:r>
    </w:p>
    <w:p>
      <w:pPr>
        <w:spacing w:after="0" w:line="171" w:lineRule="exact"/>
        <w:rPr>
          <w:rFonts w:ascii="Arial" w:cs="Arial" w:eastAsia="Arial" w:hAnsi="Arial"/>
          <w:sz w:val="18"/>
          <w:szCs w:val="18"/>
          <w:color w:val="auto"/>
        </w:rPr>
      </w:pPr>
    </w:p>
    <w:p>
      <w:pPr>
        <w:jc w:val="both"/>
        <w:ind w:left="100" w:firstLine="653"/>
        <w:spacing w:after="0" w:line="286" w:lineRule="auto"/>
        <w:tabs>
          <w:tab w:leader="none" w:pos="1308"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Excess Cash Flow</w:t>
      </w:r>
      <w:r>
        <w:rPr>
          <w:rFonts w:ascii="Arial" w:cs="Arial" w:eastAsia="Arial" w:hAnsi="Arial"/>
          <w:sz w:val="19"/>
          <w:szCs w:val="19"/>
          <w:color w:val="auto"/>
        </w:rPr>
        <w:t xml:space="preserve">. Within five (5) Business Days after financial statements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for each fiscal year, commencing with the fiscal year ending December 31, 2017, the Company shall prepay the Loans and/or Cash Collateralize the L/C Obligations as hereafter provided in an aggregate amount equal to (A) if the Consolidated Leverage Ratio as of the end of such fiscal year is greater than 3.50 to 1.00, the sum of (1) 50% of Excess Cash Flow for such fiscal year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(2) the amount of any voluntary prepayments made on the Term Loans and any Incremental Term Loans during such fiscal year, or (B) if the Consolidated Leverage Ratio as of the end of such fiscal year is less than or equal to 3.50 to 1.00, 0% of Excess Cash Flow for such fiscal year. Any prepayment pursuant to this clause (iv) shall be applied as set forth in clause (v) below.</w:t>
      </w:r>
    </w:p>
    <w:p>
      <w:pPr>
        <w:spacing w:after="0" w:line="185" w:lineRule="exact"/>
        <w:rPr>
          <w:rFonts w:ascii="Arial" w:cs="Arial" w:eastAsia="Arial" w:hAnsi="Arial"/>
          <w:sz w:val="19"/>
          <w:szCs w:val="19"/>
          <w:color w:val="auto"/>
        </w:rPr>
      </w:pPr>
    </w:p>
    <w:p>
      <w:pPr>
        <w:ind w:left="100" w:right="20" w:firstLine="653"/>
        <w:spacing w:after="0" w:line="289" w:lineRule="auto"/>
        <w:tabs>
          <w:tab w:leader="none" w:pos="1172"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Application of Mandatory Prepayments</w:t>
      </w:r>
      <w:r>
        <w:rPr>
          <w:rFonts w:ascii="Arial" w:cs="Arial" w:eastAsia="Arial" w:hAnsi="Arial"/>
          <w:sz w:val="20"/>
          <w:szCs w:val="20"/>
          <w:color w:val="auto"/>
        </w:rPr>
        <w:t xml:space="preserve">. All amounts required to be paid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applied as follows:</w:t>
      </w:r>
    </w:p>
    <w:p>
      <w:pPr>
        <w:spacing w:after="0" w:line="175" w:lineRule="exact"/>
        <w:rPr>
          <w:rFonts w:ascii="Arial" w:cs="Arial" w:eastAsia="Arial" w:hAnsi="Arial"/>
          <w:sz w:val="20"/>
          <w:szCs w:val="20"/>
          <w:color w:val="auto"/>
        </w:rPr>
      </w:pPr>
    </w:p>
    <w:p>
      <w:pPr>
        <w:jc w:val="both"/>
        <w:ind w:left="760" w:firstLine="641"/>
        <w:spacing w:after="0" w:line="297" w:lineRule="auto"/>
        <w:tabs>
          <w:tab w:leader="none" w:pos="195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(i) with respect to all amounts prepaid pursuant to </w:t>
      </w:r>
      <w:r>
        <w:rPr>
          <w:rFonts w:ascii="Arial" w:cs="Arial" w:eastAsia="Arial" w:hAnsi="Arial"/>
          <w:sz w:val="18"/>
          <w:szCs w:val="18"/>
          <w:u w:val="single" w:color="auto"/>
          <w:color w:val="auto"/>
        </w:rPr>
        <w:t>Section 2.05(b)(i)(A)</w:t>
      </w:r>
      <w:r>
        <w:rPr>
          <w:rFonts w:ascii="Arial" w:cs="Arial" w:eastAsia="Arial" w:hAnsi="Arial"/>
          <w:sz w:val="18"/>
          <w:szCs w:val="18"/>
          <w:color w:val="auto"/>
        </w:rPr>
        <w:t xml:space="preserve">, to Revolving A Loans and Domestic Swing Line Loans and (after all Revolving A Loans and Domestic Swing Line Loans have been repaid) to Cash Collateralize L/C Obligations, (ii) with respect to amounts prepaid pursuant to </w:t>
      </w:r>
      <w:r>
        <w:rPr>
          <w:rFonts w:ascii="Arial" w:cs="Arial" w:eastAsia="Arial" w:hAnsi="Arial"/>
          <w:sz w:val="18"/>
          <w:szCs w:val="18"/>
          <w:u w:val="single" w:color="auto"/>
          <w:color w:val="auto"/>
        </w:rPr>
        <w:t>Section 2.05(b)(i)(B)</w:t>
      </w:r>
      <w:r>
        <w:rPr>
          <w:rFonts w:ascii="Arial" w:cs="Arial" w:eastAsia="Arial" w:hAnsi="Arial"/>
          <w:sz w:val="18"/>
          <w:szCs w:val="18"/>
          <w:color w:val="auto"/>
        </w:rPr>
        <w:t xml:space="preserve">, to Revolving B Loans and Foreign Swing Line Loans, (iii) with respect to amounts prepaid pursuant to </w:t>
      </w:r>
      <w:r>
        <w:rPr>
          <w:rFonts w:ascii="Arial" w:cs="Arial" w:eastAsia="Arial" w:hAnsi="Arial"/>
          <w:sz w:val="18"/>
          <w:szCs w:val="18"/>
          <w:u w:val="single" w:color="auto"/>
          <w:color w:val="auto"/>
        </w:rPr>
        <w:t>Section 2.05(b)(i)</w:t>
      </w:r>
    </w:p>
    <w:p>
      <w:pPr>
        <w:spacing w:after="0" w:line="1" w:lineRule="exact"/>
        <w:rPr>
          <w:rFonts w:ascii="Arial" w:cs="Arial" w:eastAsia="Arial" w:hAnsi="Arial"/>
          <w:sz w:val="18"/>
          <w:szCs w:val="18"/>
          <w:color w:val="auto"/>
        </w:rPr>
      </w:pPr>
    </w:p>
    <w:p>
      <w:pPr>
        <w:ind w:left="760"/>
        <w:spacing w:after="0" w:line="289" w:lineRule="auto"/>
        <w:rPr>
          <w:rFonts w:ascii="Arial" w:cs="Arial" w:eastAsia="Arial" w:hAnsi="Arial"/>
          <w:sz w:val="18"/>
          <w:szCs w:val="18"/>
          <w:color w:val="auto"/>
        </w:rPr>
      </w:pPr>
      <w:r>
        <w:rPr>
          <w:rFonts w:ascii="Arial" w:cs="Arial" w:eastAsia="Arial" w:hAnsi="Arial"/>
          <w:sz w:val="20"/>
          <w:szCs w:val="20"/>
          <w:u w:val="single" w:color="auto"/>
          <w:color w:val="auto"/>
        </w:rPr>
        <w:t>(C)</w:t>
      </w:r>
      <w:r>
        <w:rPr>
          <w:rFonts w:ascii="Arial" w:cs="Arial" w:eastAsia="Arial" w:hAnsi="Arial"/>
          <w:sz w:val="20"/>
          <w:szCs w:val="20"/>
          <w:color w:val="auto"/>
        </w:rPr>
        <w:t xml:space="preserve">, to Revolving C Loans, and (iv) with respect to all amounts prepaid pursuant to </w:t>
      </w:r>
      <w:r>
        <w:rPr>
          <w:rFonts w:ascii="Arial" w:cs="Arial" w:eastAsia="Arial" w:hAnsi="Arial"/>
          <w:sz w:val="20"/>
          <w:szCs w:val="20"/>
          <w:u w:val="single" w:color="auto"/>
          <w:color w:val="auto"/>
        </w:rPr>
        <w:t>Section 2.05(b)(i)(D)</w:t>
      </w:r>
      <w:r>
        <w:rPr>
          <w:rFonts w:ascii="Arial" w:cs="Arial" w:eastAsia="Arial" w:hAnsi="Arial"/>
          <w:sz w:val="20"/>
          <w:szCs w:val="20"/>
          <w:color w:val="auto"/>
        </w:rPr>
        <w:t>, to Domestic Swing Line Loans or Foreign Swing Line Loans, as applicable;</w:t>
      </w:r>
    </w:p>
    <w:p>
      <w:pPr>
        <w:spacing w:after="0" w:line="175" w:lineRule="exact"/>
        <w:rPr>
          <w:rFonts w:ascii="Arial" w:cs="Arial" w:eastAsia="Arial" w:hAnsi="Arial"/>
          <w:sz w:val="18"/>
          <w:szCs w:val="18"/>
          <w:color w:val="auto"/>
        </w:rPr>
      </w:pPr>
    </w:p>
    <w:p>
      <w:pPr>
        <w:jc w:val="both"/>
        <w:ind w:left="760" w:firstLine="641"/>
        <w:spacing w:after="0" w:line="254" w:lineRule="exact"/>
        <w:tabs>
          <w:tab w:leader="none" w:pos="1879"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with respect to all amounts prepaid pursuant to </w:t>
      </w:r>
      <w:r>
        <w:rPr>
          <w:rFonts w:ascii="Arial" w:cs="Arial" w:eastAsia="Arial" w:hAnsi="Arial"/>
          <w:sz w:val="19"/>
          <w:szCs w:val="19"/>
          <w:u w:val="single" w:color="auto"/>
          <w:color w:val="auto"/>
        </w:rPr>
        <w:t>Sections 2.05(b)(ii)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(other than the proceeds of any Refinancing Indebtedness which, for the avoidance of doubt, shall be applied solely to the Refinanced Debt) and </w:t>
      </w:r>
      <w:r>
        <w:rPr>
          <w:rFonts w:ascii="Arial" w:cs="Arial" w:eastAsia="Arial" w:hAnsi="Arial"/>
          <w:sz w:val="19"/>
          <w:szCs w:val="19"/>
          <w:u w:val="single" w:color="auto"/>
          <w:color w:val="auto"/>
        </w:rPr>
        <w:t>(iv)</w:t>
      </w:r>
      <w:r>
        <w:rPr>
          <w:rFonts w:ascii="Arial" w:cs="Arial" w:eastAsia="Arial" w:hAnsi="Arial"/>
          <w:sz w:val="19"/>
          <w:szCs w:val="19"/>
          <w:color w:val="auto"/>
        </w:rPr>
        <w:t>, first pro rata to the Term A Loan, the Term B</w:t>
      </w:r>
      <w:r>
        <w:rPr>
          <w:rFonts w:ascii="MS PGothic" w:cs="MS PGothic" w:eastAsia="MS PGothic" w:hAnsi="MS PGothic"/>
          <w:sz w:val="19"/>
          <w:szCs w:val="19"/>
          <w:color w:val="auto"/>
        </w:rPr>
        <w:t>‑</w:t>
      </w:r>
      <w:r>
        <w:rPr>
          <w:rFonts w:ascii="Arial" w:cs="Arial" w:eastAsia="Arial" w:hAnsi="Arial"/>
          <w:sz w:val="19"/>
          <w:szCs w:val="19"/>
          <w:color w:val="auto"/>
        </w:rPr>
        <w:t>3 Loan and any Incremental Term Loan</w:t>
      </w:r>
    </w:p>
    <w:p>
      <w:pPr>
        <w:spacing w:after="0" w:line="200" w:lineRule="exact"/>
        <w:rPr>
          <w:sz w:val="20"/>
          <w:szCs w:val="20"/>
          <w:color w:val="auto"/>
        </w:rPr>
      </w:pPr>
    </w:p>
    <w:p>
      <w:pPr>
        <w:spacing w:after="0" w:line="267"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0220"/>
          </w:cols>
          <w:pgMar w:left="1440" w:top="771" w:right="239" w:bottom="1440" w:gutter="0" w:footer="0" w:header="0"/>
        </w:sectPr>
      </w:pPr>
    </w:p>
    <w:bookmarkStart w:id="197" w:name="page198"/>
    <w:bookmarkEnd w:id="197"/>
    <w:p>
      <w:pPr>
        <w:jc w:val="both"/>
        <w:ind w:left="1300"/>
        <w:spacing w:after="0" w:line="256" w:lineRule="exact"/>
        <w:rPr>
          <w:sz w:val="20"/>
          <w:szCs w:val="20"/>
          <w:color w:val="auto"/>
        </w:rPr>
      </w:pPr>
      <w:r>
        <w:rPr>
          <w:rFonts w:ascii="Arial" w:cs="Arial" w:eastAsia="Arial" w:hAnsi="Arial"/>
          <w:sz w:val="18"/>
          <w:szCs w:val="18"/>
          <w:color w:val="auto"/>
        </w:rPr>
        <w:t>(in each case, ratably to the remaining principal amortization payments), then (after the Term A Loan, the Term B</w:t>
      </w:r>
      <w:r>
        <w:rPr>
          <w:rFonts w:ascii="MS PGothic" w:cs="MS PGothic" w:eastAsia="MS PGothic" w:hAnsi="MS PGothic"/>
          <w:sz w:val="18"/>
          <w:szCs w:val="18"/>
          <w:color w:val="auto"/>
        </w:rPr>
        <w:t>‑</w:t>
      </w:r>
      <w:r>
        <w:rPr>
          <w:rFonts w:ascii="Arial" w:cs="Arial" w:eastAsia="Arial" w:hAnsi="Arial"/>
          <w:sz w:val="18"/>
          <w:szCs w:val="18"/>
          <w:color w:val="auto"/>
        </w:rPr>
        <w:t xml:space="preserve">3 Loan and any Incremental Term Loan have been paid in full) to the Revolving Loans and Swing Line Loans and then (after all Revolving Loans and Swing Line Loans have been repaid) to Cash Collateralize L/C Obligations (without a corresponding permanent reduction in the Aggregate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amounts prepaid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as a result of the SVS Disposition may be applied to prepay such Loans as the Company elects (with any such prepayment of the Term A Loan, the Term B</w:t>
      </w:r>
      <w:r>
        <w:rPr>
          <w:rFonts w:ascii="MS PGothic" w:cs="MS PGothic" w:eastAsia="MS PGothic" w:hAnsi="MS PGothic"/>
          <w:sz w:val="18"/>
          <w:szCs w:val="18"/>
          <w:color w:val="auto"/>
        </w:rPr>
        <w:t>‑</w:t>
      </w:r>
      <w:r>
        <w:rPr>
          <w:rFonts w:ascii="Arial" w:cs="Arial" w:eastAsia="Arial" w:hAnsi="Arial"/>
          <w:sz w:val="18"/>
          <w:szCs w:val="18"/>
          <w:color w:val="auto"/>
        </w:rPr>
        <w:t>3 Loan or any Incremental Term Loan to be applied ratably to the remaining principal amortization payments thereof), so long as (x) at the time of any such prepayment there exists no Default and (y) the Consolidated Leverage Ratio, calculated on a Pro Forma Basis giving effect to such prepayment, is less than 3.50 to 1.00.</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Within the parameters of the applications set forth above, prepayments shall be applied first to Base Rate Loans and then to Eurocurrency Rate Loans in direct order of Interest Period maturities. All prepayments under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but otherwise without premium or penalty, and shall be accompanied by interest on the principal amount prepaid through the date of prepayment.</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u w:val="single" w:color="auto"/>
          <w:color w:val="auto"/>
        </w:rPr>
        <w:t>Termination or Reduction of Aggregate Revolving Commitments</w:t>
      </w:r>
      <w:r>
        <w:rPr>
          <w:rFonts w:ascii="Arial" w:cs="Arial" w:eastAsia="Arial" w:hAnsi="Arial"/>
          <w:sz w:val="18"/>
          <w:szCs w:val="18"/>
          <w:color w:val="auto"/>
        </w:rPr>
        <w:t>.</w:t>
      </w:r>
    </w:p>
    <w:p>
      <w:pPr>
        <w:spacing w:after="0" w:line="243" w:lineRule="exact"/>
        <w:rPr>
          <w:sz w:val="20"/>
          <w:szCs w:val="20"/>
          <w:color w:val="auto"/>
        </w:rPr>
      </w:pPr>
    </w:p>
    <w:p>
      <w:pPr>
        <w:jc w:val="both"/>
        <w:ind w:firstLine="645"/>
        <w:spacing w:after="0" w:line="300" w:lineRule="auto"/>
        <w:tabs>
          <w:tab w:leader="none" w:pos="106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Optional Reductions</w:t>
      </w:r>
      <w:r>
        <w:rPr>
          <w:rFonts w:ascii="Arial" w:cs="Arial" w:eastAsia="Arial" w:hAnsi="Arial"/>
          <w:sz w:val="18"/>
          <w:szCs w:val="18"/>
          <w:color w:val="auto"/>
        </w:rPr>
        <w:t xml:space="preserve">. The Company may, upon notice to the Administrative Agent, (i) terminate the Aggregate Revolving A Commitments, the Aggregate Revolving B Commitments and/or the Aggregate Revolving C Commitments, (ii) from time to time permanently reduce the Aggregate Revolving A Commitments to an amount not less than the Outstanding Amount of Revolving A Loans, Domestic Swing Line Loans and L/C Obligations, (iii) from time to time permanently reduce the Aggregate Revolving B Commitments to an amount not less than the Outstanding Amount of Revolving B Loans and Foreign Swing Line Loans, or (iv) from time to time permanently reduce the Aggregate Revolving C Commitments to an amount not less than the Outstanding Amount of Revolving C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such notice shall be received by the Administrative Agent not later than 12:00 noon five (5) Business Days prior to the date of termination or reduction, (B) any such partial reduction shall be in an aggregate amount of $2,000,000 or any whole multiple of $1,000,000 in excess thereof and (C) the Company shall not terminate or reduce (1) the Aggregate Revolving A Commitments if, after giving effect thereto and to any concurrent prepayments hereunder, the Total Revolving A Outstandings would exceed the Aggregate Revolving A Commitments, (2) the Aggregate Revolving B Commitments if, after giving effect thereto and to any concurrent prepayments hereunder, the Total Revolving B Outstandings would exceed the Aggregate Revolving B Commitments, (3) the Aggregate Revolving C Commitments if, after giving effect thereto and to any concurrent prepayments hereunder, the Total Revolving C Outstandings would exceed the Aggregate Revolving C Commitments, (4) the Letter of Credit Sublimit if, after giving effect thereto, the Outstanding Amount of L/C Obligations not fully Cash Collateralized hereunder would exceed the Letter of Credit Sublimit, (5) the Swing Line Sublimit if, after giving effect thereto and to any concurrent prepayments hereunder, the Outstanding Amount of Swing Line Loans would exceed the Swing Line Sublimit, (6) the Domestic Swing Line Loan Sublimit if, after giving effect thereto and to any concurrent prepayments hereunder, the Outstanding</w:t>
      </w:r>
    </w:p>
    <w:p>
      <w:pPr>
        <w:spacing w:after="0" w:line="200" w:lineRule="exact"/>
        <w:rPr>
          <w:sz w:val="20"/>
          <w:szCs w:val="20"/>
          <w:color w:val="auto"/>
        </w:rPr>
      </w:pPr>
    </w:p>
    <w:p>
      <w:pPr>
        <w:spacing w:after="0" w:line="22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0760"/>
          </w:cols>
          <w:pgMar w:left="900" w:top="771" w:right="239" w:bottom="1440" w:gutter="0" w:footer="0" w:header="0"/>
        </w:sectPr>
      </w:pPr>
    </w:p>
    <w:bookmarkStart w:id="198" w:name="page199"/>
    <w:bookmarkEnd w:id="198"/>
    <w:p>
      <w:pPr>
        <w:jc w:val="both"/>
        <w:spacing w:after="0" w:line="278" w:lineRule="auto"/>
        <w:rPr>
          <w:sz w:val="20"/>
          <w:szCs w:val="20"/>
          <w:color w:val="auto"/>
        </w:rPr>
      </w:pPr>
      <w:r>
        <w:rPr>
          <w:rFonts w:ascii="Arial" w:cs="Arial" w:eastAsia="Arial" w:hAnsi="Arial"/>
          <w:sz w:val="20"/>
          <w:szCs w:val="20"/>
          <w:color w:val="auto"/>
        </w:rPr>
        <w:t>Amount of Domestic Swing Line Loans would exceed the Domestic Swing Line Loan Sublimit or (7) the Foreign Swing Line Loan Sublimit if, after giving effect thereto and to any concurrent prepayments hereunder, the Outstanding Amount of Foreign Swing Line Loans would exceed the Foreign Swing Line Loan Sublimit.</w:t>
      </w:r>
    </w:p>
    <w:p>
      <w:pPr>
        <w:spacing w:after="0" w:line="187" w:lineRule="exact"/>
        <w:rPr>
          <w:sz w:val="20"/>
          <w:szCs w:val="20"/>
          <w:color w:val="auto"/>
        </w:rPr>
      </w:pPr>
    </w:p>
    <w:p>
      <w:pPr>
        <w:ind w:left="1060" w:hanging="415"/>
        <w:spacing w:after="0"/>
        <w:tabs>
          <w:tab w:leader="none" w:pos="1060"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Mandatory Reductions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hanging="7"/>
        <w:spacing w:after="0" w:line="274" w:lineRule="auto"/>
        <w:tabs>
          <w:tab w:leader="none" w:pos="168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(A) If after giving effect to any reduction or termination of Revolving A Commitments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the Letter of Credit Sublimit or the Domestic Swing Line Loan Sublimit exceed the Aggregate Revolving A Commitments at such time, the Letter of Credit Sublimit or the Domestic Swing Line Loan Sublimit, as the case may be, shall be automatically reduced by the amount of such excess.</w:t>
      </w:r>
    </w:p>
    <w:p>
      <w:pPr>
        <w:spacing w:after="0" w:line="192" w:lineRule="exact"/>
        <w:rPr>
          <w:rFonts w:ascii="Arial" w:cs="Arial" w:eastAsia="Arial" w:hAnsi="Arial"/>
          <w:sz w:val="20"/>
          <w:szCs w:val="20"/>
          <w:color w:val="auto"/>
        </w:rPr>
      </w:pPr>
    </w:p>
    <w:p>
      <w:pPr>
        <w:jc w:val="both"/>
        <w:ind w:left="1300" w:firstLine="641"/>
        <w:spacing w:after="0" w:line="299" w:lineRule="auto"/>
        <w:tabs>
          <w:tab w:leader="none" w:pos="2619" w:val="left"/>
        </w:tabs>
        <w:numPr>
          <w:ilvl w:val="2"/>
          <w:numId w:val="123"/>
        </w:numPr>
        <w:rPr>
          <w:rFonts w:ascii="Arial" w:cs="Arial" w:eastAsia="Arial" w:hAnsi="Arial"/>
          <w:sz w:val="19"/>
          <w:szCs w:val="19"/>
          <w:color w:val="auto"/>
        </w:rPr>
      </w:pPr>
      <w:r>
        <w:rPr>
          <w:rFonts w:ascii="Arial" w:cs="Arial" w:eastAsia="Arial" w:hAnsi="Arial"/>
          <w:sz w:val="19"/>
          <w:szCs w:val="19"/>
          <w:color w:val="auto"/>
        </w:rPr>
        <w:t xml:space="preserve">If after giving effect to any reduction or termination of Revolving B Commitments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the Foreign Swing Line Loan Sublimit exceed the Aggregate Revolving B Commitments at such time, the Foreign Swing Line Loan Sublimit shall be automatically reduced by the amount of such excess.</w:t>
      </w:r>
    </w:p>
    <w:p>
      <w:pPr>
        <w:spacing w:after="0" w:line="169" w:lineRule="exact"/>
        <w:rPr>
          <w:rFonts w:ascii="Arial" w:cs="Arial" w:eastAsia="Arial" w:hAnsi="Arial"/>
          <w:sz w:val="19"/>
          <w:szCs w:val="19"/>
          <w:color w:val="auto"/>
        </w:rPr>
      </w:pPr>
    </w:p>
    <w:p>
      <w:pPr>
        <w:ind w:left="640" w:firstLine="653"/>
        <w:spacing w:after="0" w:line="289" w:lineRule="auto"/>
        <w:tabs>
          <w:tab w:leader="none" w:pos="1723" w:val="left"/>
        </w:tabs>
        <w:numPr>
          <w:ilvl w:val="1"/>
          <w:numId w:val="123"/>
        </w:numPr>
        <w:rPr>
          <w:rFonts w:ascii="Arial" w:cs="Arial" w:eastAsia="Arial" w:hAnsi="Arial"/>
          <w:sz w:val="20"/>
          <w:szCs w:val="20"/>
          <w:color w:val="auto"/>
        </w:rPr>
      </w:pPr>
      <w:r>
        <w:rPr>
          <w:rFonts w:ascii="Arial" w:cs="Arial" w:eastAsia="Arial" w:hAnsi="Arial"/>
          <w:sz w:val="20"/>
          <w:szCs w:val="20"/>
          <w:color w:val="auto"/>
        </w:rPr>
        <w:t>The aggregate Term A Loan Commitments shall be automatically and permanently reduced to zero on the date of the borrowing of the Term A Loan.</w:t>
      </w:r>
    </w:p>
    <w:p>
      <w:pPr>
        <w:spacing w:after="0" w:line="175" w:lineRule="exact"/>
        <w:rPr>
          <w:rFonts w:ascii="Arial" w:cs="Arial" w:eastAsia="Arial" w:hAnsi="Arial"/>
          <w:sz w:val="20"/>
          <w:szCs w:val="20"/>
          <w:color w:val="auto"/>
        </w:rPr>
      </w:pPr>
    </w:p>
    <w:p>
      <w:pPr>
        <w:ind w:left="640" w:right="20" w:firstLine="653"/>
        <w:spacing w:after="0" w:line="253" w:lineRule="exact"/>
        <w:tabs>
          <w:tab w:leader="none" w:pos="1859" w:val="left"/>
        </w:tabs>
        <w:numPr>
          <w:ilvl w:val="1"/>
          <w:numId w:val="123"/>
        </w:numPr>
        <w:rPr>
          <w:rFonts w:ascii="Arial" w:cs="Arial" w:eastAsia="Arial" w:hAnsi="Arial"/>
          <w:sz w:val="20"/>
          <w:szCs w:val="20"/>
          <w:color w:val="auto"/>
        </w:rPr>
      </w:pPr>
      <w:r>
        <w:rPr>
          <w:rFonts w:ascii="Arial" w:cs="Arial" w:eastAsia="Arial" w:hAnsi="Arial"/>
          <w:sz w:val="20"/>
          <w:szCs w:val="20"/>
          <w:color w:val="auto"/>
        </w:rPr>
        <w:t>The aggregate Term B</w:t>
      </w:r>
      <w:r>
        <w:rPr>
          <w:rFonts w:ascii="MS PGothic" w:cs="MS PGothic" w:eastAsia="MS PGothic" w:hAnsi="MS PGothic"/>
          <w:sz w:val="20"/>
          <w:szCs w:val="20"/>
          <w:color w:val="auto"/>
        </w:rPr>
        <w:t>‑</w:t>
      </w:r>
      <w:r>
        <w:rPr>
          <w:rFonts w:ascii="Arial" w:cs="Arial" w:eastAsia="Arial" w:hAnsi="Arial"/>
          <w:sz w:val="20"/>
          <w:szCs w:val="20"/>
          <w:color w:val="auto"/>
        </w:rPr>
        <w:t>3 Loan Commitments shall be automatically and permanently reduced to zero on the Third Amendment Effective Date upon the borrowing of the Term B</w:t>
      </w:r>
      <w:r>
        <w:rPr>
          <w:rFonts w:ascii="MS PGothic" w:cs="MS PGothic" w:eastAsia="MS PGothic" w:hAnsi="MS PGothic"/>
          <w:sz w:val="20"/>
          <w:szCs w:val="20"/>
          <w:color w:val="auto"/>
        </w:rPr>
        <w:t>‑</w:t>
      </w:r>
      <w:r>
        <w:rPr>
          <w:rFonts w:ascii="Arial" w:cs="Arial" w:eastAsia="Arial" w:hAnsi="Arial"/>
          <w:sz w:val="20"/>
          <w:szCs w:val="20"/>
          <w:color w:val="auto"/>
        </w:rPr>
        <w:t>3 Loan.</w:t>
      </w:r>
    </w:p>
    <w:p>
      <w:pPr>
        <w:spacing w:after="0" w:line="223" w:lineRule="exact"/>
        <w:rPr>
          <w:rFonts w:ascii="Arial" w:cs="Arial" w:eastAsia="Arial" w:hAnsi="Arial"/>
          <w:sz w:val="20"/>
          <w:szCs w:val="20"/>
          <w:color w:val="auto"/>
        </w:rPr>
      </w:pPr>
    </w:p>
    <w:p>
      <w:pPr>
        <w:jc w:val="both"/>
        <w:ind w:firstLine="645"/>
        <w:spacing w:after="0" w:line="302" w:lineRule="auto"/>
        <w:tabs>
          <w:tab w:leader="none" w:pos="114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Administrative Agent will promptly notify the applicable Lenders of any termination or reduction of the Letter of Credit Sublimit, the Domestic Swing Line Loan Sublimit, the Foreign Swing Line Loan Sublimit, the Aggregate Revolving A Commitments, the Aggregate Revolving B Commitments or the Aggregate Revolving C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Aggregate Revolving A Commitments, the Revolving A Commitment of each Lender shall be reduced by such Lender’s Applicable Percentage of such reduction amount. Upon any reduction of the Aggregate Revolving B Commitments, the Revolving B Commitment of each Lender shall be reduced by such Lender’s Applicable Percentage of such reduction amount. Upon any reduction of the Aggregate Revolving C Commitments, the Revolving C Commitment of each Lender shall be reduced by such Lender’s Applicable Percentage of such reduction amount. All fees in respect of the Aggregate Revolving A Commitments, the Aggregate Revolving B Commitments and the Aggregate Revolving C Commitments accrued until the effective date of any termination of the Aggregate Revolving A Commitments, the Aggregate Revolving B Commitments or the Aggregate Revolving C Commitments, as the case may be, shall be paid on the effective date of such termination.</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43" w:lineRule="exact"/>
        <w:rPr>
          <w:sz w:val="20"/>
          <w:szCs w:val="20"/>
          <w:color w:val="auto"/>
        </w:rPr>
      </w:pPr>
    </w:p>
    <w:p>
      <w:pPr>
        <w:ind w:firstLine="645"/>
        <w:spacing w:after="0" w:line="289" w:lineRule="auto"/>
        <w:tabs>
          <w:tab w:leader="none" w:pos="1089"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Each Borrower shall repay to the Lenders on the Maturity Date the aggregate principal amount of all Revolving Loans outstanding on such date.</w:t>
      </w:r>
    </w:p>
    <w:p>
      <w:pPr>
        <w:spacing w:after="0" w:line="200" w:lineRule="exact"/>
        <w:rPr>
          <w:sz w:val="20"/>
          <w:szCs w:val="20"/>
          <w:color w:val="auto"/>
        </w:rPr>
      </w:pPr>
    </w:p>
    <w:p>
      <w:pPr>
        <w:spacing w:after="0" w:line="21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0760"/>
          </w:cols>
          <w:pgMar w:left="900" w:top="771" w:right="239" w:bottom="1440" w:gutter="0" w:footer="0" w:header="0"/>
        </w:sectPr>
      </w:pPr>
    </w:p>
    <w:bookmarkStart w:id="199" w:name="page200"/>
    <w:bookmarkEnd w:id="199"/>
    <w:p>
      <w:pPr>
        <w:jc w:val="both"/>
        <w:ind w:left="-540" w:firstLine="645"/>
        <w:spacing w:after="0" w:line="273" w:lineRule="auto"/>
        <w:tabs>
          <w:tab w:leader="none" w:pos="532"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The Company or the Additional Borrower, as applicable, shall repay each Domestic Swing Line Loan made to the Company or the Additional Borrower on the earlier to occur of (i) the date within one (1) Business Day of demand therefor by the Swing Line Lender and (ii) the Maturity Date. The applicable Designated Borrower shall repay each Foreign Swing Line Loan made to such Designated Borrower on the earlier to occur of (i) the date that is ten (10) Business Days after such Loan is made and (ii) the Maturity Date.</w:t>
      </w:r>
    </w:p>
    <w:p>
      <w:pPr>
        <w:spacing w:after="0" w:line="191" w:lineRule="exact"/>
        <w:rPr>
          <w:rFonts w:ascii="Arial" w:cs="Arial" w:eastAsia="Arial" w:hAnsi="Arial"/>
          <w:sz w:val="20"/>
          <w:szCs w:val="20"/>
          <w:color w:val="auto"/>
        </w:rPr>
      </w:pPr>
    </w:p>
    <w:p>
      <w:pPr>
        <w:jc w:val="both"/>
        <w:ind w:left="-540" w:firstLine="645"/>
        <w:spacing w:after="0" w:line="274" w:lineRule="auto"/>
        <w:tabs>
          <w:tab w:leader="none" w:pos="508"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Term A Loan</w:t>
      </w:r>
      <w:r>
        <w:rPr>
          <w:rFonts w:ascii="Arial" w:cs="Arial" w:eastAsia="Arial" w:hAnsi="Arial"/>
          <w:sz w:val="20"/>
          <w:szCs w:val="20"/>
          <w:color w:val="auto"/>
        </w:rPr>
        <w:t xml:space="preserve">. The Company shall repay the outstanding principal amount of the Term A Loan in consecutive installments on the last Business Day of each March, June, September and December and on the Maturity Date, in each case, in the respective amounts set forth below (as such amounts may hereafter be adjusted as a result of prepayments made pursuant to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unless accelerated sooner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w:t>
      </w:r>
    </w:p>
    <w:p>
      <w:pPr>
        <w:spacing w:after="0" w:line="311" w:lineRule="exact"/>
        <w:rPr>
          <w:sz w:val="20"/>
          <w:szCs w:val="20"/>
          <w:color w:val="auto"/>
        </w:rPr>
      </w:pPr>
    </w:p>
    <w:tbl>
      <w:tblPr>
        <w:tblLayout w:type="fixed"/>
        <w:tblInd w:w="810" w:type="dxa"/>
        <w:tblCellMar>
          <w:top w:w="0" w:type="dxa"/>
          <w:left w:w="0" w:type="dxa"/>
          <w:bottom w:w="0" w:type="dxa"/>
          <w:right w:w="0" w:type="dxa"/>
        </w:tblCellMar>
      </w:tblPr>
      <w:tr>
        <w:trPr>
          <w:trHeight w:val="40"/>
        </w:trPr>
        <w:tc>
          <w:tcPr>
            <w:tcW w:w="2560" w:type="dxa"/>
            <w:vAlign w:val="bottom"/>
            <w:tcBorders>
              <w:top w:val="single" w:sz="8" w:color="auto"/>
              <w:left w:val="single" w:sz="8" w:color="auto"/>
              <w:bottom w:val="single" w:sz="8" w:color="auto"/>
            </w:tcBorders>
          </w:tcPr>
          <w:p>
            <w:pPr>
              <w:spacing w:after="0"/>
              <w:rPr>
                <w:sz w:val="3"/>
                <w:szCs w:val="3"/>
                <w:color w:val="auto"/>
              </w:rPr>
            </w:pPr>
          </w:p>
        </w:tc>
        <w:tc>
          <w:tcPr>
            <w:tcW w:w="2520" w:type="dxa"/>
            <w:vAlign w:val="bottom"/>
            <w:tcBorders>
              <w:top w:val="single" w:sz="8" w:color="auto"/>
              <w:bottom w:val="single" w:sz="8" w:color="auto"/>
              <w:right w:val="single" w:sz="8" w:color="auto"/>
            </w:tcBorders>
          </w:tcPr>
          <w:p>
            <w:pPr>
              <w:spacing w:after="0"/>
              <w:rPr>
                <w:sz w:val="3"/>
                <w:szCs w:val="3"/>
                <w:color w:val="auto"/>
              </w:rPr>
            </w:pPr>
          </w:p>
        </w:tc>
      </w:tr>
      <w:tr>
        <w:trPr>
          <w:trHeight w:val="214"/>
        </w:trPr>
        <w:tc>
          <w:tcPr>
            <w:tcW w:w="256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2"/>
              </w:rPr>
              <w:t>Principal Amortization</w:t>
            </w:r>
          </w:p>
        </w:tc>
      </w:tr>
      <w:tr>
        <w:trPr>
          <w:trHeight w:val="25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Payment Dates</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Payment</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61"/>
        </w:trPr>
        <w:tc>
          <w:tcPr>
            <w:tcW w:w="2560" w:type="dxa"/>
            <w:vAlign w:val="bottom"/>
            <w:tcBorders>
              <w:left w:val="single" w:sz="8" w:color="auto"/>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2017</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2018</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2018</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2018</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2018</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2019</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2019</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2019</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2019</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2020</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2021</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2021</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2021</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December 31, 2021</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2022</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54"/>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2022</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$33,625,000.00</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33"/>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Maturity Date</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Outstanding Principal Balance</w:t>
            </w:r>
          </w:p>
        </w:tc>
      </w:tr>
      <w:tr>
        <w:trPr>
          <w:trHeight w:val="250"/>
        </w:trPr>
        <w:tc>
          <w:tcPr>
            <w:tcW w:w="2560" w:type="dxa"/>
            <w:vAlign w:val="bottom"/>
            <w:tcBorders>
              <w:left w:val="single" w:sz="8" w:color="auto"/>
              <w:right w:val="single" w:sz="8" w:color="auto"/>
            </w:tcBorders>
          </w:tcPr>
          <w:p>
            <w:pPr>
              <w:spacing w:after="0"/>
              <w:rPr>
                <w:sz w:val="21"/>
                <w:szCs w:val="21"/>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of Term A Loan</w:t>
            </w:r>
          </w:p>
        </w:tc>
      </w:tr>
      <w:tr>
        <w:trPr>
          <w:trHeight w:val="2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20"/>
        </w:trPr>
        <w:tc>
          <w:tcPr>
            <w:tcW w:w="2560" w:type="dxa"/>
            <w:vAlign w:val="bottom"/>
            <w:tcBorders>
              <w:left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left="-540" w:firstLine="645"/>
        <w:spacing w:after="0" w:line="255" w:lineRule="exact"/>
        <w:tabs>
          <w:tab w:leader="none" w:pos="654"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Term 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3 Loan</w:t>
      </w:r>
      <w:r>
        <w:rPr>
          <w:rFonts w:ascii="Arial" w:cs="Arial" w:eastAsia="Arial" w:hAnsi="Arial"/>
          <w:sz w:val="20"/>
          <w:szCs w:val="20"/>
          <w:color w:val="auto"/>
        </w:rPr>
        <w:t>. The Company shall repay the outstanding principal amount of the Term B</w:t>
      </w:r>
      <w:r>
        <w:rPr>
          <w:rFonts w:ascii="MS PGothic" w:cs="MS PGothic" w:eastAsia="MS PGothic" w:hAnsi="MS PGothic"/>
          <w:sz w:val="20"/>
          <w:szCs w:val="20"/>
          <w:color w:val="auto"/>
        </w:rPr>
        <w:t>‑</w:t>
      </w:r>
      <w:r>
        <w:rPr>
          <w:rFonts w:ascii="Arial" w:cs="Arial" w:eastAsia="Arial" w:hAnsi="Arial"/>
          <w:sz w:val="20"/>
          <w:szCs w:val="20"/>
          <w:color w:val="auto"/>
        </w:rPr>
        <w:t>3 Loan in consecutive installments on the last Business Day of each March, June, September and December, beginning on December 31, 2017, each such installment to be in an amount equal to 0.25% of the aggregate principal amount of the Term B</w:t>
      </w:r>
      <w:r>
        <w:rPr>
          <w:rFonts w:ascii="MS PGothic" w:cs="MS PGothic" w:eastAsia="MS PGothic" w:hAnsi="MS PGothic"/>
          <w:sz w:val="20"/>
          <w:szCs w:val="20"/>
          <w:color w:val="auto"/>
        </w:rPr>
        <w:t>‑</w:t>
      </w:r>
      <w:r>
        <w:rPr>
          <w:rFonts w:ascii="Arial" w:cs="Arial" w:eastAsia="Arial" w:hAnsi="Arial"/>
          <w:sz w:val="20"/>
          <w:szCs w:val="20"/>
          <w:color w:val="auto"/>
        </w:rPr>
        <w:t xml:space="preserve">3 Loan advanced on the Third Amendment Effective Date (as such installments may hereafter be adjusted as a result of prepayments made pursuant to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unless accelerated sooner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0220"/>
          </w:cols>
          <w:pgMar w:left="1440" w:top="771" w:right="239" w:bottom="1440" w:gutter="0" w:footer="0" w:header="0"/>
        </w:sectPr>
      </w:pPr>
    </w:p>
    <w:bookmarkStart w:id="200" w:name="page201"/>
    <w:bookmarkEnd w:id="200"/>
    <w:p>
      <w:pPr>
        <w:spacing w:after="0" w:line="230" w:lineRule="exact"/>
        <w:rPr>
          <w:sz w:val="20"/>
          <w:szCs w:val="20"/>
          <w:color w:val="auto"/>
        </w:rPr>
      </w:pPr>
      <w:r>
        <w:rPr>
          <w:rFonts w:ascii="Arial" w:cs="Arial" w:eastAsia="Arial" w:hAnsi="Arial"/>
          <w:sz w:val="20"/>
          <w:szCs w:val="20"/>
          <w:color w:val="auto"/>
        </w:rPr>
        <w:t>with the entire outstanding principal balance of the Term B</w:t>
      </w:r>
      <w:r>
        <w:rPr>
          <w:rFonts w:ascii="MS PGothic" w:cs="MS PGothic" w:eastAsia="MS PGothic" w:hAnsi="MS PGothic"/>
          <w:sz w:val="20"/>
          <w:szCs w:val="20"/>
          <w:color w:val="auto"/>
        </w:rPr>
        <w:t>‑</w:t>
      </w:r>
      <w:r>
        <w:rPr>
          <w:rFonts w:ascii="Arial" w:cs="Arial" w:eastAsia="Arial" w:hAnsi="Arial"/>
          <w:sz w:val="20"/>
          <w:szCs w:val="20"/>
          <w:color w:val="auto"/>
        </w:rPr>
        <w:t>3 Loan due and payable in full on the Maturity Date.</w:t>
      </w:r>
    </w:p>
    <w:p>
      <w:pPr>
        <w:spacing w:after="0" w:line="243" w:lineRule="exact"/>
        <w:rPr>
          <w:sz w:val="20"/>
          <w:szCs w:val="20"/>
          <w:color w:val="auto"/>
        </w:rPr>
      </w:pPr>
    </w:p>
    <w:p>
      <w:pPr>
        <w:jc w:val="both"/>
        <w:ind w:firstLine="645"/>
        <w:spacing w:after="0" w:line="274" w:lineRule="auto"/>
        <w:tabs>
          <w:tab w:leader="none" w:pos="1089"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The Company shall repay the outstanding principal amount of each Incremental Term Loan in the installments on the dates and in the amounts set forth in the applicable Incremental Term Loan Lender Joinder Agreement (as such installments may hereafter be adjusted as a result of prepayments made pursuant to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unless accelerated sooner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w:t>
      </w:r>
    </w:p>
    <w:p>
      <w:pPr>
        <w:spacing w:after="0" w:line="192"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43" w:lineRule="exact"/>
        <w:rPr>
          <w:sz w:val="20"/>
          <w:szCs w:val="20"/>
          <w:color w:val="auto"/>
        </w:rPr>
      </w:pPr>
    </w:p>
    <w:p>
      <w:pPr>
        <w:jc w:val="both"/>
        <w:ind w:firstLine="645"/>
        <w:spacing w:after="0" w:line="285" w:lineRule="auto"/>
        <w:tabs>
          <w:tab w:leader="none" w:pos="107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Subject to the provisions of subsection (b) below, (i) each Eurocurrency Rate Loan shall bear interest on the outstanding principal amount thereof for each Interest Period at a rate per annum equal to the sum of the Eurocurrency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 the case of a Eurocurrency Rate Loan of any Lender which is lent from a Lending Office in the United Kingdom or a Participating Member State) the Mandatory Cost, (ii) each Base Rate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(iii) each Domestic Swing Line Loan shall bear interest on the outstanding principal amount thereof from the applicable borrowing date at a rate per annum equal to the Daily Floating Eurocurrency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and (iv) each Foreign Swing Line Loan shall bear interest at the Overnight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To the extent that any calculation of interest or any fee required to be paid under this Agreement shall be based on (or result in) a calculation that is less than zero, such calculation shall be deemed zero for purposes of this Agreement.</w:t>
      </w:r>
    </w:p>
    <w:p>
      <w:pPr>
        <w:spacing w:after="0" w:line="187" w:lineRule="exact"/>
        <w:rPr>
          <w:rFonts w:ascii="Arial" w:cs="Arial" w:eastAsia="Arial" w:hAnsi="Arial"/>
          <w:sz w:val="19"/>
          <w:szCs w:val="19"/>
          <w:color w:val="auto"/>
        </w:rPr>
      </w:pPr>
    </w:p>
    <w:p>
      <w:pPr>
        <w:jc w:val="both"/>
        <w:ind w:left="640" w:firstLine="5"/>
        <w:spacing w:after="0" w:line="293" w:lineRule="auto"/>
        <w:tabs>
          <w:tab w:leader="none" w:pos="114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 If any amount of principal of any Loan is not paid when due (without regard to any applicable grace periods), whether at stated maturity, by acceleration or otherwise, all outstanding Obligations hereunder shall bear interest at a fluctuating interest rate per annum at all times equal to the Default Rate to the fullest extent permitted by applicable Laws from the date such amount becomes past due to but excluding the date on which such amount is paid.</w:t>
      </w:r>
    </w:p>
    <w:p>
      <w:pPr>
        <w:spacing w:after="0" w:line="175" w:lineRule="exact"/>
        <w:rPr>
          <w:rFonts w:ascii="Arial" w:cs="Arial" w:eastAsia="Arial" w:hAnsi="Arial"/>
          <w:sz w:val="19"/>
          <w:szCs w:val="19"/>
          <w:color w:val="auto"/>
        </w:rPr>
      </w:pPr>
    </w:p>
    <w:p>
      <w:pPr>
        <w:jc w:val="both"/>
        <w:ind w:left="640" w:firstLine="653"/>
        <w:spacing w:after="0" w:line="293" w:lineRule="auto"/>
        <w:tabs>
          <w:tab w:leader="none" w:pos="1668"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If any amount (other than principal of any Loan) is not paid when due (after giving effect to any applicable grace periods), whether at stated maturity, by acceleration or otherwise, then such amount shall bear interest at a fluctuating interest rate per annum at all times equal to the Default Rate to the fullest extent permitted by applicable Laws from the date such amount becomes past due to but excluding the date on which such amount is paid.</w:t>
      </w:r>
    </w:p>
    <w:p>
      <w:pPr>
        <w:spacing w:after="0" w:line="175" w:lineRule="exact"/>
        <w:rPr>
          <w:rFonts w:ascii="Arial" w:cs="Arial" w:eastAsia="Arial" w:hAnsi="Arial"/>
          <w:sz w:val="19"/>
          <w:szCs w:val="19"/>
          <w:color w:val="auto"/>
        </w:rPr>
      </w:pPr>
    </w:p>
    <w:p>
      <w:pPr>
        <w:jc w:val="both"/>
        <w:ind w:left="640" w:firstLine="653"/>
        <w:spacing w:after="0" w:line="314" w:lineRule="auto"/>
        <w:tabs>
          <w:tab w:leader="none" w:pos="171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Upon the request of the Required Pro Rata Facilities Lenders, while any Event of Default arising from a breach of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exists, the Borrowers shall pay interest on the principal amount of all outstanding Obligations in respect of the Aggregate Revolving Commitments, the Term A Loan and all Incremental Term A Loans hereunder at a fluctuating interest rate per annum at all times equal to the Default Rate to the fullest extent permitted by applicable Laws.</w:t>
      </w:r>
    </w:p>
    <w:p>
      <w:pPr>
        <w:spacing w:after="0" w:line="200" w:lineRule="exact"/>
        <w:rPr>
          <w:sz w:val="20"/>
          <w:szCs w:val="20"/>
          <w:color w:val="auto"/>
        </w:rPr>
      </w:pP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0760"/>
          </w:cols>
          <w:pgMar w:left="900" w:top="771" w:right="239" w:bottom="1440" w:gutter="0" w:footer="0" w:header="0"/>
        </w:sectPr>
      </w:pPr>
    </w:p>
    <w:bookmarkStart w:id="201" w:name="page202"/>
    <w:bookmarkEnd w:id="201"/>
    <w:p>
      <w:pPr>
        <w:jc w:val="both"/>
        <w:ind w:left="640" w:firstLine="653"/>
        <w:spacing w:after="0" w:line="274" w:lineRule="auto"/>
        <w:tabs>
          <w:tab w:leader="none" w:pos="1819" w:val="left"/>
        </w:tabs>
        <w:numPr>
          <w:ilvl w:val="1"/>
          <w:numId w:val="129"/>
        </w:numPr>
        <w:rPr>
          <w:rFonts w:ascii="Arial" w:cs="Arial" w:eastAsia="Arial" w:hAnsi="Arial"/>
          <w:sz w:val="20"/>
          <w:szCs w:val="20"/>
          <w:color w:val="auto"/>
        </w:rPr>
      </w:pPr>
      <w:r>
        <w:rPr>
          <w:rFonts w:ascii="Arial" w:cs="Arial" w:eastAsia="Arial" w:hAnsi="Arial"/>
          <w:sz w:val="20"/>
          <w:szCs w:val="20"/>
          <w:color w:val="auto"/>
        </w:rPr>
        <w:t xml:space="preserve">Upon the request of the Required Lenders, while any Event of Default (other than an Event of Default arising from a breach of </w:t>
      </w:r>
      <w:r>
        <w:rPr>
          <w:rFonts w:ascii="Arial" w:cs="Arial" w:eastAsia="Arial" w:hAnsi="Arial"/>
          <w:sz w:val="20"/>
          <w:szCs w:val="20"/>
          <w:u w:val="single" w:color="auto"/>
          <w:color w:val="auto"/>
        </w:rPr>
        <w:t>Section 8.11</w:t>
      </w:r>
      <w:r>
        <w:rPr>
          <w:rFonts w:ascii="Arial" w:cs="Arial" w:eastAsia="Arial" w:hAnsi="Arial"/>
          <w:sz w:val="20"/>
          <w:szCs w:val="20"/>
          <w:color w:val="auto"/>
        </w:rPr>
        <w:t>) exists, the Borrowers shall pay interest on the principal amount of all outstanding Obligations hereunder at a fluctuating interest rate per annum at all times equal to the Default Rate to the fullest extent permitted by applicable Laws.</w:t>
      </w:r>
    </w:p>
    <w:p>
      <w:pPr>
        <w:spacing w:after="0" w:line="192" w:lineRule="exact"/>
        <w:rPr>
          <w:rFonts w:ascii="Arial" w:cs="Arial" w:eastAsia="Arial" w:hAnsi="Arial"/>
          <w:sz w:val="20"/>
          <w:szCs w:val="20"/>
          <w:color w:val="auto"/>
        </w:rPr>
      </w:pPr>
    </w:p>
    <w:p>
      <w:pPr>
        <w:ind w:left="640" w:firstLine="653"/>
        <w:spacing w:after="0" w:line="289" w:lineRule="auto"/>
        <w:tabs>
          <w:tab w:leader="none" w:pos="1862" w:val="left"/>
        </w:tabs>
        <w:numPr>
          <w:ilvl w:val="1"/>
          <w:numId w:val="129"/>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5" w:lineRule="exact"/>
        <w:rPr>
          <w:rFonts w:ascii="Arial" w:cs="Arial" w:eastAsia="Arial" w:hAnsi="Arial"/>
          <w:sz w:val="20"/>
          <w:szCs w:val="20"/>
          <w:color w:val="auto"/>
        </w:rPr>
      </w:pPr>
    </w:p>
    <w:p>
      <w:pPr>
        <w:jc w:val="both"/>
        <w:ind w:firstLine="645"/>
        <w:spacing w:after="0" w:line="299" w:lineRule="auto"/>
        <w:tabs>
          <w:tab w:leader="none" w:pos="110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 addition to certain fees described in subsections (h) and (i) of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29" w:lineRule="exact"/>
        <w:rPr>
          <w:sz w:val="20"/>
          <w:szCs w:val="20"/>
          <w:color w:val="auto"/>
        </w:rPr>
      </w:pPr>
    </w:p>
    <w:p>
      <w:pPr>
        <w:jc w:val="both"/>
        <w:ind w:firstLine="645"/>
        <w:spacing w:after="0" w:line="300" w:lineRule="auto"/>
        <w:tabs>
          <w:tab w:leader="none" w:pos="104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The Company shall pay to the Administrative Agent, for the account of each Lender in accordance with its Applicable Percentage, a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at a rate per annum equal to (i) with respect to the Aggregate Revolving A Commitments, the product of (A)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actual daily amount by which the Aggregate Revolving A Commitments exceed the sum of (y) the Outstanding Amount of Revolving A Loans and (z) the Outstanding Amount of L/C Obligations,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(ii) with respect to the Aggregate Revolving B Commitments, the product of (A)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actual daily amount by which the Aggregate Revolving B Commitments exceed the Outstanding Amount of Revolving B Loans,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(iii) with respect to the Aggregate Revolving C Commitments, the product of (A)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actual daily amount by which the Aggregate Revolving C Commitments exceed the Outstanding Amount of Revolving C Loans,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The Commitment Fee shall accrue at all times during the applicable Availability Period, including at any time during which one or more of the conditions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to occur after the Third Amendment Effective Date, and on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no Commitment Fee shall accrue on the Revolving Commitments of a Defaulting Lender so long as such Lender shall be a Defaulting Lender and (B) any Commitment Fee accrued with respect to the Revolving Commitments of a Defaulting Lender during the period prior to the time such Lender became a Defaulting Lender and unpaid at such time shall not be payable by the Company so long as such Lender shall be a Defaulting Lender.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(x) Domestic Swing Line Loans shall not be considered outstanding for purposes of determining the unused portion of the Aggregate Revolving A Commitments, and (y) Foreign Swing Line Loans shall not be considered</w:t>
      </w:r>
    </w:p>
    <w:p>
      <w:pPr>
        <w:spacing w:after="0" w:line="200" w:lineRule="exact"/>
        <w:rPr>
          <w:sz w:val="20"/>
          <w:szCs w:val="20"/>
          <w:color w:val="auto"/>
        </w:rPr>
      </w:pPr>
    </w:p>
    <w:p>
      <w:pPr>
        <w:spacing w:after="0" w:line="217"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0760"/>
          </w:cols>
          <w:pgMar w:left="900" w:top="771" w:right="2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outstanding for purposes of determining the unused portion of the Aggregate Revolving B Commitments.</w:t>
      </w:r>
    </w:p>
    <w:p>
      <w:pPr>
        <w:spacing w:after="0" w:line="243" w:lineRule="exact"/>
        <w:rPr>
          <w:sz w:val="20"/>
          <w:szCs w:val="20"/>
          <w:color w:val="auto"/>
        </w:rPr>
      </w:pPr>
    </w:p>
    <w:p>
      <w:pPr>
        <w:jc w:val="both"/>
        <w:ind w:firstLine="645"/>
        <w:spacing w:after="0" w:line="254" w:lineRule="exact"/>
        <w:tabs>
          <w:tab w:leader="none" w:pos="1127"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Fee Letter</w:t>
      </w:r>
      <w:r>
        <w:rPr>
          <w:rFonts w:ascii="Arial" w:cs="Arial" w:eastAsia="Arial" w:hAnsi="Arial"/>
          <w:sz w:val="20"/>
          <w:szCs w:val="20"/>
          <w:color w:val="auto"/>
        </w:rPr>
        <w:t>. The Company shall pay to MLPFS, the Administrative Agent and the L/C Issuer, for their own respective accounts, in Dollars, fees in the amounts and at the times specified in the Fee Letter. Such fees shall be fully earned when paid and shall be non</w:t>
      </w:r>
      <w:r>
        <w:rPr>
          <w:rFonts w:ascii="MS PGothic" w:cs="MS PGothic" w:eastAsia="MS PGothic" w:hAnsi="MS PGothic"/>
          <w:sz w:val="20"/>
          <w:szCs w:val="20"/>
          <w:color w:val="auto"/>
        </w:rPr>
        <w:t>‑</w:t>
      </w:r>
      <w:r>
        <w:rPr>
          <w:rFonts w:ascii="Arial" w:cs="Arial" w:eastAsia="Arial" w:hAnsi="Arial"/>
          <w:sz w:val="20"/>
          <w:szCs w:val="20"/>
          <w:color w:val="auto"/>
        </w:rPr>
        <w:t>refundable for any reason whatsoever.</w:t>
      </w:r>
    </w:p>
    <w:p>
      <w:pPr>
        <w:spacing w:after="0" w:line="22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243" w:lineRule="exact"/>
        <w:rPr>
          <w:sz w:val="20"/>
          <w:szCs w:val="20"/>
          <w:color w:val="auto"/>
        </w:rPr>
      </w:pPr>
    </w:p>
    <w:p>
      <w:pPr>
        <w:jc w:val="both"/>
        <w:ind w:firstLine="645"/>
        <w:spacing w:after="0" w:line="256" w:lineRule="exact"/>
        <w:tabs>
          <w:tab w:leader="none" w:pos="104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All computations of interest for Base Rate Loans (including Base Rate Loans determined by reference to the Eurocurrency Rate) and for Eurocurrency Rate Loans denominated in Sterling shall be made on the basis of a year of 365 or 366 days, as the case may be, and actual days elapsed. All other computations of fees and interest shall be made on the basis of a 360</w:t>
      </w:r>
      <w:r>
        <w:rPr>
          <w:rFonts w:ascii="MS PGothic" w:cs="MS PGothic" w:eastAsia="MS PGothic" w:hAnsi="MS PGothic"/>
          <w:sz w:val="19"/>
          <w:szCs w:val="19"/>
          <w:color w:val="auto"/>
        </w:rPr>
        <w:t>‑</w:t>
      </w:r>
      <w:r>
        <w:rPr>
          <w:rFonts w:ascii="Arial" w:cs="Arial" w:eastAsia="Arial" w:hAnsi="Arial"/>
          <w:sz w:val="19"/>
          <w:szCs w:val="19"/>
          <w:color w:val="auto"/>
        </w:rPr>
        <w:t>day year and actual days elapsed (which results in more fees or interest, as applicable, being paid than if computed on the basis of a 365</w:t>
      </w:r>
      <w:r>
        <w:rPr>
          <w:rFonts w:ascii="MS PGothic" w:cs="MS PGothic" w:eastAsia="MS PGothic" w:hAnsi="MS PGothic"/>
          <w:sz w:val="19"/>
          <w:szCs w:val="19"/>
          <w:color w:val="auto"/>
        </w:rPr>
        <w:t>‑</w:t>
      </w:r>
      <w:r>
        <w:rPr>
          <w:rFonts w:ascii="Arial" w:cs="Arial" w:eastAsia="Arial" w:hAnsi="Arial"/>
          <w:sz w:val="19"/>
          <w:szCs w:val="19"/>
          <w:color w:val="auto"/>
        </w:rPr>
        <w:t xml:space="preserve">day year), or, in the case of interest in respect of Loans denominated in Alternative Currencies, Australian Dollars or New Zealand Dollars,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subject to </w:t>
      </w:r>
      <w:r>
        <w:rPr>
          <w:rFonts w:ascii="Arial" w:cs="Arial" w:eastAsia="Arial" w:hAnsi="Arial"/>
          <w:sz w:val="19"/>
          <w:szCs w:val="19"/>
          <w:u w:val="single" w:color="auto"/>
          <w:color w:val="auto"/>
        </w:rPr>
        <w:t>Section 2.12(a)</w:t>
      </w:r>
      <w:r>
        <w:rPr>
          <w:rFonts w:ascii="Arial" w:cs="Arial" w:eastAsia="Arial" w:hAnsi="Arial"/>
          <w:sz w:val="19"/>
          <w:szCs w:val="19"/>
          <w:color w:val="auto"/>
        </w:rPr>
        <w:t>, bear interest for one day. Each determination by the Administrative Agent of an interest rate or fee hereunder shall be conclusive and binding for all purposes, absent manifest error.</w:t>
      </w:r>
    </w:p>
    <w:p>
      <w:pPr>
        <w:spacing w:after="0" w:line="223" w:lineRule="exact"/>
        <w:rPr>
          <w:rFonts w:ascii="Arial" w:cs="Arial" w:eastAsia="Arial" w:hAnsi="Arial"/>
          <w:sz w:val="19"/>
          <w:szCs w:val="19"/>
          <w:color w:val="auto"/>
        </w:rPr>
      </w:pPr>
    </w:p>
    <w:p>
      <w:pPr>
        <w:jc w:val="both"/>
        <w:ind w:firstLine="645"/>
        <w:spacing w:after="0" w:line="302" w:lineRule="auto"/>
        <w:tabs>
          <w:tab w:leader="none" w:pos="105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the Company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IX</w:t>
      </w:r>
      <w:r>
        <w:rPr>
          <w:rFonts w:ascii="Arial" w:cs="Arial" w:eastAsia="Arial" w:hAnsi="Arial"/>
          <w:sz w:val="18"/>
          <w:szCs w:val="18"/>
          <w:color w:val="auto"/>
        </w:rPr>
        <w:t>. The Company’s obligations under this paragraph shall survive the termination of the Commitments of all of the Lenders and the repayment of all other Obligations hereunder.</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u w:val="single" w:color="auto"/>
          <w:color w:val="auto"/>
        </w:rPr>
        <w:t>Evidence of Debt</w:t>
      </w:r>
      <w:r>
        <w:rPr>
          <w:rFonts w:ascii="Arial" w:cs="Arial" w:eastAsia="Arial" w:hAnsi="Arial"/>
          <w:sz w:val="16"/>
          <w:szCs w:val="16"/>
          <w:color w:val="auto"/>
        </w:rPr>
        <w:t>.</w:t>
      </w:r>
    </w:p>
    <w:p>
      <w:pPr>
        <w:spacing w:after="0" w:line="243" w:lineRule="exact"/>
        <w:rPr>
          <w:sz w:val="20"/>
          <w:szCs w:val="20"/>
          <w:color w:val="auto"/>
        </w:rPr>
      </w:pPr>
    </w:p>
    <w:p>
      <w:pPr>
        <w:jc w:val="both"/>
        <w:ind w:firstLine="645"/>
        <w:spacing w:after="0" w:line="322" w:lineRule="auto"/>
        <w:tabs>
          <w:tab w:leader="none" w:pos="108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w:t>
      </w:r>
    </w:p>
    <w:p>
      <w:pPr>
        <w:spacing w:after="0" w:line="39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0760"/>
          </w:cols>
          <w:pgMar w:left="900" w:top="771" w:right="239" w:bottom="1440" w:gutter="0" w:footer="0" w:header="0"/>
        </w:sectPr>
      </w:pPr>
    </w:p>
    <w:bookmarkStart w:id="203" w:name="page204"/>
    <w:bookmarkEnd w:id="203"/>
    <w:p>
      <w:pPr>
        <w:jc w:val="both"/>
        <w:spacing w:after="0" w:line="256" w:lineRule="exact"/>
        <w:rPr>
          <w:sz w:val="20"/>
          <w:szCs w:val="20"/>
          <w:color w:val="auto"/>
        </w:rPr>
      </w:pPr>
      <w:r>
        <w:rPr>
          <w:rFonts w:ascii="Arial" w:cs="Arial" w:eastAsia="Arial" w:hAnsi="Arial"/>
          <w:sz w:val="19"/>
          <w:szCs w:val="19"/>
          <w:color w:val="auto"/>
        </w:rPr>
        <w:t xml:space="preserve">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such Borrower shall execute and deliver to such Lender (through the Administrative Agent) a promissory note, which shall evidence such Lender’s Loans in addition to such accounts or records. Each such promissory note shall (i) in the case of Revolving Loans, be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 “</w:t>
      </w:r>
      <w:r>
        <w:rPr>
          <w:rFonts w:ascii="Arial" w:cs="Arial" w:eastAsia="Arial" w:hAnsi="Arial"/>
          <w:sz w:val="19"/>
          <w:szCs w:val="19"/>
          <w:u w:val="single" w:color="auto"/>
          <w:color w:val="auto"/>
        </w:rPr>
        <w:t>Revolving Note</w:t>
      </w:r>
      <w:r>
        <w:rPr>
          <w:rFonts w:ascii="Arial" w:cs="Arial" w:eastAsia="Arial" w:hAnsi="Arial"/>
          <w:sz w:val="19"/>
          <w:szCs w:val="19"/>
          <w:color w:val="auto"/>
        </w:rPr>
        <w:t xml:space="preserve">”), (ii) in the case of Swing Line Loans, be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 “</w:t>
      </w:r>
      <w:r>
        <w:rPr>
          <w:rFonts w:ascii="Arial" w:cs="Arial" w:eastAsia="Arial" w:hAnsi="Arial"/>
          <w:sz w:val="19"/>
          <w:szCs w:val="19"/>
          <w:u w:val="single" w:color="auto"/>
          <w:color w:val="auto"/>
        </w:rPr>
        <w:t>Swing Line Note</w:t>
      </w:r>
      <w:r>
        <w:rPr>
          <w:rFonts w:ascii="Arial" w:cs="Arial" w:eastAsia="Arial" w:hAnsi="Arial"/>
          <w:sz w:val="19"/>
          <w:szCs w:val="19"/>
          <w:color w:val="auto"/>
        </w:rPr>
        <w:t xml:space="preserve">”), (iii) in the case of the Term Loans, be in the form of </w:t>
      </w:r>
      <w:r>
        <w:rPr>
          <w:rFonts w:ascii="Arial" w:cs="Arial" w:eastAsia="Arial" w:hAnsi="Arial"/>
          <w:sz w:val="19"/>
          <w:szCs w:val="19"/>
          <w:u w:val="single" w:color="auto"/>
          <w:color w:val="auto"/>
        </w:rPr>
        <w:t>Exhibit 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(a “</w:t>
      </w:r>
      <w:r>
        <w:rPr>
          <w:rFonts w:ascii="Arial" w:cs="Arial" w:eastAsia="Arial" w:hAnsi="Arial"/>
          <w:sz w:val="19"/>
          <w:szCs w:val="19"/>
          <w:u w:val="single" w:color="auto"/>
          <w:color w:val="auto"/>
        </w:rPr>
        <w:t>Term Note</w:t>
      </w:r>
      <w:r>
        <w:rPr>
          <w:rFonts w:ascii="Arial" w:cs="Arial" w:eastAsia="Arial" w:hAnsi="Arial"/>
          <w:sz w:val="19"/>
          <w:szCs w:val="19"/>
          <w:color w:val="auto"/>
        </w:rPr>
        <w:t xml:space="preserve">”), and (iv) in the case of an Incremental Term Loan, be in the form of </w:t>
      </w:r>
      <w:r>
        <w:rPr>
          <w:rFonts w:ascii="Arial" w:cs="Arial" w:eastAsia="Arial" w:hAnsi="Arial"/>
          <w:sz w:val="19"/>
          <w:szCs w:val="19"/>
          <w:u w:val="single" w:color="auto"/>
          <w:color w:val="auto"/>
        </w:rPr>
        <w:t>Exhibit 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2</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Incremental Term Note</w:t>
      </w:r>
      <w:r>
        <w:rPr>
          <w:rFonts w:ascii="Arial" w:cs="Arial" w:eastAsia="Arial" w:hAnsi="Arial"/>
          <w:sz w:val="19"/>
          <w:szCs w:val="19"/>
          <w:color w:val="auto"/>
        </w:rPr>
        <w:t>”). Each Lender may attach schedules to its Note and endorse thereon the date, Type (if applicable), amount, currency and maturity of its Loans and payments with respect thereto.</w:t>
      </w:r>
    </w:p>
    <w:p>
      <w:pPr>
        <w:spacing w:after="0" w:line="225" w:lineRule="exact"/>
        <w:rPr>
          <w:sz w:val="20"/>
          <w:szCs w:val="20"/>
          <w:color w:val="auto"/>
        </w:rPr>
      </w:pPr>
    </w:p>
    <w:p>
      <w:pPr>
        <w:jc w:val="both"/>
        <w:ind w:firstLine="645"/>
        <w:spacing w:after="0" w:line="273" w:lineRule="auto"/>
        <w:tabs>
          <w:tab w:leader="none" w:pos="114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43" w:lineRule="exact"/>
        <w:rPr>
          <w:sz w:val="20"/>
          <w:szCs w:val="20"/>
          <w:color w:val="auto"/>
        </w:rPr>
      </w:pPr>
    </w:p>
    <w:p>
      <w:pPr>
        <w:jc w:val="both"/>
        <w:ind w:firstLine="645"/>
        <w:spacing w:after="0" w:line="300" w:lineRule="auto"/>
        <w:tabs>
          <w:tab w:leader="none" w:pos="1089"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Foreign Swing Line Loans and Loans denominated in an Alternative Currency, Australian Dollars or New Zealand Dollars,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Foreign Swing Line Loans and Loans denominated in an Alternative Currency, Australian Dollars or New Zealand Dollars shall be made to the Administrative Agent, for the account of the respective Lenders to which such payment is owed, at the applicable Administrative Agent’s Office in such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Australian Dollars or New Zealand Dollars, such Borrower shall make such payment in Dollars in the Dollar Equivalent of such currency’s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0760"/>
          </w:cols>
          <w:pgMar w:left="900" w:top="771" w:right="239" w:bottom="1440" w:gutter="0" w:footer="0" w:header="0"/>
        </w:sectPr>
      </w:pPr>
    </w:p>
    <w:bookmarkStart w:id="204" w:name="page205"/>
    <w:bookmarkEnd w:id="204"/>
    <w:p>
      <w:pPr>
        <w:jc w:val="both"/>
        <w:spacing w:after="0" w:line="274" w:lineRule="auto"/>
        <w:rPr>
          <w:sz w:val="20"/>
          <w:szCs w:val="20"/>
          <w:color w:val="auto"/>
        </w:rPr>
      </w:pPr>
      <w:r>
        <w:rPr>
          <w:rFonts w:ascii="Arial" w:cs="Arial" w:eastAsia="Arial" w:hAnsi="Arial"/>
          <w:sz w:val="20"/>
          <w:szCs w:val="20"/>
          <w:color w:val="auto"/>
        </w:rPr>
        <w:t>Australian Dollars or New Zealand Dollars, shall in each case be deemed received on the next succeeding Business Day and any applicable interest or fee shall continue to accrue. Subject to the definition of “Interest Period”,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92" w:lineRule="exact"/>
        <w:rPr>
          <w:sz w:val="20"/>
          <w:szCs w:val="20"/>
          <w:color w:val="auto"/>
        </w:rPr>
      </w:pPr>
    </w:p>
    <w:p>
      <w:pPr>
        <w:jc w:val="both"/>
        <w:ind w:left="640" w:firstLine="5"/>
        <w:spacing w:after="0" w:line="300" w:lineRule="auto"/>
        <w:tabs>
          <w:tab w:leader="none" w:pos="11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any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the applicable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75" w:lineRule="exact"/>
        <w:rPr>
          <w:rFonts w:ascii="Arial" w:cs="Arial" w:eastAsia="Arial" w:hAnsi="Arial"/>
          <w:sz w:val="18"/>
          <w:szCs w:val="18"/>
          <w:color w:val="auto"/>
        </w:rPr>
      </w:pPr>
    </w:p>
    <w:p>
      <w:pPr>
        <w:jc w:val="both"/>
        <w:ind w:left="640" w:firstLine="653"/>
        <w:spacing w:after="0" w:line="286" w:lineRule="auto"/>
        <w:tabs>
          <w:tab w:leader="none" w:pos="1763"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Payments by Borrowers; Presumptions by Administrative Agent</w:t>
      </w:r>
      <w:r>
        <w:rPr>
          <w:rFonts w:ascii="Arial" w:cs="Arial" w:eastAsia="Arial" w:hAnsi="Arial"/>
          <w:sz w:val="19"/>
          <w:szCs w:val="19"/>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0760"/>
          </w:cols>
          <w:pgMar w:left="900" w:top="771" w:right="239" w:bottom="1440" w:gutter="0" w:footer="0" w:header="0"/>
        </w:sectPr>
      </w:pPr>
    </w:p>
    <w:bookmarkStart w:id="205" w:name="page206"/>
    <w:bookmarkEnd w:id="205"/>
    <w:p>
      <w:pPr>
        <w:ind w:left="660" w:right="20" w:firstLine="648"/>
        <w:spacing w:after="0" w:line="260" w:lineRule="auto"/>
        <w:rPr>
          <w:sz w:val="20"/>
          <w:szCs w:val="20"/>
          <w:color w:val="auto"/>
        </w:rPr>
      </w:pPr>
      <w:r>
        <w:rPr>
          <w:rFonts w:ascii="Arial" w:cs="Arial" w:eastAsia="Arial" w:hAnsi="Arial"/>
          <w:sz w:val="20"/>
          <w:szCs w:val="20"/>
          <w:color w:val="auto"/>
        </w:rPr>
        <w:t>A notice of the Administrative Agent to any Lender or Borrower with respect to any amount owing under this subsection (b) shall be conclusive, absent manifest error.</w:t>
      </w:r>
    </w:p>
    <w:p>
      <w:pPr>
        <w:spacing w:after="0" w:line="190" w:lineRule="exact"/>
        <w:rPr>
          <w:sz w:val="20"/>
          <w:szCs w:val="20"/>
          <w:color w:val="auto"/>
        </w:rPr>
      </w:pPr>
    </w:p>
    <w:p>
      <w:pPr>
        <w:jc w:val="both"/>
        <w:ind w:left="660" w:firstLine="645"/>
        <w:spacing w:after="0" w:line="273" w:lineRule="auto"/>
        <w:tabs>
          <w:tab w:leader="none" w:pos="1722"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such Borrower by the Administrative Agent because the conditions to the applicable Credit Extension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1" w:lineRule="exact"/>
        <w:rPr>
          <w:rFonts w:ascii="Arial" w:cs="Arial" w:eastAsia="Arial" w:hAnsi="Arial"/>
          <w:sz w:val="20"/>
          <w:szCs w:val="20"/>
          <w:color w:val="auto"/>
        </w:rPr>
      </w:pPr>
    </w:p>
    <w:p>
      <w:pPr>
        <w:jc w:val="both"/>
        <w:ind w:left="660" w:firstLine="645"/>
        <w:spacing w:after="0" w:line="310" w:lineRule="auto"/>
        <w:tabs>
          <w:tab w:leader="none" w:pos="1719"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to fund participations in Letters of Credit and Swing 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jc w:val="both"/>
        <w:ind w:left="660" w:firstLine="645"/>
        <w:spacing w:after="0" w:line="278" w:lineRule="auto"/>
        <w:tabs>
          <w:tab w:leader="none" w:pos="1708"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(excluding any amounts applied by the Swing Line Lender to outstanding Swing Line Loans) resulting in such Lender’s receiving payment of a proportion of the aggregate amount of such Loans or participations and accrued interest thereon greater than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3" w:lineRule="exact"/>
        <w:rPr>
          <w:sz w:val="20"/>
          <w:szCs w:val="20"/>
          <w:color w:val="auto"/>
        </w:rPr>
      </w:pPr>
    </w:p>
    <w:p>
      <w:pPr>
        <w:jc w:val="both"/>
        <w:ind w:left="1300" w:firstLine="653"/>
        <w:spacing w:after="0" w:line="278" w:lineRule="auto"/>
        <w:tabs>
          <w:tab w:leader="none" w:pos="239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6" w:lineRule="exact"/>
        <w:rPr>
          <w:rFonts w:ascii="Arial" w:cs="Arial" w:eastAsia="Arial" w:hAnsi="Arial"/>
          <w:sz w:val="20"/>
          <w:szCs w:val="20"/>
          <w:color w:val="auto"/>
        </w:rPr>
      </w:pPr>
    </w:p>
    <w:p>
      <w:pPr>
        <w:jc w:val="both"/>
        <w:ind w:left="1300" w:firstLine="653"/>
        <w:spacing w:after="0" w:line="273" w:lineRule="auto"/>
        <w:tabs>
          <w:tab w:leader="none" w:pos="246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(z) any payment obtained by a Lender as consideration for the assignment of or sale of a participation in any of its Loans or subparticipations in L/C Obligations or Swing Line Loans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420"/>
          </w:cols>
          <w:pgMar w:left="240" w:top="758" w:right="239" w:bottom="1440" w:gutter="0" w:footer="0" w:header="0"/>
        </w:sectPr>
      </w:pPr>
    </w:p>
    <w:bookmarkStart w:id="206" w:name="page207"/>
    <w:bookmarkEnd w:id="206"/>
    <w:p>
      <w:pPr>
        <w:ind w:left="1300"/>
        <w:spacing w:after="0" w:line="289" w:lineRule="auto"/>
        <w:rPr>
          <w:sz w:val="20"/>
          <w:szCs w:val="20"/>
          <w:color w:val="auto"/>
        </w:rPr>
      </w:pPr>
      <w:r>
        <w:rPr>
          <w:rFonts w:ascii="Arial" w:cs="Arial" w:eastAsia="Arial" w:hAnsi="Arial"/>
          <w:sz w:val="20"/>
          <w:szCs w:val="20"/>
          <w:color w:val="auto"/>
        </w:rPr>
        <w:t>to any assignee or participant, other than an assignment to the Company or any Subsidiary or Affiliate thereof (as to which the provisions of this Section shall apply).</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6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286" w:lineRule="auto"/>
        <w:tabs>
          <w:tab w:leader="none" w:pos="1762"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or (iii) the Company shall be required to provide Cash Collateral pursuant to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the Borrowers (other than the Revolving C Borrowers that are Foreign Subsidiaries) shall, in each case, immediately following any request by the Administrative Agent or the L/C Issuer, Cash Collateralize the then Outstanding Amount of all L/C Obligations. At any time that there shall exist a Defaulting Lender, immediately upon the request of the Administrative Agent, the L/C Issuer or the Swing Line Lender, the Borrowers (other than the Revolving C Borrowers that are Foreign Subsidiaries) shall deliver to the Administrative Agent Cash Collateral in an amount sufficient to cover all Fronting Exposure (after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xml:space="preserve"> and any Cash Collateral provided by the Defaulting Lender).</w:t>
      </w:r>
    </w:p>
    <w:p>
      <w:pPr>
        <w:spacing w:after="0" w:line="182" w:lineRule="exact"/>
        <w:rPr>
          <w:rFonts w:ascii="Arial" w:cs="Arial" w:eastAsia="Arial" w:hAnsi="Arial"/>
          <w:sz w:val="19"/>
          <w:szCs w:val="19"/>
          <w:color w:val="auto"/>
        </w:rPr>
      </w:pPr>
    </w:p>
    <w:p>
      <w:pPr>
        <w:jc w:val="both"/>
        <w:ind w:left="660" w:firstLine="645"/>
        <w:spacing w:after="0" w:line="284" w:lineRule="auto"/>
        <w:tabs>
          <w:tab w:leader="none" w:pos="1719"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All Cash Collateral (other than credit support not constituting funds subject to deposit) shall be maintained in blocked, interest bearing deposit accounts at the Administrative Agent. Each Borrower (other than the Revolving C Borrowers that are Foreign Subsidiaries), and to the extent provided by any Lender, such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2.14(c)</w:t>
      </w:r>
      <w:r>
        <w:rPr>
          <w:rFonts w:ascii="Arial" w:cs="Arial" w:eastAsia="Arial" w:hAnsi="Arial"/>
          <w:sz w:val="19"/>
          <w:szCs w:val="19"/>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or the Outstanding Amount of all L/C Obligations, as applicable, the Borrowers (other than the Revolving C Borrowers that are Foreign Subsidiaries) or the relevant Defaulting Lender will, promptly upon demand by the Administrative Agent, pay or provide to the Administrative Agent additional Cash Collateral in an amount sufficient to eliminate such deficiency.</w:t>
      </w:r>
    </w:p>
    <w:p>
      <w:pPr>
        <w:spacing w:after="0" w:line="190" w:lineRule="exact"/>
        <w:rPr>
          <w:rFonts w:ascii="Arial" w:cs="Arial" w:eastAsia="Arial" w:hAnsi="Arial"/>
          <w:sz w:val="19"/>
          <w:szCs w:val="19"/>
          <w:color w:val="auto"/>
        </w:rPr>
      </w:pPr>
    </w:p>
    <w:p>
      <w:pPr>
        <w:jc w:val="both"/>
        <w:ind w:left="660" w:firstLine="645"/>
        <w:spacing w:after="0" w:line="293" w:lineRule="auto"/>
        <w:tabs>
          <w:tab w:leader="none" w:pos="1708"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w:t>
      </w:r>
      <w:r>
        <w:rPr>
          <w:rFonts w:ascii="Arial" w:cs="Arial" w:eastAsia="Arial" w:hAnsi="Arial"/>
          <w:sz w:val="19"/>
          <w:szCs w:val="19"/>
          <w:color w:val="auto"/>
        </w:rPr>
        <w:t xml:space="preserve"> in respect of Letters of Credit or Swing Line Loans shall be held and applied in satisfaction of the specific L/C Obligations, Swing Line Loans, obligations to fund participations therein (including, as to Cash Collateral provided by a Defaulting Lender, any interest accrued on such obligation)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20"/>
          </w:cols>
          <w:pgMar w:left="240" w:top="771" w:right="239" w:bottom="1440" w:gutter="0" w:footer="0" w:header="0"/>
        </w:sectPr>
      </w:pPr>
    </w:p>
    <w:bookmarkStart w:id="207" w:name="page208"/>
    <w:bookmarkEnd w:id="207"/>
    <w:p>
      <w:pPr>
        <w:ind w:right="20"/>
        <w:spacing w:after="0" w:line="289" w:lineRule="auto"/>
        <w:rPr>
          <w:sz w:val="20"/>
          <w:szCs w:val="20"/>
          <w:color w:val="auto"/>
        </w:rPr>
      </w:pPr>
      <w:r>
        <w:rPr>
          <w:rFonts w:ascii="Arial" w:cs="Arial" w:eastAsia="Arial" w:hAnsi="Arial"/>
          <w:sz w:val="20"/>
          <w:szCs w:val="20"/>
          <w:color w:val="auto"/>
        </w:rPr>
        <w:t>other obligations for which the Cash Collateral was so provided, prior to any other application of such property as may be provided herein.</w:t>
      </w:r>
    </w:p>
    <w:p>
      <w:pPr>
        <w:spacing w:after="0" w:line="175" w:lineRule="exact"/>
        <w:rPr>
          <w:sz w:val="20"/>
          <w:szCs w:val="20"/>
          <w:color w:val="auto"/>
        </w:rPr>
      </w:pPr>
    </w:p>
    <w:p>
      <w:pPr>
        <w:jc w:val="both"/>
        <w:ind w:firstLine="645"/>
        <w:spacing w:after="0" w:line="303" w:lineRule="auto"/>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11.06(b)(v)</w:t>
      </w:r>
      <w:r>
        <w:rPr>
          <w:rFonts w:ascii="Arial" w:cs="Arial" w:eastAsia="Arial" w:hAnsi="Arial"/>
          <w:sz w:val="18"/>
          <w:szCs w:val="18"/>
          <w:color w:val="auto"/>
        </w:rPr>
        <w:t xml:space="preserve">)) or (ii) the Administrative Agent’s good faith determination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any such release shall be without prejudice to, and any disbursement or other transfer of Cash Collateral shall be and remain subject to, any other Lien conferred under the Loan Documents and the other applicable provisions of the Loan Documents, (y) Cash Collateral furnished by or on behalf of a Loan Party shall not be released during the continuance of a Default or Event of Default (and following application as provided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may be otherwise applied in accordance with </w:t>
      </w:r>
      <w:r>
        <w:rPr>
          <w:rFonts w:ascii="Arial" w:cs="Arial" w:eastAsia="Arial" w:hAnsi="Arial"/>
          <w:sz w:val="18"/>
          <w:szCs w:val="18"/>
          <w:u w:val="single" w:color="auto"/>
          <w:color w:val="auto"/>
        </w:rPr>
        <w:t>Section 9.03</w:t>
      </w:r>
      <w:r>
        <w:rPr>
          <w:rFonts w:ascii="Arial" w:cs="Arial" w:eastAsia="Arial" w:hAnsi="Arial"/>
          <w:sz w:val="18"/>
          <w:szCs w:val="18"/>
          <w:color w:val="auto"/>
        </w:rPr>
        <w:t>) and (z) the Person providing Cash Collateral and the L/C Issuer or Swing Line Lender, as applicable, may agree that Cash Collateral shall not be released but instead held to support future anticipated Fronting Exposure or other obligations.</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43" w:lineRule="exact"/>
        <w:rPr>
          <w:sz w:val="20"/>
          <w:szCs w:val="20"/>
          <w:color w:val="auto"/>
        </w:rPr>
      </w:pPr>
    </w:p>
    <w:p>
      <w:pPr>
        <w:ind w:firstLine="645"/>
        <w:spacing w:after="0" w:line="347" w:lineRule="auto"/>
        <w:tabs>
          <w:tab w:leader="none" w:pos="106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30" w:lineRule="exact"/>
        <w:rPr>
          <w:rFonts w:ascii="Arial" w:cs="Arial" w:eastAsia="Arial" w:hAnsi="Arial"/>
          <w:sz w:val="18"/>
          <w:szCs w:val="18"/>
          <w:color w:val="auto"/>
        </w:rPr>
      </w:pPr>
    </w:p>
    <w:p>
      <w:pPr>
        <w:jc w:val="both"/>
        <w:ind w:left="640" w:firstLine="653"/>
        <w:spacing w:after="0" w:line="278" w:lineRule="auto"/>
        <w:tabs>
          <w:tab w:leader="none" w:pos="1722"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The Defaulting Lender’s right to approve or disapprove any amendment, waiver or consent with respect to this Agreement shall be restricted as set forth in the definitions of “Required Lenders,” “Required Pro Rata Facilities Lenders” and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640" w:firstLine="653"/>
        <w:spacing w:after="0" w:line="256" w:lineRule="exact"/>
        <w:tabs>
          <w:tab w:leader="none" w:pos="1966"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or other amount received by the Administrative Agent for the account of that Defaulting Lender (whether voluntary or mandatory, at maturity, pursuant to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or otherwise, and including any amounts made available to the Administrative Agent by that Defaulting Lender pursuant to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of any amounts owing by that Defaulting Lender to the L/C Issuer or Swing Line Lender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if so determined by the Administrative Agent or requested by the L/C Issuer or Swing Line Lender, to be held as Cash Collateral for future funding obligations of that Defaulting Lender of any participation in any Swing Line Loan or Letter of Credit;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9"/>
          <w:szCs w:val="19"/>
          <w:u w:val="single" w:color="auto"/>
          <w:color w:val="auto"/>
        </w:rPr>
        <w:t>fifth</w:t>
      </w:r>
      <w:r>
        <w:rPr>
          <w:rFonts w:ascii="Arial" w:cs="Arial" w:eastAsia="Arial" w:hAnsi="Arial"/>
          <w:sz w:val="19"/>
          <w:szCs w:val="19"/>
          <w:color w:val="auto"/>
        </w:rPr>
        <w:t>, if so determined by the Administrative Agent and the Borrowers, to be held in a non</w:t>
      </w:r>
      <w:r>
        <w:rPr>
          <w:rFonts w:ascii="MS PGothic" w:cs="MS PGothic" w:eastAsia="MS PGothic" w:hAnsi="MS PGothic"/>
          <w:sz w:val="19"/>
          <w:szCs w:val="19"/>
          <w:color w:val="auto"/>
        </w:rPr>
        <w:t>‑</w:t>
      </w:r>
      <w:r>
        <w:rPr>
          <w:rFonts w:ascii="Arial" w:cs="Arial" w:eastAsia="Arial" w:hAnsi="Arial"/>
          <w:sz w:val="19"/>
          <w:szCs w:val="19"/>
          <w:color w:val="auto"/>
        </w:rPr>
        <w:t>interest bearing deposit account and released in order to satisfy obligations of that Defaulting Lender to fund Loans under this Agreement and to Cash Collateralize the L/C</w:t>
      </w:r>
    </w:p>
    <w:p>
      <w:pPr>
        <w:spacing w:after="0" w:line="200" w:lineRule="exact"/>
        <w:rPr>
          <w:sz w:val="20"/>
          <w:szCs w:val="20"/>
          <w:color w:val="auto"/>
        </w:rPr>
      </w:pPr>
    </w:p>
    <w:p>
      <w:pPr>
        <w:spacing w:after="0" w:line="26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0760"/>
          </w:cols>
          <w:pgMar w:left="900" w:top="771" w:right="239" w:bottom="1440" w:gutter="0" w:footer="0" w:header="0"/>
        </w:sectPr>
      </w:pPr>
    </w:p>
    <w:bookmarkStart w:id="208" w:name="page209"/>
    <w:bookmarkEnd w:id="208"/>
    <w:p>
      <w:pPr>
        <w:jc w:val="both"/>
        <w:ind w:left="100"/>
        <w:spacing w:after="0" w:line="257" w:lineRule="exact"/>
        <w:rPr>
          <w:sz w:val="20"/>
          <w:szCs w:val="20"/>
          <w:color w:val="auto"/>
        </w:rPr>
      </w:pPr>
      <w:r>
        <w:rPr>
          <w:rFonts w:ascii="Arial" w:cs="Arial" w:eastAsia="Arial" w:hAnsi="Arial"/>
          <w:sz w:val="18"/>
          <w:szCs w:val="18"/>
          <w:color w:val="auto"/>
        </w:rPr>
        <w:t xml:space="preserve">Issuer’s future Fronting Exposure with respect to such Defaulting Lender with respect to future Letters of Credit issued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(x) such payment is a payment of the principal amount of any Loans or L/C Borrowings in respect of which that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were satisfied or waived, such payment shall be applied solely to pay the Loans of, and L/C Borrowings owed to, all non</w:t>
      </w:r>
      <w:r>
        <w:rPr>
          <w:rFonts w:ascii="MS PGothic" w:cs="MS PGothic" w:eastAsia="MS PGothic" w:hAnsi="MS PGothic"/>
          <w:sz w:val="18"/>
          <w:szCs w:val="18"/>
          <w:color w:val="auto"/>
        </w:rPr>
        <w:t>‑</w:t>
      </w:r>
      <w:r>
        <w:rPr>
          <w:rFonts w:ascii="Arial" w:cs="Arial" w:eastAsia="Arial" w:hAnsi="Arial"/>
          <w:sz w:val="18"/>
          <w:szCs w:val="18"/>
          <w:color w:val="auto"/>
        </w:rPr>
        <w:t xml:space="preserve">Defaulting Lenders on a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xml:space="preserve"> basis prior to being applied to the payment of any Loans of, or L/C Borrowings owed to, that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2.15(a)(ii)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224" w:lineRule="exact"/>
        <w:rPr>
          <w:sz w:val="20"/>
          <w:szCs w:val="20"/>
          <w:color w:val="auto"/>
        </w:rPr>
      </w:pPr>
    </w:p>
    <w:p>
      <w:pPr>
        <w:jc w:val="both"/>
        <w:ind w:left="100" w:firstLine="653"/>
        <w:spacing w:after="0" w:line="293" w:lineRule="auto"/>
        <w:tabs>
          <w:tab w:leader="none" w:pos="1346"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The Defaulting Lender (x) shall not be entitled to receive any Commitment Fee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for any period during which such Lender is a Defaulting Lender (and the Company shall not be required to pay any such fee that otherwise would have been required to have been paid to such Defaulting Lender) and (y) shall be limited in its right to receive Letter of Credit Fees as provided in </w:t>
      </w:r>
      <w:r>
        <w:rPr>
          <w:rFonts w:ascii="Arial" w:cs="Arial" w:eastAsia="Arial" w:hAnsi="Arial"/>
          <w:sz w:val="19"/>
          <w:szCs w:val="19"/>
          <w:u w:val="single" w:color="auto"/>
          <w:color w:val="auto"/>
        </w:rPr>
        <w:t>Section 2.03(h)</w:t>
      </w:r>
      <w:r>
        <w:rPr>
          <w:rFonts w:ascii="Arial" w:cs="Arial" w:eastAsia="Arial" w:hAnsi="Arial"/>
          <w:sz w:val="19"/>
          <w:szCs w:val="19"/>
          <w:color w:val="auto"/>
        </w:rPr>
        <w:t>.</w:t>
      </w:r>
    </w:p>
    <w:p>
      <w:pPr>
        <w:spacing w:after="0" w:line="175" w:lineRule="exact"/>
        <w:rPr>
          <w:rFonts w:ascii="Arial" w:cs="Arial" w:eastAsia="Arial" w:hAnsi="Arial"/>
          <w:sz w:val="19"/>
          <w:szCs w:val="19"/>
          <w:color w:val="auto"/>
        </w:rPr>
      </w:pPr>
    </w:p>
    <w:p>
      <w:pPr>
        <w:jc w:val="both"/>
        <w:ind w:left="100" w:firstLine="653"/>
        <w:spacing w:after="0" w:line="256" w:lineRule="exact"/>
        <w:tabs>
          <w:tab w:leader="none" w:pos="136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All or any part of such Defaulting Lender’s participation in L/C Obligations and Domestic Swing Line Loans shall be reallocated among the Revolving A Lenders that are non</w:t>
      </w:r>
      <w:r>
        <w:rPr>
          <w:rFonts w:ascii="MS PGothic" w:cs="MS PGothic" w:eastAsia="MS PGothic" w:hAnsi="MS PGothic"/>
          <w:sz w:val="18"/>
          <w:szCs w:val="18"/>
          <w:color w:val="auto"/>
        </w:rPr>
        <w:t>‑</w:t>
      </w:r>
      <w:r>
        <w:rPr>
          <w:rFonts w:ascii="Arial" w:cs="Arial" w:eastAsia="Arial" w:hAnsi="Arial"/>
          <w:sz w:val="18"/>
          <w:szCs w:val="18"/>
          <w:color w:val="auto"/>
        </w:rPr>
        <w:t>Defaulting Lenders in accordance with their respective Applicable Percentages in respect of the Revolving A Commitments (calculated without regard to such Defaulting Lender’s Revolving A Commitment) but only to the extent that such reallocation does not cause the aggregate Outstanding Amount of Revolving A Loans and participations in L/C Obligations and Domestic Swing Line Loans of any non</w:t>
      </w:r>
      <w:r>
        <w:rPr>
          <w:rFonts w:ascii="MS PGothic" w:cs="MS PGothic" w:eastAsia="MS PGothic" w:hAnsi="MS PGothic"/>
          <w:sz w:val="18"/>
          <w:szCs w:val="18"/>
          <w:color w:val="auto"/>
        </w:rPr>
        <w:t>‑</w:t>
      </w:r>
      <w:r>
        <w:rPr>
          <w:rFonts w:ascii="Arial" w:cs="Arial" w:eastAsia="Arial" w:hAnsi="Arial"/>
          <w:sz w:val="18"/>
          <w:szCs w:val="18"/>
          <w:color w:val="auto"/>
        </w:rPr>
        <w:t>Defaulting Lender to exceed such non</w:t>
      </w:r>
      <w:r>
        <w:rPr>
          <w:rFonts w:ascii="MS PGothic" w:cs="MS PGothic" w:eastAsia="MS PGothic" w:hAnsi="MS PGothic"/>
          <w:sz w:val="18"/>
          <w:szCs w:val="18"/>
          <w:color w:val="auto"/>
        </w:rPr>
        <w:t>‑</w:t>
      </w:r>
      <w:r>
        <w:rPr>
          <w:rFonts w:ascii="Arial" w:cs="Arial" w:eastAsia="Arial" w:hAnsi="Arial"/>
          <w:sz w:val="18"/>
          <w:szCs w:val="18"/>
          <w:color w:val="auto"/>
        </w:rPr>
        <w:t>Defaulting Lender’s Revolving A Commitment. All or any part of such Defaulting Lender’s participation in Foreign Swing Line Loans shall be reallocated among the Revolving B Lenders that are non</w:t>
      </w:r>
      <w:r>
        <w:rPr>
          <w:rFonts w:ascii="MS PGothic" w:cs="MS PGothic" w:eastAsia="MS PGothic" w:hAnsi="MS PGothic"/>
          <w:sz w:val="18"/>
          <w:szCs w:val="18"/>
          <w:color w:val="auto"/>
        </w:rPr>
        <w:t>‑</w:t>
      </w:r>
      <w:r>
        <w:rPr>
          <w:rFonts w:ascii="Arial" w:cs="Arial" w:eastAsia="Arial" w:hAnsi="Arial"/>
          <w:sz w:val="18"/>
          <w:szCs w:val="18"/>
          <w:color w:val="auto"/>
        </w:rPr>
        <w:t>Defaulting Lenders in accordance with their respective Applicable Percentages in respect of the Revolving B Commitments (calculated without regard to such Defaulting Lender’s Revolving B Commitment) but only to the extent that such reallocation does not cause the aggregate Outstanding Amount of Revolving B Loans and participations in Foreign Swing Line Loans of any non</w:t>
      </w:r>
      <w:r>
        <w:rPr>
          <w:rFonts w:ascii="MS PGothic" w:cs="MS PGothic" w:eastAsia="MS PGothic" w:hAnsi="MS PGothic"/>
          <w:sz w:val="18"/>
          <w:szCs w:val="18"/>
          <w:color w:val="auto"/>
        </w:rPr>
        <w:t>‑</w:t>
      </w:r>
      <w:r>
        <w:rPr>
          <w:rFonts w:ascii="Arial" w:cs="Arial" w:eastAsia="Arial" w:hAnsi="Arial"/>
          <w:sz w:val="18"/>
          <w:szCs w:val="18"/>
          <w:color w:val="auto"/>
        </w:rPr>
        <w:t>Defaulting Lender to exceed</w:t>
      </w:r>
    </w:p>
    <w:p>
      <w:pPr>
        <w:spacing w:after="0" w:line="200" w:lineRule="exact"/>
        <w:rPr>
          <w:sz w:val="20"/>
          <w:szCs w:val="20"/>
          <w:color w:val="auto"/>
        </w:rPr>
      </w:pPr>
    </w:p>
    <w:p>
      <w:pPr>
        <w:spacing w:after="0" w:line="27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0220"/>
          </w:cols>
          <w:pgMar w:left="1440" w:top="771" w:right="239" w:bottom="1440" w:gutter="0" w:footer="0" w:header="0"/>
        </w:sectPr>
      </w:pPr>
    </w:p>
    <w:bookmarkStart w:id="209" w:name="page210"/>
    <w:bookmarkEnd w:id="209"/>
    <w:p>
      <w:pPr>
        <w:jc w:val="both"/>
        <w:ind w:left="640"/>
        <w:spacing w:after="0" w:line="255" w:lineRule="exact"/>
        <w:rPr>
          <w:sz w:val="20"/>
          <w:szCs w:val="20"/>
          <w:color w:val="auto"/>
        </w:rPr>
      </w:pPr>
      <w:r>
        <w:rPr>
          <w:rFonts w:ascii="Arial" w:cs="Arial" w:eastAsia="Arial" w:hAnsi="Arial"/>
          <w:sz w:val="20"/>
          <w:szCs w:val="20"/>
          <w:color w:val="auto"/>
        </w:rPr>
        <w:t>such non</w:t>
      </w:r>
      <w:r>
        <w:rPr>
          <w:rFonts w:ascii="MS PGothic" w:cs="MS PGothic" w:eastAsia="MS PGothic" w:hAnsi="MS PGothic"/>
          <w:sz w:val="20"/>
          <w:szCs w:val="20"/>
          <w:color w:val="auto"/>
        </w:rPr>
        <w:t>‑</w:t>
      </w:r>
      <w:r>
        <w:rPr>
          <w:rFonts w:ascii="Arial" w:cs="Arial" w:eastAsia="Arial" w:hAnsi="Arial"/>
          <w:sz w:val="20"/>
          <w:szCs w:val="20"/>
          <w:color w:val="auto"/>
        </w:rPr>
        <w:t xml:space="preserve">Defaulting Lender’s Revolving B Commitment. Subject to </w:t>
      </w:r>
      <w:r>
        <w:rPr>
          <w:rFonts w:ascii="Arial" w:cs="Arial" w:eastAsia="Arial" w:hAnsi="Arial"/>
          <w:sz w:val="20"/>
          <w:szCs w:val="20"/>
          <w:u w:val="single" w:color="auto"/>
          <w:color w:val="auto"/>
        </w:rPr>
        <w:t>Section 11.20</w:t>
      </w:r>
      <w:r>
        <w:rPr>
          <w:rFonts w:ascii="Arial" w:cs="Arial" w:eastAsia="Arial" w:hAnsi="Arial"/>
          <w:sz w:val="20"/>
          <w:szCs w:val="20"/>
          <w:color w:val="auto"/>
        </w:rPr>
        <w:t>, no reallocation hereunder shall constitute a waiver or release of any claim of any party hereunder against a Defaulting Lender arising from that Lender having become a Defaulting Lender, including any claim of a Non</w:t>
      </w:r>
      <w:r>
        <w:rPr>
          <w:rFonts w:ascii="MS PGothic" w:cs="MS PGothic" w:eastAsia="MS PGothic" w:hAnsi="MS PGothic"/>
          <w:sz w:val="20"/>
          <w:szCs w:val="20"/>
          <w:color w:val="auto"/>
        </w:rPr>
        <w:t>‑</w:t>
      </w:r>
      <w:r>
        <w:rPr>
          <w:rFonts w:ascii="Arial" w:cs="Arial" w:eastAsia="Arial" w:hAnsi="Arial"/>
          <w:sz w:val="20"/>
          <w:szCs w:val="20"/>
          <w:color w:val="auto"/>
        </w:rPr>
        <w:t>Defaulting Lender as a result of such Non</w:t>
      </w:r>
      <w:r>
        <w:rPr>
          <w:rFonts w:ascii="MS PGothic" w:cs="MS PGothic" w:eastAsia="MS PGothic" w:hAnsi="MS PGothic"/>
          <w:sz w:val="20"/>
          <w:szCs w:val="20"/>
          <w:color w:val="auto"/>
        </w:rPr>
        <w:t>‑</w:t>
      </w:r>
      <w:r>
        <w:rPr>
          <w:rFonts w:ascii="Arial" w:cs="Arial" w:eastAsia="Arial" w:hAnsi="Arial"/>
          <w:sz w:val="20"/>
          <w:szCs w:val="20"/>
          <w:color w:val="auto"/>
        </w:rPr>
        <w:t>Defaulting Lender’s increased exposure following such reallocation.</w:t>
      </w:r>
    </w:p>
    <w:p>
      <w:pPr>
        <w:spacing w:after="0" w:line="223" w:lineRule="exact"/>
        <w:rPr>
          <w:sz w:val="20"/>
          <w:szCs w:val="20"/>
          <w:color w:val="auto"/>
        </w:rPr>
      </w:pPr>
    </w:p>
    <w:p>
      <w:pPr>
        <w:jc w:val="both"/>
        <w:ind w:left="640" w:firstLine="653"/>
        <w:spacing w:after="0" w:line="297" w:lineRule="auto"/>
        <w:tabs>
          <w:tab w:leader="none" w:pos="1726"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w:t>
      </w:r>
    </w:p>
    <w:p>
      <w:pPr>
        <w:spacing w:after="0" w:line="1" w:lineRule="exact"/>
        <w:rPr>
          <w:rFonts w:ascii="Arial" w:cs="Arial" w:eastAsia="Arial" w:hAnsi="Arial"/>
          <w:sz w:val="18"/>
          <w:szCs w:val="18"/>
          <w:color w:val="auto"/>
        </w:rPr>
      </w:pPr>
    </w:p>
    <w:p>
      <w:pPr>
        <w:ind w:left="920" w:hanging="275"/>
        <w:spacing w:after="0"/>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second, Cash Collateralize the L/C Issuer’s Fronting Exposure in accordance with the procedures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66" w:lineRule="exact"/>
        <w:rPr>
          <w:sz w:val="20"/>
          <w:szCs w:val="20"/>
          <w:color w:val="auto"/>
        </w:rPr>
      </w:pPr>
    </w:p>
    <w:p>
      <w:pPr>
        <w:jc w:val="both"/>
        <w:ind w:firstLine="645"/>
        <w:spacing w:after="0" w:line="302" w:lineRule="auto"/>
        <w:tabs>
          <w:tab w:leader="none" w:pos="1154"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Company, the Administrative Agent,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Loans and funded and unfunded participations in Letters of Credit and Swing Line Loans to be held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by the Lenders in accordance with their Applicable Percentages (without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 adjustments will be made retroactively with respect to fees accrued or payments made by or on behalf of the Borrowers while that Lender was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6"/>
          <w:szCs w:val="16"/>
          <w:u w:val="single" w:color="auto"/>
          <w:color w:val="auto"/>
        </w:rPr>
        <w:t>Designated Borrowers</w:t>
      </w:r>
      <w:r>
        <w:rPr>
          <w:rFonts w:ascii="Arial" w:cs="Arial" w:eastAsia="Arial" w:hAnsi="Arial"/>
          <w:sz w:val="16"/>
          <w:szCs w:val="16"/>
          <w:color w:val="auto"/>
        </w:rPr>
        <w:t>.</w:t>
      </w:r>
    </w:p>
    <w:p>
      <w:pPr>
        <w:spacing w:after="0" w:line="243" w:lineRule="exact"/>
        <w:rPr>
          <w:sz w:val="20"/>
          <w:szCs w:val="20"/>
          <w:color w:val="auto"/>
        </w:rPr>
      </w:pPr>
    </w:p>
    <w:p>
      <w:pPr>
        <w:jc w:val="both"/>
        <w:ind w:firstLine="645"/>
        <w:spacing w:after="0" w:line="285" w:lineRule="auto"/>
        <w:tabs>
          <w:tab w:leader="none" w:pos="110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Company may at any time, upon not less than ten Business Days’ notice from the Company to the Administrative Agent (or such shorter period as may be agreed by the Administrative Agent in its sole discretion), designate any additional Wholly Owned Foreign Subsidiary of the Company (an “</w:t>
      </w:r>
      <w:r>
        <w:rPr>
          <w:rFonts w:ascii="Arial" w:cs="Arial" w:eastAsia="Arial" w:hAnsi="Arial"/>
          <w:sz w:val="19"/>
          <w:szCs w:val="19"/>
          <w:u w:val="single" w:color="auto"/>
          <w:color w:val="auto"/>
        </w:rPr>
        <w:t>Applicant Borrower</w:t>
      </w:r>
      <w:r>
        <w:rPr>
          <w:rFonts w:ascii="Arial" w:cs="Arial" w:eastAsia="Arial" w:hAnsi="Arial"/>
          <w:sz w:val="19"/>
          <w:szCs w:val="19"/>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(a “</w:t>
      </w:r>
      <w:r>
        <w:rPr>
          <w:rFonts w:ascii="Arial" w:cs="Arial" w:eastAsia="Arial" w:hAnsi="Arial"/>
          <w:sz w:val="19"/>
          <w:szCs w:val="19"/>
          <w:u w:val="single" w:color="auto"/>
          <w:color w:val="auto"/>
        </w:rPr>
        <w:t>Designated Borrower Request and Assumption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FleetCor Australia and FleetCor New Zealand shall be the only Designated Borrowers under the Aggregate Revolving C Commitments and all other Designated Borrowers may only be Designated Borrowers under the Aggregate Revolving A Commitments and the Aggregate Revolving B Commitments. The parties hereto acknowledge and agree that prior to any Applicant Borrower becoming entitled to utilize the credit facilities provided for herein, the Administrative Agent and the Lenders that would be obligated to make Loans to such Designated Borrower shall have approved such Applicant Borrower as a Designated Borrower (which approval shall not be unreasonably delayed or denied or require the payment of a fee or other consideration, but shall be subject to receipt by such Lenders of all</w:t>
      </w: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0760"/>
          </w:cols>
          <w:pgMar w:left="900" w:top="771" w:right="239" w:bottom="1440" w:gutter="0" w:footer="0" w:header="0"/>
        </w:sectPr>
      </w:pPr>
    </w:p>
    <w:bookmarkStart w:id="210" w:name="page211"/>
    <w:bookmarkEnd w:id="210"/>
    <w:p>
      <w:pPr>
        <w:jc w:val="both"/>
        <w:spacing w:after="0" w:line="256" w:lineRule="exact"/>
        <w:rPr>
          <w:sz w:val="20"/>
          <w:szCs w:val="20"/>
          <w:color w:val="auto"/>
        </w:rPr>
      </w:pPr>
      <w:r>
        <w:rPr>
          <w:rFonts w:ascii="Arial" w:cs="Arial" w:eastAsia="Arial" w:hAnsi="Arial"/>
          <w:sz w:val="19"/>
          <w:szCs w:val="19"/>
          <w:color w:val="auto"/>
        </w:rPr>
        <w:t>documentation and other information that they have reasonably requested and have reasonably determined is required by regulatory authorities under applicable “know your customer” and anti</w:t>
      </w:r>
      <w:r>
        <w:rPr>
          <w:rFonts w:ascii="MS PGothic" w:cs="MS PGothic" w:eastAsia="MS PGothic" w:hAnsi="MS PGothic"/>
          <w:sz w:val="19"/>
          <w:szCs w:val="19"/>
          <w:color w:val="auto"/>
        </w:rPr>
        <w:t>‑</w:t>
      </w:r>
      <w:r>
        <w:rPr>
          <w:rFonts w:ascii="Arial" w:cs="Arial" w:eastAsia="Arial" w:hAnsi="Arial"/>
          <w:sz w:val="19"/>
          <w:szCs w:val="19"/>
          <w:color w:val="auto"/>
        </w:rPr>
        <w:t xml:space="preserve">money laundering rules and regulations, including without limitation the PATRIOT Act) and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 and Notes signed by such new Borrowers to the extent any Lenders so request. If the Administrative Agent and the Lenders that would be obligated to make Loans to such Designated Borrower agree that an Applicant Borrower shall be entitled to receive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9"/>
          <w:szCs w:val="19"/>
          <w:u w:val="single" w:color="auto"/>
          <w:color w:val="auto"/>
        </w:rPr>
        <w:t>Exhibit K</w:t>
      </w:r>
      <w:r>
        <w:rPr>
          <w:rFonts w:ascii="Arial" w:cs="Arial" w:eastAsia="Arial" w:hAnsi="Arial"/>
          <w:sz w:val="19"/>
          <w:szCs w:val="19"/>
          <w:color w:val="auto"/>
        </w:rPr>
        <w:t xml:space="preserve"> (a “</w:t>
      </w:r>
      <w:r>
        <w:rPr>
          <w:rFonts w:ascii="Arial" w:cs="Arial" w:eastAsia="Arial" w:hAnsi="Arial"/>
          <w:sz w:val="19"/>
          <w:szCs w:val="19"/>
          <w:u w:val="single" w:color="auto"/>
          <w:color w:val="auto"/>
        </w:rPr>
        <w:t>Designated Borrower Notice</w:t>
      </w:r>
      <w:r>
        <w:rPr>
          <w:rFonts w:ascii="Arial" w:cs="Arial" w:eastAsia="Arial" w:hAnsi="Arial"/>
          <w:sz w:val="19"/>
          <w:szCs w:val="19"/>
          <w:color w:val="auto"/>
        </w:rPr>
        <w:t xml:space="preserve">”) to the Company and the applicable Lenders specifying the effective date upon which the Applicant Borrower shall constitute a Designated Borrower for purposes hereof, whereupon each of such Lenders agrees to permit such Designated Borrower to receive Loans hereunder, on the terms and conditions set forth herein, and each of the parties agrees that such Designated Borrower otherwise shall be a Borrower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Loan Notice or Letter of Credit Application may be submitted by or on behalf of such Designated Borrower until the date five Business Days after such effective date.</w:t>
      </w:r>
    </w:p>
    <w:p>
      <w:pPr>
        <w:spacing w:after="0" w:line="227" w:lineRule="exact"/>
        <w:rPr>
          <w:sz w:val="20"/>
          <w:szCs w:val="20"/>
          <w:color w:val="auto"/>
        </w:rPr>
      </w:pPr>
    </w:p>
    <w:p>
      <w:pPr>
        <w:jc w:val="both"/>
        <w:ind w:firstLine="645"/>
        <w:spacing w:after="0" w:line="300" w:lineRule="auto"/>
        <w:tabs>
          <w:tab w:leader="none" w:pos="112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Obligations of the Designated Borrowers that are Foreign Subsidiaries shall be joint and several in nature (unless such joint and several liability (i) shall result in adverse tax consequences to any Borrower or (ii) is not permitted by any Law applicable to such Designated Borrower, in which either such case, the liability of such Designated Borrower shall be several in nature) regardless of which such Person actually receives Credit Extensions hereunder or the amount of such Credit Extensions received or the manner in which the Administrative Agent or any Lender accounts for such Credit Extensions on its books and records. Each of the obligations of each Designated Borrower that is a Foreign Subsidiary with respect to Credit Extensions made to it, and each such Designated Borrower’s obligations arising as a result of the joint and several liability (if any) of such Designated Borrower hereunder, with respect to Credit Extensions made to and other Obligations owing by the other Designated Borrowers that are Foreign Subsidiaries hereunder, shall be separate and distinct obligations, but all such obligations shall be primary obligations of each such Designated Borrower. Notwithstanding anything contained to the contrary herein or in any Loan Document (including any Designated Borrower Request and Assumption Agreement), (a) no Designated Borrower that is a Foreign Subsidiary shall be obligated with respect to any Obligations of the Company or of any Domestic Subsidiary, (b) the Obligations owed by a Designated Borrower that is a Foreign Subsidiary shall be several and not joint with the Obligations of the Company or of any Domestic Subsidiary, (c) no Designated Borrower that is a Foreign Subsidiary shall be obligated as a Guarantor under the Guaranty with respect to the Obligations of the Company or any Domestic Subsidiary, (d) the Obligations owed by a Designated Borrower that is a Revolving A/B Borrower (each such Designated Borrower, a “</w:t>
      </w:r>
      <w:r>
        <w:rPr>
          <w:rFonts w:ascii="Arial" w:cs="Arial" w:eastAsia="Arial" w:hAnsi="Arial"/>
          <w:sz w:val="18"/>
          <w:szCs w:val="18"/>
          <w:u w:val="single" w:color="auto"/>
          <w:color w:val="auto"/>
        </w:rPr>
        <w:t>Revolving A/B Designated Borrower</w:t>
      </w:r>
      <w:r>
        <w:rPr>
          <w:rFonts w:ascii="Arial" w:cs="Arial" w:eastAsia="Arial" w:hAnsi="Arial"/>
          <w:sz w:val="18"/>
          <w:szCs w:val="18"/>
          <w:color w:val="auto"/>
        </w:rPr>
        <w:t>”) shall be several and not joint with the Obligations of the Company or of any Designated Borrower that is a Revolving C Borrower (each such Designated Borrower, a “</w:t>
      </w:r>
      <w:r>
        <w:rPr>
          <w:rFonts w:ascii="Arial" w:cs="Arial" w:eastAsia="Arial" w:hAnsi="Arial"/>
          <w:sz w:val="18"/>
          <w:szCs w:val="18"/>
          <w:u w:val="single" w:color="auto"/>
          <w:color w:val="auto"/>
        </w:rPr>
        <w:t>Revolving C Designated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w:t>
      </w:r>
      <w:r>
        <w:rPr>
          <w:rFonts w:ascii="Arial" w:cs="Arial" w:eastAsia="Arial" w:hAnsi="Arial"/>
          <w:sz w:val="18"/>
          <w:szCs w:val="18"/>
          <w:color w:val="auto"/>
        </w:rPr>
        <w:t>”), (e) the Obligations owed by a Revolving C Designated Borrower shall be several and not joint with the Obligations of the Company or of any Revolving A/B Designated Borrower, (f) no Revolving A/B Designated Borrower shall be obligated as a Guarantor under the Guaranty with respect to the</w:t>
      </w:r>
    </w:p>
    <w:p>
      <w:pPr>
        <w:spacing w:after="0" w:line="200" w:lineRule="exact"/>
        <w:rPr>
          <w:sz w:val="20"/>
          <w:szCs w:val="20"/>
          <w:color w:val="auto"/>
        </w:rPr>
      </w:pPr>
    </w:p>
    <w:p>
      <w:pPr>
        <w:spacing w:after="0" w:line="217"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0760"/>
          </w:cols>
          <w:pgMar w:left="900" w:top="771" w:right="239" w:bottom="1440" w:gutter="0" w:footer="0" w:header="0"/>
        </w:sectPr>
      </w:pPr>
    </w:p>
    <w:bookmarkStart w:id="211" w:name="page212"/>
    <w:bookmarkEnd w:id="211"/>
    <w:p>
      <w:pPr>
        <w:spacing w:after="0" w:line="289" w:lineRule="auto"/>
        <w:rPr>
          <w:sz w:val="20"/>
          <w:szCs w:val="20"/>
          <w:color w:val="auto"/>
        </w:rPr>
      </w:pPr>
      <w:r>
        <w:rPr>
          <w:rFonts w:ascii="Arial" w:cs="Arial" w:eastAsia="Arial" w:hAnsi="Arial"/>
          <w:sz w:val="20"/>
          <w:szCs w:val="20"/>
          <w:color w:val="auto"/>
        </w:rPr>
        <w:t>Obligations of any Revolving C Designated Borrower, and (g) no Revolving C Designated Borrower shall be obligated as a Guarantor under the Guaranty with respect to the Obligations of any Revolving A/B Designated Borrower.</w:t>
      </w:r>
    </w:p>
    <w:p>
      <w:pPr>
        <w:spacing w:after="0" w:line="175" w:lineRule="exact"/>
        <w:rPr>
          <w:sz w:val="20"/>
          <w:szCs w:val="20"/>
          <w:color w:val="auto"/>
        </w:rPr>
      </w:pPr>
    </w:p>
    <w:p>
      <w:pPr>
        <w:jc w:val="both"/>
        <w:ind w:firstLine="645"/>
        <w:spacing w:after="0" w:line="286" w:lineRule="auto"/>
        <w:tabs>
          <w:tab w:leader="none" w:pos="117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Each Subsidiary of the Company that is or becomes a “Designated Borrower”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to or taken by all Borrowers, or by each Borrower acting singly, shall be valid and effective if given to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82" w:lineRule="exact"/>
        <w:rPr>
          <w:rFonts w:ascii="Arial" w:cs="Arial" w:eastAsia="Arial" w:hAnsi="Arial"/>
          <w:sz w:val="19"/>
          <w:szCs w:val="19"/>
          <w:color w:val="auto"/>
        </w:rPr>
      </w:pPr>
    </w:p>
    <w:p>
      <w:pPr>
        <w:jc w:val="both"/>
        <w:ind w:firstLine="645"/>
        <w:spacing w:after="0" w:line="310" w:lineRule="auto"/>
        <w:tabs>
          <w:tab w:leader="none" w:pos="123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upon not less than ten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applicable Lenders of any such termination of a Designated Borrower’s status.</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w:t>
      </w:r>
    </w:p>
    <w:p>
      <w:pPr>
        <w:spacing w:after="0" w:line="243" w:lineRule="exact"/>
        <w:rPr>
          <w:sz w:val="20"/>
          <w:szCs w:val="20"/>
          <w:color w:val="auto"/>
        </w:rPr>
      </w:pPr>
    </w:p>
    <w:p>
      <w:pPr>
        <w:ind w:left="1040" w:hanging="395"/>
        <w:spacing w:after="0"/>
        <w:tabs>
          <w:tab w:leader="none" w:pos="10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On one or more occasions after the Third Amendment Effective Date, the Company may incur Refinancing Indebtedness.</w:t>
      </w:r>
    </w:p>
    <w:p>
      <w:pPr>
        <w:spacing w:after="0" w:line="265" w:lineRule="exact"/>
        <w:rPr>
          <w:rFonts w:ascii="Arial" w:cs="Arial" w:eastAsia="Arial" w:hAnsi="Arial"/>
          <w:sz w:val="18"/>
          <w:szCs w:val="18"/>
          <w:color w:val="auto"/>
        </w:rPr>
      </w:pPr>
    </w:p>
    <w:p>
      <w:pPr>
        <w:jc w:val="both"/>
        <w:ind w:firstLine="645"/>
        <w:spacing w:after="0" w:line="304" w:lineRule="auto"/>
        <w:tabs>
          <w:tab w:leader="none" w:pos="108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Lenders hereby authorize the Administrative Agent to enter into, and the Lenders agree that this Agreement and the other Loan Documents shall be amended by, any Refinancing Amendment entered into in connection with the incurrence of any Refinancing Indebtedness to the extent (and only to the extent) the Administrative Agent deems necessary in order to (i) reflect the existence and terms of such Refinancing Indebtedness being established pursuant to such Refinancing Amendment, (ii) make such other changes to this Agreement and the other Loan Documents consistent with the provisions and intent of such Refinancing Indebtedness, and (iii) effect such other amendments to this Agreement and the other Loan Documents as may be necessary or appropriate, in the reasonable opinion of the Administrative Agent, to effect the provisions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The Administrative Agent shall promptly notify each Lender as to the effectiveness of each Refinancing Amendment.</w:t>
      </w:r>
    </w:p>
    <w:p>
      <w:pPr>
        <w:spacing w:after="0" w:line="171" w:lineRule="exact"/>
        <w:rPr>
          <w:rFonts w:ascii="Arial" w:cs="Arial" w:eastAsia="Arial" w:hAnsi="Arial"/>
          <w:sz w:val="18"/>
          <w:szCs w:val="18"/>
          <w:color w:val="auto"/>
        </w:rPr>
      </w:pPr>
    </w:p>
    <w:p>
      <w:pPr>
        <w:jc w:val="both"/>
        <w:ind w:firstLine="645"/>
        <w:spacing w:after="0" w:line="322" w:lineRule="auto"/>
        <w:tabs>
          <w:tab w:leader="none" w:pos="112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effectiveness of any Refinancing Amendment pursuant to which any Refinancing Indebtedness is issued shall be subject to the receipt by the Administrative Agent of (i) to the extent requested by the Administrative Agent, customary opinions of legal counsel to the Loan Parties, addressed to the Administrative Agent and each Lender (including each Person providing</w:t>
      </w:r>
    </w:p>
    <w:p>
      <w:pPr>
        <w:spacing w:after="0" w:line="39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0760"/>
          </w:cols>
          <w:pgMar w:left="900" w:top="771" w:right="239" w:bottom="1440" w:gutter="0" w:footer="0" w:header="0"/>
        </w:sectPr>
      </w:pPr>
    </w:p>
    <w:bookmarkStart w:id="212" w:name="page213"/>
    <w:bookmarkEnd w:id="212"/>
    <w:p>
      <w:pPr>
        <w:ind w:left="4"/>
        <w:spacing w:after="0"/>
        <w:rPr>
          <w:sz w:val="20"/>
          <w:szCs w:val="20"/>
          <w:color w:val="auto"/>
        </w:rPr>
      </w:pPr>
      <w:r>
        <w:rPr>
          <w:rFonts w:ascii="Arial" w:cs="Arial" w:eastAsia="Arial" w:hAnsi="Arial"/>
          <w:sz w:val="18"/>
          <w:szCs w:val="18"/>
          <w:color w:val="auto"/>
        </w:rPr>
        <w:t>any portion of such Refinancing Indebtedness), dated as of the effective date of the incurrence of such Refinancing Indebtedness, and</w:t>
      </w:r>
    </w:p>
    <w:p>
      <w:pPr>
        <w:spacing w:after="0" w:line="50" w:lineRule="exact"/>
        <w:rPr>
          <w:sz w:val="20"/>
          <w:szCs w:val="20"/>
          <w:color w:val="auto"/>
        </w:rPr>
      </w:pPr>
    </w:p>
    <w:p>
      <w:pPr>
        <w:jc w:val="both"/>
        <w:ind w:left="4" w:hanging="4"/>
        <w:spacing w:after="0" w:line="278" w:lineRule="auto"/>
        <w:tabs>
          <w:tab w:leader="none" w:pos="32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such other documents and certificates it may reasonably request relating to the necessary authority for the incurrence of such Refinancing Indebtedness and the validity of such incurrence, and any other matters relevant thereto, all in form and substance reasonably satisfactory to the Administrative Agent.</w:t>
      </w:r>
    </w:p>
    <w:p>
      <w:pPr>
        <w:spacing w:after="0" w:line="187" w:lineRule="exact"/>
        <w:rPr>
          <w:sz w:val="20"/>
          <w:szCs w:val="20"/>
          <w:color w:val="auto"/>
        </w:rPr>
      </w:pPr>
    </w:p>
    <w:p>
      <w:pPr>
        <w:ind w:left="4"/>
        <w:spacing w:after="0"/>
        <w:tabs>
          <w:tab w:leader="none" w:pos="503"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6"/>
          <w:szCs w:val="16"/>
          <w:u w:val="single" w:color="auto"/>
          <w:color w:val="auto"/>
        </w:rPr>
        <w:t>Amend and Extend Transactions</w:t>
      </w:r>
      <w:r>
        <w:rPr>
          <w:rFonts w:ascii="Arial" w:cs="Arial" w:eastAsia="Arial" w:hAnsi="Arial"/>
          <w:sz w:val="16"/>
          <w:szCs w:val="16"/>
          <w:color w:val="auto"/>
        </w:rPr>
        <w:t>.</w:t>
      </w:r>
    </w:p>
    <w:p>
      <w:pPr>
        <w:spacing w:after="0" w:line="243" w:lineRule="exact"/>
        <w:rPr>
          <w:sz w:val="20"/>
          <w:szCs w:val="20"/>
          <w:color w:val="auto"/>
        </w:rPr>
      </w:pPr>
    </w:p>
    <w:p>
      <w:pPr>
        <w:jc w:val="both"/>
        <w:ind w:left="4" w:firstLine="645"/>
        <w:spacing w:after="0" w:line="301" w:lineRule="auto"/>
        <w:tabs>
          <w:tab w:leader="none" w:pos="11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may, by written notice to the Administrative Agent from time to time, request an extension (each, an “</w:t>
      </w:r>
      <w:r>
        <w:rPr>
          <w:rFonts w:ascii="Arial" w:cs="Arial" w:eastAsia="Arial" w:hAnsi="Arial"/>
          <w:sz w:val="18"/>
          <w:szCs w:val="18"/>
          <w:u w:val="single" w:color="auto"/>
          <w:color w:val="auto"/>
        </w:rPr>
        <w:t>Extension</w:t>
      </w:r>
      <w:r>
        <w:rPr>
          <w:rFonts w:ascii="Arial" w:cs="Arial" w:eastAsia="Arial" w:hAnsi="Arial"/>
          <w:sz w:val="18"/>
          <w:szCs w:val="18"/>
          <w:color w:val="auto"/>
        </w:rPr>
        <w:t>”) of the Maturity Date of any Loans (and, as applicable, the Commitments relating thereto) to the extended maturity date specified in such notice. Such notice shall set forth (i) the amount of the Revolving Commitments, Term Loans and/or Incremental Term Loans to be extended (which shall be in minimum increments of $1,000,000 and a minimum amount of $10,000,000), and (ii)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Each Lender holding the relevant Commitments and/or Loans to be extended shall be offered (an “</w:t>
      </w:r>
      <w:r>
        <w:rPr>
          <w:rFonts w:ascii="Arial" w:cs="Arial" w:eastAsia="Arial" w:hAnsi="Arial"/>
          <w:sz w:val="18"/>
          <w:szCs w:val="18"/>
          <w:u w:val="single" w:color="auto"/>
          <w:color w:val="auto"/>
        </w:rPr>
        <w:t>Extension Offer</w:t>
      </w:r>
      <w:r>
        <w:rPr>
          <w:rFonts w:ascii="Arial" w:cs="Arial" w:eastAsia="Arial" w:hAnsi="Arial"/>
          <w:sz w:val="18"/>
          <w:szCs w:val="18"/>
          <w:color w:val="auto"/>
        </w:rPr>
        <w:t>”) an opportunity to participate in such Extension on a pro rata basis and on the same terms and conditions as each other Lender pursuant to procedures established by, or reasonably acceptable to, the Administrative Agent. Any Lender approached to participate in such Extension may elect or decline, in its sole discretion, to participate in such Extension. If the aggregate principal amount of Revolving Commitments, Term Loans and/or Incremental Term Loans in respect of which Lenders shall have accepted the relevant Extension Offer shall exceed the maximum aggregate principal amount of Revolving Commitments, Term Loans and/or Incremental Term Loans, as applicable, subject to the Extension Offer as set forth in the Extension notice, then the Revolving Commitments, Term Loans and/or Incremental Term Loans, as applicable, of the applicable Lenders shall be extended ratably up to such maximum amount based on the respective principal amounts with respect to which such Lenders have accepted such Extension Offer.</w:t>
      </w:r>
    </w:p>
    <w:p>
      <w:pPr>
        <w:spacing w:after="0" w:line="171" w:lineRule="exact"/>
        <w:rPr>
          <w:rFonts w:ascii="Arial" w:cs="Arial" w:eastAsia="Arial" w:hAnsi="Arial"/>
          <w:sz w:val="18"/>
          <w:szCs w:val="18"/>
          <w:color w:val="auto"/>
        </w:rPr>
      </w:pPr>
    </w:p>
    <w:p>
      <w:pPr>
        <w:jc w:val="both"/>
        <w:ind w:left="4" w:firstLine="645"/>
        <w:spacing w:after="0" w:line="302" w:lineRule="auto"/>
        <w:tabs>
          <w:tab w:leader="none" w:pos="106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the other Loan Documents are true and correct in all material respects (and in all respects if any such representation or warranty is already qualified by materiality) on and as of the effective date of such Extension,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 and except that for purposes of this </w:t>
      </w:r>
      <w:r>
        <w:rPr>
          <w:rFonts w:ascii="Arial" w:cs="Arial" w:eastAsia="Arial" w:hAnsi="Arial"/>
          <w:sz w:val="18"/>
          <w:szCs w:val="18"/>
          <w:u w:val="single" w:color="auto"/>
          <w:color w:val="auto"/>
        </w:rPr>
        <w:t>Section 2.18(b)(ii)</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(iii) the L/C Issuer and the Swing Line Lender shall have consented to any Extension of the Revolving A Commitments or the Revolving B Commitments, as applicable, in each case to the extent that such Extension provides for the issuance or extension of Letters of Credit or making of Swing Line Loans at any time during the extended period, and (iv) the terms of such Extended Revolving Commitments and Extended Term Loans shall comply with </w:t>
      </w:r>
      <w:r>
        <w:rPr>
          <w:rFonts w:ascii="Arial" w:cs="Arial" w:eastAsia="Arial" w:hAnsi="Arial"/>
          <w:sz w:val="18"/>
          <w:szCs w:val="18"/>
          <w:u w:val="single" w:color="auto"/>
          <w:color w:val="auto"/>
        </w:rPr>
        <w:t>Section 2.18(c)</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0764"/>
          </w:cols>
          <w:pgMar w:left="896" w:top="771" w:right="239" w:bottom="1440" w:gutter="0" w:footer="0" w:header="0"/>
        </w:sectPr>
      </w:pPr>
    </w:p>
    <w:bookmarkStart w:id="213" w:name="page214"/>
    <w:bookmarkEnd w:id="213"/>
    <w:p>
      <w:pPr>
        <w:jc w:val="both"/>
        <w:ind w:left="660" w:firstLine="645"/>
        <w:spacing w:after="0" w:line="301" w:lineRule="auto"/>
        <w:tabs>
          <w:tab w:leader="none" w:pos="170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The terms of each Extension shall be determined by the Company and the applicable extending Lenders and set forth in an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final maturity date of any Extended Revolving Commitment or Extended Term Loan shall be no earlier than the Maturity Date for the Revolving Commitments so extended or the Term Loans or Incremental Term Loans so extended, as applicable, (ii)(A) there shall be no scheduled amortization of the loans or reductions of commitments under any Extended Revolving Commitments, and (B) the Weighted Average Life to Maturity of the Extended Term Loans shall be no shorter than the remaining Weighted Average Life to Maturity of the Term Loans or Incremental Term Loans so extended, (iii) the Extended Revolving Loans and the Extended Term Loans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with respect to security with the existing Revolving Loans, the existing Term Loans and the existing Incremental Term Loans and the borrower and guarantors of the Extended Revolving Credit Commitments or Extended Term Loans, as applicable, shall be the same as the Borrower and Guarantors with respect to the existing Revolving Loans, the existing Term Loans or the existing Incremental Term Loans, as applicable, (iv) the interest rate margin, rate floors, fees, original issue discount and premium applicable to any Extended Revolving Credit Commitment (and the Extended Revolving Loans thereunder) and Extended Term Loans shall be determined by the Company and the applicable extending Lenders, and (v) to the extent the terms of the Extended Revolving Commitments or Extended Term Loans are inconsistent with the terms set forth herein (except as set forth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such terms shall be reasonably satisfactory to the Administrative Agent.</w:t>
      </w:r>
    </w:p>
    <w:p>
      <w:pPr>
        <w:spacing w:after="0" w:line="171" w:lineRule="exact"/>
        <w:rPr>
          <w:rFonts w:ascii="Arial" w:cs="Arial" w:eastAsia="Arial" w:hAnsi="Arial"/>
          <w:sz w:val="18"/>
          <w:szCs w:val="18"/>
          <w:color w:val="auto"/>
        </w:rPr>
      </w:pPr>
    </w:p>
    <w:p>
      <w:pPr>
        <w:jc w:val="both"/>
        <w:ind w:left="660" w:firstLine="645"/>
        <w:spacing w:after="0" w:line="297" w:lineRule="auto"/>
        <w:tabs>
          <w:tab w:leader="none" w:pos="177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In connection with any Extension, the Company, the Administrative Agent and each applicable extending Lender shall execute and deliver to the Administrative Agent an Extension Amendment. The Lenders hereby authorize the Administrative Agent to enter into, and the Lenders agree that this Agreement and the other Loan Documents shall be amended by, any Extension Amendment entered into in connection with any Extension to the extent (and only to the extent) the Administrative Agent deems necessary in order to (i) reflect the existence and terms of such Extension, (ii) make such other changes to this Agreement and the other Loan Documents consistent with the provisions and intent of such Extension, and (iii) effect such other amendments to this Agreement and the other Loan Documents as may be necessary or appropriate, in the reasonable opinion of the Administrative Agent, to effect the provisions of this </w:t>
      </w:r>
      <w:r>
        <w:rPr>
          <w:rFonts w:ascii="Arial" w:cs="Arial" w:eastAsia="Arial" w:hAnsi="Arial"/>
          <w:sz w:val="18"/>
          <w:szCs w:val="18"/>
          <w:u w:val="single" w:color="auto"/>
          <w:color w:val="auto"/>
        </w:rPr>
        <w:t>Section 2.18</w:t>
      </w:r>
      <w:r>
        <w:rPr>
          <w:rFonts w:ascii="Arial" w:cs="Arial" w:eastAsia="Arial" w:hAnsi="Arial"/>
          <w:sz w:val="18"/>
          <w:szCs w:val="18"/>
          <w:color w:val="auto"/>
        </w:rPr>
        <w:t>. The Administrative Agent shall promptly notify each Lender as to the effectiveness of each Extension Amendment. The effectiveness of any Extension Amendment shall be subject to the receipt by the Administrative Agent of (A) to the extent requested by the Administrative Agent, customary opinions of legal counsel to the Loan Parties, addressed to the Administrative Agent and each Lender (including each Person providing any portion of such Extension) dated as of the effective date of such Extension, and</w:t>
      </w:r>
    </w:p>
    <w:p>
      <w:pPr>
        <w:spacing w:after="0" w:line="5" w:lineRule="exact"/>
        <w:rPr>
          <w:rFonts w:ascii="Arial" w:cs="Arial" w:eastAsia="Arial" w:hAnsi="Arial"/>
          <w:sz w:val="18"/>
          <w:szCs w:val="18"/>
          <w:color w:val="auto"/>
        </w:rPr>
      </w:pPr>
    </w:p>
    <w:p>
      <w:pPr>
        <w:ind w:left="660" w:right="20" w:hanging="4"/>
        <w:spacing w:after="0" w:line="316" w:lineRule="auto"/>
        <w:tabs>
          <w:tab w:leader="none" w:pos="97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such other documents and certificates it may reasonably request relating to the necessary authority for such Extension, and any other matters relevant thereto, all in form and substance reasonably satisfactory to the Administrative Agent.</w:t>
      </w:r>
    </w:p>
    <w:p>
      <w:pPr>
        <w:spacing w:after="0" w:line="15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8"/>
          <w:szCs w:val="18"/>
          <w:u w:val="single" w:color="auto"/>
          <w:color w:val="auto"/>
        </w:rPr>
        <w:t>ERISA Matters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As of the Third Amendment Effective Date, each Lender represents and warrants to the Administrative Agent, each Arranger, and each of their respective Affiliates, and not, for the avoidance of doubt, for the benefit of any Loan Party, that such Lender is not and will not be (a) an employee benefit plan subject to Title I of ERISA, (b) a plan or account subject to Section 4975 of the Internal Revenue Code, (c)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420"/>
          </w:cols>
          <w:pgMar w:left="240" w:top="771" w:right="239" w:bottom="1440" w:gutter="0" w:footer="0" w:header="0"/>
        </w:sectPr>
      </w:pPr>
    </w:p>
    <w:bookmarkStart w:id="214" w:name="page215"/>
    <w:bookmarkEnd w:id="214"/>
    <w:p>
      <w:pPr>
        <w:spacing w:after="0" w:line="260" w:lineRule="auto"/>
        <w:rPr>
          <w:sz w:val="20"/>
          <w:szCs w:val="20"/>
          <w:color w:val="auto"/>
        </w:rPr>
      </w:pPr>
      <w:r>
        <w:rPr>
          <w:rFonts w:ascii="Arial" w:cs="Arial" w:eastAsia="Arial" w:hAnsi="Arial"/>
          <w:sz w:val="20"/>
          <w:szCs w:val="20"/>
          <w:color w:val="auto"/>
        </w:rPr>
        <w:t>an entity deemed to hold “plan assets” of any such plans or accounts for purposes of ERISA or the Internal Revenue Code, or (d) a “governmental plan” within the meaning of ERISA.</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24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43" w:lineRule="exact"/>
        <w:rPr>
          <w:sz w:val="20"/>
          <w:szCs w:val="20"/>
          <w:color w:val="auto"/>
        </w:rPr>
      </w:pPr>
    </w:p>
    <w:p>
      <w:pPr>
        <w:ind w:left="1700" w:hanging="395"/>
        <w:spacing w:after="0"/>
        <w:tabs>
          <w:tab w:leader="none" w:pos="170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firstLine="653"/>
        <w:spacing w:after="0" w:line="272" w:lineRule="auto"/>
        <w:tabs>
          <w:tab w:leader="none" w:pos="2342" w:val="left"/>
        </w:tabs>
        <w:numPr>
          <w:ilvl w:val="1"/>
          <w:numId w:val="155"/>
        </w:numPr>
        <w:rPr>
          <w:rFonts w:ascii="Arial" w:cs="Arial" w:eastAsia="Arial" w:hAnsi="Arial"/>
          <w:sz w:val="20"/>
          <w:szCs w:val="20"/>
          <w:color w:val="auto"/>
        </w:rPr>
      </w:pPr>
      <w:r>
        <w:rPr>
          <w:rFonts w:ascii="Arial" w:cs="Arial" w:eastAsia="Arial" w:hAnsi="Arial"/>
          <w:sz w:val="20"/>
          <w:szCs w:val="20"/>
          <w:color w:val="auto"/>
        </w:rPr>
        <w:t>Any and all payments by or on account of any obligation of the Loan Parties hereunder or under any other Loan Document shall to the extent permitted by applicable Laws be made free and clear of and without reduction or withholding for any Taxes. If, however, applicable Laws require a Loan Party or the Administrative Agent to withhold or deduct any Tax, such Tax shall be withheld or deducted in accordance with such Laws as determined by such Loan Party or the Administrative Agent, as the case may be, upon the basis of the information and documentation to be delivered pursuant to subsection (e) below.</w:t>
      </w:r>
    </w:p>
    <w:p>
      <w:pPr>
        <w:spacing w:after="0" w:line="191" w:lineRule="exact"/>
        <w:rPr>
          <w:rFonts w:ascii="Arial" w:cs="Arial" w:eastAsia="Arial" w:hAnsi="Arial"/>
          <w:sz w:val="20"/>
          <w:szCs w:val="20"/>
          <w:color w:val="auto"/>
        </w:rPr>
      </w:pPr>
    </w:p>
    <w:p>
      <w:pPr>
        <w:jc w:val="both"/>
        <w:ind w:left="1300" w:firstLine="653"/>
        <w:spacing w:after="0" w:line="285" w:lineRule="auto"/>
        <w:tabs>
          <w:tab w:leader="none" w:pos="2437"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Internal Revenue Code, and (C) to the extent that the withholding or deduction is made on account of Indemnified Taxes or Other Taxes, the sum payable by such Loan Party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87" w:lineRule="exact"/>
        <w:rPr>
          <w:rFonts w:ascii="Arial" w:cs="Arial" w:eastAsia="Arial" w:hAnsi="Arial"/>
          <w:sz w:val="19"/>
          <w:szCs w:val="19"/>
          <w:color w:val="auto"/>
        </w:rPr>
      </w:pPr>
    </w:p>
    <w:p>
      <w:pPr>
        <w:jc w:val="both"/>
        <w:ind w:left="1300" w:firstLine="653"/>
        <w:spacing w:after="0" w:line="303" w:lineRule="auto"/>
        <w:tabs>
          <w:tab w:leader="none" w:pos="246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subsection (e)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or Other Taxes, the sum payable by such Loan Party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20"/>
          </w:cols>
          <w:pgMar w:left="240" w:top="758" w:right="239" w:bottom="1440" w:gutter="0" w:footer="0" w:header="0"/>
        </w:sectPr>
      </w:pPr>
    </w:p>
    <w:bookmarkStart w:id="215" w:name="page216"/>
    <w:bookmarkEnd w:id="215"/>
    <w:p>
      <w:pPr>
        <w:ind w:left="-540" w:right="20" w:firstLine="645"/>
        <w:spacing w:after="0" w:line="289" w:lineRule="auto"/>
        <w:tabs>
          <w:tab w:leader="none" w:pos="573"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Without limiting the provisions of subsection (a) above, the Loan Parties shall timely pay any Other Taxes to the relevant Governmental Authority in accordance with applicable Law.</w:t>
      </w:r>
    </w:p>
    <w:p>
      <w:pPr>
        <w:spacing w:after="0" w:line="175" w:lineRule="exact"/>
        <w:rPr>
          <w:rFonts w:ascii="Arial" w:cs="Arial" w:eastAsia="Arial" w:hAnsi="Arial"/>
          <w:sz w:val="20"/>
          <w:szCs w:val="20"/>
          <w:color w:val="auto"/>
        </w:rPr>
      </w:pPr>
    </w:p>
    <w:p>
      <w:pPr>
        <w:jc w:val="both"/>
        <w:ind w:left="100" w:firstLine="5"/>
        <w:spacing w:after="0" w:line="284" w:lineRule="auto"/>
        <w:tabs>
          <w:tab w:leader="none" w:pos="527"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 (i) Without limiting the provisions of subsection (a) or (b) above, the Loan Parties shall, and do hereby, jointly and severally, indemnify the Administrative Agent, each Lender and the L/C Issuer, and shall make payment in respect thereof within 10 days after demand therefor, for the full amount of any Indemnified Taxes or Other Taxes (including Indemnified Taxes or Other Taxes imposed or asserted on or attributable to amounts payable under this Section) withheld or deducted by each Borrower or the Administrative Agent or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The Loan Parties shall also, and do hereby, jointly and severally, indemnify the Administrative Agent, and shall make payment in respect thereof within 10 days after demand therefor, for any amount which a Lender or the L/C Issuer for any reason fails to pay indefeasibly to the Administrative Agent as required by clause (ii) of this subsection. A certificate as to the amount of any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190" w:lineRule="exact"/>
        <w:rPr>
          <w:rFonts w:ascii="Arial" w:cs="Arial" w:eastAsia="Arial" w:hAnsi="Arial"/>
          <w:sz w:val="19"/>
          <w:szCs w:val="19"/>
          <w:color w:val="auto"/>
        </w:rPr>
      </w:pPr>
    </w:p>
    <w:p>
      <w:pPr>
        <w:jc w:val="both"/>
        <w:ind w:left="100" w:firstLine="653"/>
        <w:spacing w:after="0" w:line="300" w:lineRule="auto"/>
        <w:tabs>
          <w:tab w:leader="none" w:pos="118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subsection (a) or (b) above, 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and all related losses, claims, liabilities, penalties, interest and expenses (including the fees, charges and disbursements of any counsel for such Borrower or the Administrative Agent),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w:t>
      </w:r>
    </w:p>
    <w:p>
      <w:pPr>
        <w:spacing w:after="0" w:line="200" w:lineRule="exact"/>
        <w:rPr>
          <w:sz w:val="20"/>
          <w:szCs w:val="20"/>
          <w:color w:val="auto"/>
        </w:rPr>
      </w:pPr>
    </w:p>
    <w:p>
      <w:pPr>
        <w:spacing w:after="0" w:line="22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0220"/>
          </w:cols>
          <w:pgMar w:left="1440" w:top="771" w:right="239" w:bottom="1440" w:gutter="0" w:footer="0" w:header="0"/>
        </w:sectPr>
      </w:pPr>
    </w:p>
    <w:bookmarkStart w:id="216" w:name="page217"/>
    <w:bookmarkEnd w:id="216"/>
    <w:p>
      <w:pPr>
        <w:ind w:left="100"/>
        <w:spacing w:after="0" w:line="289" w:lineRule="auto"/>
        <w:rPr>
          <w:sz w:val="20"/>
          <w:szCs w:val="20"/>
          <w:color w:val="auto"/>
        </w:rPr>
      </w:pPr>
      <w:r>
        <w:rPr>
          <w:rFonts w:ascii="Arial" w:cs="Arial" w:eastAsia="Arial" w:hAnsi="Arial"/>
          <w:sz w:val="20"/>
          <w:szCs w:val="20"/>
          <w:color w:val="auto"/>
        </w:rPr>
        <w:t>L/C Issuer, the termination of the Aggregate Commitments and the repayment, satisfaction or discharge of all other Obligations.</w:t>
      </w:r>
    </w:p>
    <w:p>
      <w:pPr>
        <w:spacing w:after="0" w:line="175" w:lineRule="exact"/>
        <w:rPr>
          <w:sz w:val="20"/>
          <w:szCs w:val="20"/>
          <w:color w:val="auto"/>
        </w:rPr>
      </w:pPr>
    </w:p>
    <w:p>
      <w:pPr>
        <w:jc w:val="both"/>
        <w:ind w:left="-540" w:firstLine="645"/>
        <w:spacing w:after="0" w:line="272" w:lineRule="auto"/>
        <w:tabs>
          <w:tab w:leader="none" w:pos="627"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Upon request by any Loan Party or the Administrative Agent, as the case may be, after any payment of Taxes by any Loan Party or by the Administrative Agent to a Governmental Authority as provided in this </w:t>
      </w:r>
      <w:r>
        <w:rPr>
          <w:rFonts w:ascii="Arial" w:cs="Arial" w:eastAsia="Arial" w:hAnsi="Arial"/>
          <w:sz w:val="20"/>
          <w:szCs w:val="20"/>
          <w:u w:val="single" w:color="auto"/>
          <w:color w:val="auto"/>
        </w:rPr>
        <w:t>Section 3.01</w:t>
      </w:r>
      <w:r>
        <w:rPr>
          <w:rFonts w:ascii="Arial" w:cs="Arial" w:eastAsia="Arial" w:hAnsi="Arial"/>
          <w:sz w:val="20"/>
          <w:szCs w:val="20"/>
          <w:color w:val="auto"/>
        </w:rPr>
        <w:t>, each Loan Party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91" w:lineRule="exact"/>
        <w:rPr>
          <w:rFonts w:ascii="Arial" w:cs="Arial" w:eastAsia="Arial" w:hAnsi="Arial"/>
          <w:sz w:val="20"/>
          <w:szCs w:val="20"/>
          <w:color w:val="auto"/>
        </w:rPr>
      </w:pPr>
    </w:p>
    <w:p>
      <w:pPr>
        <w:jc w:val="both"/>
        <w:ind w:left="100" w:firstLine="5"/>
        <w:spacing w:after="0" w:line="297" w:lineRule="auto"/>
        <w:tabs>
          <w:tab w:leader="none" w:pos="527"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 (i) Each Lender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a Borrower or the Administrative Agent, as the case may be, to determine (A) whether or not payments made hereunder or under any other Loan Documents are subject to Taxes,</w:t>
      </w:r>
    </w:p>
    <w:p>
      <w:pPr>
        <w:spacing w:after="0" w:line="2" w:lineRule="exact"/>
        <w:rPr>
          <w:rFonts w:ascii="Arial" w:cs="Arial" w:eastAsia="Arial" w:hAnsi="Arial"/>
          <w:sz w:val="18"/>
          <w:szCs w:val="18"/>
          <w:color w:val="auto"/>
        </w:rPr>
      </w:pPr>
    </w:p>
    <w:p>
      <w:pPr>
        <w:jc w:val="both"/>
        <w:ind w:left="100"/>
        <w:spacing w:after="0" w:line="322" w:lineRule="auto"/>
        <w:rPr>
          <w:rFonts w:ascii="Arial" w:cs="Arial" w:eastAsia="Arial" w:hAnsi="Arial"/>
          <w:sz w:val="18"/>
          <w:szCs w:val="18"/>
          <w:color w:val="auto"/>
        </w:rPr>
      </w:pPr>
      <w:r>
        <w:rPr>
          <w:rFonts w:ascii="Arial" w:cs="Arial" w:eastAsia="Arial" w:hAnsi="Arial"/>
          <w:sz w:val="18"/>
          <w:szCs w:val="18"/>
          <w:color w:val="auto"/>
        </w:rPr>
        <w:t>(B) if applicable, the required rate of withholding or deduction, and (C) such Lender’s entitlement to any available exemption from, or reduction of, applicable Taxes in respect of all payments to be made to such Lender by a Borrower pursuant to this Agreement or otherwise to establish such Lender’s status for withholding tax purposes in the applicable jurisdiction.</w:t>
      </w:r>
    </w:p>
    <w:p>
      <w:pPr>
        <w:spacing w:after="0" w:line="152" w:lineRule="exact"/>
        <w:rPr>
          <w:rFonts w:ascii="Arial" w:cs="Arial" w:eastAsia="Arial" w:hAnsi="Arial"/>
          <w:sz w:val="18"/>
          <w:szCs w:val="18"/>
          <w:color w:val="auto"/>
        </w:rPr>
      </w:pPr>
    </w:p>
    <w:p>
      <w:pPr>
        <w:ind w:left="1120" w:hanging="367"/>
        <w:spacing w:after="0"/>
        <w:tabs>
          <w:tab w:leader="none" w:pos="112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if a Borrower is a U.S. Person,</w:t>
      </w:r>
    </w:p>
    <w:p>
      <w:pPr>
        <w:spacing w:after="0" w:line="242" w:lineRule="exact"/>
        <w:rPr>
          <w:rFonts w:ascii="Arial" w:cs="Arial" w:eastAsia="Arial" w:hAnsi="Arial"/>
          <w:sz w:val="20"/>
          <w:szCs w:val="20"/>
          <w:color w:val="auto"/>
        </w:rPr>
      </w:pPr>
    </w:p>
    <w:p>
      <w:pPr>
        <w:jc w:val="both"/>
        <w:ind w:left="760" w:firstLine="641"/>
        <w:spacing w:after="0" w:line="256" w:lineRule="exact"/>
        <w:tabs>
          <w:tab w:leader="none" w:pos="1917"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Company and the Administrative Agent executed originals of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9 or such other documentation or information prescribed by applicable Laws or reasonably requested by the Company or the Administrative Agent as will establish such Lender’s entitlement to an exemption from backup withholding tax and will enable the Company or the Administrative Agent, as the case may be, to determine whether or not such Lender is subject to information reporting requirements;</w:t>
      </w:r>
    </w:p>
    <w:p>
      <w:pPr>
        <w:spacing w:after="0" w:line="222" w:lineRule="exact"/>
        <w:rPr>
          <w:rFonts w:ascii="Arial" w:cs="Arial" w:eastAsia="Arial" w:hAnsi="Arial"/>
          <w:sz w:val="18"/>
          <w:szCs w:val="18"/>
          <w:color w:val="auto"/>
        </w:rPr>
      </w:pPr>
    </w:p>
    <w:p>
      <w:pPr>
        <w:jc w:val="both"/>
        <w:ind w:left="760" w:firstLine="641"/>
        <w:spacing w:after="0" w:line="288" w:lineRule="auto"/>
        <w:tabs>
          <w:tab w:leader="none" w:pos="1960" w:val="left"/>
        </w:tabs>
        <w:numPr>
          <w:ilvl w:val="2"/>
          <w:numId w:val="157"/>
        </w:numPr>
        <w:rPr>
          <w:rFonts w:ascii="Arial" w:cs="Arial" w:eastAsia="Arial" w:hAnsi="Arial"/>
          <w:sz w:val="19"/>
          <w:szCs w:val="19"/>
          <w:color w:val="auto"/>
        </w:rPr>
      </w:pPr>
      <w:r>
        <w:rPr>
          <w:rFonts w:ascii="Arial" w:cs="Arial" w:eastAsia="Arial" w:hAnsi="Arial"/>
          <w:sz w:val="19"/>
          <w:szCs w:val="19"/>
          <w:color w:val="auto"/>
        </w:rPr>
        <w:t>each Foreign Lender that is entitled under the Internal Revenue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under this Agreement (and from time to time thereafter upon the request of the Company or the Administrative Agent, but only if such Foreign Lender is legally entitled to do so), whichever of the following is applicable:</w:t>
      </w: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0220"/>
          </w:cols>
          <w:pgMar w:left="1440" w:top="771" w:right="239" w:bottom="1440" w:gutter="0" w:footer="0" w:header="0"/>
        </w:sectPr>
      </w:pPr>
    </w:p>
    <w:bookmarkStart w:id="217" w:name="page218"/>
    <w:bookmarkEnd w:id="217"/>
    <w:p>
      <w:pPr>
        <w:ind w:left="1400" w:right="20" w:firstLine="649"/>
        <w:spacing w:after="0" w:line="253" w:lineRule="exact"/>
        <w:tabs>
          <w:tab w:leader="none" w:pos="24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executed originals of Internal Revenue Service Form W</w:t>
      </w:r>
      <w:r>
        <w:rPr>
          <w:rFonts w:ascii="MS PGothic" w:cs="MS PGothic" w:eastAsia="MS PGothic" w:hAnsi="MS PGothic"/>
          <w:sz w:val="20"/>
          <w:szCs w:val="20"/>
          <w:color w:val="auto"/>
        </w:rPr>
        <w:t>‑</w:t>
      </w:r>
      <w:r>
        <w:rPr>
          <w:rFonts w:ascii="Arial" w:cs="Arial" w:eastAsia="Arial" w:hAnsi="Arial"/>
          <w:sz w:val="20"/>
          <w:szCs w:val="20"/>
          <w:color w:val="auto"/>
        </w:rPr>
        <w:t>8BEN claiming eligibility for benefits of an income tax treaty to which the United States is a party,</w:t>
      </w:r>
    </w:p>
    <w:p>
      <w:pPr>
        <w:spacing w:after="0" w:line="223" w:lineRule="exact"/>
        <w:rPr>
          <w:sz w:val="20"/>
          <w:szCs w:val="20"/>
          <w:color w:val="auto"/>
        </w:rPr>
      </w:pPr>
    </w:p>
    <w:p>
      <w:pPr>
        <w:ind w:left="2040"/>
        <w:spacing w:after="0" w:line="230" w:lineRule="exact"/>
        <w:tabs>
          <w:tab w:leader="none" w:pos="248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executed originals of Internal Revenue Service Form W</w:t>
      </w:r>
      <w:r>
        <w:rPr>
          <w:rFonts w:ascii="MS PGothic" w:cs="MS PGothic" w:eastAsia="MS PGothic" w:hAnsi="MS PGothic"/>
          <w:sz w:val="18"/>
          <w:szCs w:val="18"/>
          <w:color w:val="auto"/>
        </w:rPr>
        <w:t>‑</w:t>
      </w:r>
      <w:r>
        <w:rPr>
          <w:rFonts w:ascii="Arial" w:cs="Arial" w:eastAsia="Arial" w:hAnsi="Arial"/>
          <w:sz w:val="18"/>
          <w:szCs w:val="18"/>
          <w:color w:val="auto"/>
        </w:rPr>
        <w:t>8ECI,</w:t>
      </w:r>
    </w:p>
    <w:p>
      <w:pPr>
        <w:spacing w:after="0" w:line="243" w:lineRule="exact"/>
        <w:rPr>
          <w:sz w:val="20"/>
          <w:szCs w:val="20"/>
          <w:color w:val="auto"/>
        </w:rPr>
      </w:pPr>
    </w:p>
    <w:p>
      <w:pPr>
        <w:ind w:left="2680" w:hanging="631"/>
        <w:spacing w:after="0" w:line="219" w:lineRule="exact"/>
        <w:tabs>
          <w:tab w:leader="none" w:pos="268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executed originals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8IMY and all required supporting</w:t>
      </w:r>
    </w:p>
    <w:p>
      <w:pPr>
        <w:spacing w:after="0" w:line="38" w:lineRule="exact"/>
        <w:rPr>
          <w:rFonts w:ascii="Arial" w:cs="Arial" w:eastAsia="Arial" w:hAnsi="Arial"/>
          <w:sz w:val="19"/>
          <w:szCs w:val="19"/>
          <w:color w:val="auto"/>
        </w:rPr>
      </w:pPr>
    </w:p>
    <w:p>
      <w:pPr>
        <w:ind w:left="1400"/>
        <w:spacing w:after="0"/>
        <w:rPr>
          <w:rFonts w:ascii="Arial" w:cs="Arial" w:eastAsia="Arial" w:hAnsi="Arial"/>
          <w:sz w:val="19"/>
          <w:szCs w:val="19"/>
          <w:color w:val="auto"/>
        </w:rPr>
      </w:pPr>
      <w:r>
        <w:rPr>
          <w:rFonts w:ascii="Arial" w:cs="Arial" w:eastAsia="Arial" w:hAnsi="Arial"/>
          <w:sz w:val="20"/>
          <w:szCs w:val="20"/>
          <w:color w:val="auto"/>
        </w:rPr>
        <w:t>documentation,</w:t>
      </w:r>
    </w:p>
    <w:p>
      <w:pPr>
        <w:spacing w:after="0" w:line="243" w:lineRule="exact"/>
        <w:rPr>
          <w:sz w:val="20"/>
          <w:szCs w:val="20"/>
          <w:color w:val="auto"/>
        </w:rPr>
      </w:pPr>
    </w:p>
    <w:p>
      <w:pPr>
        <w:jc w:val="both"/>
        <w:ind w:left="1400" w:firstLine="648"/>
        <w:spacing w:after="0" w:line="255" w:lineRule="exact"/>
        <w:rPr>
          <w:sz w:val="20"/>
          <w:szCs w:val="20"/>
          <w:color w:val="auto"/>
        </w:rPr>
      </w:pPr>
      <w:r>
        <w:rPr>
          <w:rFonts w:ascii="Arial" w:cs="Arial" w:eastAsia="Arial" w:hAnsi="Arial"/>
          <w:sz w:val="19"/>
          <w:szCs w:val="19"/>
          <w:color w:val="auto"/>
        </w:rPr>
        <w:t>(IV) in the case of a Foreign Lender claiming the benefits of the exemption for portfolio interest under section 881(c) of the Internal Revenue Code, (x) a certificate to the effect that such Foreign Lender is not (A) a “bank” within the meaning of section 881(c)(3)(A) of the Internal Revenue Code, (B) a “10 percent shareholder” of the applicable Borrower within the meaning of section 881(c)(3)(B) of the Internal Revenue Code, or (C) a “controlled foreign corporation” described in section 881(c)(3)(C) of the Internal Revenue Code and (y) executed originals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8BEN, or</w:t>
      </w:r>
    </w:p>
    <w:p>
      <w:pPr>
        <w:spacing w:after="0" w:line="226" w:lineRule="exact"/>
        <w:rPr>
          <w:sz w:val="20"/>
          <w:szCs w:val="20"/>
          <w:color w:val="auto"/>
        </w:rPr>
      </w:pPr>
    </w:p>
    <w:p>
      <w:pPr>
        <w:jc w:val="both"/>
        <w:ind w:left="1400" w:firstLine="649"/>
        <w:spacing w:after="0" w:line="293" w:lineRule="auto"/>
        <w:tabs>
          <w:tab w:leader="none" w:pos="2625" w:val="left"/>
        </w:tabs>
        <w:numPr>
          <w:ilvl w:val="2"/>
          <w:numId w:val="160"/>
        </w:numPr>
        <w:rPr>
          <w:rFonts w:ascii="Arial" w:cs="Arial" w:eastAsia="Arial" w:hAnsi="Arial"/>
          <w:sz w:val="19"/>
          <w:szCs w:val="19"/>
          <w:color w:val="auto"/>
        </w:rPr>
      </w:pPr>
      <w:r>
        <w:rPr>
          <w:rFonts w:ascii="Arial" w:cs="Arial" w:eastAsia="Arial" w:hAnsi="Arial"/>
          <w:sz w:val="19"/>
          <w:szCs w:val="19"/>
          <w:color w:val="auto"/>
        </w:rPr>
        <w:t>executed originals of any other form prescribed by applicable Laws as a basis for claiming exemption from or a reduction in United States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5" w:lineRule="exact"/>
        <w:rPr>
          <w:rFonts w:ascii="Arial" w:cs="Arial" w:eastAsia="Arial" w:hAnsi="Arial"/>
          <w:sz w:val="19"/>
          <w:szCs w:val="19"/>
          <w:color w:val="auto"/>
        </w:rPr>
      </w:pPr>
    </w:p>
    <w:p>
      <w:pPr>
        <w:jc w:val="both"/>
        <w:ind w:left="760" w:firstLine="641"/>
        <w:spacing w:after="0" w:line="285" w:lineRule="auto"/>
        <w:tabs>
          <w:tab w:leader="none" w:pos="1879" w:val="left"/>
        </w:tabs>
        <w:numPr>
          <w:ilvl w:val="1"/>
          <w:numId w:val="161"/>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Internal Revenue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(C), “FATCA” shall include any amendments made to FATCA after the Third Amendment Effective Date.</w:t>
      </w:r>
    </w:p>
    <w:p>
      <w:pPr>
        <w:spacing w:after="0" w:line="184" w:lineRule="exact"/>
        <w:rPr>
          <w:rFonts w:ascii="Arial" w:cs="Arial" w:eastAsia="Arial" w:hAnsi="Arial"/>
          <w:sz w:val="19"/>
          <w:szCs w:val="19"/>
          <w:color w:val="auto"/>
        </w:rPr>
      </w:pPr>
    </w:p>
    <w:p>
      <w:pPr>
        <w:jc w:val="both"/>
        <w:ind w:left="100" w:firstLine="653"/>
        <w:spacing w:after="0" w:line="278" w:lineRule="auto"/>
        <w:tabs>
          <w:tab w:leader="none" w:pos="1399"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Each Lender shall promptly (A) notify the Company and the Administrative Agent of any change in circumstances which would modify or render invalid any claimed exemption or reduction, and (B) take such steps as shall not be materially disadvantageous</w:t>
      </w: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0220"/>
          </w:cols>
          <w:pgMar w:left="1440" w:top="771" w:right="239" w:bottom="1440" w:gutter="0" w:footer="0" w:header="0"/>
        </w:sectPr>
      </w:pPr>
    </w:p>
    <w:bookmarkStart w:id="218" w:name="page219"/>
    <w:bookmarkEnd w:id="218"/>
    <w:p>
      <w:pPr>
        <w:jc w:val="both"/>
        <w:ind w:left="1300"/>
        <w:spacing w:after="0" w:line="254" w:lineRule="exact"/>
        <w:rPr>
          <w:sz w:val="20"/>
          <w:szCs w:val="20"/>
          <w:color w:val="auto"/>
        </w:rPr>
      </w:pPr>
      <w:r>
        <w:rPr>
          <w:rFonts w:ascii="Arial" w:cs="Arial" w:eastAsia="Arial" w:hAnsi="Arial"/>
          <w:sz w:val="19"/>
          <w:szCs w:val="19"/>
          <w:color w:val="auto"/>
        </w:rPr>
        <w:t>to it, in the reasonable judgment of such Lender, and as may be reasonably necessary (including the re</w:t>
      </w:r>
      <w:r>
        <w:rPr>
          <w:rFonts w:ascii="MS PGothic" w:cs="MS PGothic" w:eastAsia="MS PGothic" w:hAnsi="MS PGothic"/>
          <w:sz w:val="19"/>
          <w:szCs w:val="19"/>
          <w:color w:val="auto"/>
        </w:rPr>
        <w:t>‑</w:t>
      </w:r>
      <w:r>
        <w:rPr>
          <w:rFonts w:ascii="Arial" w:cs="Arial" w:eastAsia="Arial" w:hAnsi="Arial"/>
          <w:sz w:val="19"/>
          <w:szCs w:val="19"/>
          <w:color w:val="auto"/>
        </w:rPr>
        <w:t>designation of its Lending Office) to avoid any requirement of applicable Laws of any jurisdiction that any Borrower or the Administrative Agent make any withholding or deduction for taxes from amounts payable to such Lender.</w:t>
      </w:r>
    </w:p>
    <w:p>
      <w:pPr>
        <w:spacing w:after="0" w:line="224" w:lineRule="exact"/>
        <w:rPr>
          <w:sz w:val="20"/>
          <w:szCs w:val="20"/>
          <w:color w:val="auto"/>
        </w:rPr>
      </w:pPr>
    </w:p>
    <w:p>
      <w:pPr>
        <w:jc w:val="both"/>
        <w:ind w:left="660" w:firstLine="645"/>
        <w:spacing w:after="0" w:line="257" w:lineRule="exact"/>
        <w:tabs>
          <w:tab w:leader="none" w:pos="17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that it has received a refund of any Taxes or Other Taxes as to which it has been indemnified by any Loan Party or with respect to which any Loan Party has paid additional amounts pursuant to this Section, it shall pay to such Loan Party an amount equal to such refund (but only to the extent of indemnity payments made, or additional amounts paid, by such Loan Party under this Section with respect to the Taxes or Other Taxes giving rise to such refund), net of all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 xml:space="preserve">pocket expenses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Loan Party, upon the request of the Administrative Agent, such Lender or the L/C Issuer, agrees to repay the amount paid over to such Loan Party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any Borrower or any other Person.</w:t>
      </w:r>
    </w:p>
    <w:p>
      <w:pPr>
        <w:spacing w:after="0" w:line="2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If any Lender determines that any Law has made it unlawful, or that any Governmental Authority has asserted that it is unlawful, for any Lender or its applicable Lending Office to make, maintain or fund Loans whose interest is determined by reference to the Eurocurrency Rate (whether denominated in Dollars or in any other currency) or the Daily Floating Eurocurrency Rate, or to determine or charge interest rates based upon the Eurocurrency Rate or the Daily Floating Eurocurrency Rate, or any Governmental Authority has imposed material restrictions on the authority of such Lender to purchase or sell, or to take deposits of, Dollars or any other currency in the applicable interbank market, then, on notice thereof by such Lender to the Company through the Administrative Agent, (i) any obligation of such Lender to make or continue Eurocurrency Rate Loans in the affected currency or currencies or Domestic Swing Line Loans or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420"/>
          </w:cols>
          <w:pgMar w:left="240" w:top="771" w:right="239" w:bottom="1440" w:gutter="0" w:footer="0" w:header="0"/>
        </w:sectPr>
      </w:pPr>
    </w:p>
    <w:bookmarkStart w:id="219" w:name="page220"/>
    <w:bookmarkEnd w:id="219"/>
    <w:p>
      <w:pPr>
        <w:jc w:val="both"/>
        <w:spacing w:after="0" w:line="273" w:lineRule="auto"/>
        <w:rPr>
          <w:sz w:val="20"/>
          <w:szCs w:val="20"/>
          <w:color w:val="auto"/>
        </w:rPr>
      </w:pPr>
      <w:r>
        <w:rPr>
          <w:rFonts w:ascii="Arial" w:cs="Arial" w:eastAsia="Arial" w:hAnsi="Arial"/>
          <w:sz w:val="18"/>
          <w:szCs w:val="18"/>
          <w:color w:val="auto"/>
        </w:rPr>
        <w:t>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(y) the Borrowers shall, upon demand from the Swing Line Lender (with a copy to the Administrative Agent), prepay all Domestic Swing Line Loans and (z)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8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4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If in connection with any request for a Eurocurrency Rate Loan or a conversion to or continuation thereof, or in connection with any request for a Domestic Swing Line Loan, (a) (i) the Administrative Agent determines that (A) deposits (whether in Dollars or in any other applicable currency) are not being offered to banks in the applicable offshore interbank market for such currency for the applicable amount and Interest Period of such Eurocurrency Rate Loan, or (B) Dollar deposits are not being offered to banks in the London interbank eurodollar market for the applicable amount of such Domestic Swing Line Loans, or (ii) adequate and reasonable means do not exist for determining (A) the Eurocurrency Base Rate for any requested Interest Period with respect to a proposed Eurocurrency Rate Loan (whether denominated in Dollars or in any other applicable currency) or in connection with an existing or proposed Base Rate Loan or (B) the Daily Floating Eurocurrency Rate for any proposed Domestic Swing Line Loan (in each case with respect to clause (a) above, “</w:t>
      </w:r>
      <w:r>
        <w:rPr>
          <w:rFonts w:ascii="Arial" w:cs="Arial" w:eastAsia="Arial" w:hAnsi="Arial"/>
          <w:sz w:val="19"/>
          <w:szCs w:val="19"/>
          <w:u w:val="single" w:color="auto"/>
          <w:color w:val="auto"/>
        </w:rPr>
        <w:t>Impacted Loans</w:t>
      </w:r>
      <w:r>
        <w:rPr>
          <w:rFonts w:ascii="Arial" w:cs="Arial" w:eastAsia="Arial" w:hAnsi="Arial"/>
          <w:sz w:val="19"/>
          <w:szCs w:val="19"/>
          <w:color w:val="auto"/>
        </w:rPr>
        <w:t>”), or (b) the Administrative Agent or the Required Lenders determine that for any reason the Eurocurrency Rate for any requested Interest Period with respect to a proposed Eurocurrency Rate Loan or the Daily Floating Eurocurrency Rate with respect to a proposed Domestic Swing Line Loan does not adequately and fairly reflect the cost to such Lenders of funding such Loan, the Administrative Agent will promptly so notify the Company and each Lender. Thereafter, (x) the obligation of the Lenders to make or maintain Eurocurrency Rate Loans in the affected currency or currencies shall be suspended (to the extent of the affected Eurocurrency Rate Loans or Interest Periods), (y) the obligation of the Swing Line Lender to make or maintain Domestic Swing Line Loans shall be suspended, and (z)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the Company may revoke any pending request for a Borrowing of, conversion to or continuation of Eurocurrency Rate Loans in the affected currency or currencies (to the extent of the affected Eurocurrency Rate Loans or Interest Periods) or Domestic Swing Line Loans or, failing that, will be deemed to have converted such request into a request for a Borrowing of Base Rate Loans in the amount specified therein to the extent available (or, in the case of a pending request for a Loan denominated in an Alternative Currency, Australian Dollars or New Zealand Dollars the Company and the Lenders may establish a mutually acceptable alternative rate).</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the foregoing, if the Administrative Agent has made the determination described in this section, the Administrative Agent, in consultation with the Company and (except in the case of Domestic Swingline Loans) the Required Lenders, may establish an alternative interest rate for the Impacted Loans</w:t>
      </w:r>
      <w:r>
        <w:rPr>
          <w:rFonts w:ascii="Arial" w:cs="Arial" w:eastAsia="Arial" w:hAnsi="Arial"/>
          <w:sz w:val="20"/>
          <w:szCs w:val="20"/>
          <w:b w:val="1"/>
          <w:bCs w:val="1"/>
          <w:color w:val="auto"/>
        </w:rPr>
        <w:t>,</w:t>
      </w:r>
      <w:r>
        <w:rPr>
          <w:rFonts w:ascii="Arial" w:cs="Arial" w:eastAsia="Arial" w:hAnsi="Arial"/>
          <w:sz w:val="20"/>
          <w:szCs w:val="20"/>
          <w:color w:val="auto"/>
        </w:rPr>
        <w:t xml:space="preserve"> in which case, such alternative rate of interest shall apply with respect to the Impacted Loans until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420"/>
          </w:cols>
          <w:pgMar w:left="240" w:top="758" w:right="239" w:bottom="1440" w:gutter="0" w:footer="0" w:header="0"/>
        </w:sectPr>
      </w:pPr>
    </w:p>
    <w:bookmarkStart w:id="220" w:name="page221"/>
    <w:bookmarkEnd w:id="220"/>
    <w:p>
      <w:pPr>
        <w:jc w:val="both"/>
        <w:ind w:firstLine="8"/>
        <w:spacing w:after="0" w:line="258" w:lineRule="auto"/>
        <w:tabs>
          <w:tab w:leader="none" w:pos="30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Administrative Agent revokes the notice delivered with respect to the Impacted Loans under clause (a) of the first sentence of this section, (2) the Administrative Agent or the Required Lenders notify the Administrative Agent and the Company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243" w:lineRule="exact"/>
        <w:rPr>
          <w:sz w:val="20"/>
          <w:szCs w:val="20"/>
          <w:color w:val="auto"/>
        </w:rPr>
      </w:pPr>
    </w:p>
    <w:p>
      <w:pPr>
        <w:ind w:left="1700" w:hanging="395"/>
        <w:spacing w:after="0"/>
        <w:tabs>
          <w:tab w:leader="none" w:pos="170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42" w:lineRule="exact"/>
        <w:rPr>
          <w:rFonts w:ascii="Arial" w:cs="Arial" w:eastAsia="Arial" w:hAnsi="Arial"/>
          <w:sz w:val="20"/>
          <w:szCs w:val="20"/>
          <w:color w:val="auto"/>
        </w:rPr>
      </w:pPr>
    </w:p>
    <w:p>
      <w:pPr>
        <w:jc w:val="both"/>
        <w:ind w:left="1300" w:firstLine="653"/>
        <w:spacing w:after="0" w:line="297" w:lineRule="auto"/>
        <w:tabs>
          <w:tab w:leader="none" w:pos="2396"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w:t>
      </w:r>
    </w:p>
    <w:p>
      <w:pPr>
        <w:jc w:val="both"/>
        <w:ind w:left="1300"/>
        <w:spacing w:after="0" w:line="278" w:lineRule="auto"/>
        <w:rPr>
          <w:rFonts w:ascii="Arial" w:cs="Arial" w:eastAsia="Arial" w:hAnsi="Arial"/>
          <w:sz w:val="18"/>
          <w:szCs w:val="18"/>
          <w:color w:val="auto"/>
        </w:rPr>
      </w:pPr>
      <w:r>
        <w:rPr>
          <w:rFonts w:ascii="Arial" w:cs="Arial" w:eastAsia="Arial" w:hAnsi="Arial"/>
          <w:sz w:val="20"/>
          <w:szCs w:val="20"/>
          <w:color w:val="auto"/>
        </w:rPr>
        <w:t>(A) any reserve requirement reflected in the Eurocurrency Rate and (B) the requirements of the Bank of England and the Financial Services Authority or the European Central Bank reflected in the Mandatory Cost, other than as set forth below) or the L/C Issuer;</w:t>
      </w:r>
    </w:p>
    <w:p>
      <w:pPr>
        <w:spacing w:after="0" w:line="186" w:lineRule="exact"/>
        <w:rPr>
          <w:rFonts w:ascii="Arial" w:cs="Arial" w:eastAsia="Arial" w:hAnsi="Arial"/>
          <w:sz w:val="18"/>
          <w:szCs w:val="18"/>
          <w:color w:val="auto"/>
        </w:rPr>
      </w:pPr>
    </w:p>
    <w:p>
      <w:pPr>
        <w:jc w:val="both"/>
        <w:ind w:left="1300" w:firstLine="653"/>
        <w:spacing w:after="0" w:line="314" w:lineRule="auto"/>
        <w:tabs>
          <w:tab w:leader="none" w:pos="237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subject any Lender or the L/C Issuer to any tax of any kind whatsoever with respect to this Agreement, any Letter of Credit, any participation in a Letter of Credit or any Loan made by it, or change the basis of taxation of payments to such Lender or the L/C Issuer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 the L/C Issuer);</w:t>
      </w:r>
    </w:p>
    <w:p>
      <w:pPr>
        <w:spacing w:after="0" w:line="159" w:lineRule="exact"/>
        <w:rPr>
          <w:rFonts w:ascii="Arial" w:cs="Arial" w:eastAsia="Arial" w:hAnsi="Arial"/>
          <w:sz w:val="18"/>
          <w:szCs w:val="18"/>
          <w:color w:val="auto"/>
        </w:rPr>
      </w:pPr>
    </w:p>
    <w:p>
      <w:pPr>
        <w:jc w:val="both"/>
        <w:ind w:left="1300" w:firstLine="653"/>
        <w:spacing w:after="0" w:line="278" w:lineRule="auto"/>
        <w:tabs>
          <w:tab w:leader="none" w:pos="2533" w:val="left"/>
        </w:tabs>
        <w:numPr>
          <w:ilvl w:val="1"/>
          <w:numId w:val="165"/>
        </w:numPr>
        <w:rPr>
          <w:rFonts w:ascii="Arial" w:cs="Arial" w:eastAsia="Arial" w:hAnsi="Arial"/>
          <w:sz w:val="20"/>
          <w:szCs w:val="20"/>
          <w:color w:val="auto"/>
        </w:rPr>
      </w:pPr>
      <w:r>
        <w:rPr>
          <w:rFonts w:ascii="Arial" w:cs="Arial" w:eastAsia="Arial" w:hAnsi="Arial"/>
          <w:sz w:val="20"/>
          <w:szCs w:val="20"/>
          <w:color w:val="auto"/>
        </w:rPr>
        <w:t>result in the failure of the Mandatory Cost, as calculated hereunder, to represent the cost to any Lender of complying with the requirements of the Bank of England and/or the Financial Services Authority or the European Central Bank in relation to its making, funding or maintaining Eurocurrency Rate Loans; or</w:t>
      </w:r>
    </w:p>
    <w:p>
      <w:pPr>
        <w:spacing w:after="0" w:line="186" w:lineRule="exact"/>
        <w:rPr>
          <w:rFonts w:ascii="Arial" w:cs="Arial" w:eastAsia="Arial" w:hAnsi="Arial"/>
          <w:sz w:val="20"/>
          <w:szCs w:val="20"/>
          <w:color w:val="auto"/>
        </w:rPr>
      </w:pPr>
    </w:p>
    <w:p>
      <w:pPr>
        <w:jc w:val="both"/>
        <w:ind w:left="1300" w:firstLine="653"/>
        <w:spacing w:after="0" w:line="278" w:lineRule="auto"/>
        <w:tabs>
          <w:tab w:leader="none" w:pos="256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impose on any Lender or the L/C Issuer or the London (or other applicable) interbank market any other condition, cost or expense affecting this Agreement or Loans made by such Lender or any Letter of Credit or participation therein;</w:t>
      </w:r>
    </w:p>
    <w:p>
      <w:pPr>
        <w:spacing w:after="0" w:line="186" w:lineRule="exact"/>
        <w:rPr>
          <w:rFonts w:ascii="Arial" w:cs="Arial" w:eastAsia="Arial" w:hAnsi="Arial"/>
          <w:sz w:val="20"/>
          <w:szCs w:val="20"/>
          <w:color w:val="auto"/>
        </w:rPr>
      </w:pPr>
    </w:p>
    <w:p>
      <w:pPr>
        <w:jc w:val="both"/>
        <w:ind w:left="1300" w:firstLine="653"/>
        <w:spacing w:after="0" w:line="287" w:lineRule="auto"/>
        <w:tabs>
          <w:tab w:leader="none" w:pos="2453" w:val="left"/>
        </w:tabs>
        <w:numPr>
          <w:ilvl w:val="1"/>
          <w:numId w:val="165"/>
        </w:numPr>
        <w:rPr>
          <w:rFonts w:ascii="Arial" w:cs="Arial" w:eastAsia="Arial" w:hAnsi="Arial"/>
          <w:sz w:val="19"/>
          <w:szCs w:val="19"/>
          <w:color w:val="auto"/>
        </w:rPr>
      </w:pPr>
      <w:r>
        <w:rPr>
          <w:rFonts w:ascii="Arial" w:cs="Arial" w:eastAsia="Arial" w:hAnsi="Arial"/>
          <w:sz w:val="19"/>
          <w:szCs w:val="19"/>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Company will pay (or cause the applicable Borrower to pay) to such Lender or the L/C Issuer, as the case may be,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420"/>
          </w:cols>
          <w:pgMar w:left="240" w:top="757" w:right="239" w:bottom="1440" w:gutter="0" w:footer="0" w:header="0"/>
        </w:sectPr>
      </w:pPr>
    </w:p>
    <w:bookmarkStart w:id="221" w:name="page222"/>
    <w:bookmarkEnd w:id="221"/>
    <w:p>
      <w:pPr>
        <w:ind w:left="100"/>
        <w:spacing w:after="0" w:line="289" w:lineRule="auto"/>
        <w:rPr>
          <w:sz w:val="20"/>
          <w:szCs w:val="20"/>
          <w:color w:val="auto"/>
        </w:rPr>
      </w:pPr>
      <w:r>
        <w:rPr>
          <w:rFonts w:ascii="Arial" w:cs="Arial" w:eastAsia="Arial" w:hAnsi="Arial"/>
          <w:sz w:val="20"/>
          <w:szCs w:val="20"/>
          <w:color w:val="auto"/>
        </w:rPr>
        <w:t>such additional amount or amounts as will compensate such Lender or the L/C Issuer, as the case may be, for such additional costs incurred or reduction suffered.</w:t>
      </w:r>
    </w:p>
    <w:p>
      <w:pPr>
        <w:spacing w:after="0" w:line="175" w:lineRule="exact"/>
        <w:rPr>
          <w:sz w:val="20"/>
          <w:szCs w:val="20"/>
          <w:color w:val="auto"/>
        </w:rPr>
      </w:pPr>
    </w:p>
    <w:p>
      <w:pPr>
        <w:jc w:val="both"/>
        <w:ind w:left="-540" w:firstLine="645"/>
        <w:spacing w:after="0" w:line="285" w:lineRule="auto"/>
        <w:tabs>
          <w:tab w:leader="none" w:pos="56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Company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184" w:lineRule="exact"/>
        <w:rPr>
          <w:rFonts w:ascii="Arial" w:cs="Arial" w:eastAsia="Arial" w:hAnsi="Arial"/>
          <w:sz w:val="19"/>
          <w:szCs w:val="19"/>
          <w:color w:val="auto"/>
        </w:rPr>
      </w:pPr>
    </w:p>
    <w:p>
      <w:pPr>
        <w:jc w:val="both"/>
        <w:ind w:left="-540" w:firstLine="645"/>
        <w:spacing w:after="0" w:line="273" w:lineRule="auto"/>
        <w:tabs>
          <w:tab w:leader="none" w:pos="522"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a Lender or the L/C Issuer setting forth the amount or amounts necessary to compensate such Lender or the L/C Issuer or its holding company, as the case may be, as specified in subsection (a) or (b) of this Section and delivered to the Company shall be conclusive absent manifest error. The Company will pay (or cause the applicable Borrower to pay) such Lender or the L/C Issuer, as the case may be, the amount shown as due on any such certificate within ten days after receipt thereof.</w:t>
      </w:r>
    </w:p>
    <w:p>
      <w:pPr>
        <w:spacing w:after="0" w:line="191" w:lineRule="exact"/>
        <w:rPr>
          <w:rFonts w:ascii="Arial" w:cs="Arial" w:eastAsia="Arial" w:hAnsi="Arial"/>
          <w:sz w:val="20"/>
          <w:szCs w:val="20"/>
          <w:color w:val="auto"/>
        </w:rPr>
      </w:pPr>
    </w:p>
    <w:p>
      <w:pPr>
        <w:jc w:val="both"/>
        <w:ind w:left="-540" w:firstLine="645"/>
        <w:spacing w:after="0" w:line="255" w:lineRule="exact"/>
        <w:tabs>
          <w:tab w:leader="none" w:pos="546"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Borrower shall be required to compensate a Lender or the L/C Issuer pursuant to the foregoing provisions of this Section for any increased costs incurred or reductions suffered more than 180 days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180</w:t>
      </w:r>
      <w:r>
        <w:rPr>
          <w:rFonts w:ascii="MS PGothic" w:cs="MS PGothic" w:eastAsia="MS PGothic" w:hAnsi="MS PGothic"/>
          <w:sz w:val="20"/>
          <w:szCs w:val="20"/>
          <w:color w:val="auto"/>
        </w:rPr>
        <w:t>‑</w:t>
      </w:r>
      <w:r>
        <w:rPr>
          <w:rFonts w:ascii="Arial" w:cs="Arial" w:eastAsia="Arial" w:hAnsi="Arial"/>
          <w:sz w:val="20"/>
          <w:szCs w:val="20"/>
          <w:color w:val="auto"/>
        </w:rPr>
        <w:t>day period referred to above shall be extended to include the period of retroactive effect thereof).</w:t>
      </w:r>
    </w:p>
    <w:p>
      <w:pPr>
        <w:spacing w:after="0" w:line="229" w:lineRule="exact"/>
        <w:rPr>
          <w:rFonts w:ascii="Arial" w:cs="Arial" w:eastAsia="Arial" w:hAnsi="Arial"/>
          <w:sz w:val="20"/>
          <w:szCs w:val="20"/>
          <w:color w:val="auto"/>
        </w:rPr>
      </w:pPr>
    </w:p>
    <w:p>
      <w:pPr>
        <w:jc w:val="both"/>
        <w:ind w:left="-540" w:firstLine="645"/>
        <w:spacing w:after="0" w:line="304" w:lineRule="auto"/>
        <w:tabs>
          <w:tab w:leader="none" w:pos="53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Additional Reserve Requirements</w:t>
      </w:r>
      <w:r>
        <w:rPr>
          <w:rFonts w:ascii="Arial" w:cs="Arial" w:eastAsia="Arial" w:hAnsi="Arial"/>
          <w:sz w:val="18"/>
          <w:szCs w:val="18"/>
          <w:color w:val="auto"/>
        </w:rPr>
        <w:t>. The Company shall pay (or cause the applicable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and each Domestic Swing Line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or Domestic Swing Line Loans, such additional costs (expressed as a</w:t>
      </w:r>
    </w:p>
    <w:p>
      <w:pPr>
        <w:spacing w:after="0" w:line="200" w:lineRule="exact"/>
        <w:rPr>
          <w:sz w:val="20"/>
          <w:szCs w:val="20"/>
          <w:color w:val="auto"/>
        </w:rPr>
      </w:pPr>
    </w:p>
    <w:p>
      <w:pPr>
        <w:spacing w:after="0" w:line="215"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0220"/>
          </w:cols>
          <w:pgMar w:left="1440" w:top="771" w:right="239" w:bottom="1440" w:gutter="0" w:footer="0" w:header="0"/>
        </w:sectPr>
      </w:pPr>
    </w:p>
    <w:bookmarkStart w:id="222" w:name="page223"/>
    <w:bookmarkEnd w:id="222"/>
    <w:p>
      <w:pPr>
        <w:jc w:val="both"/>
        <w:ind w:left="660"/>
        <w:spacing w:after="0" w:line="272" w:lineRule="auto"/>
        <w:rPr>
          <w:sz w:val="20"/>
          <w:szCs w:val="20"/>
          <w:color w:val="auto"/>
        </w:rPr>
      </w:pPr>
      <w:r>
        <w:rPr>
          <w:rFonts w:ascii="Arial" w:cs="Arial" w:eastAsia="Arial" w:hAnsi="Arial"/>
          <w:sz w:val="20"/>
          <w:szCs w:val="20"/>
          <w:color w:val="auto"/>
        </w:rPr>
        <w:t xml:space="preserve">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6"/>
          <w:szCs w:val="16"/>
          <w:u w:val="single" w:color="auto"/>
          <w:color w:val="auto"/>
        </w:rPr>
        <w:t>Compensation for Losses.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demand of any Lender (with a copy to the Administrative Agent) from time to time, the Company shall promptly compensate (or cause the applicable Borrower to compensate) such Lender for and hold such Lender harmless from any loss, cost or expense incurred by it as a result of:</w:t>
      </w:r>
    </w:p>
    <w:p>
      <w:pPr>
        <w:spacing w:after="0" w:line="200" w:lineRule="exact"/>
        <w:rPr>
          <w:sz w:val="20"/>
          <w:szCs w:val="20"/>
          <w:color w:val="auto"/>
        </w:rPr>
      </w:pPr>
    </w:p>
    <w:p>
      <w:pPr>
        <w:ind w:left="660" w:firstLine="645"/>
        <w:spacing w:after="0" w:line="316" w:lineRule="auto"/>
        <w:tabs>
          <w:tab w:leader="none" w:pos="173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Eurocurrency Rate Loan on a day other than the last day of the Interest Period for such Loan (whether voluntary, mandatory, automatic, by reason of acceleration, or otherwise);</w:t>
      </w:r>
    </w:p>
    <w:p>
      <w:pPr>
        <w:spacing w:after="0" w:line="153" w:lineRule="exact"/>
        <w:rPr>
          <w:rFonts w:ascii="Arial" w:cs="Arial" w:eastAsia="Arial" w:hAnsi="Arial"/>
          <w:sz w:val="19"/>
          <w:szCs w:val="19"/>
          <w:color w:val="auto"/>
        </w:rPr>
      </w:pPr>
    </w:p>
    <w:p>
      <w:pPr>
        <w:ind w:left="660" w:right="20" w:firstLine="645"/>
        <w:spacing w:after="0" w:line="316" w:lineRule="auto"/>
        <w:tabs>
          <w:tab w:leader="none" w:pos="181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any failure by any Borrower (for a reason other than the failure of such Lender to make a Loan) to prepay, borrow, continue or convert any Eurocurrency Rate Loan on the date or in the amount notified by the applicable Borrower;</w:t>
      </w:r>
    </w:p>
    <w:p>
      <w:pPr>
        <w:spacing w:after="0" w:line="153" w:lineRule="exact"/>
        <w:rPr>
          <w:rFonts w:ascii="Arial" w:cs="Arial" w:eastAsia="Arial" w:hAnsi="Arial"/>
          <w:sz w:val="19"/>
          <w:szCs w:val="19"/>
          <w:color w:val="auto"/>
        </w:rPr>
      </w:pPr>
    </w:p>
    <w:p>
      <w:pPr>
        <w:jc w:val="both"/>
        <w:ind w:left="660" w:firstLine="645"/>
        <w:spacing w:after="0" w:line="274" w:lineRule="auto"/>
        <w:tabs>
          <w:tab w:leader="none" w:pos="170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any failure by any Borrower to make payment of any Loan or drawing under any Letter of Credit (or interest due thereon) denominated in an Alternative Currency, Australian Dollars or New Zealand Dollars on its scheduled due date or any payment of any Loan or drawing under any Letter of Credit (or interest due thereon) in a different currency from such Loan or Letter of Credit drawing; or</w:t>
      </w:r>
    </w:p>
    <w:p>
      <w:pPr>
        <w:spacing w:after="0" w:line="192" w:lineRule="exact"/>
        <w:rPr>
          <w:rFonts w:ascii="Arial" w:cs="Arial" w:eastAsia="Arial" w:hAnsi="Arial"/>
          <w:sz w:val="20"/>
          <w:szCs w:val="20"/>
          <w:color w:val="auto"/>
        </w:rPr>
      </w:pPr>
    </w:p>
    <w:p>
      <w:pPr>
        <w:ind w:left="660" w:firstLine="645"/>
        <w:spacing w:after="0" w:line="289" w:lineRule="auto"/>
        <w:tabs>
          <w:tab w:leader="none" w:pos="1719"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the Company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any customary administrative fees charged by such Lender in connection with the foregoing.</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For purposes of calculating amounts payable by the Company (or the applicable Borrower) to the Lenders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shall be deemed to have funded each Eurocurrency Rate Loan made by it at the Eurocurrency Base Rate used in determining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Mitigation Obligations; Replacement of Lenders.</w:t>
      </w:r>
    </w:p>
    <w:p>
      <w:pPr>
        <w:spacing w:after="0" w:line="243" w:lineRule="exact"/>
        <w:rPr>
          <w:sz w:val="20"/>
          <w:szCs w:val="20"/>
          <w:color w:val="auto"/>
        </w:rPr>
      </w:pPr>
    </w:p>
    <w:p>
      <w:pPr>
        <w:ind w:left="660" w:firstLine="645"/>
        <w:spacing w:after="0" w:line="289" w:lineRule="auto"/>
        <w:tabs>
          <w:tab w:leader="none" w:pos="1816"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Designation of a Different Lending Office</w:t>
      </w:r>
      <w:r>
        <w:rPr>
          <w:rFonts w:ascii="Arial" w:cs="Arial" w:eastAsia="Arial" w:hAnsi="Arial"/>
          <w:sz w:val="20"/>
          <w:szCs w:val="20"/>
          <w:color w:val="auto"/>
        </w:rPr>
        <w:t>. Each Lender and the L/C Issuer may make any Credit Extension to any Borrower through any Lending Office, provided that the exercise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771" w:right="239" w:bottom="1440" w:gutter="0" w:footer="0" w:header="0"/>
        </w:sectPr>
      </w:pPr>
    </w:p>
    <w:bookmarkStart w:id="223" w:name="page224"/>
    <w:bookmarkEnd w:id="223"/>
    <w:p>
      <w:pPr>
        <w:jc w:val="both"/>
        <w:ind w:left="660"/>
        <w:spacing w:after="0" w:line="302" w:lineRule="auto"/>
        <w:rPr>
          <w:sz w:val="20"/>
          <w:szCs w:val="20"/>
          <w:color w:val="auto"/>
        </w:rPr>
      </w:pPr>
      <w:r>
        <w:rPr>
          <w:rFonts w:ascii="Arial" w:cs="Arial" w:eastAsia="Arial" w:hAnsi="Arial"/>
          <w:sz w:val="18"/>
          <w:szCs w:val="18"/>
          <w:color w:val="auto"/>
        </w:rPr>
        <w:t xml:space="preserve">of this option shall not affect the obligation of the Borrower to repay the Credit Extension in accordance with the terms of this Agreement.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any Borrower is required to pay any additional amount to any Lender, the L/C Issuer or any Governmental Authority for the account of any Lender or the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to cause the applicable Borrower to pay) all reasonable costs and expenses incurred by any Lender or the L/C Issuer in connection with any such designation or assignment.</w:t>
      </w:r>
    </w:p>
    <w:p>
      <w:pPr>
        <w:spacing w:after="0" w:line="174" w:lineRule="exact"/>
        <w:rPr>
          <w:sz w:val="20"/>
          <w:szCs w:val="20"/>
          <w:color w:val="auto"/>
        </w:rPr>
      </w:pPr>
    </w:p>
    <w:p>
      <w:pPr>
        <w:jc w:val="both"/>
        <w:ind w:left="660" w:firstLine="645"/>
        <w:spacing w:after="0" w:line="274" w:lineRule="auto"/>
        <w:tabs>
          <w:tab w:leader="none" w:pos="1746"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any Borrower is required to pay any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3.06(a)</w:t>
      </w:r>
      <w:r>
        <w:rPr>
          <w:rFonts w:ascii="Arial" w:cs="Arial" w:eastAsia="Arial" w:hAnsi="Arial"/>
          <w:sz w:val="20"/>
          <w:szCs w:val="20"/>
          <w:color w:val="auto"/>
        </w:rPr>
        <w:t xml:space="preserve">, the Company may replace such Lender in accordance with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All of the Loan Parties’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Revolving Commitments, repayment of all other Obligations hereunder and resignation of the Administrative Agent.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IV.</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[INTENTIONALLY OMITTED.]</w:t>
      </w:r>
    </w:p>
    <w:p>
      <w:pPr>
        <w:spacing w:after="0" w:line="200" w:lineRule="exact"/>
        <w:rPr>
          <w:sz w:val="20"/>
          <w:szCs w:val="20"/>
          <w:color w:val="auto"/>
        </w:rPr>
      </w:pPr>
    </w:p>
    <w:p>
      <w:pPr>
        <w:spacing w:after="0" w:line="26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w:t>
      </w:r>
    </w:p>
    <w:p>
      <w:pPr>
        <w:spacing w:after="0" w:line="319"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24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8"/>
          <w:szCs w:val="18"/>
          <w:u w:val="single" w:color="auto"/>
          <w:color w:val="auto"/>
        </w:rPr>
        <w:t>Conditions to the Effective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shall become effective upon satisfaction of the following conditions precedent:</w:t>
      </w:r>
    </w:p>
    <w:p>
      <w:pPr>
        <w:spacing w:after="0" w:line="229" w:lineRule="exact"/>
        <w:rPr>
          <w:sz w:val="20"/>
          <w:szCs w:val="20"/>
          <w:color w:val="auto"/>
        </w:rPr>
      </w:pPr>
    </w:p>
    <w:p>
      <w:pPr>
        <w:ind w:left="660" w:firstLine="645"/>
        <w:spacing w:after="0" w:line="289" w:lineRule="auto"/>
        <w:tabs>
          <w:tab w:leader="none" w:pos="1708"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Credit Agreement</w:t>
      </w:r>
      <w:r>
        <w:rPr>
          <w:rFonts w:ascii="Arial" w:cs="Arial" w:eastAsia="Arial" w:hAnsi="Arial"/>
          <w:sz w:val="20"/>
          <w:szCs w:val="20"/>
          <w:color w:val="auto"/>
        </w:rPr>
        <w:t>. Receipt by the Administrative Agent of executed counterparts of this Agreement, properly executed by a Responsible Officer of each Borrower and by each Lender.</w:t>
      </w:r>
    </w:p>
    <w:p>
      <w:pPr>
        <w:spacing w:after="0" w:line="175" w:lineRule="exact"/>
        <w:rPr>
          <w:rFonts w:ascii="Arial" w:cs="Arial" w:eastAsia="Arial" w:hAnsi="Arial"/>
          <w:sz w:val="20"/>
          <w:szCs w:val="20"/>
          <w:color w:val="auto"/>
        </w:rPr>
      </w:pPr>
    </w:p>
    <w:p>
      <w:pPr>
        <w:jc w:val="both"/>
        <w:ind w:left="660" w:firstLine="645"/>
        <w:spacing w:after="0" w:line="278" w:lineRule="auto"/>
        <w:tabs>
          <w:tab w:leader="none" w:pos="1732"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xml:space="preserve">. The representations and warranties contained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shall be true and correct on and as of the Effective Date with respect to the Company and each other Loan Party that is party hereto on the Effective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420"/>
          </w:cols>
          <w:pgMar w:left="240" w:top="771" w:right="239" w:bottom="1440" w:gutter="0" w:footer="0" w:header="0"/>
        </w:sectPr>
      </w:pPr>
    </w:p>
    <w:bookmarkStart w:id="224" w:name="page225"/>
    <w:bookmarkEnd w:id="224"/>
    <w:p>
      <w:pPr>
        <w:jc w:val="both"/>
        <w:ind w:left="660" w:firstLine="645"/>
        <w:spacing w:after="0" w:line="255" w:lineRule="exact"/>
        <w:tabs>
          <w:tab w:leader="none" w:pos="1843"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KYC Information</w:t>
      </w:r>
      <w:r>
        <w:rPr>
          <w:rFonts w:ascii="Arial" w:cs="Arial" w:eastAsia="Arial" w:hAnsi="Arial"/>
          <w:sz w:val="20"/>
          <w:szCs w:val="20"/>
          <w:color w:val="auto"/>
        </w:rPr>
        <w:t>. Each Lender shall have received all documentation and other information that it has reasonably requested in writing at least 10 days prior to the Effective Date and that it has reasonably determined is required by regulatory authorities under applicable “know your customer” and anti</w:t>
      </w:r>
      <w:r>
        <w:rPr>
          <w:rFonts w:ascii="MS PGothic" w:cs="MS PGothic" w:eastAsia="MS PGothic" w:hAnsi="MS PGothic"/>
          <w:sz w:val="20"/>
          <w:szCs w:val="20"/>
          <w:color w:val="auto"/>
        </w:rPr>
        <w:t>‑</w:t>
      </w:r>
      <w:r>
        <w:rPr>
          <w:rFonts w:ascii="Arial" w:cs="Arial" w:eastAsia="Arial" w:hAnsi="Arial"/>
          <w:sz w:val="20"/>
          <w:szCs w:val="20"/>
          <w:color w:val="auto"/>
        </w:rPr>
        <w:t>money laundering rules and regulations, including without limitation the PATRIOT Act.</w:t>
      </w:r>
    </w:p>
    <w:p>
      <w:pPr>
        <w:spacing w:after="0" w:line="2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8"/>
          <w:szCs w:val="18"/>
          <w:u w:val="single" w:color="auto"/>
          <w:color w:val="auto"/>
        </w:rPr>
        <w:t>Conditions to the Initial Borrowing Date</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obligation of the L/C Issuer and each Lender to make its initial Credit Extension hereunder is subject to satisfaction of the following conditions precedent:</w:t>
      </w:r>
    </w:p>
    <w:p>
      <w:pPr>
        <w:spacing w:after="0" w:line="190" w:lineRule="exact"/>
        <w:rPr>
          <w:sz w:val="20"/>
          <w:szCs w:val="20"/>
          <w:color w:val="auto"/>
        </w:rPr>
      </w:pPr>
    </w:p>
    <w:p>
      <w:pPr>
        <w:ind w:left="1700" w:hanging="395"/>
        <w:spacing w:after="0"/>
        <w:tabs>
          <w:tab w:leader="none" w:pos="170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The Effective Date shall have occurred.</w:t>
      </w:r>
    </w:p>
    <w:p>
      <w:pPr>
        <w:spacing w:after="0" w:line="242" w:lineRule="exact"/>
        <w:rPr>
          <w:rFonts w:ascii="Arial" w:cs="Arial" w:eastAsia="Arial" w:hAnsi="Arial"/>
          <w:sz w:val="20"/>
          <w:szCs w:val="20"/>
          <w:color w:val="auto"/>
        </w:rPr>
      </w:pPr>
    </w:p>
    <w:p>
      <w:pPr>
        <w:ind w:left="2320" w:hanging="367"/>
        <w:spacing w:after="0"/>
        <w:tabs>
          <w:tab w:leader="none" w:pos="2320" w:val="left"/>
        </w:tabs>
        <w:numPr>
          <w:ilvl w:val="1"/>
          <w:numId w:val="172"/>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Receipt by the Administrative Agent of:</w:t>
      </w:r>
    </w:p>
    <w:p>
      <w:pPr>
        <w:spacing w:after="0" w:line="242" w:lineRule="exact"/>
        <w:rPr>
          <w:rFonts w:ascii="Arial" w:cs="Arial" w:eastAsia="Arial" w:hAnsi="Arial"/>
          <w:sz w:val="20"/>
          <w:szCs w:val="20"/>
          <w:color w:val="auto"/>
        </w:rPr>
      </w:pPr>
    </w:p>
    <w:p>
      <w:pPr>
        <w:ind w:left="1960" w:firstLine="641"/>
        <w:spacing w:after="0" w:line="289" w:lineRule="auto"/>
        <w:tabs>
          <w:tab w:leader="none" w:pos="3076" w:val="left"/>
        </w:tabs>
        <w:numPr>
          <w:ilvl w:val="2"/>
          <w:numId w:val="172"/>
        </w:numPr>
        <w:rPr>
          <w:rFonts w:ascii="Arial" w:cs="Arial" w:eastAsia="Arial" w:hAnsi="Arial"/>
          <w:sz w:val="20"/>
          <w:szCs w:val="20"/>
          <w:color w:val="auto"/>
        </w:rPr>
      </w:pPr>
      <w:r>
        <w:rPr>
          <w:rFonts w:ascii="Arial" w:cs="Arial" w:eastAsia="Arial" w:hAnsi="Arial"/>
          <w:sz w:val="20"/>
          <w:szCs w:val="20"/>
          <w:color w:val="auto"/>
        </w:rPr>
        <w:t>executed counterparts of this Agreement, properly executed by a Responsible Officer of each Loan Party that did not execute this Agreement on the Effective Date;</w:t>
      </w:r>
    </w:p>
    <w:p>
      <w:pPr>
        <w:spacing w:after="0" w:line="175" w:lineRule="exact"/>
        <w:rPr>
          <w:rFonts w:ascii="Arial" w:cs="Arial" w:eastAsia="Arial" w:hAnsi="Arial"/>
          <w:sz w:val="20"/>
          <w:szCs w:val="20"/>
          <w:color w:val="auto"/>
        </w:rPr>
      </w:pPr>
    </w:p>
    <w:p>
      <w:pPr>
        <w:ind w:left="1960" w:right="20" w:firstLine="641"/>
        <w:spacing w:after="0" w:line="289" w:lineRule="auto"/>
        <w:tabs>
          <w:tab w:leader="none" w:pos="3079" w:val="left"/>
        </w:tabs>
        <w:numPr>
          <w:ilvl w:val="2"/>
          <w:numId w:val="172"/>
        </w:numPr>
        <w:rPr>
          <w:rFonts w:ascii="Arial" w:cs="Arial" w:eastAsia="Arial" w:hAnsi="Arial"/>
          <w:sz w:val="20"/>
          <w:szCs w:val="20"/>
          <w:color w:val="auto"/>
        </w:rPr>
      </w:pPr>
      <w:r>
        <w:rPr>
          <w:rFonts w:ascii="Arial" w:cs="Arial" w:eastAsia="Arial" w:hAnsi="Arial"/>
          <w:sz w:val="20"/>
          <w:szCs w:val="20"/>
          <w:color w:val="auto"/>
        </w:rPr>
        <w:t>Notes dated the Initial Borrowing Date executed by a Responsible Officer of each Borrower in favor of each Lender requesting Notes from such Borrower;</w:t>
      </w:r>
    </w:p>
    <w:p>
      <w:pPr>
        <w:spacing w:after="0" w:line="175" w:lineRule="exact"/>
        <w:rPr>
          <w:rFonts w:ascii="Arial" w:cs="Arial" w:eastAsia="Arial" w:hAnsi="Arial"/>
          <w:sz w:val="20"/>
          <w:szCs w:val="20"/>
          <w:color w:val="auto"/>
        </w:rPr>
      </w:pPr>
    </w:p>
    <w:p>
      <w:pPr>
        <w:ind w:left="1960" w:firstLine="641"/>
        <w:spacing w:after="0" w:line="289" w:lineRule="auto"/>
        <w:tabs>
          <w:tab w:leader="none" w:pos="3066" w:val="left"/>
        </w:tabs>
        <w:numPr>
          <w:ilvl w:val="2"/>
          <w:numId w:val="172"/>
        </w:numPr>
        <w:rPr>
          <w:rFonts w:ascii="Arial" w:cs="Arial" w:eastAsia="Arial" w:hAnsi="Arial"/>
          <w:sz w:val="20"/>
          <w:szCs w:val="20"/>
          <w:color w:val="auto"/>
        </w:rPr>
      </w:pPr>
      <w:r>
        <w:rPr>
          <w:rFonts w:ascii="Arial" w:cs="Arial" w:eastAsia="Arial" w:hAnsi="Arial"/>
          <w:sz w:val="20"/>
          <w:szCs w:val="20"/>
          <w:color w:val="auto"/>
        </w:rPr>
        <w:t>executed counterparts of the Guaranty, dated as of the Initial Borrowing Date and properly executed by a Responsible Officer of each Guarantor; and</w:t>
      </w:r>
    </w:p>
    <w:p>
      <w:pPr>
        <w:spacing w:after="0" w:line="175" w:lineRule="exact"/>
        <w:rPr>
          <w:rFonts w:ascii="Arial" w:cs="Arial" w:eastAsia="Arial" w:hAnsi="Arial"/>
          <w:sz w:val="20"/>
          <w:szCs w:val="20"/>
          <w:color w:val="auto"/>
        </w:rPr>
      </w:pPr>
    </w:p>
    <w:p>
      <w:pPr>
        <w:ind w:left="1960" w:firstLine="641"/>
        <w:spacing w:after="0" w:line="289" w:lineRule="auto"/>
        <w:tabs>
          <w:tab w:leader="none" w:pos="3131" w:val="left"/>
        </w:tabs>
        <w:numPr>
          <w:ilvl w:val="2"/>
          <w:numId w:val="172"/>
        </w:numPr>
        <w:rPr>
          <w:rFonts w:ascii="Arial" w:cs="Arial" w:eastAsia="Arial" w:hAnsi="Arial"/>
          <w:sz w:val="20"/>
          <w:szCs w:val="20"/>
          <w:color w:val="auto"/>
        </w:rPr>
      </w:pPr>
      <w:r>
        <w:rPr>
          <w:rFonts w:ascii="Arial" w:cs="Arial" w:eastAsia="Arial" w:hAnsi="Arial"/>
          <w:sz w:val="20"/>
          <w:szCs w:val="20"/>
          <w:color w:val="auto"/>
        </w:rPr>
        <w:t>executed counterparts of the Security Agreement, dated as of the Initial Borrowing Date and properly executed by a Responsible Officer of each Loan Party.</w:t>
      </w:r>
    </w:p>
    <w:p>
      <w:pPr>
        <w:spacing w:after="0" w:line="175" w:lineRule="exact"/>
        <w:rPr>
          <w:rFonts w:ascii="Arial" w:cs="Arial" w:eastAsia="Arial" w:hAnsi="Arial"/>
          <w:sz w:val="20"/>
          <w:szCs w:val="20"/>
          <w:color w:val="auto"/>
        </w:rPr>
      </w:pPr>
    </w:p>
    <w:p>
      <w:pPr>
        <w:jc w:val="both"/>
        <w:ind w:left="660" w:firstLine="645"/>
        <w:spacing w:after="0" w:line="278" w:lineRule="auto"/>
        <w:tabs>
          <w:tab w:leader="none" w:pos="1787"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Opinions of Counsel</w:t>
      </w:r>
      <w:r>
        <w:rPr>
          <w:rFonts w:ascii="Arial" w:cs="Arial" w:eastAsia="Arial" w:hAnsi="Arial"/>
          <w:sz w:val="20"/>
          <w:szCs w:val="20"/>
          <w:color w:val="auto"/>
        </w:rPr>
        <w:t>. Receipt by the Administrative Agent of favorable opinions of legal counsel to the Loan Parties, addressed to the Administrative Agent and each Lender, dated as of the Initial Borrowing Date, and in form and substance satisfactory to the Administrative Agent.</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Receipt by the Administrative Agent of:</w:t>
      </w:r>
    </w:p>
    <w:p>
      <w:pPr>
        <w:spacing w:after="0" w:line="242" w:lineRule="exact"/>
        <w:rPr>
          <w:rFonts w:ascii="Arial" w:cs="Arial" w:eastAsia="Arial" w:hAnsi="Arial"/>
          <w:sz w:val="20"/>
          <w:szCs w:val="20"/>
          <w:color w:val="auto"/>
        </w:rPr>
      </w:pPr>
    </w:p>
    <w:p>
      <w:pPr>
        <w:ind w:left="1300" w:right="20" w:firstLine="653"/>
        <w:spacing w:after="0" w:line="289" w:lineRule="auto"/>
        <w:tabs>
          <w:tab w:leader="none" w:pos="2504" w:val="left"/>
        </w:tabs>
        <w:numPr>
          <w:ilvl w:val="1"/>
          <w:numId w:val="172"/>
        </w:numPr>
        <w:rPr>
          <w:rFonts w:ascii="Arial" w:cs="Arial" w:eastAsia="Arial" w:hAnsi="Arial"/>
          <w:sz w:val="20"/>
          <w:szCs w:val="20"/>
          <w:color w:val="auto"/>
        </w:rPr>
      </w:pPr>
      <w:r>
        <w:rPr>
          <w:rFonts w:ascii="Arial" w:cs="Arial" w:eastAsia="Arial" w:hAnsi="Arial"/>
          <w:sz w:val="20"/>
          <w:szCs w:val="20"/>
          <w:color w:val="auto"/>
        </w:rPr>
        <w:t>the audited consolidated financial statements of the Target and its Subsidiaries for the fiscal year ended December 31, 2013;</w:t>
      </w:r>
    </w:p>
    <w:p>
      <w:pPr>
        <w:spacing w:after="0" w:line="175" w:lineRule="exact"/>
        <w:rPr>
          <w:rFonts w:ascii="Arial" w:cs="Arial" w:eastAsia="Arial" w:hAnsi="Arial"/>
          <w:sz w:val="20"/>
          <w:szCs w:val="20"/>
          <w:color w:val="auto"/>
        </w:rPr>
      </w:pPr>
    </w:p>
    <w:p>
      <w:pPr>
        <w:jc w:val="both"/>
        <w:ind w:left="1300" w:firstLine="653"/>
        <w:spacing w:after="0" w:line="254" w:lineRule="exact"/>
        <w:tabs>
          <w:tab w:leader="none" w:pos="2397" w:val="left"/>
        </w:tabs>
        <w:numPr>
          <w:ilvl w:val="1"/>
          <w:numId w:val="172"/>
        </w:numPr>
        <w:rPr>
          <w:rFonts w:ascii="Arial" w:cs="Arial" w:eastAsia="Arial" w:hAnsi="Arial"/>
          <w:sz w:val="20"/>
          <w:szCs w:val="20"/>
          <w:color w:val="auto"/>
        </w:rPr>
      </w:pPr>
      <w:r>
        <w:rPr>
          <w:rFonts w:ascii="Arial" w:cs="Arial" w:eastAsia="Arial" w:hAnsi="Arial"/>
          <w:sz w:val="20"/>
          <w:szCs w:val="20"/>
          <w:color w:val="auto"/>
        </w:rPr>
        <w:t>an unaudited consolidated balance sheet and the related consolidated statements of income and cash flows of the Target and its Subsidiaries for the fiscal quarters ended March 31, 2014 and June 30, 2014 (but not including footnotes or year</w:t>
      </w:r>
      <w:r>
        <w:rPr>
          <w:rFonts w:ascii="MS PGothic" w:cs="MS PGothic" w:eastAsia="MS PGothic" w:hAnsi="MS PGothic"/>
          <w:sz w:val="20"/>
          <w:szCs w:val="20"/>
          <w:color w:val="auto"/>
        </w:rPr>
        <w:t>‑</w:t>
      </w:r>
      <w:r>
        <w:rPr>
          <w:rFonts w:ascii="Arial" w:cs="Arial" w:eastAsia="Arial" w:hAnsi="Arial"/>
          <w:sz w:val="20"/>
          <w:szCs w:val="20"/>
          <w:color w:val="auto"/>
        </w:rPr>
        <w:t>end adjustments); and</w:t>
      </w:r>
    </w:p>
    <w:p>
      <w:pPr>
        <w:spacing w:after="0" w:line="224" w:lineRule="exact"/>
        <w:rPr>
          <w:rFonts w:ascii="Arial" w:cs="Arial" w:eastAsia="Arial" w:hAnsi="Arial"/>
          <w:sz w:val="20"/>
          <w:szCs w:val="20"/>
          <w:color w:val="auto"/>
        </w:rPr>
      </w:pPr>
    </w:p>
    <w:p>
      <w:pPr>
        <w:ind w:left="1300" w:firstLine="653"/>
        <w:spacing w:after="0" w:line="289" w:lineRule="auto"/>
        <w:tabs>
          <w:tab w:leader="none" w:pos="2438" w:val="left"/>
        </w:tabs>
        <w:numPr>
          <w:ilvl w:val="1"/>
          <w:numId w:val="172"/>
        </w:numPr>
        <w:rPr>
          <w:rFonts w:ascii="Arial" w:cs="Arial" w:eastAsia="Arial" w:hAnsi="Arial"/>
          <w:sz w:val="20"/>
          <w:szCs w:val="20"/>
          <w:color w:val="auto"/>
        </w:rPr>
      </w:pPr>
      <w:r>
        <w:rPr>
          <w:rFonts w:ascii="Arial" w:cs="Arial" w:eastAsia="Arial" w:hAnsi="Arial"/>
          <w:sz w:val="20"/>
          <w:szCs w:val="20"/>
          <w:color w:val="auto"/>
        </w:rPr>
        <w:t>an unaudited consolidated balance sheet and the related consolidated statements of income and cash flows of the Target and its Subsidiaries (in a form consistent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420"/>
          </w:cols>
          <w:pgMar w:left="240" w:top="771" w:right="239" w:bottom="1440" w:gutter="0" w:footer="0" w:header="0"/>
        </w:sectPr>
      </w:pPr>
    </w:p>
    <w:bookmarkStart w:id="225" w:name="page226"/>
    <w:bookmarkEnd w:id="225"/>
    <w:p>
      <w:pPr>
        <w:ind w:left="100" w:right="20"/>
        <w:spacing w:after="0" w:line="253" w:lineRule="exact"/>
        <w:rPr>
          <w:sz w:val="20"/>
          <w:szCs w:val="20"/>
          <w:color w:val="auto"/>
        </w:rPr>
      </w:pPr>
      <w:r>
        <w:rPr>
          <w:rFonts w:ascii="Arial" w:cs="Arial" w:eastAsia="Arial" w:hAnsi="Arial"/>
          <w:sz w:val="20"/>
          <w:szCs w:val="20"/>
          <w:color w:val="auto"/>
        </w:rPr>
        <w:t>with the financial statements described in the preceding clause (ii)) for each fiscal quarter ending after June 30, 2014 and at least 50 days prior to the Initial Borrowing Date (but not including footnotes or year</w:t>
      </w:r>
      <w:r>
        <w:rPr>
          <w:rFonts w:ascii="MS PGothic" w:cs="MS PGothic" w:eastAsia="MS PGothic" w:hAnsi="MS PGothic"/>
          <w:sz w:val="20"/>
          <w:szCs w:val="20"/>
          <w:color w:val="auto"/>
        </w:rPr>
        <w:t>‑</w:t>
      </w:r>
      <w:r>
        <w:rPr>
          <w:rFonts w:ascii="Arial" w:cs="Arial" w:eastAsia="Arial" w:hAnsi="Arial"/>
          <w:sz w:val="20"/>
          <w:szCs w:val="20"/>
          <w:color w:val="auto"/>
        </w:rPr>
        <w:t>end adjustments).</w:t>
      </w:r>
    </w:p>
    <w:p>
      <w:pPr>
        <w:spacing w:after="0" w:line="223" w:lineRule="exact"/>
        <w:rPr>
          <w:sz w:val="20"/>
          <w:szCs w:val="20"/>
          <w:color w:val="auto"/>
        </w:rPr>
      </w:pPr>
    </w:p>
    <w:p>
      <w:pPr>
        <w:ind w:left="-540" w:firstLine="645"/>
        <w:spacing w:after="0" w:line="289" w:lineRule="auto"/>
        <w:tabs>
          <w:tab w:leader="none" w:pos="546"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Organization Documents, Resolutions, Etc</w:t>
      </w:r>
      <w:r>
        <w:rPr>
          <w:rFonts w:ascii="Arial" w:cs="Arial" w:eastAsia="Arial" w:hAnsi="Arial"/>
          <w:sz w:val="20"/>
          <w:szCs w:val="20"/>
          <w:color w:val="auto"/>
        </w:rPr>
        <w:t>. Receipt by the Administrative Agent of the following, in form and substance satisfactory to the Administrative Agent:</w:t>
      </w:r>
    </w:p>
    <w:p>
      <w:pPr>
        <w:spacing w:after="0" w:line="175" w:lineRule="exact"/>
        <w:rPr>
          <w:rFonts w:ascii="Arial" w:cs="Arial" w:eastAsia="Arial" w:hAnsi="Arial"/>
          <w:sz w:val="20"/>
          <w:szCs w:val="20"/>
          <w:color w:val="auto"/>
        </w:rPr>
      </w:pPr>
    </w:p>
    <w:p>
      <w:pPr>
        <w:jc w:val="both"/>
        <w:ind w:left="100" w:firstLine="653"/>
        <w:spacing w:after="0" w:line="274" w:lineRule="auto"/>
        <w:tabs>
          <w:tab w:leader="none" w:pos="1182" w:val="left"/>
        </w:tabs>
        <w:numPr>
          <w:ilvl w:val="1"/>
          <w:numId w:val="173"/>
        </w:numPr>
        <w:rPr>
          <w:rFonts w:ascii="Arial" w:cs="Arial" w:eastAsia="Arial" w:hAnsi="Arial"/>
          <w:sz w:val="20"/>
          <w:szCs w:val="20"/>
          <w:color w:val="auto"/>
        </w:rPr>
      </w:pPr>
      <w:r>
        <w:rPr>
          <w:rFonts w:ascii="Arial" w:cs="Arial" w:eastAsia="Arial" w:hAnsi="Arial"/>
          <w:sz w:val="20"/>
          <w:szCs w:val="20"/>
          <w:color w:val="auto"/>
        </w:rPr>
        <w:t>copies of the Organization Documents of each Loan Party certified to be true and complete as of a recent date prior to the Initial Borrowing Date by the appropriate Governmental Authority of the state or other jurisdiction of its incorporation or organization, where applicable, and certified by a secretary or assistant secretary of such Loan Party to be true and correct as of the Initial Borrowing Date;</w:t>
      </w:r>
    </w:p>
    <w:p>
      <w:pPr>
        <w:spacing w:after="0" w:line="192" w:lineRule="exact"/>
        <w:rPr>
          <w:rFonts w:ascii="Arial" w:cs="Arial" w:eastAsia="Arial" w:hAnsi="Arial"/>
          <w:sz w:val="20"/>
          <w:szCs w:val="20"/>
          <w:color w:val="auto"/>
        </w:rPr>
      </w:pPr>
    </w:p>
    <w:p>
      <w:pPr>
        <w:jc w:val="both"/>
        <w:ind w:left="100" w:firstLine="653"/>
        <w:spacing w:after="0" w:line="274" w:lineRule="auto"/>
        <w:tabs>
          <w:tab w:leader="none" w:pos="1224" w:val="left"/>
        </w:tabs>
        <w:numPr>
          <w:ilvl w:val="1"/>
          <w:numId w:val="173"/>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the Comdata Acquisition and this Agreement and the other Loan Documents to which such Loan Party is a party; and</w:t>
      </w:r>
    </w:p>
    <w:p>
      <w:pPr>
        <w:spacing w:after="0" w:line="192" w:lineRule="exact"/>
        <w:rPr>
          <w:rFonts w:ascii="Arial" w:cs="Arial" w:eastAsia="Arial" w:hAnsi="Arial"/>
          <w:sz w:val="20"/>
          <w:szCs w:val="20"/>
          <w:color w:val="auto"/>
        </w:rPr>
      </w:pPr>
    </w:p>
    <w:p>
      <w:pPr>
        <w:jc w:val="both"/>
        <w:ind w:left="100" w:firstLine="653"/>
        <w:spacing w:after="0" w:line="278" w:lineRule="auto"/>
        <w:tabs>
          <w:tab w:leader="none" w:pos="1265" w:val="left"/>
        </w:tabs>
        <w:numPr>
          <w:ilvl w:val="1"/>
          <w:numId w:val="173"/>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require to evidence that each Loan Party is duly organized or formed, and is validly existing, in good standing and qualified to engage in business in its state of organization or formation.</w:t>
      </w:r>
    </w:p>
    <w:p>
      <w:pPr>
        <w:spacing w:after="0" w:line="186" w:lineRule="exact"/>
        <w:rPr>
          <w:rFonts w:ascii="Arial" w:cs="Arial" w:eastAsia="Arial" w:hAnsi="Arial"/>
          <w:sz w:val="20"/>
          <w:szCs w:val="20"/>
          <w:color w:val="auto"/>
        </w:rPr>
      </w:pPr>
    </w:p>
    <w:p>
      <w:pPr>
        <w:ind w:left="500" w:hanging="395"/>
        <w:spacing w:after="0"/>
        <w:tabs>
          <w:tab w:leader="none" w:pos="500"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Perfection and Priority of Liens</w:t>
      </w:r>
      <w:r>
        <w:rPr>
          <w:rFonts w:ascii="Arial" w:cs="Arial" w:eastAsia="Arial" w:hAnsi="Arial"/>
          <w:sz w:val="20"/>
          <w:szCs w:val="20"/>
          <w:color w:val="auto"/>
        </w:rPr>
        <w:t>. Receipt by the Administrative Agent of the following:</w:t>
      </w:r>
    </w:p>
    <w:p>
      <w:pPr>
        <w:spacing w:after="0" w:line="242" w:lineRule="exact"/>
        <w:rPr>
          <w:rFonts w:ascii="Arial" w:cs="Arial" w:eastAsia="Arial" w:hAnsi="Arial"/>
          <w:sz w:val="20"/>
          <w:szCs w:val="20"/>
          <w:color w:val="auto"/>
        </w:rPr>
      </w:pPr>
    </w:p>
    <w:p>
      <w:pPr>
        <w:jc w:val="both"/>
        <w:ind w:left="100" w:firstLine="653"/>
        <w:spacing w:after="0" w:line="278" w:lineRule="auto"/>
        <w:tabs>
          <w:tab w:leader="none" w:pos="1128" w:val="left"/>
        </w:tabs>
        <w:numPr>
          <w:ilvl w:val="1"/>
          <w:numId w:val="173"/>
        </w:numPr>
        <w:rPr>
          <w:rFonts w:ascii="Arial" w:cs="Arial" w:eastAsia="Arial" w:hAnsi="Arial"/>
          <w:sz w:val="20"/>
          <w:szCs w:val="20"/>
          <w:color w:val="auto"/>
        </w:rPr>
      </w:pPr>
      <w:r>
        <w:rPr>
          <w:rFonts w:ascii="Arial" w:cs="Arial" w:eastAsia="Arial" w:hAnsi="Arial"/>
          <w:sz w:val="20"/>
          <w:szCs w:val="20"/>
          <w:color w:val="auto"/>
        </w:rPr>
        <w:t>searches of Uniform Commercial Code filings and tax and judgment liens in the jurisdiction of formation of each Loan Party and each other jurisdiction reasonably required by the Administrative Agent, disclosing no Liens other than Permitted Liens;</w:t>
      </w:r>
    </w:p>
    <w:p>
      <w:pPr>
        <w:spacing w:after="0" w:line="186" w:lineRule="exact"/>
        <w:rPr>
          <w:rFonts w:ascii="Arial" w:cs="Arial" w:eastAsia="Arial" w:hAnsi="Arial"/>
          <w:sz w:val="20"/>
          <w:szCs w:val="20"/>
          <w:color w:val="auto"/>
        </w:rPr>
      </w:pPr>
    </w:p>
    <w:p>
      <w:pPr>
        <w:ind w:left="100" w:right="20" w:firstLine="653"/>
        <w:spacing w:after="0" w:line="289" w:lineRule="auto"/>
        <w:tabs>
          <w:tab w:leader="none" w:pos="1332" w:val="left"/>
        </w:tabs>
        <w:numPr>
          <w:ilvl w:val="1"/>
          <w:numId w:val="173"/>
        </w:numPr>
        <w:rPr>
          <w:rFonts w:ascii="Arial" w:cs="Arial" w:eastAsia="Arial" w:hAnsi="Arial"/>
          <w:sz w:val="20"/>
          <w:szCs w:val="20"/>
          <w:color w:val="auto"/>
        </w:rPr>
      </w:pPr>
      <w:r>
        <w:rPr>
          <w:rFonts w:ascii="Arial" w:cs="Arial" w:eastAsia="Arial" w:hAnsi="Arial"/>
          <w:sz w:val="20"/>
          <w:szCs w:val="20"/>
          <w:color w:val="auto"/>
        </w:rPr>
        <w:t>UCC financing statements for each appropriate jurisdiction as is necessary, in the Administrative Agent’s discretion, to perfect the Administrative Agent’s security interest in the Collateral;</w:t>
      </w:r>
    </w:p>
    <w:p>
      <w:pPr>
        <w:spacing w:after="0" w:line="175" w:lineRule="exact"/>
        <w:rPr>
          <w:rFonts w:ascii="Arial" w:cs="Arial" w:eastAsia="Arial" w:hAnsi="Arial"/>
          <w:sz w:val="20"/>
          <w:szCs w:val="20"/>
          <w:color w:val="auto"/>
        </w:rPr>
      </w:pPr>
    </w:p>
    <w:p>
      <w:pPr>
        <w:ind w:left="100" w:firstLine="653"/>
        <w:spacing w:after="0" w:line="316" w:lineRule="auto"/>
        <w:tabs>
          <w:tab w:leader="none" w:pos="1265"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all certificates evidencing any certificated Equity Interests pledged to the Administrative Agent pursuant to the Security Agreement, together with duly executed in blank and undated stock powers attached thereto;</w:t>
      </w:r>
    </w:p>
    <w:p>
      <w:pPr>
        <w:spacing w:after="0" w:line="153" w:lineRule="exact"/>
        <w:rPr>
          <w:rFonts w:ascii="Arial" w:cs="Arial" w:eastAsia="Arial" w:hAnsi="Arial"/>
          <w:sz w:val="19"/>
          <w:szCs w:val="19"/>
          <w:color w:val="auto"/>
        </w:rPr>
      </w:pPr>
    </w:p>
    <w:p>
      <w:pPr>
        <w:jc w:val="both"/>
        <w:ind w:left="100" w:firstLine="653"/>
        <w:spacing w:after="0" w:line="278" w:lineRule="auto"/>
        <w:tabs>
          <w:tab w:leader="none" w:pos="1254" w:val="left"/>
        </w:tabs>
        <w:numPr>
          <w:ilvl w:val="1"/>
          <w:numId w:val="173"/>
        </w:numPr>
        <w:rPr>
          <w:rFonts w:ascii="Arial" w:cs="Arial" w:eastAsia="Arial" w:hAnsi="Arial"/>
          <w:sz w:val="20"/>
          <w:szCs w:val="20"/>
          <w:color w:val="auto"/>
        </w:rPr>
      </w:pPr>
      <w:r>
        <w:rPr>
          <w:rFonts w:ascii="Arial" w:cs="Arial" w:eastAsia="Arial" w:hAnsi="Arial"/>
          <w:sz w:val="20"/>
          <w:szCs w:val="20"/>
          <w:color w:val="auto"/>
        </w:rPr>
        <w:t>searches of ownership of, and Liens on, United States registered intellectual property of each Loan Party in the appropriate governmental offices, disclosing no Liens other than (A) Permitted Liens and (B) Liens to be released on the Initial Borrowing Date; and</w:t>
      </w:r>
    </w:p>
    <w:p>
      <w:pPr>
        <w:spacing w:after="0" w:line="186" w:lineRule="exact"/>
        <w:rPr>
          <w:rFonts w:ascii="Arial" w:cs="Arial" w:eastAsia="Arial" w:hAnsi="Arial"/>
          <w:sz w:val="20"/>
          <w:szCs w:val="20"/>
          <w:color w:val="auto"/>
        </w:rPr>
      </w:pPr>
    </w:p>
    <w:p>
      <w:pPr>
        <w:ind w:left="100" w:firstLine="653"/>
        <w:spacing w:after="0" w:line="289" w:lineRule="auto"/>
        <w:tabs>
          <w:tab w:leader="none" w:pos="1159" w:val="left"/>
        </w:tabs>
        <w:numPr>
          <w:ilvl w:val="1"/>
          <w:numId w:val="173"/>
        </w:numPr>
        <w:rPr>
          <w:rFonts w:ascii="Arial" w:cs="Arial" w:eastAsia="Arial" w:hAnsi="Arial"/>
          <w:sz w:val="20"/>
          <w:szCs w:val="20"/>
          <w:color w:val="auto"/>
        </w:rPr>
      </w:pPr>
      <w:r>
        <w:rPr>
          <w:rFonts w:ascii="Arial" w:cs="Arial" w:eastAsia="Arial" w:hAnsi="Arial"/>
          <w:sz w:val="20"/>
          <w:szCs w:val="20"/>
          <w:color w:val="auto"/>
        </w:rPr>
        <w:t>duly executed notices of grant of security interest in substantially the form required by the Security Agreement as are necessary, in the Administrative Agent’s sole</w:t>
      </w:r>
    </w:p>
    <w:p>
      <w:pPr>
        <w:spacing w:after="0" w:line="200" w:lineRule="exact"/>
        <w:rPr>
          <w:sz w:val="20"/>
          <w:szCs w:val="20"/>
          <w:color w:val="auto"/>
        </w:rPr>
      </w:pPr>
    </w:p>
    <w:p>
      <w:pPr>
        <w:spacing w:after="0" w:line="219"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0220"/>
          </w:cols>
          <w:pgMar w:left="1440" w:top="771" w:right="239" w:bottom="1440" w:gutter="0" w:footer="0" w:header="0"/>
        </w:sectPr>
      </w:pPr>
    </w:p>
    <w:bookmarkStart w:id="226" w:name="page227"/>
    <w:bookmarkEnd w:id="226"/>
    <w:p>
      <w:pPr>
        <w:jc w:val="both"/>
        <w:ind w:left="640"/>
        <w:spacing w:after="0" w:line="289" w:lineRule="auto"/>
        <w:rPr>
          <w:sz w:val="20"/>
          <w:szCs w:val="20"/>
          <w:color w:val="auto"/>
        </w:rPr>
      </w:pPr>
      <w:r>
        <w:rPr>
          <w:rFonts w:ascii="Arial" w:cs="Arial" w:eastAsia="Arial" w:hAnsi="Arial"/>
          <w:sz w:val="20"/>
          <w:szCs w:val="20"/>
          <w:color w:val="auto"/>
        </w:rPr>
        <w:t>discretion, to perfect the Administrative Agent’s security interest in the United States registered intellectual property of the Loan Parties;</w:t>
      </w:r>
    </w:p>
    <w:p>
      <w:pPr>
        <w:spacing w:after="0" w:line="175"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Collateral is not or cannot be provided and/or perfected on the Initial Borrowing Date (other than the pledge and perfection of the security interests in the Equity Interests of the Parent’s material, wholly owned Domestic Subsidiaries (except with respect to certificated Equity Interests in the Target and its Subsidiaries, which shall be delivered with duly executed in blank and undated stock powers attached thereto not later than 2 Business Days after the Initial Borrowing Date) and assets with respect to which a lien may be perfected by the filing of a UCC financing statement) after the Loan Parties’ use of commercially reasonable efforts to do so, then the delivery of such Collateral and/or the perfection of a security interest in such Collateral shall not constitute a condition precedent to the availability of the Comdata Facilities on the Initial Borrowing Date but instead shall be delivered and/or perfected within thirty (30) days after the Initial Borrowing Date (or such longer period as the Administrative Agent agrees in its sole discretion).</w:t>
      </w:r>
    </w:p>
    <w:p>
      <w:pPr>
        <w:spacing w:after="0" w:line="174" w:lineRule="exact"/>
        <w:rPr>
          <w:sz w:val="20"/>
          <w:szCs w:val="20"/>
          <w:color w:val="auto"/>
        </w:rPr>
      </w:pPr>
    </w:p>
    <w:p>
      <w:pPr>
        <w:jc w:val="both"/>
        <w:ind w:firstLine="645"/>
        <w:spacing w:after="0" w:line="274" w:lineRule="auto"/>
        <w:tabs>
          <w:tab w:leader="none" w:pos="1040"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Evidence of Insurance</w:t>
      </w:r>
      <w:r>
        <w:rPr>
          <w:rFonts w:ascii="Arial" w:cs="Arial" w:eastAsia="Arial" w:hAnsi="Arial"/>
          <w:sz w:val="20"/>
          <w:szCs w:val="20"/>
          <w:color w:val="auto"/>
        </w:rPr>
        <w:t>. Receipt by the Administrative Agent of copies of insurance policies or certificates of insurance of the Loan Parties evidencing liability and casualty insurance meeting the requirements set forth in the Loan Documents, including naming the Administrative Agent and its successors and assigns as additional insured (in the case of liability insurance) or loss payee (in the case of property insurance) on behalf of the Lenders.</w:t>
      </w:r>
    </w:p>
    <w:p>
      <w:pPr>
        <w:spacing w:after="0" w:line="192" w:lineRule="exact"/>
        <w:rPr>
          <w:rFonts w:ascii="Arial" w:cs="Arial" w:eastAsia="Arial" w:hAnsi="Arial"/>
          <w:sz w:val="20"/>
          <w:szCs w:val="20"/>
          <w:color w:val="auto"/>
        </w:rPr>
      </w:pPr>
    </w:p>
    <w:p>
      <w:pPr>
        <w:ind w:left="1140" w:hanging="495"/>
        <w:spacing w:after="0"/>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Comdata Acquisition</w:t>
      </w:r>
      <w:r>
        <w:rPr>
          <w:rFonts w:ascii="Arial" w:cs="Arial" w:eastAsia="Arial" w:hAnsi="Arial"/>
          <w:sz w:val="18"/>
          <w:szCs w:val="18"/>
          <w:color w:val="auto"/>
        </w:rPr>
        <w:t>. Receipt by the Administrative Agent of evidence reasonably satisfactory to the Administrative</w:t>
      </w:r>
    </w:p>
    <w:p>
      <w:pPr>
        <w:spacing w:after="0" w:line="49" w:lineRule="exact"/>
        <w:rPr>
          <w:rFonts w:ascii="Arial" w:cs="Arial" w:eastAsia="Arial" w:hAnsi="Arial"/>
          <w:sz w:val="18"/>
          <w:szCs w:val="18"/>
          <w:color w:val="auto"/>
        </w:rPr>
      </w:pPr>
    </w:p>
    <w:p>
      <w:pPr>
        <w:jc w:val="both"/>
        <w:spacing w:after="0" w:line="288" w:lineRule="auto"/>
        <w:rPr>
          <w:rFonts w:ascii="Arial" w:cs="Arial" w:eastAsia="Arial" w:hAnsi="Arial"/>
          <w:sz w:val="18"/>
          <w:szCs w:val="18"/>
          <w:color w:val="auto"/>
        </w:rPr>
      </w:pPr>
      <w:r>
        <w:rPr>
          <w:rFonts w:ascii="Arial" w:cs="Arial" w:eastAsia="Arial" w:hAnsi="Arial"/>
          <w:sz w:val="19"/>
          <w:szCs w:val="19"/>
          <w:color w:val="auto"/>
        </w:rPr>
        <w:t>Agent that: (i) the Comdata Acquisition shall have been consummated, or substantially simultaneously with the borrowing of the Comdata Facilities, shall be consummated, in all material respects in accordance with the terms of the Merger Agreement, which shall be in full force and effect without any alteration, amendment, change, supplement or waiver that is materially adverse to the Lenders and is not consented to in writing by the Administrative Agent (which consent shall not be unreasonably withheld or delayed), and (ii) the Parent shall have issued its common Equity Interests to the sellers of the Target as a portion of the purchase price for the Comdata Acquisition, in the amount required by, and in accordance with, the Merger Agreement.</w:t>
      </w:r>
    </w:p>
    <w:p>
      <w:pPr>
        <w:spacing w:after="0" w:line="182" w:lineRule="exact"/>
        <w:rPr>
          <w:rFonts w:ascii="Arial" w:cs="Arial" w:eastAsia="Arial" w:hAnsi="Arial"/>
          <w:sz w:val="18"/>
          <w:szCs w:val="18"/>
          <w:color w:val="auto"/>
        </w:rPr>
      </w:pPr>
    </w:p>
    <w:p>
      <w:pPr>
        <w:ind w:firstLine="645"/>
        <w:spacing w:after="0" w:line="289" w:lineRule="auto"/>
        <w:tabs>
          <w:tab w:leader="none" w:pos="1140"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Receipt by the Administrative Agent of a solvency certificate, dated as of the Initial Borrowing Date, from the Parent’s chief financial officer in substantially the form attached hereto as </w:t>
      </w:r>
      <w:r>
        <w:rPr>
          <w:rFonts w:ascii="Arial" w:cs="Arial" w:eastAsia="Arial" w:hAnsi="Arial"/>
          <w:sz w:val="20"/>
          <w:szCs w:val="20"/>
          <w:u w:val="single" w:color="auto"/>
          <w:color w:val="auto"/>
        </w:rPr>
        <w:t>Exhibit L</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firstLine="645"/>
        <w:spacing w:after="0" w:line="289" w:lineRule="auto"/>
        <w:tabs>
          <w:tab w:leader="none" w:pos="1029"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No Company Material Adverse Effect</w:t>
      </w:r>
      <w:r>
        <w:rPr>
          <w:rFonts w:ascii="Arial" w:cs="Arial" w:eastAsia="Arial" w:hAnsi="Arial"/>
          <w:sz w:val="20"/>
          <w:szCs w:val="20"/>
          <w:color w:val="auto"/>
        </w:rPr>
        <w:t>. There shall not have occurred since August 12, 2014 a Company Material Adverse Effect (as defined in the Merger Agreement).</w:t>
      </w:r>
    </w:p>
    <w:p>
      <w:pPr>
        <w:spacing w:after="0" w:line="175" w:lineRule="exact"/>
        <w:rPr>
          <w:rFonts w:ascii="Arial" w:cs="Arial" w:eastAsia="Arial" w:hAnsi="Arial"/>
          <w:sz w:val="20"/>
          <w:szCs w:val="20"/>
          <w:color w:val="auto"/>
        </w:rPr>
      </w:pPr>
    </w:p>
    <w:p>
      <w:pPr>
        <w:jc w:val="both"/>
        <w:ind w:firstLine="645"/>
        <w:spacing w:after="0" w:line="273" w:lineRule="auto"/>
        <w:tabs>
          <w:tab w:leader="none" w:pos="1029"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Closing Certificate</w:t>
      </w:r>
      <w:r>
        <w:rPr>
          <w:rFonts w:ascii="Arial" w:cs="Arial" w:eastAsia="Arial" w:hAnsi="Arial"/>
          <w:sz w:val="20"/>
          <w:szCs w:val="20"/>
          <w:color w:val="auto"/>
        </w:rPr>
        <w:t xml:space="preserve">. Receipt by the Administrative Agent of a certificate, dated as of the Initial Borrowing Date, signed by a Responsible Officer of the Parent certifying that (i) the conditions specified in </w:t>
      </w:r>
      <w:r>
        <w:rPr>
          <w:rFonts w:ascii="Arial" w:cs="Arial" w:eastAsia="Arial" w:hAnsi="Arial"/>
          <w:sz w:val="20"/>
          <w:szCs w:val="20"/>
          <w:u w:val="single" w:color="auto"/>
          <w:color w:val="auto"/>
        </w:rPr>
        <w:t>Sections 5.02(h)</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(l)</w:t>
      </w:r>
      <w:r>
        <w:rPr>
          <w:rFonts w:ascii="Arial" w:cs="Arial" w:eastAsia="Arial" w:hAnsi="Arial"/>
          <w:sz w:val="20"/>
          <w:szCs w:val="20"/>
          <w:color w:val="auto"/>
        </w:rPr>
        <w:t xml:space="preserve"> have been satisfied and (ii) the Specified Representations and the Specified Merger Agreement Representations are true and correct after giving effect to the Comdata Acquisition, the Borrowings hereunder and the other transactions contemplated by this Agreement and the Merger Agreement to occur on the Initial Borrowing Date.</w:t>
      </w:r>
    </w:p>
    <w:p>
      <w:pPr>
        <w:spacing w:after="0" w:line="200" w:lineRule="exact"/>
        <w:rPr>
          <w:sz w:val="20"/>
          <w:szCs w:val="20"/>
          <w:color w:val="auto"/>
        </w:rPr>
      </w:pPr>
    </w:p>
    <w:p>
      <w:pPr>
        <w:spacing w:after="0" w:line="23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0760"/>
          </w:cols>
          <w:pgMar w:left="900" w:top="771" w:right="239" w:bottom="1440" w:gutter="0" w:footer="0" w:header="0"/>
        </w:sectPr>
      </w:pPr>
    </w:p>
    <w:bookmarkStart w:id="227" w:name="page228"/>
    <w:bookmarkEnd w:id="227"/>
    <w:p>
      <w:pPr>
        <w:jc w:val="both"/>
        <w:ind w:left="660" w:firstLine="645"/>
        <w:spacing w:after="0" w:line="302" w:lineRule="auto"/>
        <w:tabs>
          <w:tab w:leader="none" w:pos="1719"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Termination of Existing Indebtedness</w:t>
      </w:r>
      <w:r>
        <w:rPr>
          <w:rFonts w:ascii="Arial" w:cs="Arial" w:eastAsia="Arial" w:hAnsi="Arial"/>
          <w:sz w:val="18"/>
          <w:szCs w:val="18"/>
          <w:color w:val="auto"/>
        </w:rPr>
        <w:t>. The Indebtedness, liabilities and obligations of (i) the Borrowers under the Existing Credit Agreement shall have been (or substantially simultaneously with the borrowing of the Comdata Facilities, are being) refinanced or repaid, (ii) the Target and its Subsidiaries in respect of that certain Credit Agreement dated as of November 9, 2007 and amended and restated as of July 10, 2012 (as amended) among Ceridian LLC, the other borrowers party thereto, the lenders party thereto and Deutsche Bank AG New York Branch, as administrative agent (including all guaranty obligations of the Target and its Subsidiaries in respect of such Credit Agreement and the indebtedness evidenced thereby), shall have been (or substantially simultaneously with the borrowing of the Comdata Facilities, are being) repaid, released or terminated, and (iii) the Target and its Subsidiaries in respect of the Indentures dated as of July 10, 2012, October 1, 2013 and June 5, 2014 shall have been (or substantially simultaneously with the borrowing of the Comdata Facilities, are being) repaid, redeemed, defeased, satisfied, discharged, released or terminated (and, in each case under clauses (i), (ii) and (iii), all Liens on assets of the Target and its Subsidiaries securing such Indebtedness, liabilities and obligations shall have been released concurrently with the Initial Borrowing Date).</w:t>
      </w:r>
    </w:p>
    <w:p>
      <w:pPr>
        <w:spacing w:after="0" w:line="173" w:lineRule="exact"/>
        <w:rPr>
          <w:rFonts w:ascii="Arial" w:cs="Arial" w:eastAsia="Arial" w:hAnsi="Arial"/>
          <w:sz w:val="18"/>
          <w:szCs w:val="18"/>
          <w:color w:val="auto"/>
        </w:rPr>
      </w:pPr>
    </w:p>
    <w:p>
      <w:pPr>
        <w:ind w:left="660" w:firstLine="645"/>
        <w:spacing w:after="0" w:line="421" w:lineRule="auto"/>
        <w:tabs>
          <w:tab w:leader="none" w:pos="167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Receipt by the Administrative Agent of such changes, revisions and/or supplements to the schedules previously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as may be requested by the Company and be reasonably acceptable to the Administrative Agent.</w:t>
      </w:r>
    </w:p>
    <w:p>
      <w:pPr>
        <w:spacing w:after="0" w:line="83" w:lineRule="exact"/>
        <w:rPr>
          <w:rFonts w:ascii="Arial" w:cs="Arial" w:eastAsia="Arial" w:hAnsi="Arial"/>
          <w:sz w:val="16"/>
          <w:szCs w:val="16"/>
          <w:color w:val="auto"/>
        </w:rPr>
      </w:pPr>
    </w:p>
    <w:p>
      <w:pPr>
        <w:ind w:left="660" w:firstLine="645"/>
        <w:spacing w:after="0" w:line="289" w:lineRule="auto"/>
        <w:tabs>
          <w:tab w:leader="none" w:pos="1774"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Receipt by the Administrative Agent, the Arrangers and the Lenders of any fees required to be paid on or before the Initial Borrowing Date.</w:t>
      </w:r>
    </w:p>
    <w:p>
      <w:pPr>
        <w:spacing w:after="0" w:line="175" w:lineRule="exact"/>
        <w:rPr>
          <w:rFonts w:ascii="Arial" w:cs="Arial" w:eastAsia="Arial" w:hAnsi="Arial"/>
          <w:sz w:val="20"/>
          <w:szCs w:val="20"/>
          <w:color w:val="auto"/>
        </w:rPr>
      </w:pPr>
    </w:p>
    <w:p>
      <w:pPr>
        <w:jc w:val="both"/>
        <w:ind w:left="660" w:firstLine="645"/>
        <w:spacing w:after="0" w:line="273" w:lineRule="auto"/>
        <w:tabs>
          <w:tab w:leader="none" w:pos="1895"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Attorney Costs</w:t>
      </w:r>
      <w:r>
        <w:rPr>
          <w:rFonts w:ascii="Arial" w:cs="Arial" w:eastAsia="Arial" w:hAnsi="Arial"/>
          <w:sz w:val="20"/>
          <w:szCs w:val="20"/>
          <w:color w:val="auto"/>
        </w:rPr>
        <w:t xml:space="preserve">. Unless waived by the Administrative Agent, the Company shall have paid all fees, charges and disbursements of counsel to the Administrative Agent to the extent invoiced prior to or on the Initial Borrowing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Company and the Administrative Agent).</w:t>
      </w:r>
    </w:p>
    <w:p>
      <w:pPr>
        <w:spacing w:after="0" w:line="19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5.03</w:t>
      </w:r>
      <w:r>
        <w:rPr>
          <w:sz w:val="20"/>
          <w:szCs w:val="20"/>
          <w:color w:val="auto"/>
        </w:rPr>
        <w:tab/>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 of each Lender to honor any Request for Credit Extension (other than a Loan Notice requesting only a conversion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Loans to the other Type or a continuation of Eurocurrency Rate Loans) is subject to the following conditions precedent:</w:t>
      </w:r>
    </w:p>
    <w:p>
      <w:pPr>
        <w:spacing w:after="0" w:line="213" w:lineRule="exact"/>
        <w:rPr>
          <w:sz w:val="20"/>
          <w:szCs w:val="20"/>
          <w:color w:val="auto"/>
        </w:rPr>
      </w:pPr>
    </w:p>
    <w:p>
      <w:pPr>
        <w:jc w:val="both"/>
        <w:ind w:left="660" w:firstLine="645"/>
        <w:spacing w:after="0" w:line="287" w:lineRule="auto"/>
        <w:tabs>
          <w:tab w:leader="none" w:pos="173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Company and each other Loan Party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the representations and warranties contained in subsections (a) and (b) of </w:t>
      </w:r>
      <w:r>
        <w:rPr>
          <w:rFonts w:ascii="Arial" w:cs="Arial" w:eastAsia="Arial" w:hAnsi="Arial"/>
          <w:sz w:val="19"/>
          <w:szCs w:val="19"/>
          <w:u w:val="single" w:color="auto"/>
          <w:color w:val="auto"/>
        </w:rPr>
        <w:t>Section 6.05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420"/>
          </w:cols>
          <w:pgMar w:left="240" w:top="771" w:right="239" w:bottom="1440" w:gutter="0" w:footer="0" w:header="0"/>
        </w:sectPr>
      </w:pPr>
    </w:p>
    <w:bookmarkStart w:id="228" w:name="page229"/>
    <w:bookmarkEnd w:id="228"/>
    <w:p>
      <w:pPr>
        <w:ind w:left="660"/>
        <w:spacing w:after="0"/>
        <w:rPr>
          <w:sz w:val="20"/>
          <w:szCs w:val="20"/>
          <w:color w:val="auto"/>
        </w:rPr>
      </w:pPr>
      <w:r>
        <w:rPr>
          <w:rFonts w:ascii="Arial" w:cs="Arial" w:eastAsia="Arial" w:hAnsi="Arial"/>
          <w:sz w:val="19"/>
          <w:szCs w:val="19"/>
          <w:color w:val="auto"/>
        </w:rPr>
        <w:t xml:space="preserve">shall be deemed to refer to the most recent statements furnished pursuant to clauses (a) and (b), respectively, of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254" w:lineRule="exact"/>
        <w:rPr>
          <w:sz w:val="20"/>
          <w:szCs w:val="20"/>
          <w:color w:val="auto"/>
        </w:rPr>
      </w:pPr>
    </w:p>
    <w:p>
      <w:pPr>
        <w:ind w:left="1800" w:hanging="495"/>
        <w:spacing w:after="0"/>
        <w:tabs>
          <w:tab w:leader="none" w:pos="180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No Default shall exist, or would result from such proposed Credit Extension or from the application of the proceeds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thereof.</w:t>
      </w:r>
    </w:p>
    <w:p>
      <w:pPr>
        <w:spacing w:after="0" w:line="243" w:lineRule="exact"/>
        <w:rPr>
          <w:sz w:val="20"/>
          <w:szCs w:val="20"/>
          <w:color w:val="auto"/>
        </w:rPr>
      </w:pPr>
    </w:p>
    <w:p>
      <w:pPr>
        <w:ind w:left="660" w:firstLine="645"/>
        <w:spacing w:after="0" w:line="289" w:lineRule="auto"/>
        <w:tabs>
          <w:tab w:leader="none" w:pos="1735"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Administrative Agent and, if applicable, the L/C Issuer and/or the Swing Line Lender shall have received a Request for Credit Extension in accordance with the requirements hereof.</w:t>
      </w:r>
    </w:p>
    <w:p>
      <w:pPr>
        <w:spacing w:after="0" w:line="175" w:lineRule="exact"/>
        <w:rPr>
          <w:rFonts w:ascii="Arial" w:cs="Arial" w:eastAsia="Arial" w:hAnsi="Arial"/>
          <w:sz w:val="20"/>
          <w:szCs w:val="20"/>
          <w:color w:val="auto"/>
        </w:rPr>
      </w:pPr>
    </w:p>
    <w:p>
      <w:pPr>
        <w:ind w:left="660" w:firstLine="645"/>
        <w:spacing w:after="0" w:line="289" w:lineRule="auto"/>
        <w:tabs>
          <w:tab w:leader="none" w:pos="1827"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If the applicable Borrower is a Designated Borrower, then the conditions of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to the designation of such Borrower as a Designated Borrower shall have been met to the satisfaction of the Administrative Agent.</w:t>
      </w:r>
    </w:p>
    <w:p>
      <w:pPr>
        <w:spacing w:after="0" w:line="175" w:lineRule="exact"/>
        <w:rPr>
          <w:rFonts w:ascii="Arial" w:cs="Arial" w:eastAsia="Arial" w:hAnsi="Arial"/>
          <w:sz w:val="20"/>
          <w:szCs w:val="20"/>
          <w:color w:val="auto"/>
        </w:rPr>
      </w:pPr>
    </w:p>
    <w:p>
      <w:pPr>
        <w:jc w:val="both"/>
        <w:ind w:left="660" w:firstLine="645"/>
        <w:spacing w:after="0" w:line="307" w:lineRule="auto"/>
        <w:tabs>
          <w:tab w:leader="none" w:pos="180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Australian Dollars or New Zealand Dollars,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Australian Dollars or New Zealand Dollars), the Swing Line Lender (in the case of any Foreign Swing Line Loan) or the L/C Issuer (in the case of any Letter of Credit to be denominated in an Alternative Currency) would make it impracticable for such Credit Extension to be denominated in the relevant currency.</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Each Request for Credit Extension (other than a Loan Notice requesting only a conversion of Loans to the other Type or a continuation of Eurocurrency Rate Loans) submitted by a Borrower shall be deemed to be a representation and warranty that the conditions specified in </w:t>
      </w:r>
      <w:r>
        <w:rPr>
          <w:rFonts w:ascii="Arial" w:cs="Arial" w:eastAsia="Arial" w:hAnsi="Arial"/>
          <w:sz w:val="20"/>
          <w:szCs w:val="20"/>
          <w:u w:val="single" w:color="auto"/>
          <w:color w:val="auto"/>
        </w:rPr>
        <w:t>Sections 5.03(a)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Credit Extension. Notwithstanding the foregoing, (i) the only representations and warranties the accuracy of which shall be a condition to the availability of the Comdata Facilities on the Initial Borrowing Date shall be the Specified Representations and the Specified Merger Agreement Representations (after giving effect to the Comdata Acquisition, the Borrowings hereunder and the other transactions contemplated by this Agreement and the Merger Agreement to occur on the Initial Borrowing Date) and (ii) </w:t>
      </w:r>
      <w:r>
        <w:rPr>
          <w:rFonts w:ascii="Arial" w:cs="Arial" w:eastAsia="Arial" w:hAnsi="Arial"/>
          <w:sz w:val="20"/>
          <w:szCs w:val="20"/>
          <w:u w:val="single" w:color="auto"/>
          <w:color w:val="auto"/>
        </w:rPr>
        <w:t>Sections 5.03(b)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5.03(e)</w:t>
      </w:r>
      <w:r>
        <w:rPr>
          <w:rFonts w:ascii="Arial" w:cs="Arial" w:eastAsia="Arial" w:hAnsi="Arial"/>
          <w:sz w:val="20"/>
          <w:szCs w:val="20"/>
          <w:color w:val="auto"/>
        </w:rPr>
        <w:t xml:space="preserve"> shall not be a condition to the availability of the Comdata Facilities on the Initial Borrowing Date.</w:t>
      </w: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Loan Parties party hereto represent and warrant to the Administrative Agent and the Lenders that:</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Each Loan Party (a) is duly organized or formed, validly existing and (if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(if applicable) in good standing under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420"/>
          </w:cols>
          <w:pgMar w:left="240" w:top="771" w:right="239" w:bottom="1440" w:gutter="0" w:footer="0" w:header="0"/>
        </w:sectPr>
      </w:pPr>
    </w:p>
    <w:bookmarkStart w:id="229" w:name="page230"/>
    <w:bookmarkEnd w:id="229"/>
    <w:p>
      <w:pPr>
        <w:jc w:val="both"/>
        <w:spacing w:after="0" w:line="250" w:lineRule="auto"/>
        <w:rPr>
          <w:sz w:val="20"/>
          <w:szCs w:val="20"/>
          <w:color w:val="auto"/>
        </w:rPr>
      </w:pPr>
      <w:r>
        <w:rPr>
          <w:rFonts w:ascii="Arial" w:cs="Arial" w:eastAsia="Arial" w:hAnsi="Arial"/>
          <w:sz w:val="20"/>
          <w:szCs w:val="20"/>
          <w:color w:val="auto"/>
        </w:rPr>
        <w:t>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20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(including, without limitation, Regulation U or Regulation X issued by the FRB).</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and (b) filings to perfect the Liens created by the Collateral Documents.</w:t>
      </w:r>
    </w:p>
    <w:p>
      <w:pPr>
        <w:spacing w:after="0" w:line="2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6.04</w:t>
      </w:r>
      <w:r>
        <w:rPr>
          <w:sz w:val="20"/>
          <w:szCs w:val="20"/>
          <w:color w:val="auto"/>
        </w:rPr>
        <w:tab/>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each Loan Party that is party thereto, enforceable against each such Loan Party in accordance with its terms, subject to laws generally affecting creditors’ rights, to statutes of limitation and to principles of equity.</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5"/>
        <w:spacing w:after="0" w:line="272" w:lineRule="auto"/>
        <w:tabs>
          <w:tab w:leader="none" w:pos="172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Audited Financial Statements (i) were prepared in accordance with GAAP consistently applied throughout the period covered thereby, except as otherwise expressly noted therein; (ii) fairly present the financial condition of the Parent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Parent and its Subsidiaries as of the date thereof, including liabilities for taxes, commitments and Indebtedness.</w:t>
      </w:r>
    </w:p>
    <w:p>
      <w:pPr>
        <w:spacing w:after="0" w:line="191" w:lineRule="exact"/>
        <w:rPr>
          <w:rFonts w:ascii="Arial" w:cs="Arial" w:eastAsia="Arial" w:hAnsi="Arial"/>
          <w:sz w:val="20"/>
          <w:szCs w:val="20"/>
          <w:color w:val="auto"/>
        </w:rPr>
      </w:pPr>
    </w:p>
    <w:p>
      <w:pPr>
        <w:jc w:val="both"/>
        <w:ind w:left="660" w:firstLine="645"/>
        <w:spacing w:after="0" w:line="255" w:lineRule="exact"/>
        <w:tabs>
          <w:tab w:leader="none" w:pos="173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Interim Financial Statements (i) were prepared in accordance with GAAP consistently applied throughout the period covered thereby, except as otherwise expressly noted therein; (ii) fairly present the financial condition of the Parent and its Subsidiaries as of the date thereof and their results of operations for the period covered thereby, subject, in the case of clauses (i) and (ii), to the absence of footnotes and to normal year</w:t>
      </w:r>
      <w:r>
        <w:rPr>
          <w:rFonts w:ascii="MS PGothic" w:cs="MS PGothic" w:eastAsia="MS PGothic" w:hAnsi="MS PGothic"/>
          <w:sz w:val="20"/>
          <w:szCs w:val="20"/>
          <w:color w:val="auto"/>
        </w:rPr>
        <w:t>‑</w:t>
      </w:r>
      <w:r>
        <w:rPr>
          <w:rFonts w:ascii="Arial" w:cs="Arial" w:eastAsia="Arial" w:hAnsi="Arial"/>
          <w:sz w:val="20"/>
          <w:szCs w:val="20"/>
          <w:color w:val="auto"/>
        </w:rPr>
        <w:t>end audit adjustments; and (iii) show all</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420"/>
          </w:cols>
          <w:pgMar w:left="240" w:top="757" w:right="239" w:bottom="1440" w:gutter="0" w:footer="0" w:header="0"/>
        </w:sectPr>
      </w:pPr>
    </w:p>
    <w:bookmarkStart w:id="230" w:name="page231"/>
    <w:bookmarkEnd w:id="230"/>
    <w:p>
      <w:pPr>
        <w:ind w:left="660"/>
        <w:spacing w:after="0" w:line="289" w:lineRule="auto"/>
        <w:rPr>
          <w:sz w:val="20"/>
          <w:szCs w:val="20"/>
          <w:color w:val="auto"/>
        </w:rPr>
      </w:pPr>
      <w:r>
        <w:rPr>
          <w:rFonts w:ascii="Arial" w:cs="Arial" w:eastAsia="Arial" w:hAnsi="Arial"/>
          <w:sz w:val="20"/>
          <w:szCs w:val="20"/>
          <w:color w:val="auto"/>
        </w:rPr>
        <w:t>material indebtedness and other liabilities, direct or contingent, of the Parent and its Subsidiaries as of the date thereof, including liabilities for taxes, material commitments and Indebtedness.</w:t>
      </w:r>
    </w:p>
    <w:p>
      <w:pPr>
        <w:spacing w:after="0" w:line="175" w:lineRule="exact"/>
        <w:rPr>
          <w:sz w:val="20"/>
          <w:szCs w:val="20"/>
          <w:color w:val="auto"/>
        </w:rPr>
      </w:pPr>
    </w:p>
    <w:p>
      <w:pPr>
        <w:jc w:val="both"/>
        <w:ind w:left="660" w:firstLine="645"/>
        <w:spacing w:after="0" w:line="288" w:lineRule="auto"/>
        <w:tabs>
          <w:tab w:leader="none" w:pos="173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From the date of the Audited Financial Statements to and including the Third Amendment Effective Date, there has been no Disposition by any Loan Party or any Subsidiary, or any Involuntary Disposition, of any material part of the business or property of the Parent and its Subsidiaries taken as a whole, and except for the Comdata Acquisition, no purchase or other acquisition by any of them of any business or property (including any Equity Interests of any other Person) material to the Parent and its Subsidiaries taken as a whole, in each case, which is not reflected in the foregoing financial statements or in the notes thereto and has not otherwise been disclosed in writing to the Lenders on or prior to the Third Amendment Effective Date.</w:t>
      </w:r>
    </w:p>
    <w:p>
      <w:pPr>
        <w:spacing w:after="0" w:line="182" w:lineRule="exact"/>
        <w:rPr>
          <w:rFonts w:ascii="Arial" w:cs="Arial" w:eastAsia="Arial" w:hAnsi="Arial"/>
          <w:sz w:val="19"/>
          <w:szCs w:val="19"/>
          <w:color w:val="auto"/>
        </w:rPr>
      </w:pPr>
    </w:p>
    <w:p>
      <w:pPr>
        <w:jc w:val="both"/>
        <w:ind w:left="660" w:firstLine="645"/>
        <w:spacing w:after="0" w:line="274" w:lineRule="auto"/>
        <w:tabs>
          <w:tab w:leader="none" w:pos="180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The financial statements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prepared in accordance with GAAP (except as may otherwise be permitted under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and present fairly (on the basis disclosed in the footnotes to such financial statements) the consolidated financial condition, results of operations and cash flows of the Parent and its Subsidiaries as of the dates thereof and for the periods covered thereby.</w:t>
      </w:r>
    </w:p>
    <w:p>
      <w:pPr>
        <w:spacing w:after="0" w:line="192" w:lineRule="exact"/>
        <w:rPr>
          <w:rFonts w:ascii="Arial" w:cs="Arial" w:eastAsia="Arial" w:hAnsi="Arial"/>
          <w:sz w:val="20"/>
          <w:szCs w:val="20"/>
          <w:color w:val="auto"/>
        </w:rPr>
      </w:pPr>
    </w:p>
    <w:p>
      <w:pPr>
        <w:ind w:left="660" w:right="20" w:firstLine="645"/>
        <w:spacing w:after="0" w:line="289" w:lineRule="auto"/>
        <w:tabs>
          <w:tab w:leader="none" w:pos="1708"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Since December 31, 2016, there has been no event or circumstance, either individually or in the aggregate, that has had or could reasonably be expected to have a Material Adverse Effect.</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6.06</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There are no actions, suits, proceedings, claims or disputes pending or, to the knowledge of the Loan Parties after due and diligent investigation,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or any of the transactions contemplated hereby or (b) could reasonably be expected to have a Material Adverse Effect.</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Default has occurred and is continuing.</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Each Loan Party and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w:t>
      </w:r>
      <w:r>
        <w:rPr>
          <w:rFonts w:ascii="Arial" w:cs="Arial" w:eastAsia="Arial" w:hAnsi="Arial"/>
          <w:sz w:val="20"/>
          <w:szCs w:val="20"/>
          <w:u w:val="single" w:color="auto"/>
          <w:color w:val="auto"/>
        </w:rPr>
        <w:t>provided that</w:t>
      </w:r>
      <w:r>
        <w:rPr>
          <w:rFonts w:ascii="Arial" w:cs="Arial" w:eastAsia="Arial" w:hAnsi="Arial"/>
          <w:sz w:val="20"/>
          <w:szCs w:val="20"/>
          <w:color w:val="auto"/>
        </w:rPr>
        <w:t>, with respect to the fee simple title of FleetCor Australia in any real property, no representation or warranty is given that such title is marketable or of good record). The property of each Loan Party and its Subsidiaries is subject to no Liens, other than Permitted Liens.</w:t>
      </w:r>
    </w:p>
    <w:p>
      <w:pPr>
        <w:spacing w:after="0" w:line="20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6.09</w:t>
      </w:r>
      <w:r>
        <w:rPr>
          <w:sz w:val="20"/>
          <w:szCs w:val="20"/>
          <w:color w:val="auto"/>
        </w:rPr>
        <w:tab/>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of the Facilities and all operations at the Facilities are in compliance with all applicable Environmental Laws, and there is no violation of any Environmental Law with respect to the Facilities 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420"/>
          </w:cols>
          <w:pgMar w:left="240" w:top="771" w:right="239" w:bottom="1440" w:gutter="0" w:footer="0" w:header="0"/>
        </w:sectPr>
      </w:pPr>
    </w:p>
    <w:bookmarkStart w:id="231" w:name="page232"/>
    <w:bookmarkEnd w:id="231"/>
    <w:p>
      <w:pPr>
        <w:jc w:val="both"/>
        <w:spacing w:after="0" w:line="260" w:lineRule="auto"/>
        <w:rPr>
          <w:sz w:val="20"/>
          <w:szCs w:val="20"/>
          <w:color w:val="auto"/>
        </w:rPr>
      </w:pPr>
      <w:r>
        <w:rPr>
          <w:rFonts w:ascii="Arial" w:cs="Arial" w:eastAsia="Arial" w:hAnsi="Arial"/>
          <w:sz w:val="20"/>
          <w:szCs w:val="20"/>
          <w:color w:val="auto"/>
        </w:rPr>
        <w:t>the Businesses, and there are no conditions relating to the Facilities or the Businesses that could reasonably be likely to have a Material Adverse Effect.</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The properties of the Loan Parties and their Subsidiaries are insured with financially sound and reputable insurance companies not Affiliates of such Persons,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6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Loan Parties and their Subsidiaries have filed all federal and other material tax returns and reports required to be filed, and have paid all federal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Neither any Loan Party nor any Subsidiary thereof is party to any tax sharing agreement with any Person that is not a Loan Party.</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5"/>
        <w:spacing w:after="0" w:line="255" w:lineRule="exact"/>
        <w:tabs>
          <w:tab w:leader="none" w:pos="170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Each Pension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Internal Revenue Service to the effect that the form of such Plan is qualified under Section 401 of the Internal Revenue Code or an application for such a letter is currently being processed by the Internal Revenue Service. To the best knowledge of the Loan Parties, nothing has occurred that would prevent, or cause the loss of, such tax</w:t>
      </w:r>
      <w:r>
        <w:rPr>
          <w:rFonts w:ascii="MS PGothic" w:cs="MS PGothic" w:eastAsia="MS PGothic" w:hAnsi="MS PGothic"/>
          <w:sz w:val="20"/>
          <w:szCs w:val="20"/>
          <w:color w:val="auto"/>
        </w:rPr>
        <w:t>‑</w:t>
      </w:r>
      <w:r>
        <w:rPr>
          <w:rFonts w:ascii="Arial" w:cs="Arial" w:eastAsia="Arial" w:hAnsi="Arial"/>
          <w:sz w:val="20"/>
          <w:szCs w:val="20"/>
          <w:color w:val="auto"/>
        </w:rPr>
        <w:t>qualified status.</w:t>
      </w:r>
    </w:p>
    <w:p>
      <w:pPr>
        <w:spacing w:after="0" w:line="226" w:lineRule="exact"/>
        <w:rPr>
          <w:rFonts w:ascii="Arial" w:cs="Arial" w:eastAsia="Arial" w:hAnsi="Arial"/>
          <w:sz w:val="20"/>
          <w:szCs w:val="20"/>
          <w:color w:val="auto"/>
        </w:rPr>
      </w:pPr>
    </w:p>
    <w:p>
      <w:pPr>
        <w:jc w:val="both"/>
        <w:ind w:left="660" w:firstLine="645"/>
        <w:spacing w:after="0" w:line="274" w:lineRule="auto"/>
        <w:tabs>
          <w:tab w:leader="none" w:pos="177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Loan Parties, threatened claims, actions or lawsuits, or action by any Governmental Authority, with respect to any Pension Plan that could reasonably be expected to have a Material Adverse Effect. There has been no prohibited transaction or violation of the fiduciary responsibility rules with respect to any Pension Plan that has resulted or could reasonably be expected to result in a Material Adverse Effect.</w:t>
      </w:r>
    </w:p>
    <w:p>
      <w:pPr>
        <w:spacing w:after="0" w:line="192" w:lineRule="exact"/>
        <w:rPr>
          <w:rFonts w:ascii="Arial" w:cs="Arial" w:eastAsia="Arial" w:hAnsi="Arial"/>
          <w:sz w:val="20"/>
          <w:szCs w:val="20"/>
          <w:color w:val="auto"/>
        </w:rPr>
      </w:pPr>
    </w:p>
    <w:p>
      <w:pPr>
        <w:jc w:val="both"/>
        <w:ind w:left="660" w:firstLine="645"/>
        <w:spacing w:after="0" w:line="286" w:lineRule="auto"/>
        <w:tabs>
          <w:tab w:leader="none" w:pos="178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Except as could not reasonably be expected to have a Material Adverse Effect, (i)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sixty percent (60%) or higher and no Loan Party knows of any facts or circumstances that could reasonably be expected to cause the funding target attainment percentage for any such plan to drop below sixty percent (60%)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420"/>
          </w:cols>
          <w:pgMar w:left="240" w:top="757" w:right="239" w:bottom="1440" w:gutter="0" w:footer="0" w:header="0"/>
        </w:sectPr>
      </w:pPr>
    </w:p>
    <w:bookmarkStart w:id="232" w:name="page233"/>
    <w:bookmarkEnd w:id="232"/>
    <w:p>
      <w:pPr>
        <w:jc w:val="both"/>
        <w:ind w:left="660"/>
        <w:spacing w:after="0" w:line="297" w:lineRule="auto"/>
        <w:rPr>
          <w:sz w:val="20"/>
          <w:szCs w:val="20"/>
          <w:color w:val="auto"/>
        </w:rPr>
      </w:pPr>
      <w:r>
        <w:rPr>
          <w:rFonts w:ascii="Arial" w:cs="Arial" w:eastAsia="Arial" w:hAnsi="Arial"/>
          <w:sz w:val="18"/>
          <w:szCs w:val="18"/>
          <w:color w:val="auto"/>
        </w:rPr>
        <w:t>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w:t>
      </w:r>
    </w:p>
    <w:p>
      <w:pPr>
        <w:spacing w:after="0" w:line="1" w:lineRule="exact"/>
        <w:rPr>
          <w:sz w:val="20"/>
          <w:szCs w:val="20"/>
          <w:color w:val="auto"/>
        </w:rPr>
      </w:pPr>
    </w:p>
    <w:p>
      <w:pPr>
        <w:jc w:val="both"/>
        <w:ind w:left="660" w:hanging="4"/>
        <w:spacing w:after="0" w:line="278" w:lineRule="auto"/>
        <w:tabs>
          <w:tab w:leader="none" w:pos="1029"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no Pension Plan has been terminated by the plan administrator thereof nor by the PBGC, and no event or circumstance has occurred or exists that could reasonably be expected to cause the PGBC to institute proceedings under Title IV of ERISA to terminate any Pension Plan.</w:t>
      </w:r>
    </w:p>
    <w:p>
      <w:pPr>
        <w:spacing w:after="0" w:line="186" w:lineRule="exact"/>
        <w:rPr>
          <w:rFonts w:ascii="Arial" w:cs="Arial" w:eastAsia="Arial" w:hAnsi="Arial"/>
          <w:sz w:val="20"/>
          <w:szCs w:val="20"/>
          <w:color w:val="auto"/>
        </w:rPr>
      </w:pPr>
    </w:p>
    <w:p>
      <w:pPr>
        <w:jc w:val="both"/>
        <w:ind w:left="660" w:firstLine="645"/>
        <w:spacing w:after="0" w:line="274" w:lineRule="auto"/>
        <w:tabs>
          <w:tab w:leader="none" w:pos="1732"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As of the Third Amendment Effective Date, no Borrower is and no Borrower will be (i) an employee benefit plan subject to Title I of ERISA, (ii) a plan or account subject to Section 4975 of the Internal Revenue Code, (iii) an entity deemed to hold “plan assets” of any such plans or accounts for purposes of ERISA or the Internal Revenue Code, or (iv) a “governmental plan” within the meaning of ERISA.</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6.13</w:t>
      </w:r>
      <w:r>
        <w:rPr>
          <w:rFonts w:ascii="Arial" w:cs="Arial" w:eastAsia="Arial" w:hAnsi="Arial"/>
          <w:sz w:val="19"/>
          <w:szCs w:val="19"/>
          <w:color w:val="auto"/>
        </w:rPr>
        <w:t xml:space="preserve"> is a complete and accurate list as of the Third Amendment Effective Date of each Subsidiary of any Loan Party, together with (i) jurisdiction of formation, (ii) number of shares of each class of Equity Interests outstanding, (iii) number and percentage of outstanding shares of each class owned (directly or indirectly) by any Loan Party or any Subsidiary and (iv) number and effect, if exercised, of all outstanding options, warrants, rights of conversion or purchase and all other similar rights with respect thereto. The outstanding Equity Interests of each Subsidiary of any Loan Party are validly issued, fully paid and non</w:t>
      </w:r>
      <w:r>
        <w:rPr>
          <w:rFonts w:ascii="MS PGothic" w:cs="MS PGothic" w:eastAsia="MS PGothic" w:hAnsi="MS PGothic"/>
          <w:sz w:val="19"/>
          <w:szCs w:val="19"/>
          <w:color w:val="auto"/>
        </w:rPr>
        <w:t>‑</w:t>
      </w:r>
      <w:r>
        <w:rPr>
          <w:rFonts w:ascii="Arial" w:cs="Arial" w:eastAsia="Arial" w:hAnsi="Arial"/>
          <w:sz w:val="19"/>
          <w:szCs w:val="19"/>
          <w:color w:val="auto"/>
        </w:rPr>
        <w:t>assessable.</w:t>
      </w:r>
    </w:p>
    <w:p>
      <w:pPr>
        <w:spacing w:after="0" w:line="21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5"/>
        <w:spacing w:after="0" w:line="271" w:lineRule="auto"/>
        <w:tabs>
          <w:tab w:leader="none" w:pos="172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No Borrower is engaged nor will any Borrower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any Borrower only or of the Parent and its Subsidiaries on a consolidated basis) subject to the provisions of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8.05</w:t>
      </w:r>
      <w:r>
        <w:rPr>
          <w:rFonts w:ascii="Arial" w:cs="Arial" w:eastAsia="Arial" w:hAnsi="Arial"/>
          <w:sz w:val="20"/>
          <w:szCs w:val="20"/>
          <w:color w:val="auto"/>
        </w:rPr>
        <w:t xml:space="preserve"> or subject to any restriction contained in any agreement or instrument between any Borrower and any Lender or any Affiliate of any Lender relating to Indebtedness and within the scope of </w:t>
      </w:r>
      <w:r>
        <w:rPr>
          <w:rFonts w:ascii="Arial" w:cs="Arial" w:eastAsia="Arial" w:hAnsi="Arial"/>
          <w:sz w:val="20"/>
          <w:szCs w:val="20"/>
          <w:u w:val="single" w:color="auto"/>
          <w:color w:val="auto"/>
        </w:rPr>
        <w:t>Section 9.01(e)</w:t>
      </w:r>
      <w:r>
        <w:rPr>
          <w:rFonts w:ascii="Arial" w:cs="Arial" w:eastAsia="Arial" w:hAnsi="Arial"/>
          <w:sz w:val="20"/>
          <w:szCs w:val="20"/>
          <w:color w:val="auto"/>
        </w:rPr>
        <w:t xml:space="preserve"> will be margin stock.</w:t>
      </w:r>
    </w:p>
    <w:p>
      <w:pPr>
        <w:spacing w:after="0" w:line="194" w:lineRule="exact"/>
        <w:rPr>
          <w:rFonts w:ascii="Arial" w:cs="Arial" w:eastAsia="Arial" w:hAnsi="Arial"/>
          <w:sz w:val="20"/>
          <w:szCs w:val="20"/>
          <w:color w:val="auto"/>
        </w:rPr>
      </w:pPr>
    </w:p>
    <w:p>
      <w:pPr>
        <w:ind w:left="660" w:firstLine="645"/>
        <w:spacing w:after="0" w:line="289" w:lineRule="auto"/>
        <w:tabs>
          <w:tab w:leader="none" w:pos="1827" w:val="left"/>
        </w:tabs>
        <w:numPr>
          <w:ilvl w:val="0"/>
          <w:numId w:val="183"/>
        </w:numPr>
        <w:rPr>
          <w:rFonts w:ascii="Arial" w:cs="Arial" w:eastAsia="Arial" w:hAnsi="Arial"/>
          <w:sz w:val="20"/>
          <w:szCs w:val="20"/>
          <w:color w:val="auto"/>
        </w:rPr>
      </w:pPr>
      <w:r>
        <w:rPr>
          <w:rFonts w:ascii="Arial" w:cs="Arial" w:eastAsia="Arial" w:hAnsi="Arial"/>
          <w:sz w:val="20"/>
          <w:szCs w:val="20"/>
          <w:color w:val="auto"/>
        </w:rPr>
        <w:t>None of any Loan Party or any Subsidiary is or is required to be registered as an “investment company” under the Investment Company Act of 1940.</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The reports, financial statements, certificates and other information (including the Information Memorandum) furnished in writing by or on behalf of any Loan Party to the Administrative Agent or any Lender in connection with the transactions contemplated hereby and the negotiation of this Agreement (in each case, as modified or supplemented by other information so furnished) do not contain any material misstatement of fact or omit to state any material fact necessary to make the statements therein, in the light of the circumstances under which they were made, not misleading;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projected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420"/>
          </w:cols>
          <w:pgMar w:left="240" w:top="771" w:right="239" w:bottom="1440" w:gutter="0" w:footer="0" w:header="0"/>
        </w:sectPr>
      </w:pPr>
    </w:p>
    <w:bookmarkStart w:id="233" w:name="page234"/>
    <w:bookmarkEnd w:id="233"/>
    <w:p>
      <w:pPr>
        <w:jc w:val="both"/>
        <w:spacing w:after="0" w:line="260" w:lineRule="auto"/>
        <w:rPr>
          <w:sz w:val="20"/>
          <w:szCs w:val="20"/>
          <w:color w:val="auto"/>
        </w:rPr>
      </w:pPr>
      <w:r>
        <w:rPr>
          <w:rFonts w:ascii="Arial" w:cs="Arial" w:eastAsia="Arial" w:hAnsi="Arial"/>
          <w:sz w:val="20"/>
          <w:szCs w:val="20"/>
          <w:color w:val="auto"/>
        </w:rPr>
        <w:t>financial information, the Loan Parties represent only that such information was prepared in good faith based upon assumptions believed to be reasonable at the time.</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6.16</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6.17</w:t>
      </w:r>
      <w:r>
        <w:rPr>
          <w:sz w:val="20"/>
          <w:szCs w:val="20"/>
          <w:color w:val="auto"/>
        </w:rPr>
        <w:tab/>
      </w:r>
      <w:r>
        <w:rPr>
          <w:rFonts w:ascii="Arial" w:cs="Arial" w:eastAsia="Arial" w:hAnsi="Arial"/>
          <w:sz w:val="18"/>
          <w:szCs w:val="18"/>
          <w:u w:val="single" w:color="auto"/>
          <w:color w:val="auto"/>
        </w:rPr>
        <w:t>Intellectual Property; Licenses, Etc</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Each Loan Party and its Subsidiaries own, or possess the legal right to use, all of the trademarks, service marks, trade names, copyrights, patents, patent rights, franchises, licenses and other intellectual property rights (collectively, “</w:t>
      </w:r>
      <w:r>
        <w:rPr>
          <w:rFonts w:ascii="Arial" w:cs="Arial" w:eastAsia="Arial" w:hAnsi="Arial"/>
          <w:sz w:val="19"/>
          <w:szCs w:val="19"/>
          <w:u w:val="single" w:color="auto"/>
          <w:color w:val="auto"/>
        </w:rPr>
        <w:t>IP Rights</w:t>
      </w:r>
      <w:r>
        <w:rPr>
          <w:rFonts w:ascii="Arial" w:cs="Arial" w:eastAsia="Arial" w:hAnsi="Arial"/>
          <w:sz w:val="19"/>
          <w:szCs w:val="19"/>
          <w:color w:val="auto"/>
        </w:rPr>
        <w:t xml:space="preserve">”) that are reasonably necessary for the operation of their respective businesses. Set forth on </w:t>
      </w:r>
      <w:r>
        <w:rPr>
          <w:rFonts w:ascii="Arial" w:cs="Arial" w:eastAsia="Arial" w:hAnsi="Arial"/>
          <w:sz w:val="19"/>
          <w:szCs w:val="19"/>
          <w:u w:val="single" w:color="auto"/>
          <w:color w:val="auto"/>
        </w:rPr>
        <w:t>Schedule 6.17</w:t>
      </w:r>
      <w:r>
        <w:rPr>
          <w:rFonts w:ascii="Arial" w:cs="Arial" w:eastAsia="Arial" w:hAnsi="Arial"/>
          <w:sz w:val="19"/>
          <w:szCs w:val="19"/>
          <w:color w:val="auto"/>
        </w:rPr>
        <w:t xml:space="preserve"> is a list of all IP Rights registered or pending registration with the United States Copyright Office or the United States Patent and Trademark Office and owned by each Loan Party as of Third Amendment Effective Date. Except for such claims and infringements that could not reasonably be expected to have a Material Adverse Effect, no claim has been asserted and is pending by any Person challenging or questioning the use of any IP Rights or the validity or effectiveness of any IP Rights, nor does any Loan Party know of any such claim, and, to the knowledge of the Loan Parties, the use of any IP Rights by any Loan Party or any of its Subsidiaries or the granting of a right or a license in respect of any IP Rights from any Loan Party or any of its Subsidiaries does not infringe on the rights of any Person.</w:t>
      </w:r>
    </w:p>
    <w:p>
      <w:pPr>
        <w:spacing w:after="0" w:line="19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6.18</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Parent and its Subsidiaries are Solvent on a consolidated basis.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6.19</w:t>
      </w:r>
      <w:r>
        <w:rPr>
          <w:sz w:val="20"/>
          <w:szCs w:val="20"/>
          <w:color w:val="auto"/>
        </w:rPr>
        <w:tab/>
      </w:r>
      <w:r>
        <w:rPr>
          <w:rFonts w:ascii="Arial" w:cs="Arial" w:eastAsia="Arial" w:hAnsi="Arial"/>
          <w:sz w:val="18"/>
          <w:szCs w:val="18"/>
          <w:u w:val="single" w:color="auto"/>
          <w:color w:val="auto"/>
        </w:rPr>
        <w:t>Perfection of Security Interests in the Collateral</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Collateral Documents create valid security interests in, and Liens on, the Collateral purported to be covered thereby, which security interests and Liens are currently perfected security interests and Liens, prior to all other Liens other than Permitted Liens.</w:t>
      </w:r>
    </w:p>
    <w:p>
      <w:pPr>
        <w:spacing w:after="0" w:line="16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6.20</w:t>
      </w:r>
      <w:r>
        <w:rPr>
          <w:sz w:val="20"/>
          <w:szCs w:val="20"/>
          <w:color w:val="auto"/>
        </w:rPr>
        <w:tab/>
      </w:r>
      <w:r>
        <w:rPr>
          <w:rFonts w:ascii="Arial" w:cs="Arial" w:eastAsia="Arial" w:hAnsi="Arial"/>
          <w:sz w:val="16"/>
          <w:szCs w:val="16"/>
          <w:u w:val="single" w:color="auto"/>
          <w:color w:val="auto"/>
        </w:rPr>
        <w:t>Business Locations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6.20(a)</w:t>
      </w:r>
      <w:r>
        <w:rPr>
          <w:rFonts w:ascii="Arial" w:cs="Arial" w:eastAsia="Arial" w:hAnsi="Arial"/>
          <w:sz w:val="16"/>
          <w:szCs w:val="16"/>
          <w:color w:val="auto"/>
        </w:rPr>
        <w:t xml:space="preserve"> is a list of all real property located in the United States that is owned by the Loan Parties as of the Third Amendment Effective Date. Set forth on </w:t>
      </w:r>
      <w:r>
        <w:rPr>
          <w:rFonts w:ascii="Arial" w:cs="Arial" w:eastAsia="Arial" w:hAnsi="Arial"/>
          <w:sz w:val="16"/>
          <w:szCs w:val="16"/>
          <w:u w:val="single" w:color="auto"/>
          <w:color w:val="auto"/>
        </w:rPr>
        <w:t>Schedule 6.20(b)</w:t>
      </w:r>
      <w:r>
        <w:rPr>
          <w:rFonts w:ascii="Arial" w:cs="Arial" w:eastAsia="Arial" w:hAnsi="Arial"/>
          <w:sz w:val="16"/>
          <w:szCs w:val="16"/>
          <w:color w:val="auto"/>
        </w:rPr>
        <w:t xml:space="preserve"> is the chief executive office, tax payer identification number and organizational identification number of each Loan Party as of the Third Amendment Effective Date. The exact legal name and state or other jurisdiction of organization of each Loan Party is (i) as set forth on the signature pages to this Agreement or the Guaranty, (ii) as set forth on the signature pages to the Joinder Agreement or such other agreement pursuant to which such Loan Party became a party hereto or (iii) as may be otherwise disclosed by the Loan Parties to the Administrative Agent in accordance with </w:t>
      </w:r>
      <w:r>
        <w:rPr>
          <w:rFonts w:ascii="Arial" w:cs="Arial" w:eastAsia="Arial" w:hAnsi="Arial"/>
          <w:sz w:val="16"/>
          <w:szCs w:val="16"/>
          <w:u w:val="single" w:color="auto"/>
          <w:color w:val="auto"/>
        </w:rPr>
        <w:t>Section 8.13(c)</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6.20(c)</w:t>
      </w:r>
      <w:r>
        <w:rPr>
          <w:rFonts w:ascii="Arial" w:cs="Arial" w:eastAsia="Arial" w:hAnsi="Arial"/>
          <w:sz w:val="16"/>
          <w:szCs w:val="16"/>
          <w:color w:val="auto"/>
        </w:rPr>
        <w:t>, no Loan Party has during the five years preceding the Third Amendment Effective Date (i) changed its legal name, (ii) changed its state of formation, or</w:t>
      </w:r>
    </w:p>
    <w:p>
      <w:pPr>
        <w:spacing w:after="0" w:line="3" w:lineRule="exact"/>
        <w:rPr>
          <w:sz w:val="20"/>
          <w:szCs w:val="20"/>
          <w:color w:val="auto"/>
        </w:rPr>
      </w:pPr>
    </w:p>
    <w:p>
      <w:pPr>
        <w:ind w:left="660" w:right="5860" w:hanging="652"/>
        <w:spacing w:after="0" w:line="564" w:lineRule="auto"/>
        <w:tabs>
          <w:tab w:leader="none" w:pos="35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been party to a merger, consolidation or other change in structure. 6.21 </w:t>
      </w:r>
      <w:r>
        <w:rPr>
          <w:rFonts w:ascii="Arial" w:cs="Arial" w:eastAsia="Arial" w:hAnsi="Arial"/>
          <w:sz w:val="18"/>
          <w:szCs w:val="18"/>
          <w:u w:val="single" w:color="auto"/>
          <w:color w:val="auto"/>
        </w:rPr>
        <w:t>Representations as to Designated Borrowers</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420"/>
          </w:cols>
          <w:pgMar w:left="240" w:top="758"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0"/>
          <w:szCs w:val="20"/>
          <w:color w:val="auto"/>
        </w:rPr>
        <w:t>Each of the Company and each Designated Borrower represents and warrants to the Administrative Agent and the Lenders that:</w:t>
      </w:r>
    </w:p>
    <w:p>
      <w:pPr>
        <w:spacing w:after="0" w:line="229" w:lineRule="exact"/>
        <w:rPr>
          <w:sz w:val="20"/>
          <w:szCs w:val="20"/>
          <w:color w:val="auto"/>
        </w:rPr>
      </w:pPr>
    </w:p>
    <w:p>
      <w:pPr>
        <w:jc w:val="both"/>
        <w:ind w:left="660" w:firstLine="645"/>
        <w:spacing w:after="0" w:line="270" w:lineRule="auto"/>
        <w:tabs>
          <w:tab w:leader="none" w:pos="1749" w:val="left"/>
        </w:tabs>
        <w:numPr>
          <w:ilvl w:val="1"/>
          <w:numId w:val="185"/>
        </w:numPr>
        <w:rPr>
          <w:rFonts w:ascii="Arial" w:cs="Arial" w:eastAsia="Arial" w:hAnsi="Arial"/>
          <w:sz w:val="20"/>
          <w:szCs w:val="20"/>
          <w:color w:val="auto"/>
        </w:rPr>
      </w:pPr>
      <w:r>
        <w:rPr>
          <w:rFonts w:ascii="Arial" w:cs="Arial" w:eastAsia="Arial" w:hAnsi="Arial"/>
          <w:sz w:val="20"/>
          <w:szCs w:val="20"/>
          <w:color w:val="auto"/>
        </w:rPr>
        <w:t>Such Designated Borrower is subject to civil and commercial Laws with respect to its obligations under this Agreement and the other Loan Documents to which it is a party (collectively as to such Designated Borrower, the “</w:t>
      </w:r>
      <w:r>
        <w:rPr>
          <w:rFonts w:ascii="Arial" w:cs="Arial" w:eastAsia="Arial" w:hAnsi="Arial"/>
          <w:sz w:val="20"/>
          <w:szCs w:val="20"/>
          <w:u w:val="single" w:color="auto"/>
          <w:color w:val="auto"/>
        </w:rPr>
        <w:t>Applicable Designated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Borrower Documents</w:t>
      </w:r>
      <w:r>
        <w:rPr>
          <w:rFonts w:ascii="Arial" w:cs="Arial" w:eastAsia="Arial" w:hAnsi="Arial"/>
          <w:sz w:val="20"/>
          <w:szCs w:val="20"/>
          <w:color w:val="auto"/>
        </w:rPr>
        <w:t>”), and the execution, delivery and performance by such Designated Borrower of the Applicable Designated Borrower Documents constitute and will constitute private and commercial acts and not public or governmental acts. Neither such Designated Borrower nor any of its property has any immunity from jurisdiction of any court or from any legal process (whether through service or notice, attachment prior to judgment, attachment in aid of execution, execution or otherwise) under the laws of the jurisdiction in which such Designated Borrower is organized and existing in respect of its obligations under the Applicable Designated Borrower Documents.</w:t>
      </w:r>
    </w:p>
    <w:p>
      <w:pPr>
        <w:spacing w:after="0" w:line="199" w:lineRule="exact"/>
        <w:rPr>
          <w:rFonts w:ascii="Arial" w:cs="Arial" w:eastAsia="Arial" w:hAnsi="Arial"/>
          <w:sz w:val="20"/>
          <w:szCs w:val="20"/>
          <w:color w:val="auto"/>
        </w:rPr>
      </w:pPr>
    </w:p>
    <w:p>
      <w:pPr>
        <w:jc w:val="both"/>
        <w:ind w:left="660" w:firstLine="645"/>
        <w:spacing w:after="0" w:line="303" w:lineRule="auto"/>
        <w:tabs>
          <w:tab w:leader="none" w:pos="178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Applicable Designated Borrower Documents are in proper legal form under the Laws of the jurisdiction in which such Designated Borrower is organized and existing for the enforcement thereof against such Designated Borrower under the Laws of such jurisdiction, and to ensure the legality, validity, enforceability, priority or admissibility in evidence of the Applicable Designated Borrower Documents. It is not necessary to ensure the legality, validity, enforceability, priority or admissibility in evidence of the Applicable Designated Borrower Documents that the Applicable Designated Borrower Documents be filed, registered or recorded with, or executed or notarized before, any court or other authority in the jurisdiction in which such Designated Borrower is organized and existing or that any registration charge or stamp or similar tax be paid on or in respect of the Applicable Designated Borrower Documents or any other document, except for (i) any such filing, registration, recording, execution or notarization as has been made or is not required to be made until the Applicable Designated Borrower Document or any other document is sought to be enforced and (ii) any charge or tax as has been timely paid.</w:t>
      </w:r>
    </w:p>
    <w:p>
      <w:pPr>
        <w:spacing w:after="0" w:line="168" w:lineRule="exact"/>
        <w:rPr>
          <w:rFonts w:ascii="Arial" w:cs="Arial" w:eastAsia="Arial" w:hAnsi="Arial"/>
          <w:sz w:val="18"/>
          <w:szCs w:val="18"/>
          <w:color w:val="auto"/>
        </w:rPr>
      </w:pPr>
    </w:p>
    <w:p>
      <w:pPr>
        <w:jc w:val="both"/>
        <w:ind w:left="660" w:firstLine="645"/>
        <w:spacing w:after="0" w:line="297" w:lineRule="auto"/>
        <w:tabs>
          <w:tab w:leader="none" w:pos="181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There is no tax, levy, impost, duty, fee, assessment or other governmental charge, or any deduction or withholding, imposed by any Governmental Authority in or of the jurisdiction in which such Designated Borrower is organized and existing either</w:t>
      </w:r>
    </w:p>
    <w:p>
      <w:pPr>
        <w:jc w:val="both"/>
        <w:ind w:left="660" w:hanging="4"/>
        <w:spacing w:after="0" w:line="278" w:lineRule="auto"/>
        <w:tabs>
          <w:tab w:leader="none" w:pos="89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on or by virtue of the execution or delivery of the Applicable Designated Borrower Documents or (ii) on any payment to be made by such Designated Borrower pursuant to the Applicable Designated Borrower Documents, except as has been disclosed to the Administrative Agent.</w:t>
      </w:r>
    </w:p>
    <w:p>
      <w:pPr>
        <w:spacing w:after="0" w:line="186" w:lineRule="exact"/>
        <w:rPr>
          <w:rFonts w:ascii="Arial" w:cs="Arial" w:eastAsia="Arial" w:hAnsi="Arial"/>
          <w:sz w:val="20"/>
          <w:szCs w:val="20"/>
          <w:color w:val="auto"/>
        </w:rPr>
      </w:pPr>
    </w:p>
    <w:p>
      <w:pPr>
        <w:jc w:val="both"/>
        <w:ind w:left="660" w:firstLine="645"/>
        <w:spacing w:after="0" w:line="273" w:lineRule="auto"/>
        <w:tabs>
          <w:tab w:leader="none" w:pos="1922" w:val="left"/>
        </w:tabs>
        <w:numPr>
          <w:ilvl w:val="1"/>
          <w:numId w:val="186"/>
        </w:numPr>
        <w:rPr>
          <w:rFonts w:ascii="Arial" w:cs="Arial" w:eastAsia="Arial" w:hAnsi="Arial"/>
          <w:sz w:val="20"/>
          <w:szCs w:val="20"/>
          <w:color w:val="auto"/>
        </w:rPr>
      </w:pPr>
      <w:r>
        <w:rPr>
          <w:rFonts w:ascii="Arial" w:cs="Arial" w:eastAsia="Arial" w:hAnsi="Arial"/>
          <w:sz w:val="20"/>
          <w:szCs w:val="20"/>
          <w:color w:val="auto"/>
        </w:rPr>
        <w:t>The execution, delivery and performance of the Applicable Designated Borrower Documents executed by such Designated Borrower are, under applicable foreign exchange control regulations of the jurisdiction in which such Designated Borrower is organized and existing, not subject to any notification or authorization except (i) such as have been made or obtained or (ii) such as cannot be made or obtained until a later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notification or authorization described in clause (ii) shall be made or obtained as soon as is reasonably practicable).</w:t>
      </w:r>
    </w:p>
    <w:p>
      <w:pPr>
        <w:spacing w:after="0" w:line="19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6.22</w:t>
      </w:r>
      <w:r>
        <w:rPr>
          <w:sz w:val="20"/>
          <w:szCs w:val="20"/>
          <w:color w:val="auto"/>
        </w:rPr>
        <w:tab/>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Neither the Parent, nor any of its Subsidiaries, nor any of their respective employees and officers, nor, to the knowledge of the Parent and its Subsidiaries, any director, agent, affiliate or representative thereof,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420"/>
          </w:cols>
          <w:pgMar w:left="240" w:top="757" w:right="239" w:bottom="1440" w:gutter="0" w:footer="0" w:header="0"/>
        </w:sectPr>
      </w:pPr>
    </w:p>
    <w:bookmarkStart w:id="235" w:name="page236"/>
    <w:bookmarkEnd w:id="235"/>
    <w:p>
      <w:pPr>
        <w:jc w:val="both"/>
        <w:spacing w:after="0" w:line="246" w:lineRule="auto"/>
        <w:rPr>
          <w:sz w:val="20"/>
          <w:szCs w:val="20"/>
          <w:color w:val="auto"/>
        </w:rPr>
      </w:pPr>
      <w:r>
        <w:rPr>
          <w:rFonts w:ascii="Arial" w:cs="Arial" w:eastAsia="Arial" w:hAnsi="Arial"/>
          <w:sz w:val="20"/>
          <w:szCs w:val="20"/>
          <w:color w:val="auto"/>
        </w:rPr>
        <w:t>is (i) an individual or entity currently the subject of any Sanctions, (ii) located, organized or resident in a Designated Jurisdiction or (iii) in violation of any Laws related to bribery or corruption. The Parent has implemented and maintains in effect policies and procedures designed to ensure compliance by the Parent, its Subsidiaries and their respective directors, officers, employees and agents with applicable Sanctions and Laws related to bribery and corruption.</w:t>
      </w:r>
    </w:p>
    <w:p>
      <w:pPr>
        <w:spacing w:after="0" w:line="2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6.23</w:t>
      </w:r>
      <w:r>
        <w:rPr>
          <w:sz w:val="20"/>
          <w:szCs w:val="20"/>
          <w:color w:val="auto"/>
        </w:rPr>
        <w:tab/>
      </w:r>
      <w:r>
        <w:rPr>
          <w:rFonts w:ascii="Arial" w:cs="Arial" w:eastAsia="Arial" w:hAnsi="Arial"/>
          <w:sz w:val="18"/>
          <w:szCs w:val="18"/>
          <w:u w:val="single" w:color="auto"/>
          <w:color w:val="auto"/>
        </w:rPr>
        <w:t>Patriot Act; FCPA</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Each Loan Party and its Subsidiaries and their respective directors and officers, and to the knowledge of the Borrowers, any affiliate, agent or employee of it, are in compliance with (i) the Trading with the Enemy Act, as amended, and each of the foreign assets control regulations of the United States Treasury Department (31 CFR, Subtitle B, Chapter V, as amended) and any other enabling legislation or executive order relating thereto, and (ii) the Uniting And Strengthening America By Providing Appropriate Tools Required To Intercept And Obstruct Terrorism (USA Patriot Act of 2001). No part of the proceeds of the Credit Extensions will be used, directly or indirectly, in order to obtain, retain or direct business or obtain any improper advantage, in violation of the United States Foreign Corrupt Practices Act of 1977, as amended, or any similar laws, rules or regulations issued, administered or enforced by any Governmental Authority having jurisdiction over any Loan Party or Subsidiary.</w:t>
      </w:r>
    </w:p>
    <w:p>
      <w:pPr>
        <w:spacing w:after="0" w:line="21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6.24</w:t>
      </w:r>
      <w:r>
        <w:rPr>
          <w:sz w:val="20"/>
          <w:szCs w:val="20"/>
          <w:color w:val="auto"/>
        </w:rPr>
        <w:tab/>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Loan Party is an EEA Financial Institution.</w:t>
      </w:r>
    </w:p>
    <w:p>
      <w:pPr>
        <w:spacing w:after="0" w:line="21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So long as any Lender shall have any Commitment hereunder, any Loan or other Obligation hereunder shall remain unpaid or unsatisfied, or any Letter of Credit shall remain outstanding, the Loan Parties party hereto shall, and shall cause each other Loan Party and each Subsidiary to:</w:t>
      </w:r>
    </w:p>
    <w:p>
      <w:pPr>
        <w:spacing w:after="0" w:line="20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Deliver to the Administrative Agent, in form and detail reasonably satisfactory to the Administrative Agent:</w:t>
      </w:r>
    </w:p>
    <w:p>
      <w:pPr>
        <w:spacing w:after="0" w:line="229" w:lineRule="exact"/>
        <w:rPr>
          <w:sz w:val="20"/>
          <w:szCs w:val="20"/>
          <w:color w:val="auto"/>
        </w:rPr>
      </w:pPr>
    </w:p>
    <w:p>
      <w:pPr>
        <w:jc w:val="both"/>
        <w:ind w:left="660" w:firstLine="645"/>
        <w:spacing w:after="0" w:line="286" w:lineRule="auto"/>
        <w:tabs>
          <w:tab w:leader="none" w:pos="170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upon the earlier of the date that is ninety days after the end of each fiscal year of the Parent or the date such information is filed with the SEC, a consolidated balance sheet of the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420"/>
          </w:cols>
          <w:pgMar w:left="240" w:top="758" w:right="239" w:bottom="1440" w:gutter="0" w:footer="0" w:header="0"/>
        </w:sectPr>
      </w:pPr>
    </w:p>
    <w:bookmarkStart w:id="236" w:name="page237"/>
    <w:bookmarkEnd w:id="236"/>
    <w:p>
      <w:pPr>
        <w:jc w:val="both"/>
        <w:ind w:firstLine="645"/>
        <w:spacing w:after="0" w:line="256" w:lineRule="exact"/>
        <w:tabs>
          <w:tab w:leader="none" w:pos="1072" w:val="left"/>
        </w:tabs>
        <w:numPr>
          <w:ilvl w:val="0"/>
          <w:numId w:val="188"/>
        </w:numPr>
        <w:rPr>
          <w:rFonts w:ascii="Arial" w:cs="Arial" w:eastAsia="Arial" w:hAnsi="Arial"/>
          <w:sz w:val="19"/>
          <w:szCs w:val="19"/>
          <w:color w:val="auto"/>
        </w:rPr>
      </w:pPr>
      <w:r>
        <w:rPr>
          <w:rFonts w:ascii="Arial" w:cs="Arial" w:eastAsia="Arial" w:hAnsi="Arial"/>
          <w:sz w:val="19"/>
          <w:szCs w:val="19"/>
          <w:color w:val="auto"/>
        </w:rPr>
        <w:t>upon the earlier of the date that is forty</w:t>
      </w:r>
      <w:r>
        <w:rPr>
          <w:rFonts w:ascii="MS PGothic" w:cs="MS PGothic" w:eastAsia="MS PGothic" w:hAnsi="MS PGothic"/>
          <w:sz w:val="19"/>
          <w:szCs w:val="19"/>
          <w:color w:val="auto"/>
        </w:rPr>
        <w:t>‑</w:t>
      </w:r>
      <w:r>
        <w:rPr>
          <w:rFonts w:ascii="Arial" w:cs="Arial" w:eastAsia="Arial" w:hAnsi="Arial"/>
          <w:sz w:val="19"/>
          <w:szCs w:val="19"/>
          <w:color w:val="auto"/>
        </w:rPr>
        <w:t>five days after the end of each of the first three fiscal quarters of each fiscal year of the Parent or the date such information is filed with the SEC, a consolidated balance sheet of the Parent and its Subsidiaries as at the end of such fiscal quarter, and the related consolidated statements of income or operations, changes in shareholders’ equity and cash flows for such fiscal quarter and for the portion of the Parent’s fiscal year then ended, setting forth in each case in comparative form the figures for the corresponding fiscal quarter of the previous fiscal year and the corresponding portion of the previous fiscal year, all in reasonable detail and certified by a Responsible Officer of the Parent as fairly presenting the financial condition, results of operations, shareholders’ equity and cash flows of the Parent and its Subsidiaries in accordance with GAAP, subject only to normal year</w:t>
      </w:r>
      <w:r>
        <w:rPr>
          <w:rFonts w:ascii="MS PGothic" w:cs="MS PGothic" w:eastAsia="MS PGothic" w:hAnsi="MS PGothic"/>
          <w:sz w:val="19"/>
          <w:szCs w:val="19"/>
          <w:color w:val="auto"/>
        </w:rPr>
        <w:t>‑</w:t>
      </w:r>
      <w:r>
        <w:rPr>
          <w:rFonts w:ascii="Arial" w:cs="Arial" w:eastAsia="Arial" w:hAnsi="Arial"/>
          <w:sz w:val="19"/>
          <w:szCs w:val="19"/>
          <w:color w:val="auto"/>
        </w:rPr>
        <w:t>end audit adjustments and the absence of footnotes.</w:t>
      </w:r>
    </w:p>
    <w:p>
      <w:pPr>
        <w:spacing w:after="0" w:line="222"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Deliver to the Administrative Agent, in form and detail satisfactory to the Administrative Agent:</w:t>
      </w:r>
    </w:p>
    <w:p>
      <w:pPr>
        <w:spacing w:after="0" w:line="229" w:lineRule="exact"/>
        <w:rPr>
          <w:sz w:val="20"/>
          <w:szCs w:val="20"/>
          <w:color w:val="auto"/>
        </w:rPr>
      </w:pPr>
    </w:p>
    <w:p>
      <w:pPr>
        <w:jc w:val="both"/>
        <w:ind w:firstLine="645"/>
        <w:spacing w:after="0" w:line="274" w:lineRule="auto"/>
        <w:tabs>
          <w:tab w:leader="none" w:pos="117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 duly completed Compliance Certificate signed by a Responsible Officer of the Parent including (i) a calculation of the Cumulative Credit and (ii) in the case of a Compliance Certificate delivered with financial statements referred to in </w:t>
      </w:r>
      <w:r>
        <w:rPr>
          <w:rFonts w:ascii="Arial" w:cs="Arial" w:eastAsia="Arial" w:hAnsi="Arial"/>
          <w:sz w:val="20"/>
          <w:szCs w:val="20"/>
          <w:u w:val="single" w:color="auto"/>
          <w:color w:val="auto"/>
        </w:rPr>
        <w:t>Section 7.01(a)</w:t>
      </w:r>
      <w:r>
        <w:rPr>
          <w:rFonts w:ascii="Arial" w:cs="Arial" w:eastAsia="Arial" w:hAnsi="Arial"/>
          <w:sz w:val="20"/>
          <w:szCs w:val="20"/>
          <w:color w:val="auto"/>
        </w:rPr>
        <w:t>, a calculation of Excess Cash Flow for such fiscal year;</w:t>
      </w:r>
    </w:p>
    <w:p>
      <w:pPr>
        <w:spacing w:after="0" w:line="192" w:lineRule="exact"/>
        <w:rPr>
          <w:rFonts w:ascii="Arial" w:cs="Arial" w:eastAsia="Arial" w:hAnsi="Arial"/>
          <w:sz w:val="20"/>
          <w:szCs w:val="20"/>
          <w:color w:val="auto"/>
        </w:rPr>
      </w:pPr>
    </w:p>
    <w:p>
      <w:pPr>
        <w:jc w:val="both"/>
        <w:ind w:firstLine="645"/>
        <w:spacing w:after="0" w:line="278" w:lineRule="auto"/>
        <w:tabs>
          <w:tab w:leader="none" w:pos="11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within 30 days after the end of each fiscal year of the Parent, beginning with the first fiscal year ending after the Initial Borrowing Date, an annual budget of the Parent and its Subsidiaries containing, among other things, pro forma financial statements for each quarter of the next fiscal year;</w:t>
      </w:r>
    </w:p>
    <w:p>
      <w:pPr>
        <w:spacing w:after="0" w:line="186" w:lineRule="exact"/>
        <w:rPr>
          <w:rFonts w:ascii="Arial" w:cs="Arial" w:eastAsia="Arial" w:hAnsi="Arial"/>
          <w:sz w:val="20"/>
          <w:szCs w:val="20"/>
          <w:color w:val="auto"/>
        </w:rPr>
      </w:pPr>
    </w:p>
    <w:p>
      <w:pPr>
        <w:jc w:val="both"/>
        <w:ind w:firstLine="645"/>
        <w:spacing w:after="0" w:line="299" w:lineRule="auto"/>
        <w:tabs>
          <w:tab w:leader="none" w:pos="1156" w:val="left"/>
        </w:tabs>
        <w:numPr>
          <w:ilvl w:val="0"/>
          <w:numId w:val="189"/>
        </w:numPr>
        <w:rPr>
          <w:rFonts w:ascii="Arial" w:cs="Arial" w:eastAsia="Arial" w:hAnsi="Arial"/>
          <w:sz w:val="19"/>
          <w:szCs w:val="19"/>
          <w:color w:val="auto"/>
        </w:rPr>
      </w:pPr>
      <w:r>
        <w:rPr>
          <w:rFonts w:ascii="Arial" w:cs="Arial" w:eastAsia="Arial" w:hAnsi="Arial"/>
          <w:sz w:val="19"/>
          <w:szCs w:val="19"/>
          <w:color w:val="auto"/>
        </w:rPr>
        <w:t>promptly after any request by the Administrative Agent, copies of any detailed audit reports, management letters or recommendations submitted to the board of directors (or the audit committee of the board of directors) of the Parent by independent accountants in connection with the accounts or books of the Parent or any Subsidiary, or any audit of any of them;</w:t>
      </w:r>
    </w:p>
    <w:p>
      <w:pPr>
        <w:spacing w:after="0" w:line="169" w:lineRule="exact"/>
        <w:rPr>
          <w:rFonts w:ascii="Arial" w:cs="Arial" w:eastAsia="Arial" w:hAnsi="Arial"/>
          <w:sz w:val="19"/>
          <w:szCs w:val="19"/>
          <w:color w:val="auto"/>
        </w:rPr>
      </w:pPr>
    </w:p>
    <w:p>
      <w:pPr>
        <w:jc w:val="both"/>
        <w:ind w:firstLine="645"/>
        <w:spacing w:after="0" w:line="299" w:lineRule="auto"/>
        <w:tabs>
          <w:tab w:leader="none" w:pos="110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any other clause of this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645"/>
        <w:spacing w:after="0" w:line="255" w:lineRule="exact"/>
        <w:tabs>
          <w:tab w:leader="none" w:pos="108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promptly, and in any event within five Business Days after receipt thereof by any Loan Party or any Subsidiary thereof, copies of each notice or other correspondence received from the SEC (or comparable agency in any applicable non</w:t>
      </w:r>
      <w:r>
        <w:rPr>
          <w:rFonts w:ascii="MS PGothic" w:cs="MS PGothic" w:eastAsia="MS PGothic" w:hAnsi="MS PGothic"/>
          <w:sz w:val="20"/>
          <w:szCs w:val="20"/>
          <w:color w:val="auto"/>
        </w:rPr>
        <w:t>‑</w:t>
      </w:r>
      <w:r>
        <w:rPr>
          <w:rFonts w:ascii="Arial" w:cs="Arial" w:eastAsia="Arial" w:hAnsi="Arial"/>
          <w:sz w:val="20"/>
          <w:szCs w:val="20"/>
          <w:color w:val="auto"/>
        </w:rPr>
        <w:t>U.S. jurisdiction) concerning any investigation or possible investigation or other inquiry by such agency regarding financial or other operational results of any Loan Party or any Subsidiary thereof;</w:t>
      </w:r>
    </w:p>
    <w:p>
      <w:pPr>
        <w:spacing w:after="0" w:line="222" w:lineRule="exact"/>
        <w:rPr>
          <w:rFonts w:ascii="Arial" w:cs="Arial" w:eastAsia="Arial" w:hAnsi="Arial"/>
          <w:sz w:val="20"/>
          <w:szCs w:val="20"/>
          <w:color w:val="auto"/>
        </w:rPr>
      </w:pPr>
    </w:p>
    <w:p>
      <w:pPr>
        <w:jc w:val="both"/>
        <w:ind w:firstLine="645"/>
        <w:spacing w:after="0" w:line="322" w:lineRule="auto"/>
        <w:tabs>
          <w:tab w:leader="none" w:pos="10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for any period in which the Parent or any of its Subsidiaries beneficially owns (directly or indirectly) a majority of the shares of Voting Stock of the Unrestricted Subsidiary (or the Unrestricted Subsidiary is otherwise consolidated with the Parent and its Subsidiaries for purposes</w:t>
      </w:r>
    </w:p>
    <w:p>
      <w:pPr>
        <w:spacing w:after="0" w:line="396"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0760"/>
          </w:cols>
          <w:pgMar w:left="900" w:top="771" w:right="239" w:bottom="1440" w:gutter="0" w:footer="0" w:header="0"/>
        </w:sectPr>
      </w:pPr>
    </w:p>
    <w:bookmarkStart w:id="237" w:name="page238"/>
    <w:bookmarkEnd w:id="237"/>
    <w:p>
      <w:pPr>
        <w:jc w:val="both"/>
        <w:ind w:left="660"/>
        <w:spacing w:after="0" w:line="255" w:lineRule="exact"/>
        <w:rPr>
          <w:sz w:val="20"/>
          <w:szCs w:val="20"/>
          <w:color w:val="auto"/>
        </w:rPr>
      </w:pPr>
      <w:r>
        <w:rPr>
          <w:rFonts w:ascii="Arial" w:cs="Arial" w:eastAsia="Arial" w:hAnsi="Arial"/>
          <w:sz w:val="19"/>
          <w:szCs w:val="19"/>
          <w:color w:val="auto"/>
        </w:rPr>
        <w:t xml:space="preserve">of the financial statements referred to in </w:t>
      </w:r>
      <w:r>
        <w:rPr>
          <w:rFonts w:ascii="Arial" w:cs="Arial" w:eastAsia="Arial" w:hAnsi="Arial"/>
          <w:sz w:val="19"/>
          <w:szCs w:val="19"/>
          <w:u w:val="single" w:color="auto"/>
          <w:color w:val="auto"/>
        </w:rPr>
        <w:t>Sections 7.01(a)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unaudited consolidating financial statements reflecting adjustments necessary to eliminate the accounts and results of operations of the Unrestricted Subsidiary and its subsidiaries from such financial statements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all in reasonable detail and certified by a Responsible Officer of the Parent as fairly presenting the financial condition, results of operations, shareholders’ equity and cash flows of the Parent and its Subsidiaries (excluding the Unrestricted Subsidiary and its subsidiaries) in accordance with GAAP, subject only to normal year</w:t>
      </w:r>
      <w:r>
        <w:rPr>
          <w:rFonts w:ascii="MS PGothic" w:cs="MS PGothic" w:eastAsia="MS PGothic" w:hAnsi="MS PGothic"/>
          <w:sz w:val="19"/>
          <w:szCs w:val="19"/>
          <w:color w:val="auto"/>
        </w:rPr>
        <w:t>‑</w:t>
      </w:r>
      <w:r>
        <w:rPr>
          <w:rFonts w:ascii="Arial" w:cs="Arial" w:eastAsia="Arial" w:hAnsi="Arial"/>
          <w:sz w:val="19"/>
          <w:szCs w:val="19"/>
          <w:color w:val="auto"/>
        </w:rPr>
        <w:t>end audit adjustments and the absence of footnotes; and</w:t>
      </w:r>
    </w:p>
    <w:p>
      <w:pPr>
        <w:spacing w:after="0" w:line="226" w:lineRule="exact"/>
        <w:rPr>
          <w:sz w:val="20"/>
          <w:szCs w:val="20"/>
          <w:color w:val="auto"/>
        </w:rPr>
      </w:pPr>
    </w:p>
    <w:p>
      <w:pPr>
        <w:jc w:val="both"/>
        <w:ind w:left="660" w:firstLine="645"/>
        <w:spacing w:after="0" w:line="278" w:lineRule="auto"/>
        <w:tabs>
          <w:tab w:leader="none" w:pos="1814" w:val="left"/>
        </w:tabs>
        <w:numPr>
          <w:ilvl w:val="0"/>
          <w:numId w:val="190"/>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or corporate affairs of any Loan Party or any Subsidiary, or compliance with the terms of the Loan Documents, as the Administrative Agent or any Lender may from time to time reasonably request.</w:t>
      </w:r>
    </w:p>
    <w:p>
      <w:pPr>
        <w:spacing w:after="0" w:line="173" w:lineRule="exact"/>
        <w:rPr>
          <w:sz w:val="20"/>
          <w:szCs w:val="20"/>
          <w:color w:val="auto"/>
        </w:rPr>
      </w:pPr>
    </w:p>
    <w:p>
      <w:pPr>
        <w:ind w:firstLine="648"/>
        <w:spacing w:after="0" w:line="309"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w:t>
      </w:r>
    </w:p>
    <w:p>
      <w:pPr>
        <w:spacing w:after="0" w:line="1" w:lineRule="exact"/>
        <w:rPr>
          <w:sz w:val="20"/>
          <w:szCs w:val="20"/>
          <w:color w:val="auto"/>
        </w:rPr>
      </w:pPr>
    </w:p>
    <w:p>
      <w:pPr>
        <w:jc w:val="both"/>
        <w:ind w:firstLine="8"/>
        <w:spacing w:after="0" w:line="230" w:lineRule="exact"/>
        <w:tabs>
          <w:tab w:leader="none" w:pos="24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on which the Parent posts such documents, or provides a link thereto on the Parent’s website on the Internet at the website address listed on </w:t>
      </w:r>
      <w:r>
        <w:rPr>
          <w:rFonts w:ascii="Arial" w:cs="Arial" w:eastAsia="Arial" w:hAnsi="Arial"/>
          <w:sz w:val="18"/>
          <w:szCs w:val="18"/>
          <w:u w:val="single" w:color="auto"/>
          <w:color w:val="auto"/>
        </w:rPr>
        <w:t>Schedule 11.02</w:t>
      </w:r>
      <w:r>
        <w:rPr>
          <w:rFonts w:ascii="Arial" w:cs="Arial" w:eastAsia="Arial" w:hAnsi="Arial"/>
          <w:sz w:val="18"/>
          <w:szCs w:val="18"/>
          <w:color w:val="auto"/>
        </w:rPr>
        <w:t>; or (ii) on which such documents are posted on the Parent’s behalf on an Internet or intranet website, if any, to which each Lender and the Administrative Agent have access (whether a commercial,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the Parent shall deliver paper copies of such documents to the Administrative Agent or any Lender upon its request to the Parent to deliver such paper copies until a written request to cease delivering paper copies is given by the Administrative Agent or such Lender and (ii) the Parent shall notify the Administrative Agent and each Lender (by facsimile or electronic mail) of the posting of any such documents and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the Parent with any such request for delivery by a Lender, and each Lender shall be solely responsible for requesting delivery to it or maintaining its copies of such documents.</w:t>
      </w:r>
    </w:p>
    <w:p>
      <w:pPr>
        <w:spacing w:after="0" w:line="20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Each Borrower hereby acknowledges that (a) the Administrative Agent and/or the Arrangers may, but shall not be obligated to, make available to the Lenders and the L/C Issuer materials and/or information provided by or on behalf of such Borrower hereunder (collectively, the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DebtDomain, IntraLinks, Syndtrak, ClearPar,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with respect to any Borrower or its Affiliates, or the respective securities of any of the foregoing, and who may be engaged in investment and other market</w:t>
      </w:r>
      <w:r>
        <w:rPr>
          <w:rFonts w:ascii="MS PGothic" w:cs="MS PGothic" w:eastAsia="MS PGothic" w:hAnsi="MS PGothic"/>
          <w:sz w:val="18"/>
          <w:szCs w:val="18"/>
          <w:color w:val="auto"/>
        </w:rPr>
        <w:t>‑</w:t>
      </w:r>
      <w:r>
        <w:rPr>
          <w:rFonts w:ascii="Arial" w:cs="Arial" w:eastAsia="Arial" w:hAnsi="Arial"/>
          <w:sz w:val="18"/>
          <w:szCs w:val="18"/>
          <w:color w:val="auto"/>
        </w:rPr>
        <w: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Arrangers and the Lenders to treat such Borrower Materials as not containing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with respect to the Borrowers or their respective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(y) all Borrower Materials marked “PUBLIC” are permitted to be made available through a portion of the Platform designated as “Public Side Information;” and (z) the Administrative Agent and the Arrangers shall be entitled to treat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420"/>
          </w:cols>
          <w:pgMar w:left="240" w:top="771" w:right="239" w:bottom="1440" w:gutter="0" w:footer="0" w:header="0"/>
        </w:sectPr>
      </w:pPr>
    </w:p>
    <w:bookmarkStart w:id="238" w:name="page239"/>
    <w:bookmarkEnd w:id="238"/>
    <w:p>
      <w:pPr>
        <w:ind w:right="20"/>
        <w:spacing w:after="0" w:line="260" w:lineRule="auto"/>
        <w:rPr>
          <w:sz w:val="20"/>
          <w:szCs w:val="20"/>
          <w:color w:val="auto"/>
        </w:rPr>
      </w:pPr>
      <w:r>
        <w:rPr>
          <w:rFonts w:ascii="Arial" w:cs="Arial" w:eastAsia="Arial" w:hAnsi="Arial"/>
          <w:sz w:val="20"/>
          <w:szCs w:val="20"/>
          <w:color w:val="auto"/>
        </w:rPr>
        <w:t>any Borrower Materials that are not marked “PUBLIC” as being suitable only for posting on a portion of the Platform that is not designated as “Public Side Information.”</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43" w:lineRule="exact"/>
        <w:rPr>
          <w:sz w:val="20"/>
          <w:szCs w:val="20"/>
          <w:color w:val="auto"/>
        </w:rPr>
      </w:pPr>
    </w:p>
    <w:p>
      <w:pPr>
        <w:ind w:left="660" w:firstLine="645"/>
        <w:spacing w:after="0" w:line="289" w:lineRule="auto"/>
        <w:tabs>
          <w:tab w:leader="none" w:pos="1708" w:val="left"/>
        </w:tabs>
        <w:numPr>
          <w:ilvl w:val="0"/>
          <w:numId w:val="192"/>
        </w:numPr>
        <w:rPr>
          <w:rFonts w:ascii="Arial" w:cs="Arial" w:eastAsia="Arial" w:hAnsi="Arial"/>
          <w:sz w:val="20"/>
          <w:szCs w:val="20"/>
          <w:color w:val="auto"/>
        </w:rPr>
      </w:pPr>
      <w:r>
        <w:rPr>
          <w:rFonts w:ascii="Arial" w:cs="Arial" w:eastAsia="Arial" w:hAnsi="Arial"/>
          <w:sz w:val="20"/>
          <w:szCs w:val="20"/>
          <w:color w:val="auto"/>
        </w:rPr>
        <w:t>Promptly (and in any event, within two Business Days after obtaining knowledge thereof) notify the Administrative Agent of the occurrence of any Default.</w:t>
      </w:r>
    </w:p>
    <w:p>
      <w:pPr>
        <w:spacing w:after="0" w:line="175" w:lineRule="exact"/>
        <w:rPr>
          <w:rFonts w:ascii="Arial" w:cs="Arial" w:eastAsia="Arial" w:hAnsi="Arial"/>
          <w:sz w:val="20"/>
          <w:szCs w:val="20"/>
          <w:color w:val="auto"/>
        </w:rPr>
      </w:pPr>
    </w:p>
    <w:p>
      <w:pPr>
        <w:jc w:val="both"/>
        <w:ind w:left="660" w:firstLine="645"/>
        <w:spacing w:after="0" w:line="278" w:lineRule="auto"/>
        <w:tabs>
          <w:tab w:leader="none" w:pos="1827" w:val="left"/>
        </w:tabs>
        <w:numPr>
          <w:ilvl w:val="0"/>
          <w:numId w:val="192"/>
        </w:numPr>
        <w:rPr>
          <w:rFonts w:ascii="Arial" w:cs="Arial" w:eastAsia="Arial" w:hAnsi="Arial"/>
          <w:sz w:val="20"/>
          <w:szCs w:val="20"/>
          <w:color w:val="auto"/>
        </w:rPr>
      </w:pPr>
      <w:r>
        <w:rPr>
          <w:rFonts w:ascii="Arial" w:cs="Arial" w:eastAsia="Arial" w:hAnsi="Arial"/>
          <w:sz w:val="20"/>
          <w:szCs w:val="20"/>
          <w:color w:val="auto"/>
        </w:rPr>
        <w:t>Promptly (and in any event, within five Business Days after obtaining knowledge thereof) notify the Administrative Agent of the occurrence of any ERISA Event that has resulted or could reasonably be expected to result in an aggregate liability of the Company or any Loan Party in excess of the Threshold Amount.</w:t>
      </w:r>
    </w:p>
    <w:p>
      <w:pPr>
        <w:spacing w:after="0" w:line="186" w:lineRule="exact"/>
        <w:rPr>
          <w:rFonts w:ascii="Arial" w:cs="Arial" w:eastAsia="Arial" w:hAnsi="Arial"/>
          <w:sz w:val="20"/>
          <w:szCs w:val="20"/>
          <w:color w:val="auto"/>
        </w:rPr>
      </w:pPr>
    </w:p>
    <w:p>
      <w:pPr>
        <w:jc w:val="both"/>
        <w:ind w:left="660" w:firstLine="645"/>
        <w:spacing w:after="0" w:line="278" w:lineRule="auto"/>
        <w:tabs>
          <w:tab w:leader="none" w:pos="1708"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Promptly (and in any event, within five Business Days after obtaining knowledge thereof) notify the Administrative Agent of any material change in accounting policies or financial reporting practices by the Parent or any Subsidiary, including any determination by the Parent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Each notice pursuant to this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accompanied by a statement of a Responsible Officer of the Company setting forth details of the occurrence referred to therein and stating what action the applicable Loan Party has taken and proposes to take with respect thereto. Each notice pursuant to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shall describe with particularity any and all provisions of this Agreement and any other Loan Document that have been breached.</w:t>
      </w:r>
    </w:p>
    <w:p>
      <w:pPr>
        <w:spacing w:after="0" w:line="2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7.04</w:t>
      </w:r>
      <w:r>
        <w:rPr>
          <w:sz w:val="20"/>
          <w:szCs w:val="20"/>
          <w:color w:val="auto"/>
        </w:rPr>
        <w:tab/>
      </w:r>
      <w:r>
        <w:rPr>
          <w:rFonts w:ascii="Arial" w:cs="Arial" w:eastAsia="Arial" w:hAnsi="Arial"/>
          <w:sz w:val="16"/>
          <w:szCs w:val="16"/>
          <w:u w:val="single" w:color="auto"/>
          <w:color w:val="auto"/>
        </w:rPr>
        <w:t>Payment of Taxes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Pay and discharge, as the same shall become due and payable, all its obligations and liabilities, including all tax liabilities, assessments and governmental charges or levies upon it or its properties or assets, unless the same are being contested in good faith by appropriate proceedings diligently conducted and adequate reserves in accordance with GAAP are being maintained by the Loan Party or such Subsidiary.</w:t>
      </w:r>
    </w:p>
    <w:p>
      <w:pPr>
        <w:spacing w:after="0" w:line="13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7.05</w:t>
      </w:r>
      <w:r>
        <w:rPr>
          <w:sz w:val="20"/>
          <w:szCs w:val="20"/>
          <w:color w:val="auto"/>
        </w:rPr>
        <w:tab/>
      </w:r>
      <w:r>
        <w:rPr>
          <w:rFonts w:ascii="Arial" w:cs="Arial" w:eastAsia="Arial" w:hAnsi="Arial"/>
          <w:sz w:val="16"/>
          <w:szCs w:val="16"/>
          <w:u w:val="single" w:color="auto"/>
          <w:color w:val="auto"/>
        </w:rPr>
        <w:t>Preservation of Existence, Etc.</w:t>
      </w:r>
    </w:p>
    <w:p>
      <w:pPr>
        <w:spacing w:after="0" w:line="243" w:lineRule="exact"/>
        <w:rPr>
          <w:sz w:val="20"/>
          <w:szCs w:val="20"/>
          <w:color w:val="auto"/>
        </w:rPr>
      </w:pPr>
    </w:p>
    <w:p>
      <w:pPr>
        <w:jc w:val="both"/>
        <w:ind w:left="660" w:firstLine="645"/>
        <w:spacing w:after="0" w:line="278" w:lineRule="auto"/>
        <w:tabs>
          <w:tab w:leader="none" w:pos="185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20"/>
          <w:szCs w:val="20"/>
          <w:u w:val="single" w:color="auto"/>
          <w:color w:val="auto"/>
        </w:rPr>
        <w:t>Section 8.04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8.05</w:t>
      </w:r>
      <w:r>
        <w:rPr>
          <w:rFonts w:ascii="Arial" w:cs="Arial" w:eastAsia="Arial" w:hAnsi="Arial"/>
          <w:sz w:val="20"/>
          <w:szCs w:val="20"/>
          <w:color w:val="auto"/>
        </w:rPr>
        <w:t xml:space="preserve"> and except that any Immaterial Subsidiary may cease to maintain in full force and effect its legal existence under the Laws of the jurisdiction of its organization.</w:t>
      </w:r>
    </w:p>
    <w:p>
      <w:pPr>
        <w:spacing w:after="0" w:line="186" w:lineRule="exact"/>
        <w:rPr>
          <w:rFonts w:ascii="Arial" w:cs="Arial" w:eastAsia="Arial" w:hAnsi="Arial"/>
          <w:sz w:val="20"/>
          <w:szCs w:val="20"/>
          <w:color w:val="auto"/>
        </w:rPr>
      </w:pPr>
    </w:p>
    <w:p>
      <w:pPr>
        <w:ind w:left="660" w:firstLine="645"/>
        <w:spacing w:after="0" w:line="316" w:lineRule="auto"/>
        <w:tabs>
          <w:tab w:leader="none" w:pos="1881" w:val="left"/>
        </w:tabs>
        <w:numPr>
          <w:ilvl w:val="0"/>
          <w:numId w:val="193"/>
        </w:numPr>
        <w:rPr>
          <w:rFonts w:ascii="Arial" w:cs="Arial" w:eastAsia="Arial" w:hAnsi="Arial"/>
          <w:sz w:val="19"/>
          <w:szCs w:val="19"/>
          <w:color w:val="auto"/>
        </w:rPr>
      </w:pPr>
      <w:r>
        <w:rPr>
          <w:rFonts w:ascii="Arial" w:cs="Arial" w:eastAsia="Arial" w:hAnsi="Arial"/>
          <w:sz w:val="19"/>
          <w:szCs w:val="19"/>
          <w:color w:val="auto"/>
        </w:rPr>
        <w:t>Preserve, renew and maintain in full force and effect its good standing under the Laws of the jurisdiction of its organization, except to the extent the failure to do so could not reasonably be expected to have a Material Adverse Effect.</w:t>
      </w:r>
    </w:p>
    <w:p>
      <w:pPr>
        <w:spacing w:after="0" w:line="153" w:lineRule="exact"/>
        <w:rPr>
          <w:rFonts w:ascii="Arial" w:cs="Arial" w:eastAsia="Arial" w:hAnsi="Arial"/>
          <w:sz w:val="19"/>
          <w:szCs w:val="19"/>
          <w:color w:val="auto"/>
        </w:rPr>
      </w:pPr>
    </w:p>
    <w:p>
      <w:pPr>
        <w:jc w:val="both"/>
        <w:ind w:left="660" w:right="20" w:firstLine="645"/>
        <w:spacing w:after="0" w:line="278" w:lineRule="auto"/>
        <w:tabs>
          <w:tab w:leader="none" w:pos="173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Take all reasonable action to maintain all rights, privileges, permits, licenses and franchises necessary or desirable in the normal conduct of its business, except to the extent that the failure to do so could not reasonably be expected to have a Material Adverse Effect.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420"/>
          </w:cols>
          <w:pgMar w:left="240" w:top="758" w:right="239" w:bottom="1440" w:gutter="0" w:footer="0" w:header="0"/>
        </w:sectPr>
      </w:pPr>
    </w:p>
    <w:bookmarkStart w:id="239" w:name="page240"/>
    <w:bookmarkEnd w:id="239"/>
    <w:p>
      <w:pPr>
        <w:ind w:left="660" w:firstLine="645"/>
        <w:spacing w:after="0" w:line="253" w:lineRule="exact"/>
        <w:tabs>
          <w:tab w:leader="none" w:pos="1841" w:val="left"/>
        </w:tabs>
        <w:numPr>
          <w:ilvl w:val="0"/>
          <w:numId w:val="194"/>
        </w:numPr>
        <w:rPr>
          <w:rFonts w:ascii="Arial" w:cs="Arial" w:eastAsia="Arial" w:hAnsi="Arial"/>
          <w:sz w:val="20"/>
          <w:szCs w:val="20"/>
          <w:color w:val="auto"/>
        </w:rPr>
      </w:pPr>
      <w:r>
        <w:rPr>
          <w:rFonts w:ascii="Arial" w:cs="Arial" w:eastAsia="Arial" w:hAnsi="Arial"/>
          <w:sz w:val="20"/>
          <w:szCs w:val="20"/>
          <w:color w:val="auto"/>
        </w:rPr>
        <w:t>Preserve or renew all of its material registered patents, copyrights, trademarks, trade names and service marks, the non</w:t>
      </w:r>
      <w:r>
        <w:rPr>
          <w:rFonts w:ascii="MS PGothic" w:cs="MS PGothic" w:eastAsia="MS PGothic" w:hAnsi="MS PGothic"/>
          <w:sz w:val="20"/>
          <w:szCs w:val="20"/>
          <w:color w:val="auto"/>
        </w:rPr>
        <w:t>‑</w:t>
      </w:r>
      <w:r>
        <w:rPr>
          <w:rFonts w:ascii="Arial" w:cs="Arial" w:eastAsia="Arial" w:hAnsi="Arial"/>
          <w:sz w:val="20"/>
          <w:szCs w:val="20"/>
          <w:color w:val="auto"/>
        </w:rPr>
        <w:t>preservation of which could reasonably be expected to have a Material Adverse Effect.</w:t>
      </w:r>
    </w:p>
    <w:p>
      <w:pPr>
        <w:spacing w:after="0" w:line="2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43" w:lineRule="exact"/>
        <w:rPr>
          <w:sz w:val="20"/>
          <w:szCs w:val="20"/>
          <w:color w:val="auto"/>
        </w:rPr>
      </w:pPr>
    </w:p>
    <w:p>
      <w:pPr>
        <w:ind w:left="660" w:firstLine="645"/>
        <w:spacing w:after="0" w:line="289" w:lineRule="auto"/>
        <w:tabs>
          <w:tab w:leader="none" w:pos="176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Maintain, preserve and protect all of its material properties and equipment necessary in the operation of its business in good working order and condition, ordinary wear and tear excepted.</w:t>
      </w:r>
    </w:p>
    <w:p>
      <w:pPr>
        <w:spacing w:after="0" w:line="175" w:lineRule="exact"/>
        <w:rPr>
          <w:rFonts w:ascii="Arial" w:cs="Arial" w:eastAsia="Arial" w:hAnsi="Arial"/>
          <w:sz w:val="20"/>
          <w:szCs w:val="20"/>
          <w:color w:val="auto"/>
        </w:rPr>
      </w:pPr>
    </w:p>
    <w:p>
      <w:pPr>
        <w:ind w:left="660" w:firstLine="645"/>
        <w:spacing w:after="0" w:line="289" w:lineRule="auto"/>
        <w:tabs>
          <w:tab w:leader="none" w:pos="1787" w:val="left"/>
        </w:tabs>
        <w:numPr>
          <w:ilvl w:val="0"/>
          <w:numId w:val="195"/>
        </w:numPr>
        <w:rPr>
          <w:rFonts w:ascii="Arial" w:cs="Arial" w:eastAsia="Arial" w:hAnsi="Arial"/>
          <w:sz w:val="20"/>
          <w:szCs w:val="20"/>
          <w:color w:val="auto"/>
        </w:rPr>
      </w:pPr>
      <w:r>
        <w:rPr>
          <w:rFonts w:ascii="Arial" w:cs="Arial" w:eastAsia="Arial" w:hAnsi="Arial"/>
          <w:sz w:val="20"/>
          <w:szCs w:val="20"/>
          <w:color w:val="auto"/>
        </w:rPr>
        <w:t>Make all necessary repairs thereto and renewals and replacements thereof, except where the failure to do so could not reasonably be expected to have a Material Adverse Effect.</w:t>
      </w:r>
    </w:p>
    <w:p>
      <w:pPr>
        <w:spacing w:after="0" w:line="175" w:lineRule="exact"/>
        <w:rPr>
          <w:rFonts w:ascii="Arial" w:cs="Arial" w:eastAsia="Arial" w:hAnsi="Arial"/>
          <w:sz w:val="20"/>
          <w:szCs w:val="20"/>
          <w:color w:val="auto"/>
        </w:rPr>
      </w:pPr>
    </w:p>
    <w:p>
      <w:pPr>
        <w:ind w:left="1700" w:hanging="395"/>
        <w:spacing w:after="0"/>
        <w:tabs>
          <w:tab w:leader="none" w:pos="17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Use the standard of care typical in the industry in the operation and maintenance of its facilities.</w:t>
      </w:r>
    </w:p>
    <w:p>
      <w:pPr>
        <w:spacing w:after="0" w:line="24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7.07</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Maintain in full force and effect insurance (including worker’s compensation insurance, liability insurance, casualty insurance and business interruption insurance) with financially sound and reputable insurance companies not Affiliates of any Loan Party,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7.08</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7.09</w:t>
      </w:r>
      <w:r>
        <w:rPr>
          <w:sz w:val="20"/>
          <w:szCs w:val="20"/>
          <w:color w:val="auto"/>
        </w:rPr>
        <w:tab/>
      </w:r>
      <w:r>
        <w:rPr>
          <w:rFonts w:ascii="Arial" w:cs="Arial" w:eastAsia="Arial" w:hAnsi="Arial"/>
          <w:sz w:val="16"/>
          <w:szCs w:val="16"/>
          <w:u w:val="single" w:color="auto"/>
          <w:color w:val="auto"/>
        </w:rPr>
        <w:t>Books and Records</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278" w:lineRule="auto"/>
        <w:tabs>
          <w:tab w:leader="none" w:pos="1897" w:val="left"/>
        </w:tabs>
        <w:numPr>
          <w:ilvl w:val="0"/>
          <w:numId w:val="196"/>
        </w:numPr>
        <w:rPr>
          <w:rFonts w:ascii="Arial" w:cs="Arial" w:eastAsia="Arial" w:hAnsi="Arial"/>
          <w:sz w:val="20"/>
          <w:szCs w:val="20"/>
          <w:color w:val="auto"/>
        </w:rPr>
      </w:pPr>
      <w:r>
        <w:rPr>
          <w:rFonts w:ascii="Arial" w:cs="Arial" w:eastAsia="Arial" w:hAnsi="Arial"/>
          <w:sz w:val="20"/>
          <w:szCs w:val="20"/>
          <w:color w:val="auto"/>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spacing w:after="0" w:line="186" w:lineRule="exact"/>
        <w:rPr>
          <w:rFonts w:ascii="Arial" w:cs="Arial" w:eastAsia="Arial" w:hAnsi="Arial"/>
          <w:sz w:val="20"/>
          <w:szCs w:val="20"/>
          <w:color w:val="auto"/>
        </w:rPr>
      </w:pPr>
    </w:p>
    <w:p>
      <w:pPr>
        <w:ind w:left="660" w:firstLine="645"/>
        <w:spacing w:after="0" w:line="289" w:lineRule="auto"/>
        <w:tabs>
          <w:tab w:leader="none" w:pos="1732" w:val="left"/>
        </w:tabs>
        <w:numPr>
          <w:ilvl w:val="0"/>
          <w:numId w:val="196"/>
        </w:numPr>
        <w:rPr>
          <w:rFonts w:ascii="Arial" w:cs="Arial" w:eastAsia="Arial" w:hAnsi="Arial"/>
          <w:sz w:val="20"/>
          <w:szCs w:val="20"/>
          <w:color w:val="auto"/>
        </w:rPr>
      </w:pPr>
      <w:r>
        <w:rPr>
          <w:rFonts w:ascii="Arial" w:cs="Arial" w:eastAsia="Arial" w:hAnsi="Arial"/>
          <w:sz w:val="20"/>
          <w:szCs w:val="20"/>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8"/>
          <w:szCs w:val="18"/>
          <w:u w:val="single" w:color="auto"/>
          <w:color w:val="auto"/>
        </w:rPr>
        <w:t>Inspection Rights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and as often as may be desired, upon reasonable advance notice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when an Event of Default exists the Administrative Agent or any Lender (or any of</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420"/>
          </w:cols>
          <w:pgMar w:left="240" w:top="771" w:right="239" w:bottom="1440" w:gutter="0" w:footer="0" w:header="0"/>
        </w:sectPr>
      </w:pPr>
    </w:p>
    <w:bookmarkStart w:id="240" w:name="page241"/>
    <w:bookmarkEnd w:id="240"/>
    <w:p>
      <w:pPr>
        <w:jc w:val="both"/>
        <w:spacing w:after="0" w:line="260" w:lineRule="auto"/>
        <w:rPr>
          <w:sz w:val="20"/>
          <w:szCs w:val="20"/>
          <w:color w:val="auto"/>
        </w:rPr>
      </w:pPr>
      <w:r>
        <w:rPr>
          <w:rFonts w:ascii="Arial" w:cs="Arial" w:eastAsia="Arial" w:hAnsi="Arial"/>
          <w:sz w:val="20"/>
          <w:szCs w:val="20"/>
          <w:color w:val="auto"/>
        </w:rPr>
        <w:t>their respective representatives or independent contractors) may do any of the foregoing at the expense of the Company at any time during normal business hours and without advance notice.</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Use the proceeds of the Credit Extensions (a) to refinance certain existing Indebtedness, (b) to finance working capital and capital expenditures, (c) to finance Permitted Acquisitions, other Investments permitted by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and Restricted Payments permitted by </w:t>
      </w:r>
      <w:r>
        <w:rPr>
          <w:rFonts w:ascii="Arial" w:cs="Arial" w:eastAsia="Arial" w:hAnsi="Arial"/>
          <w:sz w:val="20"/>
          <w:szCs w:val="20"/>
          <w:u w:val="single" w:color="auto"/>
          <w:color w:val="auto"/>
        </w:rPr>
        <w:t>Section 8.06</w:t>
      </w:r>
      <w:r>
        <w:rPr>
          <w:rFonts w:ascii="Arial" w:cs="Arial" w:eastAsia="Arial" w:hAnsi="Arial"/>
          <w:sz w:val="20"/>
          <w:szCs w:val="20"/>
          <w:color w:val="auto"/>
        </w:rPr>
        <w:t xml:space="preserve"> and (d) for other general corporate purposes;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proceeds of the Credit Extensions be used in contravention of any Law or of any Loan Document.</w:t>
      </w:r>
    </w:p>
    <w:p>
      <w:pPr>
        <w:spacing w:after="0" w:line="2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u w:val="single" w:color="auto"/>
          <w:color w:val="auto"/>
        </w:rPr>
        <w:t>Additional Subsidiaries; Additional Borrower.</w:t>
      </w:r>
    </w:p>
    <w:p>
      <w:pPr>
        <w:spacing w:after="0" w:line="243" w:lineRule="exact"/>
        <w:rPr>
          <w:sz w:val="20"/>
          <w:szCs w:val="20"/>
          <w:color w:val="auto"/>
        </w:rPr>
      </w:pPr>
    </w:p>
    <w:p>
      <w:pPr>
        <w:ind w:left="1700" w:hanging="395"/>
        <w:spacing w:after="0" w:line="230" w:lineRule="exact"/>
        <w:tabs>
          <w:tab w:leader="none" w:pos="17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Within forty</w:t>
      </w:r>
      <w:r>
        <w:rPr>
          <w:rFonts w:ascii="MS PGothic" w:cs="MS PGothic" w:eastAsia="MS PGothic" w:hAnsi="MS PGothic"/>
          <w:sz w:val="20"/>
          <w:szCs w:val="20"/>
          <w:color w:val="auto"/>
        </w:rPr>
        <w:t>‑</w:t>
      </w:r>
      <w:r>
        <w:rPr>
          <w:rFonts w:ascii="Arial" w:cs="Arial" w:eastAsia="Arial" w:hAnsi="Arial"/>
          <w:sz w:val="20"/>
          <w:szCs w:val="20"/>
          <w:color w:val="auto"/>
        </w:rPr>
        <w:t>five (45) days after the acquisition or formation of any Subsidiary:</w:t>
      </w:r>
    </w:p>
    <w:p>
      <w:pPr>
        <w:spacing w:after="0" w:line="242" w:lineRule="exact"/>
        <w:rPr>
          <w:rFonts w:ascii="Arial" w:cs="Arial" w:eastAsia="Arial" w:hAnsi="Arial"/>
          <w:sz w:val="20"/>
          <w:szCs w:val="20"/>
          <w:color w:val="auto"/>
        </w:rPr>
      </w:pPr>
    </w:p>
    <w:p>
      <w:pPr>
        <w:jc w:val="both"/>
        <w:ind w:left="1300" w:firstLine="653"/>
        <w:spacing w:after="0" w:line="293" w:lineRule="auto"/>
        <w:tabs>
          <w:tab w:leader="none" w:pos="2342" w:val="left"/>
        </w:tabs>
        <w:numPr>
          <w:ilvl w:val="1"/>
          <w:numId w:val="197"/>
        </w:numPr>
        <w:rPr>
          <w:rFonts w:ascii="Arial" w:cs="Arial" w:eastAsia="Arial" w:hAnsi="Arial"/>
          <w:sz w:val="19"/>
          <w:szCs w:val="19"/>
          <w:color w:val="auto"/>
        </w:rPr>
      </w:pPr>
      <w:r>
        <w:rPr>
          <w:rFonts w:ascii="Arial" w:cs="Arial" w:eastAsia="Arial" w:hAnsi="Arial"/>
          <w:sz w:val="19"/>
          <w:szCs w:val="19"/>
          <w:color w:val="auto"/>
        </w:rPr>
        <w:t>notify the Administrative Agent thereof in writing, together with the (A) jurisdiction of formation, (B) number of shares of each class of Equity Interests outstanding, (C) number and percentage of outstanding shares of each class owned (directly or indirectly) by the Parent or any Subsidiary and (D) number and effect, if exercised, of all outstanding options, warrants, rights of conversion or purchase and all other similar rights with respect thereto; and</w:t>
      </w:r>
    </w:p>
    <w:p>
      <w:pPr>
        <w:spacing w:after="0" w:line="175" w:lineRule="exact"/>
        <w:rPr>
          <w:rFonts w:ascii="Arial" w:cs="Arial" w:eastAsia="Arial" w:hAnsi="Arial"/>
          <w:sz w:val="19"/>
          <w:szCs w:val="19"/>
          <w:color w:val="auto"/>
        </w:rPr>
      </w:pPr>
    </w:p>
    <w:p>
      <w:pPr>
        <w:jc w:val="both"/>
        <w:ind w:left="1300" w:firstLine="653"/>
        <w:spacing w:after="0" w:line="272" w:lineRule="auto"/>
        <w:tabs>
          <w:tab w:leader="none" w:pos="2451" w:val="left"/>
        </w:tabs>
        <w:numPr>
          <w:ilvl w:val="1"/>
          <w:numId w:val="197"/>
        </w:numPr>
        <w:rPr>
          <w:rFonts w:ascii="Arial" w:cs="Arial" w:eastAsia="Arial" w:hAnsi="Arial"/>
          <w:sz w:val="20"/>
          <w:szCs w:val="20"/>
          <w:color w:val="auto"/>
        </w:rPr>
      </w:pPr>
      <w:r>
        <w:rPr>
          <w:rFonts w:ascii="Arial" w:cs="Arial" w:eastAsia="Arial" w:hAnsi="Arial"/>
          <w:sz w:val="20"/>
          <w:szCs w:val="20"/>
          <w:color w:val="auto"/>
        </w:rPr>
        <w:t xml:space="preserve">if such Subsidiary is a Domestic Subsidiary, cause such Person to (A) become a Guarantor by executing and delivering to the Administrative Agent a Joinder Agreement or such other documents as the Administrative Agent shall deem appropriate for such purpose, and (B) deliver to the Administrative Agent documents of the types referred to in </w:t>
      </w:r>
      <w:r>
        <w:rPr>
          <w:rFonts w:ascii="Arial" w:cs="Arial" w:eastAsia="Arial" w:hAnsi="Arial"/>
          <w:sz w:val="20"/>
          <w:szCs w:val="20"/>
          <w:u w:val="single" w:color="auto"/>
          <w:color w:val="auto"/>
        </w:rPr>
        <w:t>Sections 5.02(e)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and favorable opinions of counsel to such Person (which shall cover, among other things, the legality, validity, binding effect and enforceability of the documentation referred to in </w:t>
      </w:r>
      <w:r>
        <w:rPr>
          <w:rFonts w:ascii="Arial" w:cs="Arial" w:eastAsia="Arial" w:hAnsi="Arial"/>
          <w:sz w:val="20"/>
          <w:szCs w:val="20"/>
          <w:u w:val="single" w:color="auto"/>
          <w:color w:val="auto"/>
        </w:rPr>
        <w:t>clause (ii)(A)</w:t>
      </w:r>
      <w:r>
        <w:rPr>
          <w:rFonts w:ascii="Arial" w:cs="Arial" w:eastAsia="Arial" w:hAnsi="Arial"/>
          <w:sz w:val="20"/>
          <w:szCs w:val="20"/>
          <w:color w:val="auto"/>
        </w:rPr>
        <w:t>), all in form, content and scope satisfactory to the Administrative Agent.</w:t>
      </w:r>
    </w:p>
    <w:p>
      <w:pPr>
        <w:spacing w:after="0" w:line="178"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 xml:space="preserve">Notwithstanding the foregoing, the Administrative Agent shall not require those items described in </w:t>
      </w:r>
      <w:r>
        <w:rPr>
          <w:rFonts w:ascii="Arial" w:cs="Arial" w:eastAsia="Arial" w:hAnsi="Arial"/>
          <w:sz w:val="20"/>
          <w:szCs w:val="20"/>
          <w:u w:val="single" w:color="auto"/>
          <w:color w:val="auto"/>
        </w:rPr>
        <w:t>Section 7.12(a)(ii)</w:t>
      </w:r>
      <w:r>
        <w:rPr>
          <w:rFonts w:ascii="Arial" w:cs="Arial" w:eastAsia="Arial" w:hAnsi="Arial"/>
          <w:sz w:val="20"/>
          <w:szCs w:val="20"/>
          <w:color w:val="auto"/>
        </w:rPr>
        <w:t xml:space="preserve"> as to which the Administrative Agent determines in its reasonable discretion the cost of obtaining or providing such items is excessive in relation to the benefit to the Lenders, and the Administrative Agent may grant extensions of time for delivery of any of the items described in </w:t>
      </w:r>
      <w:r>
        <w:rPr>
          <w:rFonts w:ascii="Arial" w:cs="Arial" w:eastAsia="Arial" w:hAnsi="Arial"/>
          <w:sz w:val="20"/>
          <w:szCs w:val="20"/>
          <w:u w:val="single" w:color="auto"/>
          <w:color w:val="auto"/>
        </w:rPr>
        <w:t>Section 7.12(a)(ii)</w:t>
      </w:r>
      <w:r>
        <w:rPr>
          <w:rFonts w:ascii="Arial" w:cs="Arial" w:eastAsia="Arial" w:hAnsi="Arial"/>
          <w:sz w:val="20"/>
          <w:szCs w:val="20"/>
          <w:color w:val="auto"/>
        </w:rPr>
        <w:t>.</w:t>
      </w:r>
    </w:p>
    <w:p>
      <w:pPr>
        <w:spacing w:after="0" w:line="205" w:lineRule="exact"/>
        <w:rPr>
          <w:sz w:val="20"/>
          <w:szCs w:val="20"/>
          <w:color w:val="auto"/>
        </w:rPr>
      </w:pPr>
    </w:p>
    <w:p>
      <w:pPr>
        <w:jc w:val="both"/>
        <w:ind w:left="660" w:firstLine="645"/>
        <w:spacing w:after="0" w:line="286" w:lineRule="auto"/>
        <w:tabs>
          <w:tab w:leader="none" w:pos="185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Following the consummation of the Cambridge Acquisition, the Company may cause Cambridge Mercantile Corp. (U.S.A.), a Delaware corporation (the “</w:t>
      </w:r>
      <w:r>
        <w:rPr>
          <w:rFonts w:ascii="Arial" w:cs="Arial" w:eastAsia="Arial" w:hAnsi="Arial"/>
          <w:sz w:val="19"/>
          <w:szCs w:val="19"/>
          <w:u w:val="single" w:color="auto"/>
          <w:color w:val="auto"/>
        </w:rPr>
        <w:t>Additional Borrower</w:t>
      </w:r>
      <w:r>
        <w:rPr>
          <w:rFonts w:ascii="Arial" w:cs="Arial" w:eastAsia="Arial" w:hAnsi="Arial"/>
          <w:sz w:val="19"/>
          <w:szCs w:val="19"/>
          <w:color w:val="auto"/>
        </w:rPr>
        <w:t xml:space="preserve">”), to become a Borrower under the Aggregate Revolving A Commitments and the Aggregate Revolving B Commitments by delivering to the Administrative Agent (i) a joinder agreement pursuant to which the Additional Borrower joins this Agreement and the other Loan Documents as a Loan Party and such other documents (including to the extent requested by any Revolving A Lender or Revolving B Lender, Revolving Notes) as the Administrative Agent shall deem appropriate for such purpose, such joinder documentation to be in form, content and scope satisfactory to the Administrative Agent, (ii) documents of the types referred to in </w:t>
      </w:r>
      <w:r>
        <w:rPr>
          <w:rFonts w:ascii="Arial" w:cs="Arial" w:eastAsia="Arial" w:hAnsi="Arial"/>
          <w:sz w:val="19"/>
          <w:szCs w:val="19"/>
          <w:u w:val="single" w:color="auto"/>
          <w:color w:val="auto"/>
        </w:rPr>
        <w:t>Sections 5.02(e)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and favorable opinions of counsel to such Person (which shall cover, among other things, the legality, validity, binding effect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420"/>
          </w:cols>
          <w:pgMar w:left="240" w:top="758" w:right="239" w:bottom="1440" w:gutter="0" w:footer="0" w:header="0"/>
        </w:sectPr>
      </w:pPr>
    </w:p>
    <w:bookmarkStart w:id="241" w:name="page242"/>
    <w:bookmarkEnd w:id="241"/>
    <w:p>
      <w:pPr>
        <w:jc w:val="both"/>
        <w:ind w:left="660"/>
        <w:spacing w:after="0" w:line="256" w:lineRule="exact"/>
        <w:rPr>
          <w:sz w:val="20"/>
          <w:szCs w:val="20"/>
          <w:color w:val="auto"/>
        </w:rPr>
      </w:pPr>
      <w:r>
        <w:rPr>
          <w:rFonts w:ascii="Arial" w:cs="Arial" w:eastAsia="Arial" w:hAnsi="Arial"/>
          <w:sz w:val="18"/>
          <w:szCs w:val="18"/>
          <w:color w:val="auto"/>
        </w:rPr>
        <w:t>enforceability of the documentation referred to in clause (b)(i)), all in form, content and scope satisfactory to the Administrative Agent and to the extent requested by the Administrative Agent, and (iii) all documentation and other information that the Administrative Agent or any Lender shall have reasonably requested and have reasonably determined is required by regulatory authorities under applicable “know your customer” and anti</w:t>
      </w:r>
      <w:r>
        <w:rPr>
          <w:rFonts w:ascii="MS PGothic" w:cs="MS PGothic" w:eastAsia="MS PGothic" w:hAnsi="MS PGothic"/>
          <w:sz w:val="18"/>
          <w:szCs w:val="18"/>
          <w:color w:val="auto"/>
        </w:rPr>
        <w:t>‑</w:t>
      </w:r>
      <w:r>
        <w:rPr>
          <w:rFonts w:ascii="Arial" w:cs="Arial" w:eastAsia="Arial" w:hAnsi="Arial"/>
          <w:sz w:val="18"/>
          <w:szCs w:val="18"/>
          <w:color w:val="auto"/>
        </w:rPr>
        <w:t xml:space="preserve">money laundering rules and regulations, including without limitation the PATRIOT Act. Upon satisfaction of the conditions set forth in any joinder documentation referenced above in clause (b)(i) and in this </w:t>
      </w:r>
      <w:r>
        <w:rPr>
          <w:rFonts w:ascii="Arial" w:cs="Arial" w:eastAsia="Arial" w:hAnsi="Arial"/>
          <w:sz w:val="18"/>
          <w:szCs w:val="18"/>
          <w:u w:val="single" w:color="auto"/>
          <w:color w:val="auto"/>
        </w:rPr>
        <w:t>Section 7.12(b)</w:t>
      </w:r>
      <w:r>
        <w:rPr>
          <w:rFonts w:ascii="Arial" w:cs="Arial" w:eastAsia="Arial" w:hAnsi="Arial"/>
          <w:sz w:val="18"/>
          <w:szCs w:val="18"/>
          <w:color w:val="auto"/>
        </w:rPr>
        <w:t>, the Administrative Agent shall send a notice to the Lenders specifying the effective date upon which the Additional Borrower shall become a Borrower hereunder, whereupon each of the Lenders agrees that the Additional Borrower shall have all of the rights, liabilities and obligations of a Revolving A/B Borrower hereunder (and of a Guarantor as provided in the definition thereof), on the terms and conditions set forth herein and in the other Loan Documents, and each of the parties hereto agrees that the Additional Borrower otherwise shall be a Borrower for all purposes of this Agreement and the other Loan Documents.</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To the extent the Additional Borrower becomes a Borrower hereunder pursuant to this </w:t>
      </w:r>
      <w:r>
        <w:rPr>
          <w:rFonts w:ascii="Arial" w:cs="Arial" w:eastAsia="Arial" w:hAnsi="Arial"/>
          <w:sz w:val="18"/>
          <w:szCs w:val="18"/>
          <w:u w:val="single" w:color="auto"/>
          <w:color w:val="auto"/>
        </w:rPr>
        <w:t>Section 7.12(b)</w:t>
      </w:r>
      <w:r>
        <w:rPr>
          <w:rFonts w:ascii="Arial" w:cs="Arial" w:eastAsia="Arial" w:hAnsi="Arial"/>
          <w:sz w:val="18"/>
          <w:szCs w:val="18"/>
          <w:color w:val="auto"/>
        </w:rPr>
        <w:t>, the Additional Borrower hereby irrevocably appoints the Company as its agent for all purposes relevant to this Agreement and each of the other Loan Documents, including (A) the giving and receipt of notices, (B) the execution and delivery of all documents, instruments and certificates contemplated herein and all modifications hereto, and (C) the receipt of the proceeds of any Loans made by the Lenders, to the Additional Borrower hereunder. Any acknowledgment, consent, direction, certification or other action which might otherwise be valid or effective only if given to or taken by the Additional Borrower shall be valid and effective if given to or taken only by the Company, whether or not the Additional Borrower joins therein. Any notice, demand, consent, acknowledgement, direction, certification or other communication delivered to the Company in accordance with the terms of this Agreement shall be deemed to have been delivered to the Additional Borrower.</w:t>
      </w:r>
    </w:p>
    <w:p>
      <w:pPr>
        <w:spacing w:after="0" w:line="18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6"/>
          <w:szCs w:val="16"/>
          <w:u w:val="single" w:color="auto"/>
          <w:color w:val="auto"/>
        </w:rPr>
        <w:t>Pledged Assets</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256" w:lineRule="exact"/>
        <w:tabs>
          <w:tab w:leader="none" w:pos="172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Cause (i) 100% of the issued and outstanding Equity Interests of each Domestic Subsidiary and (ii) 66% of the issued and outstanding Equity Interests entitled to vote (within the meaning of Treas. Reg. Section 1.956</w:t>
      </w:r>
      <w:r>
        <w:rPr>
          <w:rFonts w:ascii="MS PGothic" w:cs="MS PGothic" w:eastAsia="MS PGothic" w:hAnsi="MS PGothic"/>
          <w:sz w:val="18"/>
          <w:szCs w:val="18"/>
          <w:color w:val="auto"/>
        </w:rPr>
        <w:t>‑</w:t>
      </w:r>
      <w:r>
        <w:rPr>
          <w:rFonts w:ascii="Arial" w:cs="Arial" w:eastAsia="Arial" w:hAnsi="Arial"/>
          <w:sz w:val="18"/>
          <w:szCs w:val="18"/>
          <w:color w:val="auto"/>
        </w:rPr>
        <w:t>2(c)(2)) and 100% of the issued and outstanding Equity Interests not entitled to vote (within the meaning of Treas. Reg. Section 1.956</w:t>
      </w:r>
      <w:r>
        <w:rPr>
          <w:rFonts w:ascii="MS PGothic" w:cs="MS PGothic" w:eastAsia="MS PGothic" w:hAnsi="MS PGothic"/>
          <w:sz w:val="18"/>
          <w:szCs w:val="18"/>
          <w:color w:val="auto"/>
        </w:rPr>
        <w:t>‑</w:t>
      </w:r>
      <w:r>
        <w:rPr>
          <w:rFonts w:ascii="Arial" w:cs="Arial" w:eastAsia="Arial" w:hAnsi="Arial"/>
          <w:sz w:val="18"/>
          <w:szCs w:val="18"/>
          <w:color w:val="auto"/>
        </w:rPr>
        <w:t xml:space="preserve">2(c)(2)) in each Foreign Subsidiary directly owned by a Loan Party (other than a Designated Borrower) to be subject at all times to a first priority, perfected Lien in favor of the Administrative Agent, for the benefit of the holders of the Obligations, pursuant to the terms and conditions of the Collateral Documents, together with opinions of counsel and any filings and deliveries necessary in connection therewith to perfect the security interests therein, all in form and substance satisfactory to the Administrative Agent;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it is understood and agreed that (x) all pledges of Equity Interests with respect to Domestic Subsidiaries, first</w:t>
      </w:r>
      <w:r>
        <w:rPr>
          <w:rFonts w:ascii="MS PGothic" w:cs="MS PGothic" w:eastAsia="MS PGothic" w:hAnsi="MS PGothic"/>
          <w:sz w:val="18"/>
          <w:szCs w:val="18"/>
          <w:color w:val="auto"/>
        </w:rPr>
        <w:t>‑</w:t>
      </w:r>
      <w:r>
        <w:rPr>
          <w:rFonts w:ascii="Arial" w:cs="Arial" w:eastAsia="Arial" w:hAnsi="Arial"/>
          <w:sz w:val="18"/>
          <w:szCs w:val="18"/>
          <w:color w:val="auto"/>
        </w:rPr>
        <w:t>tier Foreign Subsidiaries that are not Material Foreign Subsidiaries and certificated Equity Interests of first</w:t>
      </w:r>
      <w:r>
        <w:rPr>
          <w:rFonts w:ascii="MS PGothic" w:cs="MS PGothic" w:eastAsia="MS PGothic" w:hAnsi="MS PGothic"/>
          <w:sz w:val="18"/>
          <w:szCs w:val="18"/>
          <w:color w:val="auto"/>
        </w:rPr>
        <w:t>‑</w:t>
      </w:r>
      <w:r>
        <w:rPr>
          <w:rFonts w:ascii="Arial" w:cs="Arial" w:eastAsia="Arial" w:hAnsi="Arial"/>
          <w:sz w:val="18"/>
          <w:szCs w:val="18"/>
          <w:color w:val="auto"/>
        </w:rPr>
        <w:t>tier Foreign Subsidiaries that are Material Foreign Subsidiaries will, in each case, be made pursuant to documents governed by New York law and perfected under the UCC by the filing of UCC financing statements and possession of all certificates evidencing such pledged Equity Interests, and (y) pledges of uncertificated Equity Interests of first</w:t>
      </w:r>
      <w:r>
        <w:rPr>
          <w:rFonts w:ascii="MS PGothic" w:cs="MS PGothic" w:eastAsia="MS PGothic" w:hAnsi="MS PGothic"/>
          <w:sz w:val="18"/>
          <w:szCs w:val="18"/>
          <w:color w:val="auto"/>
        </w:rPr>
        <w:t>‑</w:t>
      </w:r>
      <w:r>
        <w:rPr>
          <w:rFonts w:ascii="Arial" w:cs="Arial" w:eastAsia="Arial" w:hAnsi="Arial"/>
          <w:sz w:val="18"/>
          <w:szCs w:val="18"/>
          <w:color w:val="auto"/>
        </w:rPr>
        <w:t>tier Foreign Subsidiaries that are Material Foreign Subsidiaries shall be perfected pursuant to documents governed by the law of the foreign jurisdiction where such Foreign Subsidiary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420"/>
          </w:cols>
          <w:pgMar w:left="240" w:top="771" w:right="239" w:bottom="1440" w:gutter="0" w:footer="0" w:header="0"/>
        </w:sectPr>
      </w:pPr>
    </w:p>
    <w:bookmarkStart w:id="242" w:name="page243"/>
    <w:bookmarkEnd w:id="242"/>
    <w:p>
      <w:pPr>
        <w:jc w:val="both"/>
        <w:ind w:left="660"/>
        <w:spacing w:after="0" w:line="256" w:lineRule="exact"/>
        <w:rPr>
          <w:sz w:val="20"/>
          <w:szCs w:val="20"/>
          <w:color w:val="auto"/>
        </w:rPr>
      </w:pPr>
      <w:r>
        <w:rPr>
          <w:rFonts w:ascii="Arial" w:cs="Arial" w:eastAsia="Arial" w:hAnsi="Arial"/>
          <w:sz w:val="18"/>
          <w:szCs w:val="18"/>
          <w:color w:val="auto"/>
        </w:rPr>
        <w:t>is organized, which foreign law</w:t>
      </w:r>
      <w:r>
        <w:rPr>
          <w:rFonts w:ascii="MS PGothic" w:cs="MS PGothic" w:eastAsia="MS PGothic" w:hAnsi="MS PGothic"/>
          <w:sz w:val="18"/>
          <w:szCs w:val="18"/>
          <w:color w:val="auto"/>
        </w:rPr>
        <w:t>‑</w:t>
      </w:r>
      <w:r>
        <w:rPr>
          <w:rFonts w:ascii="Arial" w:cs="Arial" w:eastAsia="Arial" w:hAnsi="Arial"/>
          <w:sz w:val="18"/>
          <w:szCs w:val="18"/>
          <w:color w:val="auto"/>
        </w:rPr>
        <w:t>governed documents shall be executed and delivered by the Loan Parties, together with the items described above in this subsection related thereto, not later than (1) 365 days after the Third Amendment Effective Date (or such later date as the Administrative Agent agrees in its sole discretion), in the case of the pledge of Equity Interests in SVS, if SVS remains a Subsidiary and is a Material Foreign Subsidiary as of such date (or, if SVS becomes a Material Foreign Subsidiary after such date, 60 days after SVS becomes a Material Foreign Subsidiary, or such later date as the Administrative Agent agrees in its sole discretion), (2) 60 days after the Initial Borrowing Date (or such later date as the Administrative Agent agrees in its sole discretion), in the case of the pledge of Equity Interests in any such first</w:t>
      </w:r>
      <w:r>
        <w:rPr>
          <w:rFonts w:ascii="MS PGothic" w:cs="MS PGothic" w:eastAsia="MS PGothic" w:hAnsi="MS PGothic"/>
          <w:sz w:val="18"/>
          <w:szCs w:val="18"/>
          <w:color w:val="auto"/>
        </w:rPr>
        <w:t>‑</w:t>
      </w:r>
      <w:r>
        <w:rPr>
          <w:rFonts w:ascii="Arial" w:cs="Arial" w:eastAsia="Arial" w:hAnsi="Arial"/>
          <w:sz w:val="18"/>
          <w:szCs w:val="18"/>
          <w:color w:val="auto"/>
        </w:rPr>
        <w:t>tier Foreign Subsidiaries that are Material Foreign Subsidiaries on the Initial Borrowing Date, and (3) 60 days after the date that any Person becomes such a first</w:t>
      </w:r>
      <w:r>
        <w:rPr>
          <w:rFonts w:ascii="MS PGothic" w:cs="MS PGothic" w:eastAsia="MS PGothic" w:hAnsi="MS PGothic"/>
          <w:sz w:val="18"/>
          <w:szCs w:val="18"/>
          <w:color w:val="auto"/>
        </w:rPr>
        <w:t>‑</w:t>
      </w:r>
      <w:r>
        <w:rPr>
          <w:rFonts w:ascii="Arial" w:cs="Arial" w:eastAsia="Arial" w:hAnsi="Arial"/>
          <w:sz w:val="18"/>
          <w:szCs w:val="18"/>
          <w:color w:val="auto"/>
        </w:rPr>
        <w:t>tier Foreign Subsidiary that is a Material Foreign Subsidiary (or such later date as the Administrative Agent agrees in its sole discretion), in the case of the pledge of Equity Interests in any Person that becomes such a first</w:t>
      </w:r>
      <w:r>
        <w:rPr>
          <w:rFonts w:ascii="MS PGothic" w:cs="MS PGothic" w:eastAsia="MS PGothic" w:hAnsi="MS PGothic"/>
          <w:sz w:val="18"/>
          <w:szCs w:val="18"/>
          <w:color w:val="auto"/>
        </w:rPr>
        <w:t>‑</w:t>
      </w:r>
      <w:r>
        <w:rPr>
          <w:rFonts w:ascii="Arial" w:cs="Arial" w:eastAsia="Arial" w:hAnsi="Arial"/>
          <w:sz w:val="18"/>
          <w:szCs w:val="18"/>
          <w:color w:val="auto"/>
        </w:rPr>
        <w:t>tier Foreign Subsidiary that is a Material Foreign Subsidiary after the Initial Borrowing Date.</w:t>
      </w:r>
    </w:p>
    <w:p>
      <w:pPr>
        <w:spacing w:after="0" w:line="229" w:lineRule="exact"/>
        <w:rPr>
          <w:sz w:val="20"/>
          <w:szCs w:val="20"/>
          <w:color w:val="auto"/>
        </w:rPr>
      </w:pPr>
    </w:p>
    <w:p>
      <w:pPr>
        <w:jc w:val="both"/>
        <w:ind w:left="660" w:firstLine="645"/>
        <w:spacing w:after="0" w:line="287" w:lineRule="auto"/>
        <w:tabs>
          <w:tab w:leader="none" w:pos="1719"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Other Property</w:t>
      </w:r>
      <w:r>
        <w:rPr>
          <w:rFonts w:ascii="Arial" w:cs="Arial" w:eastAsia="Arial" w:hAnsi="Arial"/>
          <w:sz w:val="19"/>
          <w:szCs w:val="19"/>
          <w:color w:val="auto"/>
        </w:rPr>
        <w:t>. Cause all property (other than Excluded Property) of each Loan Party (other than a Designated Borrower) to be subject at all times to first priority, perfected Liens in favor of the Administrative Agent to secure the Obligations pursuant to the Collateral Documents or, with respect to any such property acquired subsequent to the Initial Borrowing Date, such other additional security documents as the Administrative Agent shall request (subject to Permitted Liens) and, in connection with the foregoing, deliver to the Administrative Agent such other documentation as the Administrative Agent may request including filings and deliveries necessary to perfect such Liens, Organization Documents, resolutions and favorable opinions of counsel to such Person, all in form, content and scope reasonably satisfactory to the Administrative Agent.</w:t>
      </w:r>
    </w:p>
    <w:p>
      <w:pPr>
        <w:spacing w:after="0" w:line="18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7.14</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w:t>
      </w:r>
      <w:r>
        <w:rPr>
          <w:rFonts w:ascii="MS PGothic" w:cs="MS PGothic" w:eastAsia="MS PGothic" w:hAnsi="MS PGothic"/>
          <w:sz w:val="18"/>
          <w:szCs w:val="18"/>
          <w:color w:val="auto"/>
        </w:rPr>
        <w:t>‑</w:t>
      </w:r>
      <w:r>
        <w:rPr>
          <w:rFonts w:ascii="Arial" w:cs="Arial" w:eastAsia="Arial" w:hAnsi="Arial"/>
          <w:sz w:val="18"/>
          <w:szCs w:val="18"/>
          <w:color w:val="auto"/>
        </w:rPr>
        <w:t>record, file, re</w:t>
      </w:r>
      <w:r>
        <w:rPr>
          <w:rFonts w:ascii="MS PGothic" w:cs="MS PGothic" w:eastAsia="MS PGothic" w:hAnsi="MS PGothic"/>
          <w:sz w:val="18"/>
          <w:szCs w:val="18"/>
          <w:color w:val="auto"/>
        </w:rPr>
        <w:t>‑</w:t>
      </w:r>
      <w:r>
        <w:rPr>
          <w:rFonts w:ascii="Arial" w:cs="Arial" w:eastAsia="Arial" w:hAnsi="Arial"/>
          <w:sz w:val="18"/>
          <w:szCs w:val="18"/>
          <w:color w:val="auto"/>
        </w:rPr>
        <w:t>file, register and re</w:t>
      </w:r>
      <w:r>
        <w:rPr>
          <w:rFonts w:ascii="MS PGothic" w:cs="MS PGothic" w:eastAsia="MS PGothic" w:hAnsi="MS PGothic"/>
          <w:sz w:val="18"/>
          <w:szCs w:val="18"/>
          <w:color w:val="auto"/>
        </w:rPr>
        <w:t>‑</w:t>
      </w:r>
      <w:r>
        <w:rPr>
          <w:rFonts w:ascii="Arial" w:cs="Arial" w:eastAsia="Arial" w:hAnsi="Arial"/>
          <w:sz w:val="18"/>
          <w:szCs w:val="18"/>
          <w:color w:val="auto"/>
        </w:rPr>
        <w:t>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holders of the Obligations the rights granted or now or hereafter intended to be granted to the holders of the Obligations under any Loan Document or under any other instrument executed in connection with any Loan Document to which any Loan Party or any of its Subsidiaries is or is to be a party, and cause each of its Subsidiaries to do so.</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7.15</w:t>
      </w:r>
      <w:r>
        <w:rPr>
          <w:sz w:val="20"/>
          <w:szCs w:val="20"/>
          <w:color w:val="auto"/>
        </w:rPr>
        <w:tab/>
      </w:r>
      <w:r>
        <w:rPr>
          <w:rFonts w:ascii="Arial" w:cs="Arial" w:eastAsia="Arial" w:hAnsi="Arial"/>
          <w:sz w:val="16"/>
          <w:szCs w:val="16"/>
          <w:u w:val="single" w:color="auto"/>
          <w:color w:val="auto"/>
        </w:rPr>
        <w:t>Maintenance of Ratings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Use commercially reasonable efforts (which shall include the payment by the Parent or the Company of customary rating agency fees and cooperation with information and data requests by Moody’s and S&amp;P in connection with their ratings process) to obtain and maintain the Ratings.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420"/>
          </w:cols>
          <w:pgMar w:left="240" w:top="771" w:right="239" w:bottom="1440" w:gutter="0" w:footer="0" w:header="0"/>
        </w:sectPr>
      </w:pPr>
    </w:p>
    <w:bookmarkStart w:id="243" w:name="page244"/>
    <w:bookmarkEnd w:id="243"/>
    <w:p>
      <w:pPr>
        <w:jc w:val="center"/>
        <w:ind w:right="220"/>
        <w:spacing w:after="0"/>
        <w:rPr>
          <w:sz w:val="20"/>
          <w:szCs w:val="20"/>
          <w:color w:val="auto"/>
        </w:rPr>
      </w:pPr>
      <w:r>
        <w:rPr>
          <w:rFonts w:ascii="Arial" w:cs="Arial" w:eastAsia="Arial" w:hAnsi="Arial"/>
          <w:sz w:val="22"/>
          <w:szCs w:val="22"/>
          <w:b w:val="1"/>
          <w:bCs w:val="1"/>
          <w:color w:val="auto"/>
        </w:rPr>
        <w:t>ARTICLE VIII.</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So long as any Lender shall have any Commitment hereunder, any Loan or other Obligation hereunder shall remain unpaid or unsatisfied, or any Letter of Credit shall remain outstanding, no Loan Party party hereto shall, nor shall it permit any other Loan Party or any Subsidiary to, directly or indirectly:</w:t>
      </w:r>
    </w:p>
    <w:p>
      <w:pPr>
        <w:spacing w:after="0" w:line="20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Create, incur, assume or suffer to exist any Lien upon any of its property, assets or revenues, whether now owned or hereafter acquired, other than the following:</w:t>
      </w:r>
    </w:p>
    <w:p>
      <w:pPr>
        <w:spacing w:after="0" w:line="190" w:lineRule="exact"/>
        <w:rPr>
          <w:sz w:val="20"/>
          <w:szCs w:val="20"/>
          <w:color w:val="auto"/>
        </w:rPr>
      </w:pPr>
    </w:p>
    <w:p>
      <w:pPr>
        <w:ind w:left="1700" w:hanging="395"/>
        <w:spacing w:after="0"/>
        <w:tabs>
          <w:tab w:leader="none" w:pos="170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42" w:lineRule="exact"/>
        <w:rPr>
          <w:rFonts w:ascii="Arial" w:cs="Arial" w:eastAsia="Arial" w:hAnsi="Arial"/>
          <w:sz w:val="20"/>
          <w:szCs w:val="20"/>
          <w:color w:val="auto"/>
        </w:rPr>
      </w:pPr>
    </w:p>
    <w:p>
      <w:pPr>
        <w:jc w:val="both"/>
        <w:ind w:left="660" w:firstLine="645"/>
        <w:spacing w:after="0" w:line="310" w:lineRule="auto"/>
        <w:tabs>
          <w:tab w:leader="none" w:pos="17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Liens existing on the Initial Borrowing Date and listed on </w:t>
      </w:r>
      <w:r>
        <w:rPr>
          <w:rFonts w:ascii="Arial" w:cs="Arial" w:eastAsia="Arial" w:hAnsi="Arial"/>
          <w:sz w:val="18"/>
          <w:szCs w:val="18"/>
          <w:u w:val="single" w:color="auto"/>
          <w:color w:val="auto"/>
        </w:rPr>
        <w:t>Schedule 8.01</w:t>
      </w:r>
      <w:r>
        <w:rPr>
          <w:rFonts w:ascii="Arial" w:cs="Arial" w:eastAsia="Arial" w:hAnsi="Arial"/>
          <w:sz w:val="18"/>
          <w:szCs w:val="18"/>
          <w:color w:val="auto"/>
        </w:rPr>
        <w:t xml:space="preserve"> and any renewals, modifications, replacements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Liens do not extend to additional property other than (x) after acquired property that is affixed or incorporated into the property covered by such Lien and (y) the proceeds and products thereof, (ii) the amount secured or benefited thereby is not increased, (iii) the direct or any contingent obligor with respect thereto is not changed, and (iv) any renewal, modification, replacement or extension of the obligations secured thereby is permitted by </w:t>
      </w:r>
      <w:r>
        <w:rPr>
          <w:rFonts w:ascii="Arial" w:cs="Arial" w:eastAsia="Arial" w:hAnsi="Arial"/>
          <w:sz w:val="18"/>
          <w:szCs w:val="18"/>
          <w:u w:val="single" w:color="auto"/>
          <w:color w:val="auto"/>
        </w:rPr>
        <w:t>Section 8.03(b)</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jc w:val="both"/>
        <w:ind w:left="660" w:firstLine="645"/>
        <w:spacing w:after="0" w:line="322" w:lineRule="auto"/>
        <w:tabs>
          <w:tab w:leader="none" w:pos="176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(other than Liens imposed under ERISA) for taxes, assessments or governmental charges or levies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152" w:lineRule="exact"/>
        <w:rPr>
          <w:rFonts w:ascii="Arial" w:cs="Arial" w:eastAsia="Arial" w:hAnsi="Arial"/>
          <w:sz w:val="18"/>
          <w:szCs w:val="18"/>
          <w:color w:val="auto"/>
        </w:rPr>
      </w:pPr>
    </w:p>
    <w:p>
      <w:pPr>
        <w:jc w:val="both"/>
        <w:ind w:left="660" w:firstLine="645"/>
        <w:spacing w:after="0" w:line="272" w:lineRule="auto"/>
        <w:tabs>
          <w:tab w:leader="none" w:pos="1773"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Liens of landlords, carriers, warehousemen, mechanics, materialmen, repairmen, construction contractors, suppliers and other Liens imposed by law or pursuant to customary reservations or retentions of title arising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do not in the aggregate (x) materially detract from the value of any Loan Party’s or its Subsidiaries’ property or assets, or (y) materially impair the use thereof in the operation of the business of any Loan Party or its Subsidiaries, or are being contested in good faith by appropriate proceedings for which adequate reserves determined in accordance with GAAP have been established;</w:t>
      </w:r>
    </w:p>
    <w:p>
      <w:pPr>
        <w:spacing w:after="0" w:line="191" w:lineRule="exact"/>
        <w:rPr>
          <w:rFonts w:ascii="Arial" w:cs="Arial" w:eastAsia="Arial" w:hAnsi="Arial"/>
          <w:sz w:val="20"/>
          <w:szCs w:val="20"/>
          <w:color w:val="auto"/>
        </w:rPr>
      </w:pPr>
    </w:p>
    <w:p>
      <w:pPr>
        <w:jc w:val="both"/>
        <w:ind w:left="660" w:firstLine="645"/>
        <w:spacing w:after="0" w:line="314" w:lineRule="auto"/>
        <w:tabs>
          <w:tab w:leader="none" w:pos="187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 and pledges and deposits in the ordinary course of business securing liability for reimbursement or indemnification obligations of (including obligations in respect of letters of credit or bank guarantees for the benefit of) insurance carriers providing insurance to the Loan Parties or any of their Subsidiaries;</w:t>
      </w:r>
    </w:p>
    <w:p>
      <w:pPr>
        <w:spacing w:after="0" w:line="159" w:lineRule="exact"/>
        <w:rPr>
          <w:rFonts w:ascii="Arial" w:cs="Arial" w:eastAsia="Arial" w:hAnsi="Arial"/>
          <w:sz w:val="18"/>
          <w:szCs w:val="18"/>
          <w:color w:val="auto"/>
        </w:rPr>
      </w:pPr>
    </w:p>
    <w:p>
      <w:pPr>
        <w:jc w:val="both"/>
        <w:ind w:left="660" w:firstLine="645"/>
        <w:spacing w:after="0" w:line="278" w:lineRule="auto"/>
        <w:tabs>
          <w:tab w:leader="none" w:pos="170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deposits to secure the performance of bids, trade, forward or futures contracts (other than in respect of borrowed money), governmental contracts, leases (other than Indebtedness), statutory obligations, surety, stay, customs and appeal bonds, performance bonds and other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420"/>
          </w:cols>
          <w:pgMar w:left="240" w:top="760" w:right="239" w:bottom="1440" w:gutter="0" w:footer="0" w:header="0"/>
        </w:sectPr>
      </w:pPr>
    </w:p>
    <w:bookmarkStart w:id="244" w:name="page245"/>
    <w:bookmarkEnd w:id="244"/>
    <w:p>
      <w:pPr>
        <w:spacing w:after="0" w:line="289" w:lineRule="auto"/>
        <w:rPr>
          <w:sz w:val="20"/>
          <w:szCs w:val="20"/>
          <w:color w:val="auto"/>
        </w:rPr>
      </w:pPr>
      <w:r>
        <w:rPr>
          <w:rFonts w:ascii="Arial" w:cs="Arial" w:eastAsia="Arial" w:hAnsi="Arial"/>
          <w:sz w:val="20"/>
          <w:szCs w:val="20"/>
          <w:color w:val="auto"/>
        </w:rPr>
        <w:t>obligations of a like nature (including those to secure health, safety and environmental obligations) incurred in the ordinary course of business;</w:t>
      </w:r>
    </w:p>
    <w:p>
      <w:pPr>
        <w:spacing w:after="0" w:line="175" w:lineRule="exact"/>
        <w:rPr>
          <w:sz w:val="20"/>
          <w:szCs w:val="20"/>
          <w:color w:val="auto"/>
        </w:rPr>
      </w:pPr>
    </w:p>
    <w:p>
      <w:pPr>
        <w:jc w:val="both"/>
        <w:ind w:firstLine="645"/>
        <w:spacing w:after="0" w:line="255" w:lineRule="exact"/>
        <w:tabs>
          <w:tab w:leader="none" w:pos="1127"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easements, licenses, servitudes, rights</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way, restrictions, encroachments, protrusions and other similar encumbrances affecting real property which, in the aggregate, are not substantial in amount, and which do not in any case materially detract from the value of the property subject thereto or materially interfere with the ordinary conduct of the business of any Loan Party or any of its Subsidiaries;</w:t>
      </w:r>
    </w:p>
    <w:p>
      <w:pPr>
        <w:spacing w:after="0" w:line="222" w:lineRule="exact"/>
        <w:rPr>
          <w:rFonts w:ascii="Arial" w:cs="Arial" w:eastAsia="Arial" w:hAnsi="Arial"/>
          <w:sz w:val="20"/>
          <w:szCs w:val="20"/>
          <w:color w:val="auto"/>
        </w:rPr>
      </w:pPr>
    </w:p>
    <w:p>
      <w:pPr>
        <w:ind w:firstLine="645"/>
        <w:spacing w:after="0" w:line="289" w:lineRule="auto"/>
        <w:tabs>
          <w:tab w:leader="none" w:pos="11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(or appeal or other surety bonds relating to such judgments) not constituting an Event of Default under </w:t>
      </w:r>
      <w:r>
        <w:rPr>
          <w:rFonts w:ascii="Arial" w:cs="Arial" w:eastAsia="Arial" w:hAnsi="Arial"/>
          <w:sz w:val="20"/>
          <w:szCs w:val="20"/>
          <w:u w:val="single" w:color="auto"/>
          <w:color w:val="auto"/>
        </w:rPr>
        <w:t>Section 9.01(h)</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645"/>
        <w:spacing w:after="0" w:line="288" w:lineRule="auto"/>
        <w:tabs>
          <w:tab w:leader="none" w:pos="101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8.03(e)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at any time encumber any property other than the property financed by such Indebtedness and accessions thereto and products and proceeds thereof, (ii) the Indebtedness secured thereby does not exceed the cost of the property being acquired on the date of acquisition and (iii) such Liens attach to such property concurrently with or within 180 days after the acquisition thereof (or in the case of assets acquired in connection with the construction, refurbishment, repair or replacement of such property, within 180 days after the completion of such construction, refurbishment, repair or replacement of such property);</w:t>
      </w:r>
    </w:p>
    <w:p>
      <w:pPr>
        <w:spacing w:after="0" w:line="182" w:lineRule="exact"/>
        <w:rPr>
          <w:rFonts w:ascii="Arial" w:cs="Arial" w:eastAsia="Arial" w:hAnsi="Arial"/>
          <w:sz w:val="19"/>
          <w:szCs w:val="19"/>
          <w:color w:val="auto"/>
        </w:rPr>
      </w:pPr>
    </w:p>
    <w:p>
      <w:pPr>
        <w:ind w:firstLine="645"/>
        <w:spacing w:after="0" w:line="289" w:lineRule="auto"/>
        <w:tabs>
          <w:tab w:leader="none" w:pos="104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leases, subleases, licenses or sublicenses granted to others not interfering in any material respect with the business of any Loan Party or any of its Subsidiaries;</w:t>
      </w:r>
    </w:p>
    <w:p>
      <w:pPr>
        <w:spacing w:after="0" w:line="175" w:lineRule="exact"/>
        <w:rPr>
          <w:rFonts w:ascii="Arial" w:cs="Arial" w:eastAsia="Arial" w:hAnsi="Arial"/>
          <w:sz w:val="20"/>
          <w:szCs w:val="20"/>
          <w:color w:val="auto"/>
        </w:rPr>
      </w:pPr>
    </w:p>
    <w:p>
      <w:pPr>
        <w:ind w:right="20" w:firstLine="645"/>
        <w:spacing w:after="0" w:line="289" w:lineRule="auto"/>
        <w:tabs>
          <w:tab w:leader="none" w:pos="105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any interest of title of a lessor under, and Liens arising from UCC financing statements (or equivalent filings, registrations or agreements in foreign jurisdictions) relating to, leases permitted by this Agreement;</w:t>
      </w:r>
    </w:p>
    <w:p>
      <w:pPr>
        <w:spacing w:after="0" w:line="175" w:lineRule="exact"/>
        <w:rPr>
          <w:rFonts w:ascii="Arial" w:cs="Arial" w:eastAsia="Arial" w:hAnsi="Arial"/>
          <w:sz w:val="20"/>
          <w:szCs w:val="20"/>
          <w:color w:val="auto"/>
        </w:rPr>
      </w:pPr>
    </w:p>
    <w:p>
      <w:pPr>
        <w:ind w:left="1020" w:hanging="375"/>
        <w:spacing w:after="0"/>
        <w:tabs>
          <w:tab w:leader="none" w:pos="102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Liens deemed to exist in connection with Investments in repurchase agreements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firstLine="645"/>
        <w:spacing w:after="0" w:line="293" w:lineRule="auto"/>
        <w:tabs>
          <w:tab w:leader="none" w:pos="1182" w:val="left"/>
        </w:tabs>
        <w:numPr>
          <w:ilvl w:val="0"/>
          <w:numId w:val="202"/>
        </w:numPr>
        <w:rPr>
          <w:rFonts w:ascii="Arial" w:cs="Arial" w:eastAsia="Arial" w:hAnsi="Arial"/>
          <w:sz w:val="19"/>
          <w:szCs w:val="19"/>
          <w:color w:val="auto"/>
        </w:rPr>
      </w:pPr>
      <w:r>
        <w:rPr>
          <w:rFonts w:ascii="Arial" w:cs="Arial" w:eastAsia="Arial" w:hAnsi="Arial"/>
          <w:sz w:val="19"/>
          <w:szCs w:val="19"/>
          <w:color w:val="auto"/>
        </w:rPr>
        <w:t>normal and customary rights of setoff (i) upon deposits of cash in favor of banks or other depository institutions, (ii) relating to the pooled deposit or sweep accounts of any Loan Party or its Subsidiaries to permit satisfaction of overdraft or similar obligations incurred in the ordinary course of business, or (iii) relating to purchase orders and other agreements entered into with customers of any Loan Party or its Subsidiaries in the ordinary course of business;</w:t>
      </w:r>
    </w:p>
    <w:p>
      <w:pPr>
        <w:spacing w:after="0" w:line="175" w:lineRule="exact"/>
        <w:rPr>
          <w:rFonts w:ascii="Arial" w:cs="Arial" w:eastAsia="Arial" w:hAnsi="Arial"/>
          <w:sz w:val="19"/>
          <w:szCs w:val="19"/>
          <w:color w:val="auto"/>
        </w:rPr>
      </w:pPr>
    </w:p>
    <w:p>
      <w:pPr>
        <w:ind w:left="1160" w:hanging="515"/>
        <w:spacing w:after="0" w:line="219" w:lineRule="exact"/>
        <w:tabs>
          <w:tab w:leader="none" w:pos="116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Liens of a collection bank arising under Section 4</w:t>
      </w:r>
      <w:r>
        <w:rPr>
          <w:rFonts w:ascii="MS PGothic" w:cs="MS PGothic" w:eastAsia="MS PGothic" w:hAnsi="MS PGothic"/>
          <w:sz w:val="19"/>
          <w:szCs w:val="19"/>
          <w:color w:val="auto"/>
        </w:rPr>
        <w:t>‑</w:t>
      </w:r>
      <w:r>
        <w:rPr>
          <w:rFonts w:ascii="Arial" w:cs="Arial" w:eastAsia="Arial" w:hAnsi="Arial"/>
          <w:sz w:val="19"/>
          <w:szCs w:val="19"/>
          <w:color w:val="auto"/>
        </w:rPr>
        <w:t>210 of the Uniform Commercial Code on items in the course of</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collection;</w:t>
      </w:r>
    </w:p>
    <w:p>
      <w:pPr>
        <w:spacing w:after="0" w:line="242" w:lineRule="exact"/>
        <w:rPr>
          <w:rFonts w:ascii="Arial" w:cs="Arial" w:eastAsia="Arial" w:hAnsi="Arial"/>
          <w:sz w:val="19"/>
          <w:szCs w:val="19"/>
          <w:color w:val="auto"/>
        </w:rPr>
      </w:pPr>
    </w:p>
    <w:p>
      <w:pPr>
        <w:jc w:val="both"/>
        <w:ind w:firstLine="645"/>
        <w:spacing w:after="0" w:line="278" w:lineRule="auto"/>
        <w:tabs>
          <w:tab w:leader="none" w:pos="1086" w:val="left"/>
        </w:tabs>
        <w:numPr>
          <w:ilvl w:val="0"/>
          <w:numId w:val="202"/>
        </w:numPr>
        <w:rPr>
          <w:rFonts w:ascii="Arial" w:cs="Arial" w:eastAsia="Arial" w:hAnsi="Arial"/>
          <w:sz w:val="20"/>
          <w:szCs w:val="20"/>
          <w:color w:val="auto"/>
        </w:rPr>
      </w:pPr>
      <w:r>
        <w:rPr>
          <w:rFonts w:ascii="Arial" w:cs="Arial" w:eastAsia="Arial" w:hAnsi="Arial"/>
          <w:sz w:val="20"/>
          <w:szCs w:val="20"/>
          <w:color w:val="auto"/>
        </w:rPr>
        <w:t>Liens of sellers of goods to the Company and any of its Subsidiaries arising under Article 2 of the Uniform Commercial Code or similar provisions of applicable law in the ordinary course of business, covering only the goods sold and securing only the unpaid purchase price for such goods and related expenses;</w:t>
      </w:r>
    </w:p>
    <w:p>
      <w:pPr>
        <w:spacing w:after="0" w:line="186" w:lineRule="exact"/>
        <w:rPr>
          <w:rFonts w:ascii="Arial" w:cs="Arial" w:eastAsia="Arial" w:hAnsi="Arial"/>
          <w:sz w:val="20"/>
          <w:szCs w:val="20"/>
          <w:color w:val="auto"/>
        </w:rPr>
      </w:pPr>
    </w:p>
    <w:p>
      <w:pPr>
        <w:ind w:left="1060" w:hanging="415"/>
        <w:spacing w:after="0"/>
        <w:tabs>
          <w:tab w:leader="none" w:pos="106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Liens, if any, in favor of the Administrative Agent on Cash Collateral delivered pursuant to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0760"/>
          </w:cols>
          <w:pgMar w:left="900" w:top="771" w:right="239" w:bottom="1440" w:gutter="0" w:footer="0" w:header="0"/>
        </w:sectPr>
      </w:pPr>
    </w:p>
    <w:bookmarkStart w:id="245" w:name="page246"/>
    <w:bookmarkEnd w:id="245"/>
    <w:p>
      <w:pPr>
        <w:jc w:val="both"/>
        <w:ind w:firstLine="645"/>
        <w:spacing w:after="0" w:line="278" w:lineRule="auto"/>
        <w:tabs>
          <w:tab w:leader="none" w:pos="11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Liens on accounts, payments, payment intangibles, receivables, rights to future lease payments or residuals or similar rights to payment and related assets sold, contributed or otherwise conveyed or encumbered pursuant to a Receivables Facility permitted under </w:t>
      </w:r>
      <w:r>
        <w:rPr>
          <w:rFonts w:ascii="Arial" w:cs="Arial" w:eastAsia="Arial" w:hAnsi="Arial"/>
          <w:sz w:val="20"/>
          <w:szCs w:val="20"/>
          <w:u w:val="single" w:color="auto"/>
          <w:color w:val="auto"/>
        </w:rPr>
        <w:t>Section 8.03(f)</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right="20" w:firstLine="645"/>
        <w:spacing w:after="0" w:line="322" w:lineRule="auto"/>
        <w:tabs>
          <w:tab w:leader="none" w:pos="10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Liens with respect to property acquired (including property of any Person acquired) pursuant to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are not created in connection with, or in contemplation or anticipation of, such Permitted Acquisition, (ii) such Liens attach only to the property so acquired and (iii) the Indebtedness secured thereby is permitted under </w:t>
      </w:r>
      <w:r>
        <w:rPr>
          <w:rFonts w:ascii="Arial" w:cs="Arial" w:eastAsia="Arial" w:hAnsi="Arial"/>
          <w:sz w:val="18"/>
          <w:szCs w:val="18"/>
          <w:u w:val="single" w:color="auto"/>
          <w:color w:val="auto"/>
        </w:rPr>
        <w:t>Section 8.03(h)</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jc w:val="both"/>
        <w:ind w:firstLine="645"/>
        <w:spacing w:after="0" w:line="272" w:lineRule="auto"/>
        <w:tabs>
          <w:tab w:leader="none" w:pos="1172"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Liens (i) on cash advances in favor of the seller of any property to be acquired in an Investment permitted under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and to be applied against the purchase price for such Investment, (ii) on cash earnest money deposits made by any Loan Party or Subsidiary in connection with any letter of intent or purchase agreement with respect to a Permitted Acquisition or Private Label Credit Card Expenditure permitted under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(iii) constituting an agreement to Dispose of any property in a Disposition permitted under </w:t>
      </w:r>
      <w:r>
        <w:rPr>
          <w:rFonts w:ascii="Arial" w:cs="Arial" w:eastAsia="Arial" w:hAnsi="Arial"/>
          <w:sz w:val="20"/>
          <w:szCs w:val="20"/>
          <w:u w:val="single" w:color="auto"/>
          <w:color w:val="auto"/>
        </w:rPr>
        <w:t>Section 8.05</w:t>
      </w:r>
      <w:r>
        <w:rPr>
          <w:rFonts w:ascii="Arial" w:cs="Arial" w:eastAsia="Arial" w:hAnsi="Arial"/>
          <w:sz w:val="20"/>
          <w:szCs w:val="20"/>
          <w:color w:val="auto"/>
        </w:rPr>
        <w:t>, in each case, solely to the extent such Investment or Disposition, as the case may be, would have been permitted on the date of the creation of such Lien;</w:t>
      </w:r>
    </w:p>
    <w:p>
      <w:pPr>
        <w:spacing w:after="0" w:line="191" w:lineRule="exact"/>
        <w:rPr>
          <w:rFonts w:ascii="Arial" w:cs="Arial" w:eastAsia="Arial" w:hAnsi="Arial"/>
          <w:sz w:val="20"/>
          <w:szCs w:val="20"/>
          <w:color w:val="auto"/>
        </w:rPr>
      </w:pPr>
    </w:p>
    <w:p>
      <w:pPr>
        <w:ind w:right="20" w:firstLine="645"/>
        <w:spacing w:after="0" w:line="289" w:lineRule="auto"/>
        <w:tabs>
          <w:tab w:leader="none" w:pos="1029" w:val="left"/>
        </w:tabs>
        <w:numPr>
          <w:ilvl w:val="0"/>
          <w:numId w:val="203"/>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sale of goods in the ordinary course of business;</w:t>
      </w:r>
    </w:p>
    <w:p>
      <w:pPr>
        <w:spacing w:after="0" w:line="175" w:lineRule="exact"/>
        <w:rPr>
          <w:rFonts w:ascii="Arial" w:cs="Arial" w:eastAsia="Arial" w:hAnsi="Arial"/>
          <w:sz w:val="20"/>
          <w:szCs w:val="20"/>
          <w:color w:val="auto"/>
        </w:rPr>
      </w:pPr>
    </w:p>
    <w:p>
      <w:pPr>
        <w:ind w:firstLine="645"/>
        <w:spacing w:after="0" w:line="347" w:lineRule="auto"/>
        <w:tabs>
          <w:tab w:leader="none" w:pos="11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30" w:lineRule="exact"/>
        <w:rPr>
          <w:rFonts w:ascii="Arial" w:cs="Arial" w:eastAsia="Arial" w:hAnsi="Arial"/>
          <w:sz w:val="18"/>
          <w:szCs w:val="18"/>
          <w:color w:val="auto"/>
        </w:rPr>
      </w:pPr>
    </w:p>
    <w:p>
      <w:pPr>
        <w:jc w:val="both"/>
        <w:ind w:firstLine="645"/>
        <w:spacing w:after="0" w:line="278" w:lineRule="auto"/>
        <w:tabs>
          <w:tab w:leader="none" w:pos="1181" w:val="left"/>
        </w:tabs>
        <w:numPr>
          <w:ilvl w:val="0"/>
          <w:numId w:val="203"/>
        </w:numPr>
        <w:rPr>
          <w:rFonts w:ascii="Arial" w:cs="Arial" w:eastAsia="Arial" w:hAnsi="Arial"/>
          <w:sz w:val="20"/>
          <w:szCs w:val="20"/>
          <w:color w:val="auto"/>
        </w:rPr>
      </w:pPr>
      <w:r>
        <w:rPr>
          <w:rFonts w:ascii="Arial" w:cs="Arial" w:eastAsia="Arial" w:hAnsi="Arial"/>
          <w:sz w:val="20"/>
          <w:szCs w:val="20"/>
          <w:color w:val="auto"/>
        </w:rPr>
        <w:t>statutory Liens which may arise from time to time under applicable pension legislation in respect of employee and employer contributions which are not overdue for a period of more than 30 days from the date prescribed by applicable pension legislation;</w:t>
      </w:r>
    </w:p>
    <w:p>
      <w:pPr>
        <w:spacing w:after="0" w:line="186" w:lineRule="exact"/>
        <w:rPr>
          <w:rFonts w:ascii="Arial" w:cs="Arial" w:eastAsia="Arial" w:hAnsi="Arial"/>
          <w:sz w:val="20"/>
          <w:szCs w:val="20"/>
          <w:color w:val="auto"/>
        </w:rPr>
      </w:pPr>
    </w:p>
    <w:p>
      <w:pPr>
        <w:ind w:firstLine="645"/>
        <w:spacing w:after="0" w:line="289" w:lineRule="auto"/>
        <w:tabs>
          <w:tab w:leader="none" w:pos="1103" w:val="left"/>
        </w:tabs>
        <w:numPr>
          <w:ilvl w:val="0"/>
          <w:numId w:val="203"/>
        </w:numPr>
        <w:rPr>
          <w:rFonts w:ascii="Arial" w:cs="Arial" w:eastAsia="Arial" w:hAnsi="Arial"/>
          <w:sz w:val="20"/>
          <w:szCs w:val="20"/>
          <w:color w:val="auto"/>
        </w:rPr>
      </w:pPr>
      <w:r>
        <w:rPr>
          <w:rFonts w:ascii="Arial" w:cs="Arial" w:eastAsia="Arial" w:hAnsi="Arial"/>
          <w:sz w:val="20"/>
          <w:szCs w:val="20"/>
          <w:color w:val="auto"/>
        </w:rPr>
        <w:t>security given to a public utility or any municipality or governmental authority when required by such utility or authority in connection with the operations of a Loan Party or Subsidiary in the ordinary course of business;</w:t>
      </w:r>
    </w:p>
    <w:p>
      <w:pPr>
        <w:spacing w:after="0" w:line="175" w:lineRule="exact"/>
        <w:rPr>
          <w:rFonts w:ascii="Arial" w:cs="Arial" w:eastAsia="Arial" w:hAnsi="Arial"/>
          <w:sz w:val="20"/>
          <w:szCs w:val="20"/>
          <w:color w:val="auto"/>
        </w:rPr>
      </w:pPr>
    </w:p>
    <w:p>
      <w:pPr>
        <w:ind w:right="20" w:firstLine="645"/>
        <w:spacing w:after="0" w:line="289" w:lineRule="auto"/>
        <w:tabs>
          <w:tab w:leader="none" w:pos="1194" w:val="left"/>
        </w:tabs>
        <w:numPr>
          <w:ilvl w:val="0"/>
          <w:numId w:val="203"/>
        </w:numPr>
        <w:rPr>
          <w:rFonts w:ascii="Arial" w:cs="Arial" w:eastAsia="Arial" w:hAnsi="Arial"/>
          <w:sz w:val="20"/>
          <w:szCs w:val="20"/>
          <w:color w:val="auto"/>
        </w:rPr>
      </w:pPr>
      <w:r>
        <w:rPr>
          <w:rFonts w:ascii="Arial" w:cs="Arial" w:eastAsia="Arial" w:hAnsi="Arial"/>
          <w:sz w:val="20"/>
          <w:szCs w:val="20"/>
          <w:color w:val="auto"/>
        </w:rPr>
        <w:t>Liens on the Collateral securing Permitted First Priority Refinancing Indebtedness and/or Permitted Junior Priority Refinancing Indebtedness; and</w:t>
      </w:r>
    </w:p>
    <w:p>
      <w:pPr>
        <w:spacing w:after="0" w:line="175" w:lineRule="exact"/>
        <w:rPr>
          <w:rFonts w:ascii="Arial" w:cs="Arial" w:eastAsia="Arial" w:hAnsi="Arial"/>
          <w:sz w:val="20"/>
          <w:szCs w:val="20"/>
          <w:color w:val="auto"/>
        </w:rPr>
      </w:pPr>
    </w:p>
    <w:p>
      <w:pPr>
        <w:jc w:val="both"/>
        <w:ind w:firstLine="645"/>
        <w:spacing w:after="0" w:line="278" w:lineRule="auto"/>
        <w:tabs>
          <w:tab w:leader="none" w:pos="1072" w:val="left"/>
        </w:tabs>
        <w:numPr>
          <w:ilvl w:val="0"/>
          <w:numId w:val="203"/>
        </w:numPr>
        <w:rPr>
          <w:rFonts w:ascii="Arial" w:cs="Arial" w:eastAsia="Arial" w:hAnsi="Arial"/>
          <w:sz w:val="20"/>
          <w:szCs w:val="20"/>
          <w:color w:val="auto"/>
        </w:rPr>
      </w:pPr>
      <w:r>
        <w:rPr>
          <w:rFonts w:ascii="Arial" w:cs="Arial" w:eastAsia="Arial" w:hAnsi="Arial"/>
          <w:sz w:val="20"/>
          <w:szCs w:val="20"/>
          <w:color w:val="auto"/>
        </w:rPr>
        <w:t>other Liens securing Indebtedness permitted hereunder in an aggregate amount outstanding not exceeding at any time the greater of (i) $100,000,000 and (ii) 10% of total consolidated revenues of the Parent and its Subsidiaries determined as of the most recent fiscal year end of the Parent for which relevant financial information is available.</w:t>
      </w:r>
    </w:p>
    <w:p>
      <w:pPr>
        <w:spacing w:after="0" w:line="187"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8.02</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Make any Investments, except:</w:t>
      </w:r>
    </w:p>
    <w:p>
      <w:pPr>
        <w:spacing w:after="0" w:line="229" w:lineRule="exact"/>
        <w:rPr>
          <w:sz w:val="20"/>
          <w:szCs w:val="20"/>
          <w:color w:val="auto"/>
        </w:rPr>
      </w:pPr>
    </w:p>
    <w:p>
      <w:pPr>
        <w:ind w:left="4900" w:right="2500" w:hanging="4255"/>
        <w:spacing w:after="0" w:line="768" w:lineRule="auto"/>
        <w:tabs>
          <w:tab w:leader="none" w:pos="1039" w:val="left"/>
        </w:tabs>
        <w:numPr>
          <w:ilvl w:val="0"/>
          <w:numId w:val="204"/>
        </w:numPr>
        <w:rPr>
          <w:rFonts w:ascii="Arial" w:cs="Arial" w:eastAsia="Arial" w:hAnsi="Arial"/>
          <w:sz w:val="20"/>
          <w:szCs w:val="20"/>
          <w:color w:val="auto"/>
        </w:rPr>
      </w:pPr>
      <w:r>
        <w:rPr>
          <w:rFonts w:ascii="Arial" w:cs="Arial" w:eastAsia="Arial" w:hAnsi="Arial"/>
          <w:sz w:val="20"/>
          <w:szCs w:val="20"/>
          <w:color w:val="auto"/>
        </w:rPr>
        <w:t>Investments held by the Parent or such Subsidiary in the form of cash or Cash Equivalents; 125</w:t>
      </w:r>
    </w:p>
    <w:p>
      <w:pPr>
        <w:sectPr>
          <w:pgSz w:w="11900" w:h="16838" w:orient="portrait"/>
          <w:cols w:equalWidth="0" w:num="1">
            <w:col w:w="10760"/>
          </w:cols>
          <w:pgMar w:left="900" w:top="771" w:right="239" w:bottom="1440" w:gutter="0" w:footer="0" w:header="0"/>
        </w:sectPr>
      </w:pPr>
    </w:p>
    <w:bookmarkStart w:id="246" w:name="page247"/>
    <w:bookmarkEnd w:id="246"/>
    <w:p>
      <w:pPr>
        <w:ind w:firstLine="645"/>
        <w:spacing w:after="0" w:line="289" w:lineRule="auto"/>
        <w:tabs>
          <w:tab w:leader="none" w:pos="1262"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Investments existing or contemplated as of the Initial Borrowing Date and set forth in </w:t>
      </w:r>
      <w:r>
        <w:rPr>
          <w:rFonts w:ascii="Arial" w:cs="Arial" w:eastAsia="Arial" w:hAnsi="Arial"/>
          <w:sz w:val="20"/>
          <w:szCs w:val="20"/>
          <w:u w:val="single" w:color="auto"/>
          <w:color w:val="auto"/>
        </w:rPr>
        <w:t>Schedule 8.02</w:t>
      </w:r>
      <w:r>
        <w:rPr>
          <w:rFonts w:ascii="Arial" w:cs="Arial" w:eastAsia="Arial" w:hAnsi="Arial"/>
          <w:sz w:val="20"/>
          <w:szCs w:val="20"/>
          <w:color w:val="auto"/>
        </w:rPr>
        <w:t xml:space="preserve"> and any modification, replacement, renewal or extension thereof;</w:t>
      </w:r>
    </w:p>
    <w:p>
      <w:pPr>
        <w:spacing w:after="0" w:line="175" w:lineRule="exact"/>
        <w:rPr>
          <w:rFonts w:ascii="Arial" w:cs="Arial" w:eastAsia="Arial" w:hAnsi="Arial"/>
          <w:sz w:val="20"/>
          <w:szCs w:val="20"/>
          <w:color w:val="auto"/>
        </w:rPr>
      </w:pPr>
    </w:p>
    <w:p>
      <w:pPr>
        <w:ind w:left="1040" w:hanging="395"/>
        <w:spacing w:after="0"/>
        <w:tabs>
          <w:tab w:leader="none" w:pos="104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Investments in any Person that is a Loan Party prior to giving effect to such Investment;</w:t>
      </w:r>
    </w:p>
    <w:p>
      <w:pPr>
        <w:spacing w:after="0" w:line="242" w:lineRule="exact"/>
        <w:rPr>
          <w:rFonts w:ascii="Arial" w:cs="Arial" w:eastAsia="Arial" w:hAnsi="Arial"/>
          <w:sz w:val="20"/>
          <w:szCs w:val="20"/>
          <w:color w:val="auto"/>
        </w:rPr>
      </w:pPr>
    </w:p>
    <w:p>
      <w:pPr>
        <w:ind w:left="1100" w:hanging="455"/>
        <w:spacing w:after="0"/>
        <w:tabs>
          <w:tab w:leader="none" w:pos="11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Investments by any Subsidiary of the Parent that is not a Loan Party in any other Subsidiary of the Parent that is not a</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Loan Party;</w:t>
      </w:r>
    </w:p>
    <w:p>
      <w:pPr>
        <w:spacing w:after="0" w:line="242" w:lineRule="exact"/>
        <w:rPr>
          <w:rFonts w:ascii="Arial" w:cs="Arial" w:eastAsia="Arial" w:hAnsi="Arial"/>
          <w:sz w:val="18"/>
          <w:szCs w:val="18"/>
          <w:color w:val="auto"/>
        </w:rPr>
      </w:pPr>
    </w:p>
    <w:p>
      <w:pPr>
        <w:jc w:val="both"/>
        <w:ind w:firstLine="645"/>
        <w:spacing w:after="0" w:line="299" w:lineRule="auto"/>
        <w:tabs>
          <w:tab w:leader="none" w:pos="1116"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69" w:lineRule="exact"/>
        <w:rPr>
          <w:rFonts w:ascii="Arial" w:cs="Arial" w:eastAsia="Arial" w:hAnsi="Arial"/>
          <w:sz w:val="19"/>
          <w:szCs w:val="19"/>
          <w:color w:val="auto"/>
        </w:rPr>
      </w:pPr>
    </w:p>
    <w:p>
      <w:pPr>
        <w:ind w:firstLine="645"/>
        <w:spacing w:after="0" w:line="289" w:lineRule="auto"/>
        <w:tabs>
          <w:tab w:leader="none" w:pos="1094"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Liens, Indebtedness, fundamental changes, Dispositions and Restricted Payments to the extent constituting Investments and permitted under </w:t>
      </w:r>
      <w:r>
        <w:rPr>
          <w:rFonts w:ascii="Arial" w:cs="Arial" w:eastAsia="Arial" w:hAnsi="Arial"/>
          <w:sz w:val="20"/>
          <w:szCs w:val="20"/>
          <w:u w:val="single" w:color="auto"/>
          <w:color w:val="auto"/>
        </w:rPr>
        <w:t>Sections 8.01</w:t>
      </w:r>
      <w:r>
        <w:rPr>
          <w:rFonts w:ascii="Arial" w:cs="Arial" w:eastAsia="Arial" w:hAnsi="Arial"/>
          <w:sz w:val="20"/>
          <w:szCs w:val="20"/>
          <w:color w:val="auto"/>
        </w:rPr>
        <w:t xml:space="preserve">, </w:t>
      </w:r>
      <w:r>
        <w:rPr>
          <w:rFonts w:ascii="Arial" w:cs="Arial" w:eastAsia="Arial" w:hAnsi="Arial"/>
          <w:sz w:val="20"/>
          <w:szCs w:val="20"/>
          <w:u w:val="single" w:color="auto"/>
          <w:color w:val="auto"/>
        </w:rPr>
        <w:t>8.03</w:t>
      </w:r>
      <w:r>
        <w:rPr>
          <w:rFonts w:ascii="Arial" w:cs="Arial" w:eastAsia="Arial" w:hAnsi="Arial"/>
          <w:sz w:val="20"/>
          <w:szCs w:val="20"/>
          <w:color w:val="auto"/>
        </w:rPr>
        <w:t xml:space="preserve">, </w:t>
      </w:r>
      <w:r>
        <w:rPr>
          <w:rFonts w:ascii="Arial" w:cs="Arial" w:eastAsia="Arial" w:hAnsi="Arial"/>
          <w:sz w:val="20"/>
          <w:szCs w:val="20"/>
          <w:u w:val="single" w:color="auto"/>
          <w:color w:val="auto"/>
        </w:rPr>
        <w:t>8.04</w:t>
      </w:r>
      <w:r>
        <w:rPr>
          <w:rFonts w:ascii="Arial" w:cs="Arial" w:eastAsia="Arial" w:hAnsi="Arial"/>
          <w:sz w:val="20"/>
          <w:szCs w:val="20"/>
          <w:color w:val="auto"/>
        </w:rPr>
        <w:t xml:space="preserve">, </w:t>
      </w:r>
      <w:r>
        <w:rPr>
          <w:rFonts w:ascii="Arial" w:cs="Arial" w:eastAsia="Arial" w:hAnsi="Arial"/>
          <w:sz w:val="20"/>
          <w:szCs w:val="20"/>
          <w:u w:val="single" w:color="auto"/>
          <w:color w:val="auto"/>
        </w:rPr>
        <w:t>8.05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8.06</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645"/>
        <w:spacing w:after="0" w:line="278" w:lineRule="auto"/>
        <w:tabs>
          <w:tab w:leader="none" w:pos="1072"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Guarantees permitted by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(other than Guarantees of Indebtedness of the Unrestricted Subsidiary or any of its direct or indirect subsidiaries, it being understood that Guarantees of Indebtedness of such Persons shall be subject to, and governed by, </w:t>
      </w:r>
      <w:r>
        <w:rPr>
          <w:rFonts w:ascii="Arial" w:cs="Arial" w:eastAsia="Arial" w:hAnsi="Arial"/>
          <w:sz w:val="20"/>
          <w:szCs w:val="20"/>
          <w:u w:val="single" w:color="auto"/>
          <w:color w:val="auto"/>
        </w:rPr>
        <w:t>Section 8.02(s)</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1060" w:hanging="415"/>
        <w:spacing w:after="0"/>
        <w:tabs>
          <w:tab w:leader="none" w:pos="10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Permitted Acquisitions and the Comdata Acquisition;</w:t>
      </w:r>
    </w:p>
    <w:p>
      <w:pPr>
        <w:spacing w:after="0" w:line="242" w:lineRule="exact"/>
        <w:rPr>
          <w:rFonts w:ascii="Arial" w:cs="Arial" w:eastAsia="Arial" w:hAnsi="Arial"/>
          <w:sz w:val="20"/>
          <w:szCs w:val="20"/>
          <w:color w:val="auto"/>
        </w:rPr>
      </w:pPr>
    </w:p>
    <w:p>
      <w:pPr>
        <w:ind w:left="1020" w:hanging="375"/>
        <w:spacing w:after="0"/>
        <w:tabs>
          <w:tab w:leader="none" w:pos="102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Investments in Swap Contracts permitted under </w:t>
      </w:r>
      <w:r>
        <w:rPr>
          <w:rFonts w:ascii="Arial" w:cs="Arial" w:eastAsia="Arial" w:hAnsi="Arial"/>
          <w:sz w:val="20"/>
          <w:szCs w:val="20"/>
          <w:u w:val="single" w:color="auto"/>
          <w:color w:val="auto"/>
        </w:rPr>
        <w:t>Section 8.03</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020" w:hanging="375"/>
        <w:spacing w:after="0"/>
        <w:tabs>
          <w:tab w:leader="none" w:pos="10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promissory notes and other noncash consideration received in connection with Dispositions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60" w:hanging="415"/>
        <w:spacing w:after="0"/>
        <w:tabs>
          <w:tab w:leader="none" w:pos="10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advances of payroll payments to employees in the ordinary course of business;</w:t>
      </w:r>
    </w:p>
    <w:p>
      <w:pPr>
        <w:spacing w:after="0" w:line="242" w:lineRule="exact"/>
        <w:rPr>
          <w:rFonts w:ascii="Arial" w:cs="Arial" w:eastAsia="Arial" w:hAnsi="Arial"/>
          <w:sz w:val="20"/>
          <w:szCs w:val="20"/>
          <w:color w:val="auto"/>
        </w:rPr>
      </w:pPr>
    </w:p>
    <w:p>
      <w:pPr>
        <w:jc w:val="both"/>
        <w:ind w:firstLine="645"/>
        <w:spacing w:after="0" w:line="254" w:lineRule="exact"/>
        <w:tabs>
          <w:tab w:leader="none" w:pos="1015" w:val="left"/>
        </w:tabs>
        <w:numPr>
          <w:ilvl w:val="0"/>
          <w:numId w:val="205"/>
        </w:numPr>
        <w:rPr>
          <w:rFonts w:ascii="Arial" w:cs="Arial" w:eastAsia="Arial" w:hAnsi="Arial"/>
          <w:sz w:val="19"/>
          <w:szCs w:val="19"/>
          <w:color w:val="auto"/>
        </w:rPr>
      </w:pPr>
      <w:r>
        <w:rPr>
          <w:rFonts w:ascii="Arial" w:cs="Arial" w:eastAsia="Arial" w:hAnsi="Arial"/>
          <w:sz w:val="19"/>
          <w:szCs w:val="19"/>
          <w:color w:val="auto"/>
        </w:rPr>
        <w:t>loans or advances to officers, directors and employees of the Loan Parties and their respective Subsidiaries in an aggregate amount not to exceed $1,000,000 at any time outstanding, for business</w:t>
      </w:r>
      <w:r>
        <w:rPr>
          <w:rFonts w:ascii="MS PGothic" w:cs="MS PGothic" w:eastAsia="MS PGothic" w:hAnsi="MS PGothic"/>
          <w:sz w:val="19"/>
          <w:szCs w:val="19"/>
          <w:color w:val="auto"/>
        </w:rPr>
        <w:t>‑</w:t>
      </w:r>
      <w:r>
        <w:rPr>
          <w:rFonts w:ascii="Arial" w:cs="Arial" w:eastAsia="Arial" w:hAnsi="Arial"/>
          <w:sz w:val="19"/>
          <w:szCs w:val="19"/>
          <w:color w:val="auto"/>
        </w:rPr>
        <w:t>related travel, entertainment, relocation and analogous ordinary business purposes, and in connection with such Person’s purchase of Equity Interests of the Parent;</w:t>
      </w:r>
    </w:p>
    <w:p>
      <w:pPr>
        <w:spacing w:after="0" w:line="223" w:lineRule="exact"/>
        <w:rPr>
          <w:rFonts w:ascii="Arial" w:cs="Arial" w:eastAsia="Arial" w:hAnsi="Arial"/>
          <w:sz w:val="19"/>
          <w:szCs w:val="19"/>
          <w:color w:val="auto"/>
        </w:rPr>
      </w:pPr>
    </w:p>
    <w:p>
      <w:pPr>
        <w:ind w:firstLine="645"/>
        <w:spacing w:after="0" w:line="289" w:lineRule="auto"/>
        <w:tabs>
          <w:tab w:leader="none" w:pos="1128"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(i) endorsements for collection or deposit and (ii) customary trade arrangements with customers consistent with past practices;</w:t>
      </w:r>
    </w:p>
    <w:p>
      <w:pPr>
        <w:spacing w:after="0" w:line="175" w:lineRule="exact"/>
        <w:rPr>
          <w:rFonts w:ascii="Arial" w:cs="Arial" w:eastAsia="Arial" w:hAnsi="Arial"/>
          <w:sz w:val="20"/>
          <w:szCs w:val="20"/>
          <w:color w:val="auto"/>
        </w:rPr>
      </w:pPr>
    </w:p>
    <w:p>
      <w:pPr>
        <w:jc w:val="both"/>
        <w:ind w:firstLine="645"/>
        <w:spacing w:after="0" w:line="274" w:lineRule="auto"/>
        <w:tabs>
          <w:tab w:leader="none" w:pos="1329"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92" w:lineRule="exact"/>
        <w:rPr>
          <w:rFonts w:ascii="Arial" w:cs="Arial" w:eastAsia="Arial" w:hAnsi="Arial"/>
          <w:sz w:val="20"/>
          <w:szCs w:val="20"/>
          <w:color w:val="auto"/>
        </w:rPr>
      </w:pPr>
    </w:p>
    <w:p>
      <w:pPr>
        <w:ind w:firstLine="645"/>
        <w:spacing w:after="0" w:line="289" w:lineRule="auto"/>
        <w:tabs>
          <w:tab w:leader="none" w:pos="1059"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Private Label Credit Card Expenditures;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Company shall have delivered to the Administrative Agent a Pro Forma Compliance Certificate demonstrating that, upon</w:t>
      </w: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0760"/>
          </w:cols>
          <w:pgMar w:left="900" w:top="771" w:right="239" w:bottom="1440" w:gutter="0" w:footer="0" w:header="0"/>
        </w:sectPr>
      </w:pPr>
    </w:p>
    <w:bookmarkStart w:id="247" w:name="page248"/>
    <w:bookmarkEnd w:id="247"/>
    <w:p>
      <w:pPr>
        <w:jc w:val="both"/>
        <w:spacing w:after="0" w:line="274" w:lineRule="auto"/>
        <w:rPr>
          <w:sz w:val="20"/>
          <w:szCs w:val="20"/>
          <w:color w:val="auto"/>
        </w:rPr>
      </w:pPr>
      <w:r>
        <w:rPr>
          <w:rFonts w:ascii="Arial" w:cs="Arial" w:eastAsia="Arial" w:hAnsi="Arial"/>
          <w:sz w:val="20"/>
          <w:szCs w:val="20"/>
          <w:color w:val="auto"/>
        </w:rPr>
        <w:t xml:space="preserve">giving effect to any such Private Label Credit Card Expenditure on a Pro Forma Basis, the Loan Parties would be in compliance with the financial covenants set forth in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as of the end of the most recent fiscal quarter for which the Company was required to deliver financial statements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(ii) no Default shall have occurred and be continuing or would result from such Private Label Credit Card Expenditure;</w:t>
      </w:r>
    </w:p>
    <w:p>
      <w:pPr>
        <w:spacing w:after="0" w:line="192" w:lineRule="exact"/>
        <w:rPr>
          <w:sz w:val="20"/>
          <w:szCs w:val="20"/>
          <w:color w:val="auto"/>
        </w:rPr>
      </w:pPr>
    </w:p>
    <w:p>
      <w:pPr>
        <w:ind w:left="1140" w:hanging="49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Investments in Foreign Subsidiaries solely for the purpose of consummating Permitted Acquisitions by such Foreign</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242" w:lineRule="exact"/>
        <w:rPr>
          <w:rFonts w:ascii="Arial" w:cs="Arial" w:eastAsia="Arial" w:hAnsi="Arial"/>
          <w:sz w:val="18"/>
          <w:szCs w:val="18"/>
          <w:color w:val="auto"/>
        </w:rPr>
      </w:pPr>
    </w:p>
    <w:p>
      <w:pPr>
        <w:jc w:val="both"/>
        <w:ind w:firstLine="645"/>
        <w:spacing w:after="0" w:line="314" w:lineRule="auto"/>
        <w:tabs>
          <w:tab w:leader="none" w:pos="108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Specified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each such Specified Investment and both before and after giving effect thereto (including the incurrence of any Indebtedness in connection therewith), (i) no Default or Event of Default exists and (ii) the Parent and its Subsidiaries are in compliance with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on a Pro Forma Basis as of the most recent fiscal quarter end for which the Company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59" w:lineRule="exact"/>
        <w:rPr>
          <w:rFonts w:ascii="Arial" w:cs="Arial" w:eastAsia="Arial" w:hAnsi="Arial"/>
          <w:sz w:val="18"/>
          <w:szCs w:val="18"/>
          <w:color w:val="auto"/>
        </w:rPr>
      </w:pPr>
    </w:p>
    <w:p>
      <w:pPr>
        <w:jc w:val="both"/>
        <w:ind w:firstLine="645"/>
        <w:spacing w:after="0" w:line="278" w:lineRule="auto"/>
        <w:tabs>
          <w:tab w:leader="none" w:pos="1134"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Investments in Foreign Subsidiaries, in an aggregate outstanding amount not to exceed at any time the greater of (i) $75,000,000 and (ii) 7.5% of total consolidated revenues of the Parent and its Subsidiaries determined as of the most recent fiscal year end of the Parent for which the relevant financial information is available; and</w:t>
      </w:r>
    </w:p>
    <w:p>
      <w:pPr>
        <w:spacing w:after="0" w:line="186" w:lineRule="exact"/>
        <w:rPr>
          <w:rFonts w:ascii="Arial" w:cs="Arial" w:eastAsia="Arial" w:hAnsi="Arial"/>
          <w:sz w:val="20"/>
          <w:szCs w:val="20"/>
          <w:color w:val="auto"/>
        </w:rPr>
      </w:pPr>
    </w:p>
    <w:p>
      <w:pPr>
        <w:jc w:val="both"/>
        <w:ind w:firstLine="645"/>
        <w:spacing w:after="0" w:line="293" w:lineRule="auto"/>
        <w:tabs>
          <w:tab w:leader="none" w:pos="1199"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unlimited additional Investments so long as, prior to making any such Investment and after giving effect to such Investment (and any Indebtedness incurred in connection therewith), (i) no Default has occurred and is continuing, (ii) the Consolidated Leverage Ratio calculated on a Pro Forma Basis is not greater than 3.25 to 1.00 and (iii) the Loan Parties are otherwise in compliance with the financial covenants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calculated on a Pro Forma Basis.</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Create, incur, assume or suffer to exist any Indebtedness, except:</w:t>
      </w:r>
    </w:p>
    <w:p>
      <w:pPr>
        <w:spacing w:after="0" w:line="229" w:lineRule="exact"/>
        <w:rPr>
          <w:sz w:val="20"/>
          <w:szCs w:val="20"/>
          <w:color w:val="auto"/>
        </w:rPr>
      </w:pPr>
    </w:p>
    <w:p>
      <w:pPr>
        <w:ind w:firstLine="645"/>
        <w:spacing w:after="0" w:line="289" w:lineRule="auto"/>
        <w:tabs>
          <w:tab w:leader="none" w:pos="1075"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 Indebtedness under the Loan Documents; and (ii) Permitted First Priority Refinancing Indebtedness, Permitted Junior Priority Refinancing Indebtedness and Permitted Unsecured Refinancing Indebtedness;</w:t>
      </w:r>
    </w:p>
    <w:p>
      <w:pPr>
        <w:spacing w:after="0" w:line="175" w:lineRule="exact"/>
        <w:rPr>
          <w:rFonts w:ascii="Arial" w:cs="Arial" w:eastAsia="Arial" w:hAnsi="Arial"/>
          <w:sz w:val="20"/>
          <w:szCs w:val="20"/>
          <w:color w:val="auto"/>
        </w:rPr>
      </w:pPr>
    </w:p>
    <w:p>
      <w:pPr>
        <w:ind w:firstLine="645"/>
        <w:spacing w:after="0" w:line="316" w:lineRule="auto"/>
        <w:tabs>
          <w:tab w:leader="none" w:pos="110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Indebtedness of the Parent and its Subsidiaries outstanding on the Initial Borrowing Date and set forth in </w:t>
      </w:r>
      <w:r>
        <w:rPr>
          <w:rFonts w:ascii="Arial" w:cs="Arial" w:eastAsia="Arial" w:hAnsi="Arial"/>
          <w:sz w:val="19"/>
          <w:szCs w:val="19"/>
          <w:u w:val="single" w:color="auto"/>
          <w:color w:val="auto"/>
        </w:rPr>
        <w:t>Schedule 8.03</w:t>
      </w:r>
      <w:r>
        <w:rPr>
          <w:rFonts w:ascii="Arial" w:cs="Arial" w:eastAsia="Arial" w:hAnsi="Arial"/>
          <w:sz w:val="19"/>
          <w:szCs w:val="19"/>
          <w:color w:val="auto"/>
        </w:rPr>
        <w:t xml:space="preserve"> and any refinancings, refundings, renewals or extensions thereof which do not increase the principal amount thereof;</w:t>
      </w:r>
    </w:p>
    <w:p>
      <w:pPr>
        <w:spacing w:after="0" w:line="153" w:lineRule="exact"/>
        <w:rPr>
          <w:rFonts w:ascii="Arial" w:cs="Arial" w:eastAsia="Arial" w:hAnsi="Arial"/>
          <w:sz w:val="19"/>
          <w:szCs w:val="19"/>
          <w:color w:val="auto"/>
        </w:rPr>
      </w:pPr>
    </w:p>
    <w:p>
      <w:pPr>
        <w:ind w:left="1040" w:hanging="395"/>
        <w:spacing w:after="0"/>
        <w:tabs>
          <w:tab w:leader="none" w:pos="10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intercompany Indebtedness permitted under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645"/>
        <w:spacing w:after="0" w:line="273" w:lineRule="auto"/>
        <w:tabs>
          <w:tab w:leader="none" w:pos="108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obligations (contingent or otherwise) of the Parent or any Subsidiary existing or arising under any Swap Contract or any Guarantee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w:t>
      </w:r>
    </w:p>
    <w:p>
      <w:pPr>
        <w:spacing w:after="0" w:line="200" w:lineRule="exact"/>
        <w:rPr>
          <w:sz w:val="20"/>
          <w:szCs w:val="20"/>
          <w:color w:val="auto"/>
        </w:rPr>
      </w:pPr>
    </w:p>
    <w:p>
      <w:pPr>
        <w:spacing w:after="0" w:line="23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0760"/>
          </w:cols>
          <w:pgMar w:left="900" w:top="771" w:right="239" w:bottom="1440" w:gutter="0" w:footer="0" w:header="0"/>
        </w:sectPr>
      </w:pPr>
    </w:p>
    <w:bookmarkStart w:id="248" w:name="page249"/>
    <w:bookmarkEnd w:id="248"/>
    <w:p>
      <w:pPr>
        <w:spacing w:after="0" w:line="253" w:lineRule="exact"/>
        <w:rPr>
          <w:sz w:val="20"/>
          <w:szCs w:val="20"/>
          <w:color w:val="auto"/>
        </w:rPr>
      </w:pPr>
      <w:r>
        <w:rPr>
          <w:rFonts w:ascii="Arial" w:cs="Arial" w:eastAsia="Arial" w:hAnsi="Arial"/>
          <w:sz w:val="20"/>
          <w:szCs w:val="20"/>
          <w:color w:val="auto"/>
        </w:rPr>
        <w:t>Contract does not contain any provision exonerating the non</w:t>
      </w:r>
      <w:r>
        <w:rPr>
          <w:rFonts w:ascii="MS PGothic" w:cs="MS PGothic" w:eastAsia="MS PGothic" w:hAnsi="MS PGothic"/>
          <w:sz w:val="20"/>
          <w:szCs w:val="20"/>
          <w:color w:val="auto"/>
        </w:rPr>
        <w:t>‑</w:t>
      </w:r>
      <w:r>
        <w:rPr>
          <w:rFonts w:ascii="Arial" w:cs="Arial" w:eastAsia="Arial" w:hAnsi="Arial"/>
          <w:sz w:val="20"/>
          <w:szCs w:val="20"/>
          <w:color w:val="auto"/>
        </w:rPr>
        <w:t>defaulting party from its obligation to make payments on outstanding transactions to the defaulting party;</w:t>
      </w:r>
    </w:p>
    <w:p>
      <w:pPr>
        <w:spacing w:after="0" w:line="223" w:lineRule="exact"/>
        <w:rPr>
          <w:sz w:val="20"/>
          <w:szCs w:val="20"/>
          <w:color w:val="auto"/>
        </w:rPr>
      </w:pPr>
    </w:p>
    <w:p>
      <w:pPr>
        <w:jc w:val="both"/>
        <w:ind w:firstLine="645"/>
        <w:spacing w:after="0" w:line="288" w:lineRule="auto"/>
        <w:tabs>
          <w:tab w:leader="none" w:pos="108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purchase money Indebtedness (including obligations in respect of Capital Leases or Synthetic Leases) hereafter incurred by the Parent or any of its Subsidiaries to finance the purchase of fixed assets, and renewals, refinancings and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total of all such Indebtedness for all such Persons taken together shall not exceed an aggregate principal amount of $25,000,000 at any one time outstanding; (ii) such Indebtedness when incurred shall not exceed the purchase price of the asset(s) financed; and (iii) no such Indebtedness shall be refinanced for a principal amount in excess of the principal balance outstanding thereon at the time of such refinancing;</w:t>
      </w:r>
    </w:p>
    <w:p>
      <w:pPr>
        <w:spacing w:after="0" w:line="182" w:lineRule="exact"/>
        <w:rPr>
          <w:rFonts w:ascii="Arial" w:cs="Arial" w:eastAsia="Arial" w:hAnsi="Arial"/>
          <w:sz w:val="19"/>
          <w:szCs w:val="19"/>
          <w:color w:val="auto"/>
        </w:rPr>
      </w:pPr>
    </w:p>
    <w:p>
      <w:pPr>
        <w:jc w:val="both"/>
        <w:ind w:firstLine="645"/>
        <w:spacing w:after="0" w:line="378" w:lineRule="auto"/>
        <w:tabs>
          <w:tab w:leader="none" w:pos="10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Attributable Indebtedness and other Indebtedness (if any) in connection with Receivables Facilities (including Guarantees of such Attributable Indebtedness and other Indebtedness (if any) that is otherwise permitted under this </w:t>
      </w:r>
      <w:r>
        <w:rPr>
          <w:rFonts w:ascii="Arial" w:cs="Arial" w:eastAsia="Arial" w:hAnsi="Arial"/>
          <w:sz w:val="16"/>
          <w:szCs w:val="16"/>
          <w:u w:val="single" w:color="auto"/>
          <w:color w:val="auto"/>
        </w:rPr>
        <w:t>Section 8.03(f)</w:t>
      </w:r>
      <w:r>
        <w:rPr>
          <w:rFonts w:ascii="Arial" w:cs="Arial" w:eastAsia="Arial" w:hAnsi="Arial"/>
          <w:sz w:val="16"/>
          <w:szCs w:val="16"/>
          <w:color w:val="auto"/>
        </w:rPr>
        <w:t>), not to exceed $1,200,000,000 in the aggregate at any one time outstanding, and all yield, interest, fees, indemnities and other amounts related thereto;</w:t>
      </w:r>
    </w:p>
    <w:p>
      <w:pPr>
        <w:spacing w:after="0" w:line="116" w:lineRule="exact"/>
        <w:rPr>
          <w:rFonts w:ascii="Arial" w:cs="Arial" w:eastAsia="Arial" w:hAnsi="Arial"/>
          <w:sz w:val="16"/>
          <w:szCs w:val="16"/>
          <w:color w:val="auto"/>
        </w:rPr>
      </w:pPr>
    </w:p>
    <w:p>
      <w:pPr>
        <w:ind w:left="1060" w:hanging="415"/>
        <w:spacing w:after="0"/>
        <w:tabs>
          <w:tab w:leader="none" w:pos="106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obligations in respect of Earn Out Obligations to the extent constituting Indebtedness;</w:t>
      </w:r>
    </w:p>
    <w:p>
      <w:pPr>
        <w:spacing w:after="0" w:line="242" w:lineRule="exact"/>
        <w:rPr>
          <w:rFonts w:ascii="Arial" w:cs="Arial" w:eastAsia="Arial" w:hAnsi="Arial"/>
          <w:sz w:val="20"/>
          <w:szCs w:val="20"/>
          <w:color w:val="auto"/>
        </w:rPr>
      </w:pPr>
    </w:p>
    <w:p>
      <w:pPr>
        <w:jc w:val="both"/>
        <w:ind w:firstLine="645"/>
        <w:spacing w:after="0" w:line="274" w:lineRule="auto"/>
        <w:tabs>
          <w:tab w:leader="none" w:pos="111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Indebtedness of any Subsidiary acquired pursuant to a Permitted Acquisition (or Indebtedness assumed at the time of a Permitted Acquisition of any assets securing such Indebtedness) in an aggregate principal amount not to exceed at any time outstanding $50,000,000, provided, that such Indebtedness was not incurred in connection with, or in contemplation or anticipation of, such Permitted Acquisition;</w:t>
      </w:r>
    </w:p>
    <w:p>
      <w:pPr>
        <w:spacing w:after="0" w:line="192" w:lineRule="exact"/>
        <w:rPr>
          <w:rFonts w:ascii="Arial" w:cs="Arial" w:eastAsia="Arial" w:hAnsi="Arial"/>
          <w:sz w:val="20"/>
          <w:szCs w:val="20"/>
          <w:color w:val="auto"/>
        </w:rPr>
      </w:pPr>
    </w:p>
    <w:p>
      <w:pPr>
        <w:ind w:firstLine="645"/>
        <w:spacing w:after="0" w:line="316" w:lineRule="auto"/>
        <w:tabs>
          <w:tab w:leader="none" w:pos="1096"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Indebtedness arising from the honoring by a bank or other financial institution of a check, draft or similar instrument inadvertently (except in the case of daylight overdrafts) drawn against insufficient funds in the ordinary course of business;</w:t>
      </w:r>
    </w:p>
    <w:p>
      <w:pPr>
        <w:spacing w:after="0" w:line="153" w:lineRule="exact"/>
        <w:rPr>
          <w:rFonts w:ascii="Arial" w:cs="Arial" w:eastAsia="Arial" w:hAnsi="Arial"/>
          <w:sz w:val="19"/>
          <w:szCs w:val="19"/>
          <w:color w:val="auto"/>
        </w:rPr>
      </w:pPr>
    </w:p>
    <w:p>
      <w:pPr>
        <w:ind w:firstLine="645"/>
        <w:spacing w:after="0" w:line="316" w:lineRule="auto"/>
        <w:tabs>
          <w:tab w:leader="none" w:pos="104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Indebtedness which may be deemed to exist in connection with agreements providing for indemnification, purchase price adjustments and similar obligations in connection with the dispositions of assets permitted under </w:t>
      </w:r>
      <w:r>
        <w:rPr>
          <w:rFonts w:ascii="Arial" w:cs="Arial" w:eastAsia="Arial" w:hAnsi="Arial"/>
          <w:sz w:val="19"/>
          <w:szCs w:val="19"/>
          <w:u w:val="single" w:color="auto"/>
          <w:color w:val="auto"/>
        </w:rPr>
        <w:t>Section 8.05</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645"/>
        <w:spacing w:after="0" w:line="274" w:lineRule="auto"/>
        <w:tabs>
          <w:tab w:leader="none" w:pos="111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Guarantees by any Loan Party or any Subsidiary with respect to (i) recourse obligations resulting from endorsement of negotiable instruments for collection in the ordinary course of business, (ii) surety, appeal and performance bonds obtained in the ordinary course of business, and (iii) workers’ compensation and similar obligations of the Loan Parties and their Subsidiaries incurred in the ordinary course of business; and</w:t>
      </w:r>
    </w:p>
    <w:p>
      <w:pPr>
        <w:spacing w:after="0" w:line="192" w:lineRule="exact"/>
        <w:rPr>
          <w:rFonts w:ascii="Arial" w:cs="Arial" w:eastAsia="Arial" w:hAnsi="Arial"/>
          <w:sz w:val="20"/>
          <w:szCs w:val="20"/>
          <w:color w:val="auto"/>
        </w:rPr>
      </w:pPr>
    </w:p>
    <w:p>
      <w:pPr>
        <w:jc w:val="both"/>
        <w:ind w:firstLine="645"/>
        <w:spacing w:after="0" w:line="278" w:lineRule="auto"/>
        <w:tabs>
          <w:tab w:leader="none" w:pos="1029" w:val="left"/>
        </w:tabs>
        <w:numPr>
          <w:ilvl w:val="0"/>
          <w:numId w:val="208"/>
        </w:numPr>
        <w:rPr>
          <w:rFonts w:ascii="Arial" w:cs="Arial" w:eastAsia="Arial" w:hAnsi="Arial"/>
          <w:sz w:val="20"/>
          <w:szCs w:val="20"/>
          <w:color w:val="auto"/>
        </w:rPr>
      </w:pPr>
      <w:r>
        <w:rPr>
          <w:rFonts w:ascii="Arial" w:cs="Arial" w:eastAsia="Arial" w:hAnsi="Arial"/>
          <w:sz w:val="20"/>
          <w:szCs w:val="20"/>
          <w:color w:val="auto"/>
        </w:rPr>
        <w:t>other Indebtedness in an aggregate outstanding principal amount not to exceed at any time the greater of (i) $100,000,000 and (ii) 10% of total consolidated revenues of the Parent and its Subsidiaries determined as of the most recent fiscal year end of the Parent for which the relevant financial information is available.</w:t>
      </w:r>
    </w:p>
    <w:p>
      <w:pPr>
        <w:spacing w:after="0" w:line="187"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8.04</w:t>
      </w:r>
      <w:r>
        <w:rPr>
          <w:sz w:val="20"/>
          <w:szCs w:val="20"/>
          <w:color w:val="auto"/>
        </w:rPr>
        <w:tab/>
      </w:r>
      <w:r>
        <w:rPr>
          <w:rFonts w:ascii="Arial" w:cs="Arial" w:eastAsia="Arial" w:hAnsi="Arial"/>
          <w:sz w:val="16"/>
          <w:szCs w:val="16"/>
          <w:u w:val="single" w:color="auto"/>
          <w:color w:val="auto"/>
        </w:rPr>
        <w:t>Fundamental Changes</w:t>
      </w:r>
      <w:r>
        <w:rPr>
          <w:rFonts w:ascii="Arial" w:cs="Arial" w:eastAsia="Arial" w:hAnsi="Arial"/>
          <w:sz w:val="16"/>
          <w:szCs w:val="16"/>
          <w:color w:val="auto"/>
        </w:rPr>
        <w:t>.</w:t>
      </w:r>
    </w:p>
    <w:p>
      <w:pPr>
        <w:spacing w:after="0" w:line="200" w:lineRule="exact"/>
        <w:rPr>
          <w:sz w:val="20"/>
          <w:szCs w:val="20"/>
          <w:color w:val="auto"/>
        </w:rPr>
      </w:pPr>
    </w:p>
    <w:p>
      <w:pPr>
        <w:spacing w:after="0" w:line="286"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0760"/>
          </w:cols>
          <w:pgMar w:left="900" w:top="771" w:right="239" w:bottom="1440" w:gutter="0" w:footer="0" w:header="0"/>
        </w:sectPr>
      </w:pPr>
    </w:p>
    <w:bookmarkStart w:id="249" w:name="page250"/>
    <w:bookmarkEnd w:id="249"/>
    <w:p>
      <w:pPr>
        <w:jc w:val="both"/>
        <w:ind w:firstLine="648"/>
        <w:spacing w:after="0" w:line="256" w:lineRule="auto"/>
        <w:rPr>
          <w:sz w:val="20"/>
          <w:szCs w:val="20"/>
          <w:color w:val="auto"/>
        </w:rPr>
      </w:pPr>
      <w:r>
        <w:rPr>
          <w:rFonts w:ascii="Arial" w:cs="Arial" w:eastAsia="Arial" w:hAnsi="Arial"/>
          <w:sz w:val="19"/>
          <w:szCs w:val="19"/>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provisions of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but subject to the terms of </w:t>
      </w:r>
      <w:r>
        <w:rPr>
          <w:rFonts w:ascii="Arial" w:cs="Arial" w:eastAsia="Arial" w:hAnsi="Arial"/>
          <w:sz w:val="19"/>
          <w:szCs w:val="19"/>
          <w:u w:val="single" w:color="auto"/>
          <w:color w:val="auto"/>
        </w:rPr>
        <w:t>Sections 7.12(a)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7.13</w:t>
      </w:r>
      <w:r>
        <w:rPr>
          <w:rFonts w:ascii="Arial" w:cs="Arial" w:eastAsia="Arial" w:hAnsi="Arial"/>
          <w:sz w:val="19"/>
          <w:szCs w:val="19"/>
          <w:color w:val="auto"/>
        </w:rPr>
        <w:t xml:space="preserve">, (a) the Company may merge or consolidate with any of its Subsidiaries provided that the Company shall be the continuing or surviving entity, (b) the Parent may merge or consolidate with any of its Subsidiaries (other than the Company or any other Borrower) provided that the Parent shall be the continuing or surviving entity, (c) any Loan Party (other than the Parent, the Company or any other Borrower) may merge or consolidate with any other Loan Party or any other Person that becomes a Loan Party pursuant to </w:t>
      </w:r>
      <w:r>
        <w:rPr>
          <w:rFonts w:ascii="Arial" w:cs="Arial" w:eastAsia="Arial" w:hAnsi="Arial"/>
          <w:sz w:val="19"/>
          <w:szCs w:val="19"/>
          <w:u w:val="single" w:color="auto"/>
          <w:color w:val="auto"/>
        </w:rPr>
        <w:t>Section 7.12(a)(ii)</w:t>
      </w:r>
      <w:r>
        <w:rPr>
          <w:rFonts w:ascii="Arial" w:cs="Arial" w:eastAsia="Arial" w:hAnsi="Arial"/>
          <w:sz w:val="19"/>
          <w:szCs w:val="19"/>
          <w:color w:val="auto"/>
        </w:rPr>
        <w:t xml:space="preserve"> contemporaneously with such merger or consolidation, (c) any Foreign Subsidiary (other than a Designated Borrower) may be merged or consolidated with or into any Loan Party provided that such Loan Party shall be the continuing or surviving corporation and (d) any Foreign Subsidiary (other than a Designated Borrower) may be merged or consolidated with or into any other Foreign Subsidiary.</w:t>
      </w:r>
    </w:p>
    <w:p>
      <w:pPr>
        <w:spacing w:after="0" w:line="19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8.05</w:t>
      </w:r>
      <w:r>
        <w:rPr>
          <w:sz w:val="20"/>
          <w:szCs w:val="20"/>
          <w:color w:val="auto"/>
        </w:rPr>
        <w:tab/>
      </w:r>
      <w:r>
        <w:rPr>
          <w:rFonts w:ascii="Arial" w:cs="Arial" w:eastAsia="Arial" w:hAnsi="Arial"/>
          <w:sz w:val="18"/>
          <w:szCs w:val="18"/>
          <w:u w:val="single" w:color="auto"/>
          <w:color w:val="auto"/>
        </w:rPr>
        <w:t>Dispositions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Make any Disposition (other than the SVS Disposition and the NexTraq Disposition) unless (i) the consideration paid in connection therewith shall be cash or Cash Equivalents paid contemporaneous with consummation of the transaction and shall be in an amount not less than the fair market value of the property disposed of, (ii) if such transaction is a Sale and Leaseback Transaction, such transaction is not prohibited by the terms of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(iii) no Default has occurred and is continuing both immediately prior to and after giving effect to such Disposition, and (iv) after giving effect to such Disposition, the aggregate net book value of all of the assets sold or otherwise disposed of by the Parent and its Subsidiaries in all such transactions occurring during the term of this Agreement shall not exceed the greater of (A) $150,000,000 and (B) 10% of Consolidated Tangible Assets as set forth in the financial statements of the Parent and its Subsidiaries most recently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the assets of any Subsidiary acquired pursuant to a Permitted Acquisition may be Disposed of within one year of the date of such Permitted Acquisition if such assets are not core assets of such acquired Subsidiary or if such Disposition is reasonably required or advisable for regulatory or competitive reasons, and (y) the Specified Investments and the Specified Equity Sale shall not be prohibited by this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(without limiting the effect of any other provision of this Agreement to which the Specified Investments and the Specified Equity Sale are subject).</w:t>
      </w:r>
    </w:p>
    <w:p>
      <w:pPr>
        <w:spacing w:after="0" w:line="19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Declare or make, directly or indirectly, any Restricted Payment, or incur any obligation (contingent or otherwise) to do so, except that:</w:t>
      </w:r>
    </w:p>
    <w:p>
      <w:pPr>
        <w:spacing w:after="0" w:line="252" w:lineRule="exact"/>
        <w:rPr>
          <w:sz w:val="20"/>
          <w:szCs w:val="20"/>
          <w:color w:val="auto"/>
        </w:rPr>
      </w:pPr>
    </w:p>
    <w:p>
      <w:pPr>
        <w:ind w:left="1700" w:hanging="395"/>
        <w:spacing w:after="0"/>
        <w:tabs>
          <w:tab w:leader="none" w:pos="170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each Subsidiary may make Restricted Payments to the Company or any Guarantor;</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Foreign Subsidiaries may make Restricted Payments to Foreign Subsidiaries;</w:t>
      </w:r>
    </w:p>
    <w:p>
      <w:pPr>
        <w:spacing w:after="0" w:line="242" w:lineRule="exact"/>
        <w:rPr>
          <w:rFonts w:ascii="Arial" w:cs="Arial" w:eastAsia="Arial" w:hAnsi="Arial"/>
          <w:sz w:val="20"/>
          <w:szCs w:val="20"/>
          <w:color w:val="auto"/>
        </w:rPr>
      </w:pPr>
    </w:p>
    <w:p>
      <w:pPr>
        <w:jc w:val="both"/>
        <w:ind w:left="660" w:firstLine="645"/>
        <w:spacing w:after="0" w:line="293" w:lineRule="auto"/>
        <w:tabs>
          <w:tab w:leader="none" w:pos="174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the Parent may declare and make Restricted Payments so long as (i) on a Pro Forma Basis both before and after giving effect to such Restricted Payments and to any Indebtedness incurred in connection therewith, (x) the Consolidated Leverage Ratio shall not be greater than 3.25:1.00 and (y) the Loan Parties shall otherwise be in compliance with the financial covenants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and (ii) no Default or Event of Default shall exist or result therefrom;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420"/>
          </w:cols>
          <w:pgMar w:left="240" w:top="758" w:right="239" w:bottom="1440" w:gutter="0" w:footer="0" w:header="0"/>
        </w:sectPr>
      </w:pPr>
    </w:p>
    <w:bookmarkStart w:id="250" w:name="page251"/>
    <w:bookmarkEnd w:id="250"/>
    <w:p>
      <w:pPr>
        <w:jc w:val="both"/>
        <w:ind w:left="660" w:firstLine="645"/>
        <w:spacing w:after="0" w:line="274" w:lineRule="auto"/>
        <w:tabs>
          <w:tab w:leader="none" w:pos="173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the Parent may declare and make Restricted Payments using the Cumulative Credit then available, so long as (i) on a Pro Forma Basis both before and after giving effect to such Restricted Payments and to any Indebtedness incurred in connection therewith, the Loan Parties shall be in compliance with the financial covenants set forth in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and (ii) no Default or Event of Default shall exist or result therefrom; and</w:t>
      </w:r>
    </w:p>
    <w:p>
      <w:pPr>
        <w:spacing w:after="0" w:line="192" w:lineRule="exact"/>
        <w:rPr>
          <w:rFonts w:ascii="Arial" w:cs="Arial" w:eastAsia="Arial" w:hAnsi="Arial"/>
          <w:sz w:val="20"/>
          <w:szCs w:val="20"/>
          <w:color w:val="auto"/>
        </w:rPr>
      </w:pPr>
    </w:p>
    <w:p>
      <w:pPr>
        <w:ind w:left="660" w:firstLine="645"/>
        <w:spacing w:after="0" w:line="289" w:lineRule="auto"/>
        <w:tabs>
          <w:tab w:leader="none" w:pos="180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Parent and each Subsidiary may declare and make dividend payments or other distributions payable solely in the Equity Interests of such Person.</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8.07</w:t>
      </w:r>
      <w:r>
        <w:rPr>
          <w:sz w:val="20"/>
          <w:szCs w:val="20"/>
          <w:color w:val="auto"/>
        </w:rPr>
        <w:tab/>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Engage in any material line of business substantially different from those lines of business conducted by the Parent and its Subsidiaries on the Third Amendment Effective Date or any business that is similar, related, complementary or incidental thereto.</w:t>
      </w:r>
    </w:p>
    <w:p>
      <w:pPr>
        <w:spacing w:after="0" w:line="16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8.08</w:t>
      </w:r>
      <w:r>
        <w:rPr>
          <w:sz w:val="20"/>
          <w:szCs w:val="20"/>
          <w:color w:val="auto"/>
        </w:rPr>
        <w:tab/>
      </w:r>
      <w:r>
        <w:rPr>
          <w:rFonts w:ascii="Arial" w:cs="Arial" w:eastAsia="Arial" w:hAnsi="Arial"/>
          <w:sz w:val="18"/>
          <w:szCs w:val="18"/>
          <w:u w:val="single" w:color="auto"/>
          <w:color w:val="auto"/>
        </w:rPr>
        <w:t>Transactions with Affiliates and Insiders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20"/>
          <w:szCs w:val="20"/>
          <w:color w:val="auto"/>
        </w:rPr>
        <w:t>Enter into or permit to exist any transaction or series of transactions with any officer, director or Affiliate of such Person (not including the Parent or any of its Subsidiaries including FleetCor Funding LLC or any other Subsidiary formed as a special purpose entity in connection with a Receivables Facility) other than (a) any intercompany transactions permitted hereunder, (b) normal and reasonable compensation and reimbursement of expenses of officers and directors in the ordinary course of business and (c) except as otherwise specifically limited in this Agreement, other transactions which are entered into in the ordinary course of such Person’s business on terms and conditions substantially as favorable to such Person as would be obtainable by it in a comparable arms</w:t>
      </w:r>
      <w:r>
        <w:rPr>
          <w:rFonts w:ascii="MS PGothic" w:cs="MS PGothic" w:eastAsia="MS PGothic" w:hAnsi="MS PGothic"/>
          <w:sz w:val="20"/>
          <w:szCs w:val="20"/>
          <w:color w:val="auto"/>
        </w:rPr>
        <w:t>‑</w:t>
      </w:r>
      <w:r>
        <w:rPr>
          <w:rFonts w:ascii="Arial" w:cs="Arial" w:eastAsia="Arial" w:hAnsi="Arial"/>
          <w:sz w:val="20"/>
          <w:szCs w:val="20"/>
          <w:color w:val="auto"/>
        </w:rPr>
        <w:t>length transaction with a Person other than an officer, director or Affiliate.</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8.09</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43" w:lineRule="exact"/>
        <w:rPr>
          <w:sz w:val="20"/>
          <w:szCs w:val="20"/>
          <w:color w:val="auto"/>
        </w:rPr>
      </w:pPr>
    </w:p>
    <w:p>
      <w:pPr>
        <w:ind w:left="1740" w:hanging="435"/>
        <w:spacing w:after="0"/>
        <w:tabs>
          <w:tab w:leader="none" w:pos="17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Enter into, or permit to exist, any Contractual Obligation that encumbers or restricts on the ability of any such Person to</w:t>
      </w:r>
    </w:p>
    <w:p>
      <w:pPr>
        <w:spacing w:after="0" w:line="49" w:lineRule="exact"/>
        <w:rPr>
          <w:rFonts w:ascii="Arial" w:cs="Arial" w:eastAsia="Arial" w:hAnsi="Arial"/>
          <w:sz w:val="18"/>
          <w:szCs w:val="18"/>
          <w:color w:val="auto"/>
        </w:rPr>
      </w:pPr>
    </w:p>
    <w:p>
      <w:pPr>
        <w:jc w:val="both"/>
        <w:ind w:left="660" w:hanging="4"/>
        <w:spacing w:after="0" w:line="293" w:lineRule="auto"/>
        <w:tabs>
          <w:tab w:leader="none" w:pos="922" w:val="left"/>
        </w:tabs>
        <w:numPr>
          <w:ilvl w:val="0"/>
          <w:numId w:val="212"/>
        </w:numPr>
        <w:rPr>
          <w:rFonts w:ascii="Arial" w:cs="Arial" w:eastAsia="Arial" w:hAnsi="Arial"/>
          <w:sz w:val="19"/>
          <w:szCs w:val="19"/>
          <w:color w:val="auto"/>
        </w:rPr>
      </w:pPr>
      <w:r>
        <w:rPr>
          <w:rFonts w:ascii="Arial" w:cs="Arial" w:eastAsia="Arial" w:hAnsi="Arial"/>
          <w:sz w:val="19"/>
          <w:szCs w:val="19"/>
          <w:color w:val="auto"/>
        </w:rPr>
        <w:t>pay dividends or make any other distributions to any Loan Party on its Equity Interests or with respect to any other interest or participation in, or measured by, its profits, (ii) pay any Indebtedness or other obligation owed to any Loan Party or (iii) act as a Loan Party pursuant to the Loan Documents or any renewals, refinancings, exchanges, refundings or extension thereof, except (in respect of any of the matters referred to in clauses (i) or (ii) above) for this Agreement and the other Loan Documents.</w:t>
      </w:r>
    </w:p>
    <w:p>
      <w:pPr>
        <w:spacing w:after="0" w:line="175" w:lineRule="exact"/>
        <w:rPr>
          <w:rFonts w:ascii="Arial" w:cs="Arial" w:eastAsia="Arial" w:hAnsi="Arial"/>
          <w:sz w:val="19"/>
          <w:szCs w:val="19"/>
          <w:color w:val="auto"/>
        </w:rPr>
      </w:pPr>
    </w:p>
    <w:p>
      <w:pPr>
        <w:jc w:val="both"/>
        <w:ind w:left="660" w:firstLine="645"/>
        <w:spacing w:after="0" w:line="286" w:lineRule="auto"/>
        <w:tabs>
          <w:tab w:leader="none" w:pos="1773" w:val="left"/>
        </w:tabs>
        <w:numPr>
          <w:ilvl w:val="1"/>
          <w:numId w:val="212"/>
        </w:numPr>
        <w:rPr>
          <w:rFonts w:ascii="Arial" w:cs="Arial" w:eastAsia="Arial" w:hAnsi="Arial"/>
          <w:sz w:val="19"/>
          <w:szCs w:val="19"/>
          <w:color w:val="auto"/>
        </w:rPr>
      </w:pPr>
      <w:r>
        <w:rPr>
          <w:rFonts w:ascii="Arial" w:cs="Arial" w:eastAsia="Arial" w:hAnsi="Arial"/>
          <w:sz w:val="19"/>
          <w:szCs w:val="19"/>
          <w:color w:val="auto"/>
        </w:rPr>
        <w:t xml:space="preserve">Enter into, or permit to exist, any Contractual Obligation that prohibits or otherwise restricts the existence of any Lien upon any of its property in favor of the Administrative Agent (for the benefit of the holders of the Obligations) for the purpose of securing the Obligations, whether now owned or hereafter acquired, or requiring the grant of any security for any obligation if such property is given as security for the Obligations, except (i) any document or instrument governing Indebtedness incurred pursuant to </w:t>
      </w:r>
      <w:r>
        <w:rPr>
          <w:rFonts w:ascii="Arial" w:cs="Arial" w:eastAsia="Arial" w:hAnsi="Arial"/>
          <w:sz w:val="19"/>
          <w:szCs w:val="19"/>
          <w:u w:val="single" w:color="auto"/>
          <w:color w:val="auto"/>
        </w:rPr>
        <w:t>Section 8.03(e)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restriction contained therein relates only to the asset or assets constructed or acquired in connection therewith, (ii) in connection with any Permitted Lien or any document or instrument governing any Permitted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restriction contained therein relates only to the asset or assets subject to such Permitted Lien, (iii) pursuant to customary restrictions and conditions contained in any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420"/>
          </w:cols>
          <w:pgMar w:left="240" w:top="771" w:right="239" w:bottom="1440" w:gutter="0" w:footer="0" w:header="0"/>
        </w:sectPr>
      </w:pPr>
    </w:p>
    <w:bookmarkStart w:id="251" w:name="page252"/>
    <w:bookmarkEnd w:id="251"/>
    <w:p>
      <w:pPr>
        <w:jc w:val="both"/>
        <w:ind w:left="660"/>
        <w:spacing w:after="0" w:line="288" w:lineRule="auto"/>
        <w:rPr>
          <w:sz w:val="20"/>
          <w:szCs w:val="20"/>
          <w:color w:val="auto"/>
        </w:rPr>
      </w:pPr>
      <w:r>
        <w:rPr>
          <w:rFonts w:ascii="Arial" w:cs="Arial" w:eastAsia="Arial" w:hAnsi="Arial"/>
          <w:sz w:val="19"/>
          <w:szCs w:val="19"/>
          <w:color w:val="auto"/>
        </w:rPr>
        <w:t xml:space="preserve">relating to the sale of any property permitted under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pending the consummation of such sale, (iv) any document or instrument governing any Receivables Facility permitted under </w:t>
      </w:r>
      <w:r>
        <w:rPr>
          <w:rFonts w:ascii="Arial" w:cs="Arial" w:eastAsia="Arial" w:hAnsi="Arial"/>
          <w:sz w:val="19"/>
          <w:szCs w:val="19"/>
          <w:u w:val="single" w:color="auto"/>
          <w:color w:val="auto"/>
        </w:rPr>
        <w:t>Section 8.03(f)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restriction relates only to the applicable accounts receivable and related assets actually sold, conveyed, pledged, encumbered or otherwise contributed pursuant to such Receivables Facility, and (v) applicable Laws that require a holder of a “money transmitter” (or similar) license under state Law to own a specified amount of deposit accounts, securities accounts, securities, cash, Cash Equivalents and/or other similar investments permitted under money transmitter laws free of Liens and other similar restrictions.</w:t>
      </w:r>
    </w:p>
    <w:p>
      <w:pPr>
        <w:spacing w:after="0" w:line="18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No Borrower will request any Credit Extension, and no Borrower shall use, and each Borrower shall procure that its Subsidiaries and its or their respective directors, officers, employees and agents shall not use, the proceeds of any Credit Extension (A) in furtherance of an offer, payment, promise to pay, or authorization of the payment or giving of money, or anything else of value, to any Person in violation of any Laws related to bribery or corruption, (B) for the purpose of funding, financing or facilitating any activities, business or transaction of or with any Person that is the subject of Sanctions, or in any Designated Jurisdiction, or (C) in any manner that would result in the violation of any Sanctions by any Person (including any Person participating in the credit facility hereunder, whether as Administrative Agent, Lender, L/C Issuer, Swing Line Lender or otherwise).</w:t>
      </w:r>
    </w:p>
    <w:p>
      <w:pPr>
        <w:spacing w:after="0" w:line="18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303" w:lineRule="auto"/>
        <w:tabs>
          <w:tab w:leader="none" w:pos="173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xml:space="preserve">. Permit the Consolidated Leverage Ratio as of the end of any fiscal quarter of the Parent to be greater than 4.00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Material Acquisition, at the Company’s election by written notice to the Administrative Agent prior to the consummation of such Material Acquisition, the foregoing ratio shall be increased to 4.25 to 1.00 for the fiscal quarter of the Parent in which such Material Acquisition is consummated and for each of the next three (3) consecutive fiscal quarters of the Parent ending thereafter (such period of increase, a “</w:t>
      </w:r>
      <w:r>
        <w:rPr>
          <w:rFonts w:ascii="Arial" w:cs="Arial" w:eastAsia="Arial" w:hAnsi="Arial"/>
          <w:sz w:val="18"/>
          <w:szCs w:val="18"/>
          <w:u w:val="single" w:color="auto"/>
          <w:color w:val="auto"/>
        </w:rPr>
        <w:t>Leverage Increase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for at least one (1) fiscal quarter of the Parent ending immediately following each Leverage Increase Period, the Consolidated Leverage Ratio as of the end of such fiscal quarter of the Parent shall not be greater than 4.00 to 1.00 prior to giving effect to another Leverage Increase Period, and (ii) immediately after the end of a Leverage Increase Period, the maximum Consolidated Leverage Ratio permitted under this </w:t>
      </w:r>
      <w:r>
        <w:rPr>
          <w:rFonts w:ascii="Arial" w:cs="Arial" w:eastAsia="Arial" w:hAnsi="Arial"/>
          <w:sz w:val="18"/>
          <w:szCs w:val="18"/>
          <w:u w:val="single" w:color="auto"/>
          <w:color w:val="auto"/>
        </w:rPr>
        <w:t>Section 8.11(a)</w:t>
      </w:r>
      <w:r>
        <w:rPr>
          <w:rFonts w:ascii="Arial" w:cs="Arial" w:eastAsia="Arial" w:hAnsi="Arial"/>
          <w:sz w:val="18"/>
          <w:szCs w:val="18"/>
          <w:color w:val="auto"/>
        </w:rPr>
        <w:t xml:space="preserve"> as of the end of any fiscal quarter of the Parent shall automatically revert to 4.00 to 1.00.</w:t>
      </w:r>
    </w:p>
    <w:p>
      <w:pPr>
        <w:spacing w:after="0" w:line="173" w:lineRule="exact"/>
        <w:rPr>
          <w:rFonts w:ascii="Arial" w:cs="Arial" w:eastAsia="Arial" w:hAnsi="Arial"/>
          <w:sz w:val="18"/>
          <w:szCs w:val="18"/>
          <w:color w:val="auto"/>
        </w:rPr>
      </w:pPr>
    </w:p>
    <w:p>
      <w:pPr>
        <w:ind w:left="660" w:firstLine="645"/>
        <w:spacing w:after="0" w:line="289" w:lineRule="auto"/>
        <w:tabs>
          <w:tab w:leader="none" w:pos="1732"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Permit the Consolidated Interest Coverage Ratio as of the end of any fiscal quarter of the Parent to be less than 4.00 to 1.0.</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6"/>
          <w:szCs w:val="16"/>
          <w:u w:val="single" w:color="auto"/>
          <w:color w:val="auto"/>
        </w:rPr>
        <w:t>Prepayment of Other Indebtedness, Etc.</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Make (or give any notice with respect thereto) any voluntary or optional payment or prepayment or redemption or acquisition for value of (including without limitation, by way of depositing money or securities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420"/>
          </w:cols>
          <w:pgMar w:left="240" w:top="771" w:right="239" w:bottom="1440" w:gutter="0" w:footer="0" w:header="0"/>
        </w:sectPr>
      </w:pPr>
    </w:p>
    <w:bookmarkStart w:id="252" w:name="page253"/>
    <w:bookmarkEnd w:id="252"/>
    <w:p>
      <w:pPr>
        <w:jc w:val="both"/>
        <w:spacing w:after="0" w:line="246" w:lineRule="auto"/>
        <w:rPr>
          <w:sz w:val="20"/>
          <w:szCs w:val="20"/>
          <w:color w:val="auto"/>
        </w:rPr>
      </w:pPr>
      <w:r>
        <w:rPr>
          <w:rFonts w:ascii="Arial" w:cs="Arial" w:eastAsia="Arial" w:hAnsi="Arial"/>
          <w:sz w:val="20"/>
          <w:szCs w:val="20"/>
          <w:color w:val="auto"/>
        </w:rPr>
        <w:t>with the trustee with respect thereto before due for the purpose of paying when due), refund, refinance or exchange of any Indebtedness of any Loan Party or any Subsidiary (other than Indebtedness arising under the Loan Documents) unless at the time of such payment, (i) the Consolidated Leverage Ratio as of the end of the immediately preceding fiscal year for which the relevant financial information is available was less than 3.25 to 1.00 and (ii) no Default or Event of Default shall exist.</w:t>
      </w:r>
    </w:p>
    <w:p>
      <w:pPr>
        <w:spacing w:after="0" w:line="2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8"/>
          <w:szCs w:val="18"/>
          <w:u w:val="single" w:color="auto"/>
          <w:color w:val="auto"/>
        </w:rPr>
        <w:t>Organization Documents; Fiscal Year; Legal Name, State of Formation and Form of Entity</w:t>
      </w:r>
      <w:r>
        <w:rPr>
          <w:rFonts w:ascii="Arial" w:cs="Arial" w:eastAsia="Arial" w:hAnsi="Arial"/>
          <w:sz w:val="18"/>
          <w:szCs w:val="18"/>
          <w:color w:val="auto"/>
        </w:rPr>
        <w:t>.</w:t>
      </w:r>
    </w:p>
    <w:p>
      <w:pPr>
        <w:spacing w:after="0" w:line="243" w:lineRule="exact"/>
        <w:rPr>
          <w:sz w:val="20"/>
          <w:szCs w:val="20"/>
          <w:color w:val="auto"/>
        </w:rPr>
      </w:pPr>
    </w:p>
    <w:p>
      <w:pPr>
        <w:ind w:left="1700" w:hanging="395"/>
        <w:spacing w:after="0"/>
        <w:tabs>
          <w:tab w:leader="none" w:pos="170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Amend, modify or change its Organization Documents in a manner adverse to the Lenders.</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Change its fiscal year.</w:t>
      </w:r>
    </w:p>
    <w:p>
      <w:pPr>
        <w:spacing w:after="0" w:line="242" w:lineRule="exact"/>
        <w:rPr>
          <w:rFonts w:ascii="Arial" w:cs="Arial" w:eastAsia="Arial" w:hAnsi="Arial"/>
          <w:sz w:val="20"/>
          <w:szCs w:val="20"/>
          <w:color w:val="auto"/>
        </w:rPr>
      </w:pPr>
    </w:p>
    <w:p>
      <w:pPr>
        <w:ind w:left="660" w:firstLine="645"/>
        <w:spacing w:after="0" w:line="289" w:lineRule="auto"/>
        <w:tabs>
          <w:tab w:leader="none" w:pos="1749" w:val="left"/>
        </w:tabs>
        <w:numPr>
          <w:ilvl w:val="0"/>
          <w:numId w:val="214"/>
        </w:numPr>
        <w:rPr>
          <w:rFonts w:ascii="Arial" w:cs="Arial" w:eastAsia="Arial" w:hAnsi="Arial"/>
          <w:sz w:val="20"/>
          <w:szCs w:val="20"/>
          <w:color w:val="auto"/>
        </w:rPr>
      </w:pPr>
      <w:r>
        <w:rPr>
          <w:rFonts w:ascii="Arial" w:cs="Arial" w:eastAsia="Arial" w:hAnsi="Arial"/>
          <w:sz w:val="20"/>
          <w:szCs w:val="20"/>
          <w:color w:val="auto"/>
        </w:rPr>
        <w:t>Without providing ten (10) days prior written notice to the Administrative Agent, change its name, state of formation or form of organization.</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6"/>
          <w:szCs w:val="16"/>
          <w:u w:val="single" w:color="auto"/>
          <w:color w:val="auto"/>
        </w:rPr>
        <w:t>Sale Leasebacks</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Enter into Sale and Leaseback Transactions other than Sale and Leaseback Transactions that do not exceed $20,000,000 in the aggregate during the term of this 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IX.</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 AND REMEDIES</w:t>
      </w:r>
    </w:p>
    <w:p>
      <w:pPr>
        <w:spacing w:after="0" w:line="24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of the following shall constitute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229" w:lineRule="exact"/>
        <w:rPr>
          <w:sz w:val="20"/>
          <w:szCs w:val="20"/>
          <w:color w:val="auto"/>
        </w:rPr>
      </w:pPr>
    </w:p>
    <w:p>
      <w:pPr>
        <w:jc w:val="both"/>
        <w:ind w:left="660" w:firstLine="645"/>
        <w:spacing w:after="0" w:line="255" w:lineRule="exact"/>
        <w:tabs>
          <w:tab w:leader="none" w:pos="1749"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Payment</w:t>
      </w:r>
      <w:r>
        <w:rPr>
          <w:rFonts w:ascii="Arial" w:cs="Arial" w:eastAsia="Arial" w:hAnsi="Arial"/>
          <w:sz w:val="19"/>
          <w:szCs w:val="19"/>
          <w:color w:val="auto"/>
        </w:rPr>
        <w:t>. The Company or any other Loan Party fails to pay (i) when and as required to be paid herein, and in the currency required herein, any amount of principal of 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222" w:lineRule="exact"/>
        <w:rPr>
          <w:rFonts w:ascii="Arial" w:cs="Arial" w:eastAsia="Arial" w:hAnsi="Arial"/>
          <w:sz w:val="19"/>
          <w:szCs w:val="19"/>
          <w:color w:val="auto"/>
        </w:rPr>
      </w:pPr>
    </w:p>
    <w:p>
      <w:pPr>
        <w:ind w:left="1720" w:hanging="415"/>
        <w:spacing w:after="0"/>
        <w:tabs>
          <w:tab w:leader="none" w:pos="172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300" w:right="20" w:firstLine="653"/>
        <w:spacing w:after="0" w:line="289" w:lineRule="auto"/>
        <w:tabs>
          <w:tab w:leader="none" w:pos="2328" w:val="left"/>
        </w:tabs>
        <w:numPr>
          <w:ilvl w:val="1"/>
          <w:numId w:val="215"/>
        </w:numPr>
        <w:rPr>
          <w:rFonts w:ascii="Arial" w:cs="Arial" w:eastAsia="Arial" w:hAnsi="Arial"/>
          <w:sz w:val="20"/>
          <w:szCs w:val="20"/>
          <w:color w:val="auto"/>
        </w:rPr>
      </w:pPr>
      <w:r>
        <w:rPr>
          <w:rFonts w:ascii="Arial" w:cs="Arial" w:eastAsia="Arial" w:hAnsi="Arial"/>
          <w:sz w:val="20"/>
          <w:szCs w:val="20"/>
          <w:color w:val="auto"/>
        </w:rPr>
        <w:t xml:space="preserve">Any Loan Party fails to perform or observe any term, covenant or agreement contained in any of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7.05(a)</w:t>
      </w:r>
      <w:r>
        <w:rPr>
          <w:rFonts w:ascii="Arial" w:cs="Arial" w:eastAsia="Arial" w:hAnsi="Arial"/>
          <w:sz w:val="20"/>
          <w:szCs w:val="20"/>
          <w:color w:val="auto"/>
        </w:rPr>
        <w:t xml:space="preserve">, </w:t>
      </w:r>
      <w:r>
        <w:rPr>
          <w:rFonts w:ascii="Arial" w:cs="Arial" w:eastAsia="Arial" w:hAnsi="Arial"/>
          <w:sz w:val="20"/>
          <w:szCs w:val="20"/>
          <w:u w:val="single" w:color="auto"/>
          <w:color w:val="auto"/>
        </w:rPr>
        <w:t>7.11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VIII</w:t>
      </w:r>
      <w:r>
        <w:rPr>
          <w:rFonts w:ascii="Arial" w:cs="Arial" w:eastAsia="Arial" w:hAnsi="Arial"/>
          <w:sz w:val="20"/>
          <w:szCs w:val="20"/>
          <w:color w:val="auto"/>
        </w:rPr>
        <w:t>; or</w:t>
      </w:r>
    </w:p>
    <w:p>
      <w:pPr>
        <w:spacing w:after="0" w:line="175" w:lineRule="exact"/>
        <w:rPr>
          <w:rFonts w:ascii="Arial" w:cs="Arial" w:eastAsia="Arial" w:hAnsi="Arial"/>
          <w:sz w:val="20"/>
          <w:szCs w:val="20"/>
          <w:color w:val="auto"/>
        </w:rPr>
      </w:pPr>
    </w:p>
    <w:p>
      <w:pPr>
        <w:ind w:left="1300" w:firstLine="653"/>
        <w:spacing w:after="0" w:line="289" w:lineRule="auto"/>
        <w:tabs>
          <w:tab w:leader="none" w:pos="2424" w:val="left"/>
        </w:tabs>
        <w:numPr>
          <w:ilvl w:val="1"/>
          <w:numId w:val="215"/>
        </w:numPr>
        <w:rPr>
          <w:rFonts w:ascii="Arial" w:cs="Arial" w:eastAsia="Arial" w:hAnsi="Arial"/>
          <w:sz w:val="20"/>
          <w:szCs w:val="20"/>
          <w:color w:val="auto"/>
        </w:rPr>
      </w:pPr>
      <w:r>
        <w:rPr>
          <w:rFonts w:ascii="Arial" w:cs="Arial" w:eastAsia="Arial" w:hAnsi="Arial"/>
          <w:sz w:val="20"/>
          <w:szCs w:val="20"/>
          <w:color w:val="auto"/>
        </w:rPr>
        <w:t xml:space="preserve">Any Loan Party fails to perform or observe any term, covenant or agreement contained in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7.02</w:t>
      </w:r>
      <w:r>
        <w:rPr>
          <w:rFonts w:ascii="Arial" w:cs="Arial" w:eastAsia="Arial" w:hAnsi="Arial"/>
          <w:sz w:val="20"/>
          <w:szCs w:val="20"/>
          <w:color w:val="auto"/>
        </w:rPr>
        <w:t xml:space="preserve"> and such failure continues for five Business Days; or</w:t>
      </w:r>
    </w:p>
    <w:p>
      <w:pPr>
        <w:spacing w:after="0" w:line="175" w:lineRule="exact"/>
        <w:rPr>
          <w:rFonts w:ascii="Arial" w:cs="Arial" w:eastAsia="Arial" w:hAnsi="Arial"/>
          <w:sz w:val="20"/>
          <w:szCs w:val="20"/>
          <w:color w:val="auto"/>
        </w:rPr>
      </w:pPr>
    </w:p>
    <w:p>
      <w:pPr>
        <w:jc w:val="both"/>
        <w:ind w:left="660" w:firstLine="645"/>
        <w:spacing w:after="0" w:line="278" w:lineRule="auto"/>
        <w:tabs>
          <w:tab w:leader="none" w:pos="1897"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Any Loan Party fails to perform or observe any other covenant or agreement (not specified in subsection (a) or (b) above) contained in any Loan Document on its part to be performed or observed and such failure continues for thirty days after the earlier of (i) the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1420"/>
          </w:cols>
          <w:pgMar w:left="240" w:top="758" w:right="239" w:bottom="1440" w:gutter="0" w:footer="0" w:header="0"/>
        </w:sectPr>
      </w:pPr>
    </w:p>
    <w:bookmarkStart w:id="253" w:name="page254"/>
    <w:bookmarkEnd w:id="253"/>
    <w:p>
      <w:pPr>
        <w:ind w:right="20"/>
        <w:spacing w:after="0" w:line="289" w:lineRule="auto"/>
        <w:rPr>
          <w:sz w:val="20"/>
          <w:szCs w:val="20"/>
          <w:color w:val="auto"/>
        </w:rPr>
      </w:pPr>
      <w:r>
        <w:rPr>
          <w:rFonts w:ascii="Arial" w:cs="Arial" w:eastAsia="Arial" w:hAnsi="Arial"/>
          <w:sz w:val="20"/>
          <w:szCs w:val="20"/>
          <w:color w:val="auto"/>
        </w:rPr>
        <w:t>on which such failure first becomes known to a Responsible Officer of any Loan Party or (ii) written notice thereof is given to the Company by the Administrative Agent; or</w:t>
      </w:r>
    </w:p>
    <w:p>
      <w:pPr>
        <w:spacing w:after="0" w:line="175" w:lineRule="exact"/>
        <w:rPr>
          <w:sz w:val="20"/>
          <w:szCs w:val="20"/>
          <w:color w:val="auto"/>
        </w:rPr>
      </w:pPr>
    </w:p>
    <w:p>
      <w:pPr>
        <w:jc w:val="both"/>
        <w:ind w:firstLine="645"/>
        <w:spacing w:after="0" w:line="363" w:lineRule="auto"/>
        <w:tabs>
          <w:tab w:leader="none" w:pos="1072"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(or, to the extent such representation or warranty is qualified by materiality or Material Adverse Effect, shall be incorrect or misleading in any respect), when made or deemed made; or</w:t>
      </w:r>
    </w:p>
    <w:p>
      <w:pPr>
        <w:spacing w:after="0" w:line="129" w:lineRule="exact"/>
        <w:rPr>
          <w:rFonts w:ascii="Arial" w:cs="Arial" w:eastAsia="Arial" w:hAnsi="Arial"/>
          <w:sz w:val="16"/>
          <w:szCs w:val="16"/>
          <w:color w:val="auto"/>
        </w:rPr>
      </w:pPr>
    </w:p>
    <w:p>
      <w:pPr>
        <w:jc w:val="both"/>
        <w:ind w:firstLine="645"/>
        <w:spacing w:after="0" w:line="256" w:lineRule="exact"/>
        <w:tabs>
          <w:tab w:leader="none" w:pos="1116"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Cross</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(i) Any Loan Party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Parent or any Subsidiary is the Defaulting Party (as defined in such Swap Contract) or (B) any Termination Event (as so defined) under such Swap Contract as to which the Parent or any Subsidiary is an Affected Party (as so defined) and, in either event, the Swap Termination Value owed by the Parent or such Subsidiary as a result thereof is greater than the Threshold Amount; or</w:t>
      </w:r>
    </w:p>
    <w:p>
      <w:pPr>
        <w:spacing w:after="0" w:line="228" w:lineRule="exact"/>
        <w:rPr>
          <w:rFonts w:ascii="Arial" w:cs="Arial" w:eastAsia="Arial" w:hAnsi="Arial"/>
          <w:sz w:val="19"/>
          <w:szCs w:val="19"/>
          <w:color w:val="auto"/>
        </w:rPr>
      </w:pPr>
    </w:p>
    <w:p>
      <w:pPr>
        <w:jc w:val="both"/>
        <w:ind w:firstLine="645"/>
        <w:spacing w:after="0" w:line="286" w:lineRule="auto"/>
        <w:tabs>
          <w:tab w:leader="none" w:pos="1040"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xml:space="preserve"> Any Loan Party or any of its Subsidiaries (other than an Immaterial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185" w:lineRule="exact"/>
        <w:rPr>
          <w:rFonts w:ascii="Arial" w:cs="Arial" w:eastAsia="Arial" w:hAnsi="Arial"/>
          <w:sz w:val="19"/>
          <w:szCs w:val="19"/>
          <w:color w:val="auto"/>
        </w:rPr>
      </w:pPr>
    </w:p>
    <w:p>
      <w:pPr>
        <w:jc w:val="both"/>
        <w:ind w:firstLine="645"/>
        <w:spacing w:after="0" w:line="278" w:lineRule="auto"/>
        <w:tabs>
          <w:tab w:leader="none" w:pos="1113"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of its Subsidiaries (other than an Immaterial Subsidiary) becomes unable or admits in writing its inability or fails generally to pay its debts as they become due, or (ii) any writ or warrant of attachment or execution</w:t>
      </w:r>
    </w:p>
    <w:p>
      <w:pPr>
        <w:spacing w:after="0" w:line="200" w:lineRule="exact"/>
        <w:rPr>
          <w:sz w:val="20"/>
          <w:szCs w:val="20"/>
          <w:color w:val="auto"/>
        </w:rPr>
      </w:pPr>
    </w:p>
    <w:p>
      <w:pPr>
        <w:spacing w:after="0" w:line="230"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0760"/>
          </w:cols>
          <w:pgMar w:left="900" w:top="771" w:right="239" w:bottom="1440" w:gutter="0" w:footer="0" w:header="0"/>
        </w:sectPr>
      </w:pPr>
    </w:p>
    <w:bookmarkStart w:id="254" w:name="page255"/>
    <w:bookmarkEnd w:id="254"/>
    <w:p>
      <w:pPr>
        <w:ind w:left="660"/>
        <w:spacing w:after="0" w:line="289" w:lineRule="auto"/>
        <w:rPr>
          <w:sz w:val="20"/>
          <w:szCs w:val="20"/>
          <w:color w:val="auto"/>
        </w:rPr>
      </w:pPr>
      <w:r>
        <w:rPr>
          <w:rFonts w:ascii="Arial" w:cs="Arial" w:eastAsia="Arial" w:hAnsi="Arial"/>
          <w:sz w:val="20"/>
          <w:szCs w:val="20"/>
          <w:color w:val="auto"/>
        </w:rPr>
        <w:t>or similar process is issued or levied against all or any material part of the property of any such Person and is not released, vacated or fully bonded within sixty days after its issue or levy; or</w:t>
      </w:r>
    </w:p>
    <w:p>
      <w:pPr>
        <w:spacing w:after="0" w:line="175" w:lineRule="exact"/>
        <w:rPr>
          <w:sz w:val="20"/>
          <w:szCs w:val="20"/>
          <w:color w:val="auto"/>
        </w:rPr>
      </w:pPr>
    </w:p>
    <w:p>
      <w:pPr>
        <w:jc w:val="both"/>
        <w:ind w:left="660" w:firstLine="645"/>
        <w:spacing w:after="0" w:line="256" w:lineRule="exact"/>
        <w:tabs>
          <w:tab w:leader="none" w:pos="176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(i) one or more final judgments or orders for the payment of money in an aggregate amount exceeding the Threshold Amount (to the extent not covered by independent third</w:t>
      </w:r>
      <w:r>
        <w:rPr>
          <w:rFonts w:ascii="MS PGothic" w:cs="MS PGothic" w:eastAsia="MS PGothic" w:hAnsi="MS PGothic"/>
          <w:sz w:val="18"/>
          <w:szCs w:val="18"/>
          <w:color w:val="auto"/>
        </w:rPr>
        <w:t>‑</w:t>
      </w:r>
      <w:r>
        <w:rPr>
          <w:rFonts w:ascii="Arial" w:cs="Arial" w:eastAsia="Arial" w:hAnsi="Arial"/>
          <w:sz w:val="18"/>
          <w:szCs w:val="18"/>
          <w:color w:val="auto"/>
        </w:rPr>
        <w:t>party insurance as to which the insurer does not dispute coverage), or (ii) any one or more non</w:t>
      </w:r>
      <w:r>
        <w:rPr>
          <w:rFonts w:ascii="MS PGothic" w:cs="MS PGothic" w:eastAsia="MS PGothic" w:hAnsi="MS PGothic"/>
          <w:sz w:val="18"/>
          <w:szCs w:val="18"/>
          <w:color w:val="auto"/>
        </w:rPr>
        <w:t>‑</w:t>
      </w:r>
      <w:r>
        <w:rPr>
          <w:rFonts w:ascii="Arial" w:cs="Arial" w:eastAsia="Arial" w:hAnsi="Arial"/>
          <w:sz w:val="18"/>
          <w:szCs w:val="18"/>
          <w:color w:val="auto"/>
        </w:rPr>
        <w:t>monetary final judgments that have, or could reasonably be expected to have, individually or in the aggregate, a Material Adverse Effect and, in either case, (A) enforcement proceedings are commenced by any creditor upon such judgment or order, or (B) there is a period of thirty consecutive days during which a stay of enforcement of such judgment, by reason of a pending appeal or otherwise, is not in effect; or</w:t>
      </w:r>
    </w:p>
    <w:p>
      <w:pPr>
        <w:spacing w:after="0" w:line="223" w:lineRule="exact"/>
        <w:rPr>
          <w:rFonts w:ascii="Arial" w:cs="Arial" w:eastAsia="Arial" w:hAnsi="Arial"/>
          <w:sz w:val="18"/>
          <w:szCs w:val="18"/>
          <w:color w:val="auto"/>
        </w:rPr>
      </w:pPr>
    </w:p>
    <w:p>
      <w:pPr>
        <w:jc w:val="both"/>
        <w:ind w:left="660" w:firstLine="645"/>
        <w:spacing w:after="0" w:line="290" w:lineRule="auto"/>
        <w:tabs>
          <w:tab w:leader="none" w:pos="1743"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79" w:lineRule="exact"/>
        <w:rPr>
          <w:rFonts w:ascii="Arial" w:cs="Arial" w:eastAsia="Arial" w:hAnsi="Arial"/>
          <w:sz w:val="19"/>
          <w:szCs w:val="19"/>
          <w:color w:val="auto"/>
        </w:rPr>
      </w:pPr>
    </w:p>
    <w:p>
      <w:pPr>
        <w:jc w:val="both"/>
        <w:ind w:left="660" w:firstLine="645"/>
        <w:spacing w:after="0" w:line="273" w:lineRule="auto"/>
        <w:tabs>
          <w:tab w:leader="none" w:pos="1689"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29"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18"/>
          <w:szCs w:val="18"/>
          <w:color w:val="auto"/>
        </w:rPr>
        <w:t xml:space="preserve">Notwithstanding the foregoing, the failure to comply with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not constitute an Event of Default with respect to the Term B</w:t>
      </w:r>
      <w:r>
        <w:rPr>
          <w:rFonts w:ascii="MS PGothic" w:cs="MS PGothic" w:eastAsia="MS PGothic" w:hAnsi="MS PGothic"/>
          <w:sz w:val="18"/>
          <w:szCs w:val="18"/>
          <w:color w:val="auto"/>
        </w:rPr>
        <w:t>‑</w:t>
      </w:r>
      <w:r>
        <w:rPr>
          <w:rFonts w:ascii="Arial" w:cs="Arial" w:eastAsia="Arial" w:hAnsi="Arial"/>
          <w:sz w:val="18"/>
          <w:szCs w:val="18"/>
          <w:color w:val="auto"/>
        </w:rPr>
        <w:t xml:space="preserve">3 Loan unless and until such time as the Administrative Agent or the Required Pro Rata Facilities Lenders first exercise any remedy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 respect of such failure to comply with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(and until such time the failure to comply with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shall only constitute an Event of Default with respect to the Aggregate Revolving Commitments, the Term A Loan and any Incremental Term A Loans).</w:t>
      </w:r>
    </w:p>
    <w:p>
      <w:pPr>
        <w:spacing w:after="0" w:line="21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If any Event of Default occurs and is continuing, the Administrative Agent shall, at the request of, or may, with the consent of, the Required Lenders (or, in the case of any Event of Default arising from a breach of </w:t>
      </w:r>
      <w:r>
        <w:rPr>
          <w:rFonts w:ascii="Arial" w:cs="Arial" w:eastAsia="Arial" w:hAnsi="Arial"/>
          <w:sz w:val="19"/>
          <w:szCs w:val="19"/>
          <w:u w:val="single" w:color="auto"/>
          <w:color w:val="auto"/>
        </w:rPr>
        <w:t>Section 8.11</w:t>
      </w:r>
      <w:r>
        <w:rPr>
          <w:rFonts w:ascii="Arial" w:cs="Arial" w:eastAsia="Arial" w:hAnsi="Arial"/>
          <w:sz w:val="19"/>
          <w:szCs w:val="19"/>
          <w:color w:val="auto"/>
        </w:rPr>
        <w:t>, shall, at the request of, or may, with the consent of, the Required Pro Rata Facilities Lenders and only with respect to the Aggregate Revolving Commitments, the Term A Loan and any Incremental Term A Loans and the Obligations in respect thereof), take any or all of the following actions:</w:t>
      </w:r>
    </w:p>
    <w:p>
      <w:pPr>
        <w:spacing w:after="0" w:line="190" w:lineRule="exact"/>
        <w:rPr>
          <w:sz w:val="20"/>
          <w:szCs w:val="20"/>
          <w:color w:val="auto"/>
        </w:rPr>
      </w:pPr>
    </w:p>
    <w:p>
      <w:pPr>
        <w:ind w:left="660" w:firstLine="645"/>
        <w:spacing w:after="0" w:line="289" w:lineRule="auto"/>
        <w:tabs>
          <w:tab w:leader="none" w:pos="1857" w:val="left"/>
        </w:tabs>
        <w:numPr>
          <w:ilvl w:val="0"/>
          <w:numId w:val="218"/>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420"/>
          </w:cols>
          <w:pgMar w:left="240" w:top="771" w:right="239" w:bottom="1440" w:gutter="0" w:footer="0" w:header="0"/>
        </w:sectPr>
      </w:pPr>
    </w:p>
    <w:bookmarkStart w:id="255" w:name="page256"/>
    <w:bookmarkEnd w:id="255"/>
    <w:p>
      <w:pPr>
        <w:jc w:val="both"/>
        <w:ind w:left="660" w:firstLine="645"/>
        <w:spacing w:after="0" w:line="299" w:lineRule="auto"/>
        <w:tabs>
          <w:tab w:leader="none" w:pos="1841" w:val="left"/>
        </w:tabs>
        <w:numPr>
          <w:ilvl w:val="0"/>
          <w:numId w:val="219"/>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69" w:lineRule="exact"/>
        <w:rPr>
          <w:rFonts w:ascii="Arial" w:cs="Arial" w:eastAsia="Arial" w:hAnsi="Arial"/>
          <w:sz w:val="19"/>
          <w:szCs w:val="19"/>
          <w:color w:val="auto"/>
        </w:rPr>
      </w:pPr>
    </w:p>
    <w:p>
      <w:pPr>
        <w:ind w:left="1760" w:hanging="455"/>
        <w:spacing w:after="0"/>
        <w:tabs>
          <w:tab w:leader="none" w:pos="17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require that the Company Cash Collateralize the L/C Obligations (in an amount equal to the then Outstanding Amount</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thereof); and</w:t>
      </w:r>
    </w:p>
    <w:p>
      <w:pPr>
        <w:spacing w:after="0" w:line="242" w:lineRule="exact"/>
        <w:rPr>
          <w:rFonts w:ascii="Arial" w:cs="Arial" w:eastAsia="Arial" w:hAnsi="Arial"/>
          <w:sz w:val="18"/>
          <w:szCs w:val="18"/>
          <w:color w:val="auto"/>
        </w:rPr>
      </w:pPr>
    </w:p>
    <w:p>
      <w:pPr>
        <w:ind w:left="660" w:firstLine="645"/>
        <w:spacing w:after="0" w:line="289" w:lineRule="auto"/>
        <w:tabs>
          <w:tab w:leader="none" w:pos="1719" w:val="left"/>
        </w:tabs>
        <w:numPr>
          <w:ilvl w:val="0"/>
          <w:numId w:val="219"/>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 all rights and remedies available to it, the Lenders and the L/C Issuer under the Loan Documents or applicable Law or at equity;</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9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any amounts received on account of the Obligations shall, subject to the provisions of </w:t>
      </w:r>
      <w:r>
        <w:rPr>
          <w:rFonts w:ascii="Arial" w:cs="Arial" w:eastAsia="Arial" w:hAnsi="Arial"/>
          <w:sz w:val="20"/>
          <w:szCs w:val="20"/>
          <w:u w:val="single" w:color="auto"/>
          <w:color w:val="auto"/>
        </w:rPr>
        <w:t>Sections 2.14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be applied by the Administrative Agent in the following order:</w:t>
      </w:r>
    </w:p>
    <w:p>
      <w:pPr>
        <w:spacing w:after="0" w:line="192"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62"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Swap Contract between any Loan Party or Subsidiary and any Swap Bank, to the extent such Swap Contract is permitted by </w:t>
      </w:r>
      <w:r>
        <w:rPr>
          <w:rFonts w:ascii="Arial" w:cs="Arial" w:eastAsia="Arial" w:hAnsi="Arial"/>
          <w:sz w:val="19"/>
          <w:szCs w:val="19"/>
          <w:u w:val="single" w:color="auto"/>
          <w:color w:val="auto"/>
        </w:rPr>
        <w:t>Section 8.03(d)</w:t>
      </w:r>
      <w:r>
        <w:rPr>
          <w:rFonts w:ascii="Arial" w:cs="Arial" w:eastAsia="Arial" w:hAnsi="Arial"/>
          <w:sz w:val="19"/>
          <w:szCs w:val="19"/>
          <w:color w:val="auto"/>
        </w:rPr>
        <w:t xml:space="preserve">, ratably among the Lenders (and, in the case of such Swap Contracts, Swap Banks) and the L/C Issuer in proportion to the respective amounts described in this clause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held by them;</w:t>
      </w:r>
    </w:p>
    <w:p>
      <w:pPr>
        <w:spacing w:after="0" w:line="181"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(a) payment of that portion of the Obligations constituting accrued and unpaid principal of the Loans and L/C Borrowings, (b) payment of breakage, termination or other payments, and any interest accrued thereon, due under any Swap Contract between any Loan Party or Subsidiary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1420"/>
          </w:cols>
          <w:pgMar w:left="240" w:top="771" w:right="239" w:bottom="1440" w:gutter="0" w:footer="0" w:header="0"/>
        </w:sectPr>
      </w:pPr>
    </w:p>
    <w:bookmarkStart w:id="256" w:name="page257"/>
    <w:bookmarkEnd w:id="256"/>
    <w:p>
      <w:pPr>
        <w:jc w:val="both"/>
        <w:ind w:left="660"/>
        <w:spacing w:after="0" w:line="278" w:lineRule="auto"/>
        <w:rPr>
          <w:sz w:val="20"/>
          <w:szCs w:val="20"/>
          <w:color w:val="auto"/>
        </w:rPr>
      </w:pPr>
      <w:r>
        <w:rPr>
          <w:rFonts w:ascii="Arial" w:cs="Arial" w:eastAsia="Arial" w:hAnsi="Arial"/>
          <w:sz w:val="18"/>
          <w:szCs w:val="18"/>
          <w:color w:val="auto"/>
        </w:rPr>
        <w:t xml:space="preserve">and any Swap Bank, to the extent such Swap Contract is permitted by </w:t>
      </w:r>
      <w:r>
        <w:rPr>
          <w:rFonts w:ascii="Arial" w:cs="Arial" w:eastAsia="Arial" w:hAnsi="Arial"/>
          <w:sz w:val="18"/>
          <w:szCs w:val="18"/>
          <w:u w:val="single" w:color="auto"/>
          <w:color w:val="auto"/>
        </w:rPr>
        <w:t>Section 8.03(d)</w:t>
      </w:r>
      <w:r>
        <w:rPr>
          <w:rFonts w:ascii="Arial" w:cs="Arial" w:eastAsia="Arial" w:hAnsi="Arial"/>
          <w:sz w:val="18"/>
          <w:szCs w:val="18"/>
          <w:color w:val="auto"/>
        </w:rPr>
        <w:t xml:space="preserve">, (c) payments of amounts due under any Treasury Management Agreement between any Loan Party or Subsidiary and any Treasury Management Bank and (d) Cash Collateralize that portion of L/C Obligations comprised of the aggregate undrawn amount of Letters of Credit, ratably among the Lenders (and, in the case of such Swap Contracts and Treasury Management Agreements, Swap Banks or Treasury Management Banks, as applicable)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65"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Company or as otherwise required by Law.</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amounts used to Cash Collateralize the aggregate undrawn amount of Letters of Credit pursuant to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but appropriate adjustments shall be made with respect to payments from other Loan Parties to preserve the application of amounts received on account of the Obligations as otherwise set forth above in this Section.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Notwithstanding the foregoing, Obligations arising under Swap Contracts and Treasury Management Agreements shall be excluded from the application described above if the Administrative Agent has not received a Secured Party Designation Notice, together with such supporting documentation as the Administrative Agent may request, from the applicable Swap Bank or Treasury Management Bank, as the case may be. Each Swap Bank or Treasury Management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for itself and its Affiliates as if a “Lender” party hereto.</w:t>
      </w:r>
    </w:p>
    <w:p>
      <w:pPr>
        <w:spacing w:after="0" w:line="18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ADMINISTRATIVE AGENT</w:t>
      </w:r>
    </w:p>
    <w:p>
      <w:pPr>
        <w:spacing w:after="0" w:line="24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5"/>
        <w:spacing w:after="0" w:line="303" w:lineRule="auto"/>
        <w:tabs>
          <w:tab w:leader="none" w:pos="185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the 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420"/>
          </w:cols>
          <w:pgMar w:left="240" w:top="758" w:right="239" w:bottom="1440" w:gutter="0" w:footer="0" w:header="0"/>
        </w:sectPr>
      </w:pPr>
    </w:p>
    <w:bookmarkStart w:id="257" w:name="page258"/>
    <w:bookmarkEnd w:id="257"/>
    <w:p>
      <w:pPr>
        <w:jc w:val="both"/>
        <w:ind w:left="660" w:firstLine="645"/>
        <w:spacing w:after="0" w:line="256" w:lineRule="exact"/>
        <w:tabs>
          <w:tab w:leader="none" w:pos="173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Administrative Agent shall also act as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under the Loan Documents, and each of the Lenders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incidental thereto. In this connection, the Administrative Agent, as “collateral agent” and any co</w:t>
      </w:r>
      <w:r>
        <w:rPr>
          <w:rFonts w:ascii="MS PGothic" w:cs="MS PGothic" w:eastAsia="MS PGothic" w:hAnsi="MS PGothic"/>
          <w:sz w:val="18"/>
          <w:szCs w:val="18"/>
          <w:color w:val="auto"/>
        </w:rPr>
        <w:t>‑</w:t>
      </w:r>
      <w:r>
        <w:rPr>
          <w:rFonts w:ascii="Arial" w:cs="Arial" w:eastAsia="Arial" w:hAnsi="Arial"/>
          <w:sz w:val="18"/>
          <w:szCs w:val="18"/>
          <w:color w:val="auto"/>
        </w:rPr>
        <w:t>agents, sub</w:t>
      </w:r>
      <w:r>
        <w:rPr>
          <w:rFonts w:ascii="MS PGothic" w:cs="MS PGothic" w:eastAsia="MS PGothic" w:hAnsi="MS PGothic"/>
          <w:sz w:val="18"/>
          <w:szCs w:val="18"/>
          <w:color w:val="auto"/>
        </w:rPr>
        <w:t>‑</w:t>
      </w:r>
      <w:r>
        <w:rPr>
          <w:rFonts w:ascii="Arial" w:cs="Arial" w:eastAsia="Arial" w:hAnsi="Arial"/>
          <w:sz w:val="18"/>
          <w:szCs w:val="18"/>
          <w:color w:val="auto"/>
        </w:rPr>
        <w:t>agents and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 xml:space="preserve">fact appointed by the Administrative Agent pursuant to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11.04(c)</w:t>
      </w:r>
      <w:r>
        <w:rPr>
          <w:rFonts w:ascii="Arial" w:cs="Arial" w:eastAsia="Arial" w:hAnsi="Arial"/>
          <w:sz w:val="18"/>
          <w:szCs w:val="18"/>
          <w:color w:val="auto"/>
        </w:rPr>
        <w:t>, as though such co</w:t>
      </w:r>
      <w:r>
        <w:rPr>
          <w:rFonts w:ascii="MS PGothic" w:cs="MS PGothic" w:eastAsia="MS PGothic" w:hAnsi="MS PGothic"/>
          <w:sz w:val="18"/>
          <w:szCs w:val="18"/>
          <w:color w:val="auto"/>
        </w:rPr>
        <w:t>‑</w:t>
      </w:r>
      <w:r>
        <w:rPr>
          <w:rFonts w:ascii="Arial" w:cs="Arial" w:eastAsia="Arial" w:hAnsi="Arial"/>
          <w:sz w:val="18"/>
          <w:szCs w:val="18"/>
          <w:color w:val="auto"/>
        </w:rPr>
        <w:t>agents, sub</w:t>
      </w:r>
      <w:r>
        <w:rPr>
          <w:rFonts w:ascii="MS PGothic" w:cs="MS PGothic" w:eastAsia="MS PGothic" w:hAnsi="MS PGothic"/>
          <w:sz w:val="18"/>
          <w:szCs w:val="18"/>
          <w:color w:val="auto"/>
        </w:rPr>
        <w:t>‑</w:t>
      </w:r>
      <w:r>
        <w:rPr>
          <w:rFonts w:ascii="Arial" w:cs="Arial" w:eastAsia="Arial" w:hAnsi="Arial"/>
          <w:sz w:val="18"/>
          <w:szCs w:val="18"/>
          <w:color w:val="auto"/>
        </w:rPr>
        <w:t>agents and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were the “collateral agent” under the Loan Documents) as if set forth in full herein with respect thereto.</w:t>
      </w:r>
    </w:p>
    <w:p>
      <w:pPr>
        <w:spacing w:after="0" w:line="22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200" w:lineRule="exact"/>
        <w:rPr>
          <w:sz w:val="20"/>
          <w:szCs w:val="20"/>
          <w:color w:val="auto"/>
        </w:rPr>
      </w:pPr>
    </w:p>
    <w:p>
      <w:pPr>
        <w:ind w:left="1860" w:hanging="555"/>
        <w:spacing w:after="0"/>
        <w:tabs>
          <w:tab w:leader="none" w:pos="186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242" w:lineRule="exact"/>
        <w:rPr>
          <w:rFonts w:ascii="Arial" w:cs="Arial" w:eastAsia="Arial" w:hAnsi="Arial"/>
          <w:sz w:val="19"/>
          <w:szCs w:val="19"/>
          <w:color w:val="auto"/>
        </w:rPr>
      </w:pPr>
    </w:p>
    <w:p>
      <w:pPr>
        <w:jc w:val="both"/>
        <w:ind w:left="660" w:firstLine="645"/>
        <w:spacing w:after="0" w:line="270" w:lineRule="auto"/>
        <w:tabs>
          <w:tab w:leader="none" w:pos="1746"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9" w:lineRule="exact"/>
        <w:rPr>
          <w:rFonts w:ascii="Arial" w:cs="Arial" w:eastAsia="Arial" w:hAnsi="Arial"/>
          <w:sz w:val="20"/>
          <w:szCs w:val="20"/>
          <w:color w:val="auto"/>
        </w:rPr>
      </w:pPr>
    </w:p>
    <w:p>
      <w:pPr>
        <w:ind w:left="660" w:right="20" w:firstLine="645"/>
        <w:spacing w:after="0" w:line="289" w:lineRule="auto"/>
        <w:tabs>
          <w:tab w:leader="none" w:pos="1708" w:val="left"/>
        </w:tabs>
        <w:numPr>
          <w:ilvl w:val="0"/>
          <w:numId w:val="222"/>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1420"/>
          </w:cols>
          <w:pgMar w:left="240" w:top="771" w:right="239" w:bottom="1440" w:gutter="0" w:footer="0" w:header="0"/>
        </w:sectPr>
      </w:pPr>
    </w:p>
    <w:bookmarkStart w:id="258" w:name="page259"/>
    <w:bookmarkEnd w:id="258"/>
    <w:p>
      <w:pPr>
        <w:ind w:left="660"/>
        <w:spacing w:after="0" w:line="289" w:lineRule="auto"/>
        <w:rPr>
          <w:sz w:val="20"/>
          <w:szCs w:val="20"/>
          <w:color w:val="auto"/>
        </w:rPr>
      </w:pPr>
      <w:r>
        <w:rPr>
          <w:rFonts w:ascii="Arial" w:cs="Arial" w:eastAsia="Arial" w:hAnsi="Arial"/>
          <w:sz w:val="20"/>
          <w:szCs w:val="20"/>
          <w:color w:val="auto"/>
        </w:rPr>
        <w:t>to any Loan Party or any of its Affiliates that is communicated to or obtained by the Person serving as the Administrative Agent or any of its Affiliates in any capacity.</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Neither the Administrative Agent nor any of its Related Parties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9.02</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the L/C Issuer.</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9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20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20"/>
          <w:szCs w:val="20"/>
          <w:color w:val="auto"/>
        </w:rPr>
        <w:t>The Administrative Agent may perform any and all of its duties and exercise its rights and powers hereunder or under any other Loan Document by or through any one or more sub</w:t>
      </w:r>
      <w:r>
        <w:rPr>
          <w:rFonts w:ascii="MS PGothic" w:cs="MS PGothic" w:eastAsia="MS PGothic" w:hAnsi="MS PGothic"/>
          <w:sz w:val="20"/>
          <w:szCs w:val="20"/>
          <w:color w:val="auto"/>
        </w:rPr>
        <w:t>‑</w:t>
      </w:r>
      <w:r>
        <w:rPr>
          <w:rFonts w:ascii="Arial" w:cs="Arial" w:eastAsia="Arial" w:hAnsi="Arial"/>
          <w:sz w:val="20"/>
          <w:szCs w:val="20"/>
          <w:color w:val="auto"/>
        </w:rPr>
        <w:t>agents appointed by the Administrative Agent. The Administrative Agent and any such sub</w:t>
      </w:r>
      <w:r>
        <w:rPr>
          <w:rFonts w:ascii="MS PGothic" w:cs="MS PGothic" w:eastAsia="MS PGothic" w:hAnsi="MS PGothic"/>
          <w:sz w:val="20"/>
          <w:szCs w:val="20"/>
          <w:color w:val="auto"/>
        </w:rPr>
        <w:t>‑</w:t>
      </w:r>
      <w:r>
        <w:rPr>
          <w:rFonts w:ascii="Arial" w:cs="Arial" w:eastAsia="Arial" w:hAnsi="Arial"/>
          <w:sz w:val="20"/>
          <w:szCs w:val="20"/>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20"/>
          <w:szCs w:val="20"/>
          <w:color w:val="auto"/>
        </w:rPr>
        <w:t>‑</w:t>
      </w:r>
      <w:r>
        <w:rPr>
          <w:rFonts w:ascii="Arial" w:cs="Arial" w:eastAsia="Arial" w:hAnsi="Arial"/>
          <w:sz w:val="20"/>
          <w:szCs w:val="20"/>
          <w:color w:val="auto"/>
        </w:rPr>
        <w:t>agent and to the Related Parties of the Administrative Agent and any such sub</w:t>
      </w:r>
      <w:r>
        <w:rPr>
          <w:rFonts w:ascii="MS PGothic" w:cs="MS PGothic" w:eastAsia="MS PGothic" w:hAnsi="MS PGothic"/>
          <w:sz w:val="20"/>
          <w:szCs w:val="20"/>
          <w:color w:val="auto"/>
        </w:rPr>
        <w:t>‑</w:t>
      </w:r>
      <w:r>
        <w:rPr>
          <w:rFonts w:ascii="Arial" w:cs="Arial" w:eastAsia="Arial" w:hAnsi="Arial"/>
          <w:sz w:val="20"/>
          <w:szCs w:val="20"/>
          <w:color w:val="auto"/>
        </w:rPr>
        <w:t>agent, and shall apply to their respective activities in connection with the syndication of the credit facilities provided for herein as well as activities as Administrative Agent. . The Administrative Agent shall not be responsible for the negligence or misconduct of any sub</w:t>
      </w:r>
      <w:r>
        <w:rPr>
          <w:rFonts w:ascii="MS PGothic" w:cs="MS PGothic" w:eastAsia="MS PGothic" w:hAnsi="MS PGothic"/>
          <w:sz w:val="20"/>
          <w:szCs w:val="20"/>
          <w:color w:val="auto"/>
        </w:rPr>
        <w:t>‑</w:t>
      </w:r>
      <w:r>
        <w:rPr>
          <w:rFonts w:ascii="Arial" w:cs="Arial" w:eastAsia="Arial" w:hAnsi="Arial"/>
          <w:sz w:val="20"/>
          <w:szCs w:val="20"/>
          <w:color w:val="auto"/>
        </w:rPr>
        <w:t>agents except to the extent that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1420"/>
          </w:cols>
          <w:pgMar w:left="240" w:top="771" w:right="239" w:bottom="1440" w:gutter="0" w:footer="0" w:header="0"/>
        </w:sectPr>
      </w:pPr>
    </w:p>
    <w:bookmarkStart w:id="259" w:name="page260"/>
    <w:bookmarkEnd w:id="259"/>
    <w:p>
      <w:pPr>
        <w:jc w:val="both"/>
        <w:ind w:right="20"/>
        <w:spacing w:after="0" w:line="240" w:lineRule="exact"/>
        <w:rPr>
          <w:sz w:val="20"/>
          <w:szCs w:val="20"/>
          <w:color w:val="auto"/>
        </w:rPr>
      </w:pPr>
      <w:r>
        <w:rPr>
          <w:rFonts w:ascii="Arial" w:cs="Arial" w:eastAsia="Arial" w:hAnsi="Arial"/>
          <w:sz w:val="20"/>
          <w:szCs w:val="20"/>
          <w:color w:val="auto"/>
        </w:rPr>
        <w:t>a court of competent jurisdiction determines in a final and non appealable judgment that the Administrative Agent acted with gross negligence or willful misconduct in the selection of such sub</w:t>
      </w:r>
      <w:r>
        <w:rPr>
          <w:rFonts w:ascii="MS PGothic" w:cs="MS PGothic" w:eastAsia="MS PGothic" w:hAnsi="MS PGothic"/>
          <w:sz w:val="20"/>
          <w:szCs w:val="20"/>
          <w:color w:val="auto"/>
        </w:rPr>
        <w:t>‑</w:t>
      </w:r>
      <w:r>
        <w:rPr>
          <w:rFonts w:ascii="Arial" w:cs="Arial" w:eastAsia="Arial" w:hAnsi="Arial"/>
          <w:sz w:val="20"/>
          <w:szCs w:val="20"/>
          <w:color w:val="auto"/>
        </w:rPr>
        <w:t>agents.</w:t>
      </w:r>
    </w:p>
    <w:p>
      <w:pPr>
        <w:spacing w:after="0" w:line="21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 xml:space="preserve">The Administrative Agent may at any time give notice of its resignation to the Lenders, the L/C Issuer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shall notify the Company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and other than any rights to indemnity payments or other amounts owed to the retiring Administrative Agent as of the effective date of such resignation),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Administrative Agent, its sub</w:t>
      </w:r>
      <w:r>
        <w:rPr>
          <w:rFonts w:ascii="MS PGothic" w:cs="MS PGothic" w:eastAsia="MS PGothic" w:hAnsi="MS PGothic"/>
          <w:sz w:val="18"/>
          <w:szCs w:val="18"/>
          <w:color w:val="auto"/>
        </w:rPr>
        <w:t>‑</w:t>
      </w:r>
      <w:r>
        <w:rPr>
          <w:rFonts w:ascii="Arial" w:cs="Arial" w:eastAsia="Arial" w:hAnsi="Arial"/>
          <w:sz w:val="18"/>
          <w:szCs w:val="18"/>
          <w:color w:val="auto"/>
        </w:rPr>
        <w:t>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without limitation, (A) acting as collateral agent or otherwise holding any collateral security on behalf of any of the Lenders or other holders of the Obligations and (B) in respect of any actions taken in connection with transferring the agency to any successor Administrative Agent.</w:t>
      </w:r>
    </w:p>
    <w:p>
      <w:pPr>
        <w:spacing w:after="0" w:line="20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Any resignation by Bank of America as Administrative Agent pursuant to this Section shall also constitute its resignation as L/C Issuer and Swing Line Lender. If Bank of America resigns as L/C Issuer, it shall retain all the rights, powers, privileges and duties of the L/C Issuer hereunder with respect to all Letters of Credit outstanding as of the effective date of such resignation and all L/C Obligations with respect thereto, including the right to require the Lenders to make Loans or fund risk participations in Unreimbursed Amounts pursuant to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Loans or fund risk participations in outstanding Swing Line Loans pursuant to </w:t>
      </w:r>
      <w:r>
        <w:rPr>
          <w:rFonts w:ascii="Arial" w:cs="Arial" w:eastAsia="Arial" w:hAnsi="Arial"/>
          <w:sz w:val="20"/>
          <w:szCs w:val="20"/>
          <w:u w:val="single" w:color="auto"/>
          <w:color w:val="auto"/>
        </w:rPr>
        <w:t>Section 2.04(c)</w:t>
      </w:r>
      <w:r>
        <w:rPr>
          <w:rFonts w:ascii="Arial" w:cs="Arial" w:eastAsia="Arial" w:hAnsi="Arial"/>
          <w:sz w:val="20"/>
          <w:szCs w:val="20"/>
          <w:color w:val="auto"/>
        </w:rPr>
        <w:t>.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1420"/>
          </w:cols>
          <w:pgMar w:left="240" w:top="758" w:right="239" w:bottom="1440" w:gutter="0" w:footer="0" w:header="0"/>
        </w:sectPr>
      </w:pPr>
    </w:p>
    <w:bookmarkStart w:id="260" w:name="page261"/>
    <w:bookmarkEnd w:id="260"/>
    <w:p>
      <w:pPr>
        <w:jc w:val="both"/>
        <w:spacing w:after="0" w:line="269" w:lineRule="auto"/>
        <w:rPr>
          <w:sz w:val="20"/>
          <w:szCs w:val="20"/>
          <w:color w:val="auto"/>
        </w:rPr>
      </w:pPr>
      <w:r>
        <w:rPr>
          <w:rFonts w:ascii="Arial" w:cs="Arial" w:eastAsia="Arial" w:hAnsi="Arial"/>
          <w:sz w:val="19"/>
          <w:szCs w:val="19"/>
          <w:color w:val="auto"/>
        </w:rPr>
        <w:t>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If the Person serving as Administrative Agent is a Defaulting Lender hereunder,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then such removal shall nonetheless become effective in accordance with such notice on the Removal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appoint an interim Administrative Agent which shall be a bank with an office in the United States, or an Affiliate of any such bank with an office in the United States, who shall act as interim Administrative Agent until the Required Lenders, by notice in writing to the Company and such Person, remove such Person as interim Administrative Agent and, in consultation with the Company, appoint a successor.</w:t>
      </w:r>
    </w:p>
    <w:p>
      <w:pPr>
        <w:spacing w:after="0" w:line="183" w:lineRule="exact"/>
        <w:rPr>
          <w:sz w:val="20"/>
          <w:szCs w:val="20"/>
          <w:color w:val="auto"/>
        </w:rPr>
      </w:pPr>
    </w:p>
    <w:p>
      <w:pPr>
        <w:ind w:left="660"/>
        <w:spacing w:after="0" w:line="230" w:lineRule="exact"/>
        <w:tabs>
          <w:tab w:leader="none" w:pos="126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Reliance on Administrative Agent and Other Lenders</w:t>
      </w:r>
      <w:r>
        <w:rPr>
          <w:rFonts w:ascii="MS PGothic" w:cs="MS PGothic" w:eastAsia="MS PGothic" w:hAnsi="MS PGothic"/>
          <w:sz w:val="18"/>
          <w:szCs w:val="18"/>
          <w:u w:val="single" w:color="auto"/>
          <w:color w:val="auto"/>
        </w:rPr>
        <w: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Anything herein to the contrary notwithstanding, none of the bookrunners, arrangers, syndication agents, documentation agents or co</w:t>
      </w:r>
      <w:r>
        <w:rPr>
          <w:rFonts w:ascii="MS PGothic" w:cs="MS PGothic" w:eastAsia="MS PGothic" w:hAnsi="MS PGothic"/>
          <w:sz w:val="20"/>
          <w:szCs w:val="20"/>
          <w:color w:val="auto"/>
        </w:rPr>
        <w:t>‑</w:t>
      </w:r>
      <w:r>
        <w:rPr>
          <w:rFonts w:ascii="Arial" w:cs="Arial" w:eastAsia="Arial" w:hAnsi="Arial"/>
          <w:sz w:val="20"/>
          <w:szCs w:val="20"/>
          <w:color w:val="auto"/>
        </w:rPr>
        <w:t>agents shall have any powers, duties or responsibilities under this Agreement or any of the other Loan Documents, except in its capacity, as applicable, as the Administrative Agent, a Lender or the L/C Issuer hereunder.</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75" w:lineRule="exact"/>
        <w:rPr>
          <w:sz w:val="20"/>
          <w:szCs w:val="20"/>
          <w:color w:val="auto"/>
        </w:rPr>
      </w:pPr>
    </w:p>
    <w:p>
      <w:pPr>
        <w:jc w:val="both"/>
        <w:ind w:left="660" w:firstLine="645"/>
        <w:spacing w:after="0" w:line="274" w:lineRule="auto"/>
        <w:tabs>
          <w:tab w:leader="none" w:pos="1708"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Obligations and all other Obligations (other than obligations under Swap Contracts or Treasury Management Agreements to which the Administrative Agent is not a party) that are owing and unpaid and to file such other documents as may be necessary or advisable in order to have the claims of the Lenders, the L/C Issuer and the Administrative Agent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1420"/>
          </w:cols>
          <w:pgMar w:left="240" w:top="757" w:right="239" w:bottom="1440" w:gutter="0" w:footer="0" w:header="0"/>
        </w:sectPr>
      </w:pPr>
    </w:p>
    <w:bookmarkStart w:id="261" w:name="page262"/>
    <w:bookmarkEnd w:id="261"/>
    <w:p>
      <w:pPr>
        <w:jc w:val="both"/>
        <w:ind w:left="660"/>
        <w:spacing w:after="0" w:line="299" w:lineRule="auto"/>
        <w:rPr>
          <w:sz w:val="20"/>
          <w:szCs w:val="20"/>
          <w:color w:val="auto"/>
        </w:rPr>
      </w:pPr>
      <w:r>
        <w:rPr>
          <w:rFonts w:ascii="Arial" w:cs="Arial" w:eastAsia="Arial" w:hAnsi="Arial"/>
          <w:sz w:val="19"/>
          <w:szCs w:val="19"/>
          <w:color w:val="auto"/>
        </w:rPr>
        <w:t xml:space="preserve">(including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9"/>
          <w:szCs w:val="19"/>
          <w:u w:val="single" w:color="auto"/>
          <w:color w:val="auto"/>
        </w:rPr>
        <w:t>Sections 2.03(h)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allowed in such judicial proceeding; and</w:t>
      </w:r>
    </w:p>
    <w:p>
      <w:pPr>
        <w:spacing w:after="0" w:line="169"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to collect and receive any monies or other property payable or deliverable on any such claims and to distribute the same;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w:t>
      </w:r>
    </w:p>
    <w:p>
      <w:pPr>
        <w:spacing w:after="0" w:line="18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to authorize the Administrative Agent to vote in respect of the claim of any Lender or the L/C Issuer in any such proceeding.</w:t>
      </w:r>
    </w:p>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Each of the Lenders and the other holders of the Obligations (for purposes of this Section, the “</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of this Agreement, (iii) the Administrative Agent shall be authorized to assign the relevant Obligations to any such acquisition vehicle pro rata by the Secured Parties, as a result of which each of the Secured Parties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(which such assignment may be made by the Administrative Agent without regard to the requirements of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hereof, notwithstanding anything to the contrary therein), and (iv) to the extent that Obligations that are assigned 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ectPr>
          <w:pgSz w:w="11900" w:h="16838" w:orient="portrait"/>
          <w:cols w:equalWidth="0" w:num="1">
            <w:col w:w="11420"/>
          </w:cols>
          <w:pgMar w:left="240" w:top="771" w:right="239" w:bottom="1440" w:gutter="0" w:footer="0" w:header="0"/>
        </w:sectPr>
      </w:pPr>
    </w:p>
    <w:bookmarkStart w:id="262" w:name="page263"/>
    <w:bookmarkEnd w:id="262"/>
    <w:p>
      <w:pPr>
        <w:jc w:val="both"/>
        <w:spacing w:after="0" w:line="260" w:lineRule="auto"/>
        <w:rPr>
          <w:sz w:val="20"/>
          <w:szCs w:val="20"/>
          <w:color w:val="auto"/>
        </w:rPr>
      </w:pPr>
      <w:r>
        <w:rPr>
          <w:rFonts w:ascii="Arial" w:cs="Arial" w:eastAsia="Arial" w:hAnsi="Arial"/>
          <w:sz w:val="19"/>
          <w:szCs w:val="19"/>
          <w:color w:val="auto"/>
        </w:rPr>
        <w:t>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Secured Parties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Lenders and the L/C Issuer irrevocably authorize the Administrative Agent, at its option and in its discretion,</w:t>
      </w:r>
    </w:p>
    <w:p>
      <w:pPr>
        <w:spacing w:after="0" w:line="229" w:lineRule="exact"/>
        <w:rPr>
          <w:sz w:val="20"/>
          <w:szCs w:val="20"/>
          <w:color w:val="auto"/>
        </w:rPr>
      </w:pPr>
    </w:p>
    <w:p>
      <w:pPr>
        <w:jc w:val="both"/>
        <w:ind w:left="660" w:firstLine="645"/>
        <w:spacing w:after="0" w:line="273" w:lineRule="auto"/>
        <w:tabs>
          <w:tab w:leader="none" w:pos="173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to release any Lien on any Collateral granted to or held by the Administrative Agent under any Loan Document (i) upon termination of the Aggregate Revolving Commitments and payment in full of all Obligations under the Loan Documents and the expiration or termination of all Letters of Credit, (ii) that is transferred, sold or disposed of, or to be transferred, sold or disposed of, as part of or in connection with any sale or other disposition permitted hereunder or under any other Loan Document or any Involuntary Disposition, or (iii) as approved in accordance with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660" w:right="20" w:firstLine="645"/>
        <w:spacing w:after="0" w:line="289" w:lineRule="auto"/>
        <w:tabs>
          <w:tab w:leader="none" w:pos="1732"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20"/>
          <w:szCs w:val="20"/>
          <w:u w:val="single" w:color="auto"/>
          <w:color w:val="auto"/>
        </w:rPr>
        <w:t>Section 8.01(i)</w:t>
      </w:r>
      <w:r>
        <w:rPr>
          <w:rFonts w:ascii="Arial" w:cs="Arial" w:eastAsia="Arial" w:hAnsi="Arial"/>
          <w:sz w:val="20"/>
          <w:szCs w:val="20"/>
          <w:color w:val="auto"/>
        </w:rPr>
        <w:t>; and</w:t>
      </w:r>
    </w:p>
    <w:p>
      <w:pPr>
        <w:spacing w:after="0" w:line="175" w:lineRule="exact"/>
        <w:rPr>
          <w:rFonts w:ascii="Arial" w:cs="Arial" w:eastAsia="Arial" w:hAnsi="Arial"/>
          <w:sz w:val="20"/>
          <w:szCs w:val="20"/>
          <w:color w:val="auto"/>
        </w:rPr>
      </w:pPr>
    </w:p>
    <w:p>
      <w:pPr>
        <w:ind w:left="660" w:firstLine="645"/>
        <w:spacing w:after="0" w:line="289" w:lineRule="auto"/>
        <w:tabs>
          <w:tab w:leader="none" w:pos="173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Guaranty and the other Loan Documents if such Person ceases to be a Subsidiary as a result of a transaction permitted hereunder.</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and the other Loan Documents, pursuant to this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2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6"/>
          <w:szCs w:val="16"/>
          <w:u w:val="single" w:color="auto"/>
          <w:color w:val="auto"/>
        </w:rPr>
        <w:t>Treasury Management Agreements and Swap Contracts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Except as otherwise expressly set forth herein, no Treasury Management Bank or Swap Bank that obtains the benefit of the provisions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the Guaranty or any Collateral by virtue of the provisions hereof or any other Loan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other Loan Document)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ectPr>
          <w:pgSz w:w="11900" w:h="16838" w:orient="portrait"/>
          <w:cols w:equalWidth="0" w:num="1">
            <w:col w:w="11420"/>
          </w:cols>
          <w:pgMar w:left="240" w:top="758" w:right="239" w:bottom="1440" w:gutter="0" w:footer="0" w:header="0"/>
        </w:sectPr>
      </w:pPr>
    </w:p>
    <w:bookmarkStart w:id="263" w:name="page264"/>
    <w:bookmarkEnd w:id="263"/>
    <w:p>
      <w:pPr>
        <w:jc w:val="both"/>
        <w:spacing w:after="0" w:line="242" w:lineRule="auto"/>
        <w:rPr>
          <w:sz w:val="20"/>
          <w:szCs w:val="20"/>
          <w:color w:val="auto"/>
        </w:rPr>
      </w:pPr>
      <w:r>
        <w:rPr>
          <w:rFonts w:ascii="Arial" w:cs="Arial" w:eastAsia="Arial" w:hAnsi="Arial"/>
          <w:sz w:val="20"/>
          <w:szCs w:val="20"/>
          <w:color w:val="auto"/>
        </w:rPr>
        <w:t>Obligations arising under Treasury Management Agreements entered into with any Treasury Management Bank or Swap Contracts entered into with any Swap Bank except to the extent expressly provided herein and unless the Administrative Agent has received a Secured Party Designation Notice of such Obligations, together with such supporting documentation as the Administrative Agent may request, from the applicable Treasury Management Bank or Swap Bank (other than the Administrative Agent or any Affiliate thereof), as the case may be. The Administrative Agent shall not be required to verify the payment of, or that other satisfactory arrangements have been made with respect to, Obligations arising under Treasury Management Agreements entered into with any Treasury Management Bank or Swap Contracts entered into with any Swap Bank upon termination of the Aggregate Revolving Commitments and payment in full of all Obligations under the Loan Documents.</w:t>
      </w: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4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6"/>
          <w:szCs w:val="16"/>
          <w:u w:val="single" w:color="auto"/>
          <w:color w:val="auto"/>
        </w:rPr>
        <w:t>Amendments, Etc</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No amendment or waiver of any provision of this Agreement or any other Loan Document, 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90" w:lineRule="exact"/>
        <w:rPr>
          <w:sz w:val="20"/>
          <w:szCs w:val="20"/>
          <w:color w:val="auto"/>
        </w:rPr>
      </w:pPr>
    </w:p>
    <w:p>
      <w:pPr>
        <w:ind w:left="1700" w:hanging="395"/>
        <w:spacing w:after="0"/>
        <w:tabs>
          <w:tab w:leader="none" w:pos="17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no such amendment, waiver or consent shall:</w:t>
      </w:r>
    </w:p>
    <w:p>
      <w:pPr>
        <w:spacing w:after="0" w:line="242" w:lineRule="exact"/>
        <w:rPr>
          <w:rFonts w:ascii="Arial" w:cs="Arial" w:eastAsia="Arial" w:hAnsi="Arial"/>
          <w:sz w:val="20"/>
          <w:szCs w:val="20"/>
          <w:color w:val="auto"/>
        </w:rPr>
      </w:pPr>
    </w:p>
    <w:p>
      <w:pPr>
        <w:jc w:val="both"/>
        <w:ind w:left="1300" w:firstLine="653"/>
        <w:spacing w:after="0" w:line="293" w:lineRule="auto"/>
        <w:tabs>
          <w:tab w:leader="none" w:pos="2545"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extend or increase the Commitment of a Lender (or reinstate any Commitment terminated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without the written consent of such Lender whose Commitment is being extended or increased (it being understood and agreed that a waiver of any condition precedent set forth in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or of any Default or a mandatory reduction in Commitments is not considered an extension or increase in Commitments of any Lender);</w:t>
      </w:r>
    </w:p>
    <w:p>
      <w:pPr>
        <w:spacing w:after="0" w:line="175" w:lineRule="exact"/>
        <w:rPr>
          <w:rFonts w:ascii="Arial" w:cs="Arial" w:eastAsia="Arial" w:hAnsi="Arial"/>
          <w:sz w:val="19"/>
          <w:szCs w:val="19"/>
          <w:color w:val="auto"/>
        </w:rPr>
      </w:pPr>
    </w:p>
    <w:p>
      <w:pPr>
        <w:jc w:val="both"/>
        <w:ind w:left="1300" w:firstLine="653"/>
        <w:spacing w:after="0" w:line="314" w:lineRule="auto"/>
        <w:tabs>
          <w:tab w:leader="none" w:pos="238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waive non-payment or postpone any date fixed by this Agreement or any other Loan Document for any payment of principal (excluding mandatory prepayments), interest, fees or other amounts due to the Lenders (or any of them) or any date fixed by this Agreement for reduction of the Commitments hereunder or under any other Loan Document without the written consent of each Lender entitled to receive such payment or whose Commitments are to be reduced;</w:t>
      </w:r>
    </w:p>
    <w:p>
      <w:pPr>
        <w:spacing w:after="0" w:line="159" w:lineRule="exact"/>
        <w:rPr>
          <w:rFonts w:ascii="Arial" w:cs="Arial" w:eastAsia="Arial" w:hAnsi="Arial"/>
          <w:sz w:val="18"/>
          <w:szCs w:val="18"/>
          <w:color w:val="auto"/>
        </w:rPr>
      </w:pPr>
    </w:p>
    <w:p>
      <w:pPr>
        <w:jc w:val="both"/>
        <w:ind w:left="1300" w:firstLine="653"/>
        <w:spacing w:after="0" w:line="307" w:lineRule="auto"/>
        <w:tabs>
          <w:tab w:leader="none" w:pos="249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clause (ii) of the final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any fees or other amounts payable hereunder or under any other Loan Document without the written consent of each Lender entitled to receive such payment of principal, interest, fees or other amounts (it being understood that neither of the following constitutes a reduction in the rate of interest on any Loan or L/C Borrowing or any fees or other amounts: (A) any change to the definition of “Default Rate” or any waiver of any obligation of any Borrower to pay interest or Letter of Credit Fees at the Default Rate and (B) any change to or waiver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ectPr>
          <w:pgSz w:w="11900" w:h="16838" w:orient="portrait"/>
          <w:cols w:equalWidth="0" w:num="1">
            <w:col w:w="11420"/>
          </w:cols>
          <w:pgMar w:left="240" w:top="758" w:right="239" w:bottom="1440" w:gutter="0" w:footer="0" w:header="0"/>
        </w:sectPr>
      </w:pPr>
    </w:p>
    <w:bookmarkStart w:id="264" w:name="page265"/>
    <w:bookmarkEnd w:id="264"/>
    <w:p>
      <w:pPr>
        <w:ind w:left="100" w:right="20"/>
        <w:spacing w:after="0" w:line="289" w:lineRule="auto"/>
        <w:rPr>
          <w:sz w:val="20"/>
          <w:szCs w:val="20"/>
          <w:color w:val="auto"/>
        </w:rPr>
      </w:pPr>
      <w:r>
        <w:rPr>
          <w:rFonts w:ascii="Arial" w:cs="Arial" w:eastAsia="Arial" w:hAnsi="Arial"/>
          <w:sz w:val="20"/>
          <w:szCs w:val="20"/>
          <w:color w:val="auto"/>
        </w:rPr>
        <w:t>of any financial covenant hereunder (or any defined term used therein), even if the effect of such change or waiver would be to reduce the rate of interest on any Loan or L/C Borrowing or to reduce any fee payable hereunder);</w:t>
      </w:r>
    </w:p>
    <w:p>
      <w:pPr>
        <w:spacing w:after="0" w:line="175" w:lineRule="exact"/>
        <w:rPr>
          <w:sz w:val="20"/>
          <w:szCs w:val="20"/>
          <w:color w:val="auto"/>
        </w:rPr>
      </w:pPr>
    </w:p>
    <w:p>
      <w:pPr>
        <w:ind w:left="100" w:right="20" w:firstLine="653"/>
        <w:spacing w:after="0" w:line="289" w:lineRule="auto"/>
        <w:tabs>
          <w:tab w:leader="none" w:pos="1295" w:val="left"/>
        </w:tabs>
        <w:numPr>
          <w:ilvl w:val="1"/>
          <w:numId w:val="226"/>
        </w:numPr>
        <w:rPr>
          <w:rFonts w:ascii="Arial" w:cs="Arial" w:eastAsia="Arial" w:hAnsi="Arial"/>
          <w:sz w:val="20"/>
          <w:szCs w:val="20"/>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11.01(a)</w:t>
      </w:r>
      <w:r>
        <w:rPr>
          <w:rFonts w:ascii="Arial" w:cs="Arial" w:eastAsia="Arial" w:hAnsi="Arial"/>
          <w:sz w:val="20"/>
          <w:szCs w:val="20"/>
          <w:color w:val="auto"/>
        </w:rPr>
        <w:t xml:space="preserve"> or the definition of “Required Lenders” or “Required Pro Rata Facilities Lenders” without the written consent of each Lender directly affected thereby;</w:t>
      </w:r>
    </w:p>
    <w:p>
      <w:pPr>
        <w:spacing w:after="0" w:line="175" w:lineRule="exact"/>
        <w:rPr>
          <w:rFonts w:ascii="Arial" w:cs="Arial" w:eastAsia="Arial" w:hAnsi="Arial"/>
          <w:sz w:val="20"/>
          <w:szCs w:val="20"/>
          <w:color w:val="auto"/>
        </w:rPr>
      </w:pPr>
    </w:p>
    <w:p>
      <w:pPr>
        <w:jc w:val="both"/>
        <w:ind w:left="100" w:firstLine="653"/>
        <w:spacing w:after="0" w:line="273" w:lineRule="auto"/>
        <w:tabs>
          <w:tab w:leader="none" w:pos="128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1.06</w:t>
      </w:r>
      <w:r>
        <w:rPr>
          <w:rFonts w:ascii="Arial" w:cs="Arial" w:eastAsia="Arial" w:hAnsi="Arial"/>
          <w:sz w:val="20"/>
          <w:szCs w:val="20"/>
          <w:color w:val="auto"/>
        </w:rPr>
        <w:t xml:space="preserve"> or the definition of “Alternative Currency” without the written consent of each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an interest rate with respect to any Alternative Currency becomes unavailable for any reason, only the consent of the applicable Lenders that have agreed to issue Loans in the applicable Alternative Currency shall be necessary to amend the definition of ‘Eurocurrency Base Rate” to provide for the addition of a replacement interest rate with respect to such Alternative Currency;</w:t>
      </w:r>
    </w:p>
    <w:p>
      <w:pPr>
        <w:spacing w:after="0" w:line="191" w:lineRule="exact"/>
        <w:rPr>
          <w:rFonts w:ascii="Arial" w:cs="Arial" w:eastAsia="Arial" w:hAnsi="Arial"/>
          <w:sz w:val="20"/>
          <w:szCs w:val="20"/>
          <w:color w:val="auto"/>
        </w:rPr>
      </w:pPr>
    </w:p>
    <w:p>
      <w:pPr>
        <w:ind w:left="100" w:firstLine="653"/>
        <w:spacing w:after="0" w:line="289" w:lineRule="auto"/>
        <w:tabs>
          <w:tab w:leader="none" w:pos="1322" w:val="left"/>
        </w:tabs>
        <w:numPr>
          <w:ilvl w:val="1"/>
          <w:numId w:val="226"/>
        </w:numPr>
        <w:rPr>
          <w:rFonts w:ascii="Arial" w:cs="Arial" w:eastAsia="Arial" w:hAnsi="Arial"/>
          <w:sz w:val="20"/>
          <w:szCs w:val="20"/>
          <w:color w:val="auto"/>
        </w:rPr>
      </w:pPr>
      <w:r>
        <w:rPr>
          <w:rFonts w:ascii="Arial" w:cs="Arial" w:eastAsia="Arial" w:hAnsi="Arial"/>
          <w:sz w:val="20"/>
          <w:szCs w:val="20"/>
          <w:color w:val="auto"/>
        </w:rPr>
        <w:t xml:space="preserve">except in connection with a Disposition permitted under </w:t>
      </w:r>
      <w:r>
        <w:rPr>
          <w:rFonts w:ascii="Arial" w:cs="Arial" w:eastAsia="Arial" w:hAnsi="Arial"/>
          <w:sz w:val="20"/>
          <w:szCs w:val="20"/>
          <w:u w:val="single" w:color="auto"/>
          <w:color w:val="auto"/>
        </w:rPr>
        <w:t>Section 8.05</w:t>
      </w:r>
      <w:r>
        <w:rPr>
          <w:rFonts w:ascii="Arial" w:cs="Arial" w:eastAsia="Arial" w:hAnsi="Arial"/>
          <w:sz w:val="20"/>
          <w:szCs w:val="20"/>
          <w:color w:val="auto"/>
        </w:rPr>
        <w:t>, release all or substantially all of the Collateral without the written consent of each Lender whose Obligations are secured by such Collateral;</w:t>
      </w:r>
    </w:p>
    <w:p>
      <w:pPr>
        <w:spacing w:after="0" w:line="175" w:lineRule="exact"/>
        <w:rPr>
          <w:rFonts w:ascii="Arial" w:cs="Arial" w:eastAsia="Arial" w:hAnsi="Arial"/>
          <w:sz w:val="20"/>
          <w:szCs w:val="20"/>
          <w:color w:val="auto"/>
        </w:rPr>
      </w:pPr>
    </w:p>
    <w:p>
      <w:pPr>
        <w:jc w:val="both"/>
        <w:ind w:left="100" w:firstLine="653"/>
        <w:spacing w:after="0" w:line="303" w:lineRule="auto"/>
        <w:tabs>
          <w:tab w:leader="none" w:pos="1377"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release the Company (from its obligations as a Borrower or as a Guarantor hereunder) without the written consent of each Lender; to the extent the Additional Borrower becomes a Borrower hereunder pursuant to </w:t>
      </w:r>
      <w:r>
        <w:rPr>
          <w:rFonts w:ascii="Arial" w:cs="Arial" w:eastAsia="Arial" w:hAnsi="Arial"/>
          <w:sz w:val="18"/>
          <w:szCs w:val="18"/>
          <w:u w:val="single" w:color="auto"/>
          <w:color w:val="auto"/>
        </w:rPr>
        <w:t>Section 7.12(b)</w:t>
      </w:r>
      <w:r>
        <w:rPr>
          <w:rFonts w:ascii="Arial" w:cs="Arial" w:eastAsia="Arial" w:hAnsi="Arial"/>
          <w:sz w:val="18"/>
          <w:szCs w:val="18"/>
          <w:color w:val="auto"/>
        </w:rPr>
        <w:t xml:space="preserve">, release the Additional Borrower (from its obligations as a Borrower or as a Guarantor hereunder) without the written consent of each Lender; release any Designated Borrower without the written consent of each Lender under the revolving credit facility hereunder for which the Person to be released constitutes a Borrower, except in connection with the termination of a Designated Borrower’s status as such under </w:t>
      </w:r>
      <w:r>
        <w:rPr>
          <w:rFonts w:ascii="Arial" w:cs="Arial" w:eastAsia="Arial" w:hAnsi="Arial"/>
          <w:sz w:val="18"/>
          <w:szCs w:val="18"/>
          <w:u w:val="single" w:color="auto"/>
          <w:color w:val="auto"/>
        </w:rPr>
        <w:t>Section 2.16(d)</w:t>
      </w:r>
      <w:r>
        <w:rPr>
          <w:rFonts w:ascii="Arial" w:cs="Arial" w:eastAsia="Arial" w:hAnsi="Arial"/>
          <w:sz w:val="18"/>
          <w:szCs w:val="18"/>
          <w:color w:val="auto"/>
        </w:rPr>
        <w:t xml:space="preserve">; or release all or substantially all of the Guarantors without the written consent of each Lender whose Obligations are guaranteed thereby, except in connection with a merger or consolidation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or to the extent the release of any Guarantor is permitted pursuant to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(in which case such release may be made by the Administrative Agent acting alone); or</w:t>
      </w:r>
    </w:p>
    <w:p>
      <w:pPr>
        <w:spacing w:after="0" w:line="173" w:lineRule="exact"/>
        <w:rPr>
          <w:rFonts w:ascii="Arial" w:cs="Arial" w:eastAsia="Arial" w:hAnsi="Arial"/>
          <w:sz w:val="18"/>
          <w:szCs w:val="18"/>
          <w:color w:val="auto"/>
        </w:rPr>
      </w:pPr>
    </w:p>
    <w:p>
      <w:pPr>
        <w:ind w:left="100" w:firstLine="653"/>
        <w:spacing w:after="0" w:line="347" w:lineRule="auto"/>
        <w:tabs>
          <w:tab w:leader="none" w:pos="132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in a manner that would alter the pro rata sharing of payments or change the order of any application of proceeds required thereby without the written consent of each Lender directly affected thereby;</w:t>
      </w:r>
    </w:p>
    <w:p>
      <w:pPr>
        <w:spacing w:after="0" w:line="130" w:lineRule="exact"/>
        <w:rPr>
          <w:rFonts w:ascii="Arial" w:cs="Arial" w:eastAsia="Arial" w:hAnsi="Arial"/>
          <w:sz w:val="18"/>
          <w:szCs w:val="18"/>
          <w:color w:val="auto"/>
        </w:rPr>
      </w:pPr>
    </w:p>
    <w:p>
      <w:pPr>
        <w:jc w:val="both"/>
        <w:ind w:left="-540" w:firstLine="645"/>
        <w:spacing w:after="0" w:line="290" w:lineRule="auto"/>
        <w:tabs>
          <w:tab w:leader="none" w:pos="54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prior to the termination of the Aggregate Revolving Commitments, unless also signed by Lenders (other than Defaulting Lenders) holding in the aggregate at least a majority of the aggregate Outstanding Amount of Revolving Loans and participations in L/C Obligations and Swing Line Loans, no such amendment, waiver or consent shall (i) waive any Default for purposes of </w:t>
      </w:r>
      <w:r>
        <w:rPr>
          <w:rFonts w:ascii="Arial" w:cs="Arial" w:eastAsia="Arial" w:hAnsi="Arial"/>
          <w:sz w:val="19"/>
          <w:szCs w:val="19"/>
          <w:u w:val="single" w:color="auto"/>
          <w:color w:val="auto"/>
        </w:rPr>
        <w:t>Section 5.03(b)</w:t>
      </w:r>
      <w:r>
        <w:rPr>
          <w:rFonts w:ascii="Arial" w:cs="Arial" w:eastAsia="Arial" w:hAnsi="Arial"/>
          <w:sz w:val="19"/>
          <w:szCs w:val="19"/>
          <w:color w:val="auto"/>
        </w:rPr>
        <w:t xml:space="preserve">, (ii) amend, change, waive, discharge or terminate </w:t>
      </w:r>
      <w:r>
        <w:rPr>
          <w:rFonts w:ascii="Arial" w:cs="Arial" w:eastAsia="Arial" w:hAnsi="Arial"/>
          <w:sz w:val="19"/>
          <w:szCs w:val="19"/>
          <w:u w:val="single" w:color="auto"/>
          <w:color w:val="auto"/>
        </w:rPr>
        <w:t>Sections 5.03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9.01</w:t>
      </w:r>
      <w:r>
        <w:rPr>
          <w:rFonts w:ascii="Arial" w:cs="Arial" w:eastAsia="Arial" w:hAnsi="Arial"/>
          <w:sz w:val="19"/>
          <w:szCs w:val="19"/>
          <w:color w:val="auto"/>
        </w:rPr>
        <w:t xml:space="preserve"> in a manner adverse to the Lenders with Revolving Commitments or (iii) amend, change, waive, discharge or terminate this </w:t>
      </w:r>
      <w:r>
        <w:rPr>
          <w:rFonts w:ascii="Arial" w:cs="Arial" w:eastAsia="Arial" w:hAnsi="Arial"/>
          <w:sz w:val="19"/>
          <w:szCs w:val="19"/>
          <w:u w:val="single" w:color="auto"/>
          <w:color w:val="auto"/>
        </w:rPr>
        <w:t>Section 11.01(b)</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144</w:t>
      </w:r>
    </w:p>
    <w:p>
      <w:pPr>
        <w:sectPr>
          <w:pgSz w:w="11900" w:h="16838" w:orient="portrait"/>
          <w:cols w:equalWidth="0" w:num="1">
            <w:col w:w="10220"/>
          </w:cols>
          <w:pgMar w:left="1440" w:top="771" w:right="239" w:bottom="1440" w:gutter="0" w:footer="0" w:header="0"/>
        </w:sectPr>
      </w:pPr>
    </w:p>
    <w:bookmarkStart w:id="265" w:name="page266"/>
    <w:bookmarkEnd w:id="265"/>
    <w:p>
      <w:pPr>
        <w:ind w:left="660" w:right="20" w:firstLine="645"/>
        <w:spacing w:after="0" w:line="289" w:lineRule="auto"/>
        <w:tabs>
          <w:tab w:leader="none" w:pos="1749" w:val="left"/>
        </w:tabs>
        <w:numPr>
          <w:ilvl w:val="0"/>
          <w:numId w:val="228"/>
        </w:numPr>
        <w:rPr>
          <w:rFonts w:ascii="Arial" w:cs="Arial" w:eastAsia="Arial" w:hAnsi="Arial"/>
          <w:sz w:val="20"/>
          <w:szCs w:val="20"/>
          <w:color w:val="auto"/>
        </w:rPr>
      </w:pPr>
      <w:r>
        <w:rPr>
          <w:rFonts w:ascii="Arial" w:cs="Arial" w:eastAsia="Arial" w:hAnsi="Arial"/>
          <w:sz w:val="20"/>
          <w:szCs w:val="20"/>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175" w:lineRule="exact"/>
        <w:rPr>
          <w:rFonts w:ascii="Arial" w:cs="Arial" w:eastAsia="Arial" w:hAnsi="Arial"/>
          <w:sz w:val="20"/>
          <w:szCs w:val="20"/>
          <w:color w:val="auto"/>
        </w:rPr>
      </w:pPr>
    </w:p>
    <w:p>
      <w:pPr>
        <w:ind w:left="660" w:firstLine="645"/>
        <w:spacing w:after="0" w:line="289" w:lineRule="auto"/>
        <w:tabs>
          <w:tab w:leader="none" w:pos="178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unless also signed by the Swing Line Lender, no amendment, waiver or consent shall affect the rights or duties of the Swing Line Lender under this Agreement; and</w:t>
      </w:r>
    </w:p>
    <w:p>
      <w:pPr>
        <w:spacing w:after="0" w:line="175" w:lineRule="exact"/>
        <w:rPr>
          <w:rFonts w:ascii="Arial" w:cs="Arial" w:eastAsia="Arial" w:hAnsi="Arial"/>
          <w:sz w:val="20"/>
          <w:szCs w:val="20"/>
          <w:color w:val="auto"/>
        </w:rPr>
      </w:pPr>
    </w:p>
    <w:p>
      <w:pPr>
        <w:ind w:left="660" w:firstLine="645"/>
        <w:spacing w:after="0" w:line="289" w:lineRule="auto"/>
        <w:tabs>
          <w:tab w:leader="none" w:pos="1749" w:val="left"/>
        </w:tabs>
        <w:numPr>
          <w:ilvl w:val="0"/>
          <w:numId w:val="228"/>
        </w:numPr>
        <w:rPr>
          <w:rFonts w:ascii="Arial" w:cs="Arial" w:eastAsia="Arial" w:hAnsi="Arial"/>
          <w:sz w:val="20"/>
          <w:szCs w:val="20"/>
          <w:color w:val="auto"/>
        </w:rPr>
      </w:pPr>
      <w:r>
        <w:rPr>
          <w:rFonts w:ascii="Arial" w:cs="Arial" w:eastAsia="Arial" w:hAnsi="Arial"/>
          <w:sz w:val="20"/>
          <w:szCs w:val="20"/>
          <w:color w:val="auto"/>
        </w:rPr>
        <w:t>unless also signed by the Administrative Agent, no amendment, waiver or consent shall affect the rights or duties of the Administrative Agent under this Agreement or any other Loan Document;</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to the contrary herein, (i) any amendment, waiver or consent with respect to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(or any defined terms as and to the extent used therein, but not to the extent that such terms are used in any other provision of this Agreement or any other Loan Document), the last sentence of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the parenthetical provisions referencing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Sections 9.02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will not require the consent of the Required Lenders but shall be effective if, and only if, signed by the Required Pro Rata Facilities Lenders and the Company and acknowledged by the Administrative Agent, (ii) the Fee Letter may be amended, or rights or privileges thereunder waived, in a writing executed only by the parties thereto, (iii)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(iv)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(v) the Required Lenders shall determine whether or not to allow a Loan Party to use cash collateral in the context of a bankruptcy or insolvency proceeding and such determination shall be binding on all of the Lenders, (vi) an Incremental Facility Amendment shall be effective if signed by the applicable Borrower(s), the Administrative Agent and each Person that agrees to provide a portion of the applicable increase of the Aggregate Revolving A Commitments, increase of the Aggregate Revolving B Commitments or institution of an Incremental Term Loan pursuant to </w:t>
      </w:r>
      <w:r>
        <w:rPr>
          <w:rFonts w:ascii="Arial" w:cs="Arial" w:eastAsia="Arial" w:hAnsi="Arial"/>
          <w:sz w:val="18"/>
          <w:szCs w:val="18"/>
          <w:u w:val="single" w:color="auto"/>
          <w:color w:val="auto"/>
        </w:rPr>
        <w:t>Section 2.02(f)</w:t>
      </w:r>
      <w:r>
        <w:rPr>
          <w:rFonts w:ascii="Arial" w:cs="Arial" w:eastAsia="Arial" w:hAnsi="Arial"/>
          <w:sz w:val="18"/>
          <w:szCs w:val="18"/>
          <w:color w:val="auto"/>
        </w:rPr>
        <w:t>,</w:t>
      </w:r>
    </w:p>
    <w:p>
      <w:pPr>
        <w:spacing w:after="0" w:line="4" w:lineRule="exact"/>
        <w:rPr>
          <w:sz w:val="20"/>
          <w:szCs w:val="20"/>
          <w:color w:val="auto"/>
        </w:rPr>
      </w:pPr>
    </w:p>
    <w:p>
      <w:pPr>
        <w:jc w:val="both"/>
        <w:ind w:firstLine="8"/>
        <w:spacing w:after="0" w:line="270" w:lineRule="auto"/>
        <w:tabs>
          <w:tab w:leader="none" w:pos="39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 Refinancing Amendment shall be effective if signed by the Company, the Administrative Agent and each Person that agrees to provide a portion of the applicable Refinancing Indebtedness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(viii) an Extension Amendment shall be effective if signed by the Company, the Administrative Agent and each Person that agrees to provide a portion of such Extension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and (ix) any amendment, waiver or consent which affects solely the Lenders holding Loans and Commitments of a particular tranche (the “</w:t>
      </w:r>
      <w:r>
        <w:rPr>
          <w:rFonts w:ascii="Arial" w:cs="Arial" w:eastAsia="Arial" w:hAnsi="Arial"/>
          <w:sz w:val="18"/>
          <w:szCs w:val="18"/>
          <w:u w:val="single" w:color="auto"/>
          <w:color w:val="auto"/>
        </w:rPr>
        <w:t>Affected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Tranche</w:t>
      </w:r>
      <w:r>
        <w:rPr>
          <w:rFonts w:ascii="Arial" w:cs="Arial" w:eastAsia="Arial" w:hAnsi="Arial"/>
          <w:sz w:val="18"/>
          <w:szCs w:val="18"/>
          <w:color w:val="auto"/>
        </w:rPr>
        <w:t>”) may be effected with the consent of only the Lenders holding more than 50% of the aggregate outstanding principal amount of all Loans (and unutilized Commitments, if any) of the Affected Tranche or, to the extent such greater percentage would be required with respect to any such amendment, waiver or consent, with the consent of the Lenders holding such greater percentage of the aggregate outstanding principal amount of all Loans (and unutilized Commitments, if any) of the Affected Tranche.</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 provision herein to the contrary, this Agreement may be amended with the written consent of the Required Lenders, the Administrative Agent and the Borrower (i) to add one or more additional revolving credit or term loan facilities to this Agreement and to permit the extensions of credit and all related obligations and liabilities arising in connection therewith from time to time outstanding to share ratably (or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ectPr>
          <w:pgSz w:w="11900" w:h="16838" w:orient="portrait"/>
          <w:cols w:equalWidth="0" w:num="1">
            <w:col w:w="11420"/>
          </w:cols>
          <w:pgMar w:left="240" w:top="771" w:right="239" w:bottom="1440" w:gutter="0" w:footer="0" w:header="0"/>
        </w:sectPr>
      </w:pPr>
    </w:p>
    <w:bookmarkStart w:id="266" w:name="page267"/>
    <w:bookmarkEnd w:id="266"/>
    <w:p>
      <w:pPr>
        <w:jc w:val="both"/>
        <w:spacing w:after="0" w:line="244" w:lineRule="auto"/>
        <w:rPr>
          <w:sz w:val="20"/>
          <w:szCs w:val="20"/>
          <w:color w:val="auto"/>
        </w:rPr>
      </w:pPr>
      <w:r>
        <w:rPr>
          <w:rFonts w:ascii="Arial" w:cs="Arial" w:eastAsia="Arial" w:hAnsi="Arial"/>
          <w:sz w:val="20"/>
          <w:szCs w:val="20"/>
          <w:color w:val="auto"/>
        </w:rPr>
        <w:t>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Notwithstanding any provision herein to the contrary, the Administrative Agent and the Company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7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Notwithstanding any provision herein to the contrary, with respect to any amendment, amendment and restatement or other modification,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4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6"/>
          <w:szCs w:val="16"/>
          <w:u w:val="single" w:color="auto"/>
          <w:color w:val="auto"/>
        </w:rPr>
        <w:t>Notices and Other Communications; Facsimile Copies</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273" w:lineRule="auto"/>
        <w:tabs>
          <w:tab w:leader="none" w:pos="1897"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91" w:lineRule="exact"/>
        <w:rPr>
          <w:rFonts w:ascii="Arial" w:cs="Arial" w:eastAsia="Arial" w:hAnsi="Arial"/>
          <w:sz w:val="20"/>
          <w:szCs w:val="20"/>
          <w:color w:val="auto"/>
        </w:rPr>
      </w:pPr>
    </w:p>
    <w:p>
      <w:pPr>
        <w:ind w:left="1300" w:right="20" w:firstLine="653"/>
        <w:spacing w:after="0" w:line="347" w:lineRule="auto"/>
        <w:tabs>
          <w:tab w:leader="none" w:pos="231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if to the Borrowers or any other Loan Party, the Administrative Agent, the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jc w:val="both"/>
        <w:ind w:left="1300" w:firstLine="653"/>
        <w:spacing w:after="0" w:line="255" w:lineRule="exact"/>
        <w:tabs>
          <w:tab w:leader="none" w:pos="2383" w:val="left"/>
        </w:tabs>
        <w:numPr>
          <w:ilvl w:val="1"/>
          <w:numId w:val="230"/>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w:t>
      </w:r>
      <w:r>
        <w:rPr>
          <w:rFonts w:ascii="MS PGothic" w:cs="MS PGothic" w:eastAsia="MS PGothic" w:hAnsi="MS PGothic"/>
          <w:sz w:val="20"/>
          <w:szCs w:val="20"/>
          <w:color w:val="auto"/>
        </w:rPr>
        <w:t>‑</w:t>
      </w:r>
      <w:r>
        <w:rPr>
          <w:rFonts w:ascii="Arial" w:cs="Arial" w:eastAsia="Arial" w:hAnsi="Arial"/>
          <w:sz w:val="20"/>
          <w:szCs w:val="20"/>
          <w:color w:val="auto"/>
        </w:rPr>
        <w:t>public information relating to the Company).</w:t>
      </w:r>
    </w:p>
    <w:p>
      <w:pPr>
        <w:spacing w:after="0" w:line="209"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ectPr>
          <w:pgSz w:w="11900" w:h="16838" w:orient="portrait"/>
          <w:cols w:equalWidth="0" w:num="1">
            <w:col w:w="11420"/>
          </w:cols>
          <w:pgMar w:left="240" w:top="757" w:right="239" w:bottom="1440" w:gutter="0" w:footer="0" w:header="0"/>
        </w:sectPr>
      </w:pPr>
    </w:p>
    <w:bookmarkStart w:id="267" w:name="page268"/>
    <w:bookmarkEnd w:id="267"/>
    <w:p>
      <w:pPr>
        <w:spacing w:after="0" w:line="287" w:lineRule="auto"/>
        <w:rPr>
          <w:sz w:val="20"/>
          <w:szCs w:val="20"/>
          <w:color w:val="auto"/>
        </w:rPr>
      </w:pPr>
      <w:r>
        <w:rPr>
          <w:rFonts w:ascii="Arial" w:cs="Arial" w:eastAsia="Arial" w:hAnsi="Arial"/>
          <w:sz w:val="19"/>
          <w:szCs w:val="19"/>
          <w:color w:val="auto"/>
        </w:rPr>
        <w:t>opening of business on the next business day for the recipient). Notices and other communications delivered through electronic communications to the extent provided in subsection (b) below, shall be effective as provided in such subsection (b).</w:t>
      </w:r>
    </w:p>
    <w:p>
      <w:pPr>
        <w:spacing w:after="0" w:line="166" w:lineRule="exact"/>
        <w:rPr>
          <w:sz w:val="20"/>
          <w:szCs w:val="20"/>
          <w:color w:val="auto"/>
        </w:rPr>
      </w:pPr>
    </w:p>
    <w:p>
      <w:pPr>
        <w:jc w:val="both"/>
        <w:ind w:firstLine="645"/>
        <w:spacing w:after="0" w:line="255" w:lineRule="exact"/>
        <w:tabs>
          <w:tab w:leader="none" w:pos="1154"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Lenders and the L/C Issuer hereunder may be delivered or furnished by electronic communication (including e</w:t>
      </w:r>
      <w:r>
        <w:rPr>
          <w:rFonts w:ascii="MS PGothic" w:cs="MS PGothic" w:eastAsia="MS PGothic" w:hAnsi="MS PGothic"/>
          <w:sz w:val="20"/>
          <w:szCs w:val="20"/>
          <w:color w:val="auto"/>
        </w:rPr>
        <w:t>‑</w:t>
      </w:r>
      <w:r>
        <w:rPr>
          <w:rFonts w:ascii="Arial" w:cs="Arial" w:eastAsia="Arial" w:hAnsi="Arial"/>
          <w:sz w:val="20"/>
          <w:szCs w:val="20"/>
          <w:color w:val="auto"/>
        </w:rPr>
        <w:t xml:space="preserv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or the L/C Issuer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may each,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20"/>
          <w:szCs w:val="20"/>
          <w:color w:val="auto"/>
        </w:rPr>
        <w:t>Unless the Administrative Agent otherwise prescribes, (i) notices and other communications sent to an e</w:t>
      </w:r>
      <w:r>
        <w:rPr>
          <w:rFonts w:ascii="MS PGothic" w:cs="MS PGothic" w:eastAsia="MS PGothic" w:hAnsi="MS PGothic"/>
          <w:sz w:val="20"/>
          <w:szCs w:val="20"/>
          <w:color w:val="auto"/>
        </w:rPr>
        <w:t>‑</w:t>
      </w:r>
      <w:r>
        <w:rPr>
          <w:rFonts w:ascii="Arial" w:cs="Arial" w:eastAsia="Arial" w:hAnsi="Arial"/>
          <w:sz w:val="20"/>
          <w:szCs w:val="20"/>
          <w:color w:val="auto"/>
        </w:rPr>
        <w:t>mail address shall be deemed received upon the sender’s receipt of an acknowledgement from the intended recipient (such as by the “return receipt requested” function, as available, return e</w:t>
      </w:r>
      <w:r>
        <w:rPr>
          <w:rFonts w:ascii="MS PGothic" w:cs="MS PGothic" w:eastAsia="MS PGothic" w:hAnsi="MS PGothic"/>
          <w:sz w:val="20"/>
          <w:szCs w:val="20"/>
          <w:color w:val="auto"/>
        </w:rPr>
        <w:t>‑</w:t>
      </w:r>
      <w:r>
        <w:rPr>
          <w:rFonts w:ascii="Arial" w:cs="Arial" w:eastAsia="Arial" w:hAnsi="Arial"/>
          <w:sz w:val="20"/>
          <w:szCs w:val="20"/>
          <w:color w:val="auto"/>
        </w:rPr>
        <w:t>mail or other written acknowledgement) and (ii) notices or communications posted to an Internet or intranet website shall be deemed received upon the deemed receipt by the intended recipient at its e</w:t>
      </w:r>
      <w:r>
        <w:rPr>
          <w:rFonts w:ascii="MS PGothic" w:cs="MS PGothic" w:eastAsia="MS PGothic" w:hAnsi="MS PGothic"/>
          <w:sz w:val="20"/>
          <w:szCs w:val="20"/>
          <w:color w:val="auto"/>
        </w:rPr>
        <w:t>‑</w:t>
      </w:r>
      <w:r>
        <w:rPr>
          <w:rFonts w:ascii="Arial" w:cs="Arial" w:eastAsia="Arial" w:hAnsi="Arial"/>
          <w:sz w:val="20"/>
          <w:szCs w:val="20"/>
          <w:color w:val="auto"/>
        </w:rPr>
        <w:t xml:space="preserve">mail address as described in the foregoing clause (i) of notification that such notice or communication is available and identifying the website address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both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11" w:lineRule="exact"/>
        <w:rPr>
          <w:sz w:val="20"/>
          <w:szCs w:val="20"/>
          <w:color w:val="auto"/>
        </w:rPr>
      </w:pPr>
    </w:p>
    <w:p>
      <w:pPr>
        <w:ind w:left="1180" w:hanging="535"/>
        <w:spacing w:after="0"/>
        <w:tabs>
          <w:tab w:leader="none" w:pos="1180"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spacing w:after="0" w:line="26" w:lineRule="exact"/>
        <w:rPr>
          <w:rFonts w:ascii="Arial" w:cs="Arial" w:eastAsia="Arial" w:hAnsi="Arial"/>
          <w:sz w:val="20"/>
          <w:szCs w:val="20"/>
          <w:color w:val="auto"/>
        </w:rPr>
      </w:pPr>
    </w:p>
    <w:p>
      <w:pPr>
        <w:jc w:val="both"/>
        <w:spacing w:after="0" w:line="257" w:lineRule="exact"/>
        <w:rPr>
          <w:rFonts w:ascii="Arial" w:cs="Arial" w:eastAsia="Arial" w:hAnsi="Arial"/>
          <w:sz w:val="20"/>
          <w:szCs w:val="20"/>
          <w:color w:val="auto"/>
        </w:rPr>
      </w:pPr>
      <w:r>
        <w:rPr>
          <w:rFonts w:ascii="Arial" w:cs="Arial" w:eastAsia="Arial" w:hAnsi="Arial"/>
          <w:sz w:val="18"/>
          <w:szCs w:val="18"/>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w:t>
      </w:r>
      <w:r>
        <w:rPr>
          <w:rFonts w:ascii="MS PGothic" w:cs="MS PGothic" w:eastAsia="MS PGothic" w:hAnsi="MS PGothic"/>
          <w:sz w:val="18"/>
          <w:szCs w:val="18"/>
          <w:color w:val="auto"/>
        </w:rPr>
        <w:t>‑</w:t>
      </w:r>
      <w:r>
        <w:rPr>
          <w:rFonts w:ascii="Arial" w:cs="Arial" w:eastAsia="Arial" w:hAnsi="Arial"/>
          <w:sz w:val="18"/>
          <w:szCs w:val="18"/>
          <w:color w:val="auto"/>
        </w:rPr>
        <w:t>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any Borrower, any Lender, the L/C Issuer or any other Person for losses, claims, damages, liabilities or expenses of any kind (whether in tort, contract or otherwise) arising out of any Loan Party’s or the Administrative Agent’s transmission of Borrower Materials, notices or other Information through the Platform, any other electronic platform or electronic messaging service, the Internet or any other telecommunications, electronic or other information transmission systems,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200" w:lineRule="exact"/>
        <w:rPr>
          <w:sz w:val="20"/>
          <w:szCs w:val="20"/>
          <w:color w:val="auto"/>
        </w:rPr>
      </w:pPr>
    </w:p>
    <w:p>
      <w:pPr>
        <w:spacing w:after="0" w:line="266"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147</w:t>
      </w:r>
    </w:p>
    <w:p>
      <w:pPr>
        <w:sectPr>
          <w:pgSz w:w="11900" w:h="16838" w:orient="portrait"/>
          <w:cols w:equalWidth="0" w:num="1">
            <w:col w:w="10760"/>
          </w:cols>
          <w:pgMar w:left="900" w:top="758" w:right="239" w:bottom="1440" w:gutter="0" w:footer="0" w:header="0"/>
        </w:sectPr>
      </w:pPr>
    </w:p>
    <w:bookmarkStart w:id="268" w:name="page269"/>
    <w:bookmarkEnd w:id="268"/>
    <w:p>
      <w:pPr>
        <w:jc w:val="both"/>
        <w:ind w:left="660" w:firstLine="645"/>
        <w:spacing w:after="0" w:line="256" w:lineRule="exact"/>
        <w:tabs>
          <w:tab w:leader="none" w:pos="1719"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Borrowers,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with respect to the Borrowers or their respective securities for purposes of United States Federal or state securities laws.</w:t>
      </w:r>
    </w:p>
    <w:p>
      <w:pPr>
        <w:spacing w:after="0" w:line="231" w:lineRule="exact"/>
        <w:rPr>
          <w:rFonts w:ascii="Arial" w:cs="Arial" w:eastAsia="Arial" w:hAnsi="Arial"/>
          <w:sz w:val="18"/>
          <w:szCs w:val="18"/>
          <w:color w:val="auto"/>
        </w:rPr>
      </w:pPr>
    </w:p>
    <w:p>
      <w:pPr>
        <w:jc w:val="both"/>
        <w:ind w:left="660" w:firstLine="645"/>
        <w:spacing w:after="0" w:line="297" w:lineRule="auto"/>
        <w:tabs>
          <w:tab w:leader="none" w:pos="1776"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 and the Lenders shall be entitled to rely and act upon any notices (including telephonic notices, Loan Notices, Letter of Credit Applications, Notices of Loan Prepayment and Swing Line Loan Notices) purportedly given by or on behalf of any Loan Party even if (i) such notices were not made in a manner specified herein, were incomplete or were not preceded or followed by any other form of notice specified herein, or</w:t>
      </w:r>
    </w:p>
    <w:p>
      <w:pPr>
        <w:spacing w:after="0" w:line="1" w:lineRule="exact"/>
        <w:rPr>
          <w:rFonts w:ascii="Arial" w:cs="Arial" w:eastAsia="Arial" w:hAnsi="Arial"/>
          <w:sz w:val="18"/>
          <w:szCs w:val="18"/>
          <w:color w:val="auto"/>
        </w:rPr>
      </w:pPr>
    </w:p>
    <w:p>
      <w:pPr>
        <w:jc w:val="both"/>
        <w:ind w:left="660" w:hanging="4"/>
        <w:spacing w:after="0" w:line="273" w:lineRule="auto"/>
        <w:tabs>
          <w:tab w:leader="none" w:pos="981"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9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8"/>
          <w:szCs w:val="18"/>
          <w:u w:val="single" w:color="auto"/>
          <w:color w:val="auto"/>
        </w:rPr>
        <w:t>No Waiver; Cumulative Remedies; Enforcement.</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for the benefit of all the Lenders and the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ectPr>
          <w:pgSz w:w="11900" w:h="16838" w:orient="portrait"/>
          <w:cols w:equalWidth="0" w:num="1">
            <w:col w:w="11420"/>
          </w:cols>
          <w:pgMar w:left="240" w:top="771" w:right="239" w:bottom="1440" w:gutter="0" w:footer="0" w:header="0"/>
        </w:sectPr>
      </w:pPr>
    </w:p>
    <w:bookmarkStart w:id="269" w:name="page270"/>
    <w:bookmarkEnd w:id="269"/>
    <w:p>
      <w:pPr>
        <w:jc w:val="both"/>
        <w:spacing w:after="0" w:line="284" w:lineRule="auto"/>
        <w:rPr>
          <w:sz w:val="20"/>
          <w:szCs w:val="20"/>
          <w:color w:val="auto"/>
        </w:rPr>
      </w:pPr>
      <w:r>
        <w:rPr>
          <w:rFonts w:ascii="Arial" w:cs="Arial" w:eastAsia="Arial" w:hAnsi="Arial"/>
          <w:sz w:val="19"/>
          <w:szCs w:val="19"/>
          <w:color w:val="auto"/>
        </w:rPr>
        <w:t xml:space="preserve">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(or, in the case of any Event of Default arising from a breach of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the Required Pro Rata Facilities Lenders shall have the rights otherwise ascribed to the Administrative Agent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with respect to the Aggregate Revolving Commitments, the Term A Loan, the Incremental Term A Loans and the Obligations in respect thereof) and (ii) in addition to the matters set forth in clauses (b), (c) and (d) of the preceding proviso and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any Lender may, with the consent of the Required Lenders, enforce any rights and remedies available to it and as authorized by the Required Lenders (or, in the case of any Event of Default arising from a breach of </w:t>
      </w:r>
      <w:r>
        <w:rPr>
          <w:rFonts w:ascii="Arial" w:cs="Arial" w:eastAsia="Arial" w:hAnsi="Arial"/>
          <w:sz w:val="19"/>
          <w:szCs w:val="19"/>
          <w:u w:val="single" w:color="auto"/>
          <w:color w:val="auto"/>
        </w:rPr>
        <w:t>Section 8.11</w:t>
      </w:r>
      <w:r>
        <w:rPr>
          <w:rFonts w:ascii="Arial" w:cs="Arial" w:eastAsia="Arial" w:hAnsi="Arial"/>
          <w:sz w:val="19"/>
          <w:szCs w:val="19"/>
          <w:color w:val="auto"/>
        </w:rPr>
        <w:t>, any Lender with a Revolving Commitment, any outstanding Revolving Loans or participations in L/C Obligations or Swing Line Loans, any Term A Loan or any Incremental Term A Loan may, with the consent of the Required Pro Rata Facilities Lenders, enforce any rights and remedies available to it with respect to the to the Aggregate Revolving Commitments, the Term A Loan, the Incremental Term A Loans and the Obligations in respect thereof and as authorized by the Required Pro Rata Facilities Lenders).</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u w:val="single" w:color="auto"/>
          <w:color w:val="auto"/>
        </w:rPr>
        <w:t>Expenses; Indemnity; and Damage Waiver</w:t>
      </w:r>
      <w:r>
        <w:rPr>
          <w:rFonts w:ascii="Arial" w:cs="Arial" w:eastAsia="Arial" w:hAnsi="Arial"/>
          <w:sz w:val="16"/>
          <w:szCs w:val="16"/>
          <w:color w:val="auto"/>
        </w:rPr>
        <w:t>.</w:t>
      </w:r>
    </w:p>
    <w:p>
      <w:pPr>
        <w:spacing w:after="0" w:line="243" w:lineRule="exact"/>
        <w:rPr>
          <w:sz w:val="20"/>
          <w:szCs w:val="20"/>
          <w:color w:val="auto"/>
        </w:rPr>
      </w:pPr>
    </w:p>
    <w:p>
      <w:pPr>
        <w:jc w:val="both"/>
        <w:ind w:left="660" w:firstLine="645"/>
        <w:spacing w:after="0" w:line="256" w:lineRule="exact"/>
        <w:tabs>
          <w:tab w:leader="none" w:pos="1735"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Loan Parties shall pay (i)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L/C Issuer in connection with the issuance, amendment, renewal or extension of any Letter of Credit or any demand for payment thereunder and (iii) all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any Lender or the L/C Issuer (including the fees, charges and disbursements of any counsel for the Administrative Agent, any Lender or the L/C Issuer),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during any workout, restructuring or negotiations in respect of such Loans or Letters of Credit.</w:t>
      </w:r>
    </w:p>
    <w:p>
      <w:pPr>
        <w:spacing w:after="0" w:line="231" w:lineRule="exact"/>
        <w:rPr>
          <w:rFonts w:ascii="Arial" w:cs="Arial" w:eastAsia="Arial" w:hAnsi="Arial"/>
          <w:sz w:val="18"/>
          <w:szCs w:val="18"/>
          <w:color w:val="auto"/>
        </w:rPr>
      </w:pPr>
    </w:p>
    <w:p>
      <w:pPr>
        <w:jc w:val="both"/>
        <w:ind w:left="660" w:firstLine="645"/>
        <w:spacing w:after="0" w:line="254" w:lineRule="exact"/>
        <w:tabs>
          <w:tab w:leader="none" w:pos="1814"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Indemnification by the Loan Parties</w:t>
      </w:r>
      <w:r>
        <w:rPr>
          <w:rFonts w:ascii="Arial" w:cs="Arial" w:eastAsia="Arial" w:hAnsi="Arial"/>
          <w:sz w:val="20"/>
          <w:szCs w:val="20"/>
          <w:color w:val="auto"/>
        </w:rPr>
        <w:t>. The Loan Parties shall indemnify the Administrative Agent (and any sub</w:t>
      </w:r>
      <w:r>
        <w:rPr>
          <w:rFonts w:ascii="MS PGothic" w:cs="MS PGothic" w:eastAsia="MS PGothic" w:hAnsi="MS PGothic"/>
          <w:sz w:val="20"/>
          <w:szCs w:val="20"/>
          <w:color w:val="auto"/>
        </w:rPr>
        <w:t>‑</w:t>
      </w:r>
      <w:r>
        <w:rPr>
          <w:rFonts w:ascii="Arial" w:cs="Arial" w:eastAsia="Arial" w:hAnsi="Arial"/>
          <w:sz w:val="20"/>
          <w:szCs w:val="20"/>
          <w:color w:val="auto"/>
        </w:rPr>
        <w:t>agent thereof), each Arranger, each Lender and the L/C Issuer, and each Related Party of any of the foregoing Persons (each such Person being called an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ectPr>
          <w:pgSz w:w="11900" w:h="16838" w:orient="portrait"/>
          <w:cols w:equalWidth="0" w:num="1">
            <w:col w:w="11420"/>
          </w:cols>
          <w:pgMar w:left="240" w:top="771" w:right="239" w:bottom="1440" w:gutter="0" w:footer="0" w:header="0"/>
        </w:sectPr>
      </w:pPr>
    </w:p>
    <w:bookmarkStart w:id="270" w:name="page271"/>
    <w:bookmarkEnd w:id="270"/>
    <w:p>
      <w:pPr>
        <w:jc w:val="both"/>
        <w:spacing w:after="0" w:line="260"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w:t>
      </w:r>
      <w:r>
        <w:rPr>
          <w:rFonts w:ascii="MS PGothic" w:cs="MS PGothic" w:eastAsia="MS PGothic" w:hAnsi="MS PGothic"/>
          <w:sz w:val="16"/>
          <w:szCs w:val="16"/>
          <w:color w:val="auto"/>
        </w:rPr>
        <w:t>‑</w:t>
      </w:r>
      <w:r>
        <w:rPr>
          <w:rFonts w:ascii="Arial" w:cs="Arial" w:eastAsia="Arial" w:hAnsi="Arial"/>
          <w:sz w:val="16"/>
          <w:szCs w:val="16"/>
          <w:color w:val="auto"/>
        </w:rPr>
        <w:t xml:space="preserve">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result from a material breach of this Agreement or of any other Loan Document by such Indemnitee, if the Company or such Loan Party has obtained a final and nonappealable judgment in its favor on such claim as determined by a court of competent jurisdiction.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w:t>
      </w:r>
      <w:r>
        <w:rPr>
          <w:rFonts w:ascii="MS PGothic" w:cs="MS PGothic" w:eastAsia="MS PGothic" w:hAnsi="MS PGothic"/>
          <w:sz w:val="16"/>
          <w:szCs w:val="16"/>
          <w:color w:val="auto"/>
        </w:rPr>
        <w:t>‑</w:t>
      </w:r>
      <w:r>
        <w:rPr>
          <w:rFonts w:ascii="Arial" w:cs="Arial" w:eastAsia="Arial" w:hAnsi="Arial"/>
          <w:sz w:val="16"/>
          <w:szCs w:val="16"/>
          <w:color w:val="auto"/>
        </w:rPr>
        <w:t>Tax claim.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45"/>
        <w:spacing w:after="0" w:line="256" w:lineRule="exact"/>
        <w:tabs>
          <w:tab w:leader="none" w:pos="1170"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To the extent that the Loan Parties for any reason fail to indefeasibly pay any amount required under subsection (a) or (b) of this Section to be paid by them to the Administrative Agent (or any sub</w:t>
      </w:r>
      <w:r>
        <w:rPr>
          <w:rFonts w:ascii="MS PGothic" w:cs="MS PGothic" w:eastAsia="MS PGothic" w:hAnsi="MS PGothic"/>
          <w:sz w:val="19"/>
          <w:szCs w:val="19"/>
          <w:color w:val="auto"/>
        </w:rPr>
        <w:t>‑</w:t>
      </w:r>
      <w:r>
        <w:rPr>
          <w:rFonts w:ascii="Arial" w:cs="Arial" w:eastAsia="Arial" w:hAnsi="Arial"/>
          <w:sz w:val="19"/>
          <w:szCs w:val="19"/>
          <w:color w:val="auto"/>
        </w:rPr>
        <w:t>agent thereof), the L/C Issuer, the Swing Line Lender or any Related Party of any of the foregoing, each Lender severally agrees to pay to the Administrative Agent (or any such sub</w:t>
      </w:r>
      <w:r>
        <w:rPr>
          <w:rFonts w:ascii="MS PGothic" w:cs="MS PGothic" w:eastAsia="MS PGothic" w:hAnsi="MS PGothic"/>
          <w:sz w:val="19"/>
          <w:szCs w:val="19"/>
          <w:color w:val="auto"/>
        </w:rPr>
        <w:t>‑</w:t>
      </w:r>
      <w:r>
        <w:rPr>
          <w:rFonts w:ascii="Arial" w:cs="Arial" w:eastAsia="Arial" w:hAnsi="Arial"/>
          <w:sz w:val="19"/>
          <w:szCs w:val="19"/>
          <w:color w:val="auto"/>
        </w:rPr>
        <w:t xml:space="preserve">agent), the L/C Issuer, the Swing Line Lender or such Related Party, as the case may be,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w:t>
      </w:r>
      <w:r>
        <w:rPr>
          <w:rFonts w:ascii="MS PGothic" w:cs="MS PGothic" w:eastAsia="MS PGothic" w:hAnsi="MS PGothic"/>
          <w:sz w:val="19"/>
          <w:szCs w:val="19"/>
          <w:color w:val="auto"/>
        </w:rPr>
        <w:t>‑</w:t>
      </w:r>
      <w:r>
        <w:rPr>
          <w:rFonts w:ascii="Arial" w:cs="Arial" w:eastAsia="Arial" w:hAnsi="Arial"/>
          <w:sz w:val="19"/>
          <w:szCs w:val="19"/>
          <w:color w:val="auto"/>
        </w:rPr>
        <w:t>agent), the L/C Issuer or the Swing Line Lender in its capacity as such, or against any Related Party of any of the foregoing acting for the Administrative Agent (or any such sub</w:t>
      </w:r>
      <w:r>
        <w:rPr>
          <w:rFonts w:ascii="MS PGothic" w:cs="MS PGothic" w:eastAsia="MS PGothic" w:hAnsi="MS PGothic"/>
          <w:sz w:val="19"/>
          <w:szCs w:val="19"/>
          <w:color w:val="auto"/>
        </w:rPr>
        <w:t>‑</w:t>
      </w:r>
      <w:r>
        <w:rPr>
          <w:rFonts w:ascii="Arial" w:cs="Arial" w:eastAsia="Arial" w:hAnsi="Arial"/>
          <w:sz w:val="19"/>
          <w:szCs w:val="19"/>
          <w:color w:val="auto"/>
        </w:rPr>
        <w:t xml:space="preserve">agent), the L/C Issuer or the Swing Line Lender in connection with such capacity. The obligations of the Lenders under this subsection (c)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200" w:lineRule="exact"/>
        <w:rPr>
          <w:sz w:val="20"/>
          <w:szCs w:val="20"/>
          <w:color w:val="auto"/>
        </w:rPr>
      </w:pPr>
    </w:p>
    <w:p>
      <w:pPr>
        <w:spacing w:after="0" w:line="267"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150</w:t>
      </w:r>
    </w:p>
    <w:p>
      <w:pPr>
        <w:sectPr>
          <w:pgSz w:w="11900" w:h="16838" w:orient="portrait"/>
          <w:cols w:equalWidth="0" w:num="1">
            <w:col w:w="10760"/>
          </w:cols>
          <w:pgMar w:left="900" w:top="771" w:right="239" w:bottom="1440" w:gutter="0" w:footer="0" w:header="0"/>
        </w:sectPr>
      </w:pPr>
    </w:p>
    <w:bookmarkStart w:id="271" w:name="page272"/>
    <w:bookmarkEnd w:id="271"/>
    <w:p>
      <w:pPr>
        <w:jc w:val="both"/>
        <w:ind w:left="660" w:firstLine="645"/>
        <w:spacing w:after="0" w:line="304" w:lineRule="auto"/>
        <w:tabs>
          <w:tab w:leader="none" w:pos="1746"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1" w:lineRule="exact"/>
        <w:rPr>
          <w:rFonts w:ascii="Arial" w:cs="Arial" w:eastAsia="Arial" w:hAnsi="Arial"/>
          <w:sz w:val="18"/>
          <w:szCs w:val="18"/>
          <w:color w:val="auto"/>
        </w:rPr>
      </w:pPr>
    </w:p>
    <w:p>
      <w:pPr>
        <w:ind w:left="1700" w:hanging="395"/>
        <w:spacing w:after="0"/>
        <w:tabs>
          <w:tab w:leader="none" w:pos="17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65" w:lineRule="exact"/>
        <w:rPr>
          <w:rFonts w:ascii="Arial" w:cs="Arial" w:eastAsia="Arial" w:hAnsi="Arial"/>
          <w:sz w:val="18"/>
          <w:szCs w:val="18"/>
          <w:color w:val="auto"/>
        </w:rPr>
      </w:pPr>
    </w:p>
    <w:p>
      <w:pPr>
        <w:jc w:val="both"/>
        <w:ind w:left="660" w:firstLine="645"/>
        <w:spacing w:after="0" w:line="278" w:lineRule="auto"/>
        <w:tabs>
          <w:tab w:leader="none" w:pos="1700"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11.02(e)</w:t>
      </w:r>
      <w:r>
        <w:rPr>
          <w:rFonts w:ascii="Arial" w:cs="Arial" w:eastAsia="Arial" w:hAnsi="Arial"/>
          <w:sz w:val="20"/>
          <w:szCs w:val="20"/>
          <w:color w:val="auto"/>
        </w:rPr>
        <w:t xml:space="preserve"> shall survive the resignation of the Administrative Agent and the L/C Issuer, the replacement of any Lender, the termination of the Commitments and the repayment, satisfaction or discharge of all the other Obligations.</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6"/>
          <w:szCs w:val="16"/>
          <w:u w:val="single" w:color="auto"/>
          <w:color w:val="auto"/>
        </w:rPr>
        <w:t>Successors and Assigns.</w:t>
      </w:r>
    </w:p>
    <w:p>
      <w:pPr>
        <w:spacing w:after="0" w:line="243" w:lineRule="exact"/>
        <w:rPr>
          <w:sz w:val="20"/>
          <w:szCs w:val="20"/>
          <w:color w:val="auto"/>
        </w:rPr>
      </w:pPr>
    </w:p>
    <w:p>
      <w:pPr>
        <w:jc w:val="both"/>
        <w:ind w:left="660" w:firstLine="645"/>
        <w:spacing w:after="0" w:line="272" w:lineRule="auto"/>
        <w:tabs>
          <w:tab w:leader="none" w:pos="1789"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Successors and Assigns Generally</w:t>
      </w:r>
      <w:r>
        <w:rPr>
          <w:rFonts w:ascii="Arial" w:cs="Arial" w:eastAsia="Arial" w:hAnsi="Arial"/>
          <w:sz w:val="20"/>
          <w:szCs w:val="20"/>
          <w:color w:val="auto"/>
        </w:rPr>
        <w:t>. The provisions of this Agreement and the other Loan Documents shall be binding upon and inure to the benefit of the parties hereto and thereto and their respective successors and assigns permitted hereby, except that the Borrowers may not assign or otherwise transfer any of their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ectPr>
          <w:pgSz w:w="11900" w:h="16838" w:orient="portrait"/>
          <w:cols w:equalWidth="0" w:num="1">
            <w:col w:w="11420"/>
          </w:cols>
          <w:pgMar w:left="240" w:top="771" w:right="239" w:bottom="1440" w:gutter="0" w:footer="0" w:header="0"/>
        </w:sectPr>
      </w:pPr>
    </w:p>
    <w:bookmarkStart w:id="272" w:name="page273"/>
    <w:bookmarkEnd w:id="272"/>
    <w:p>
      <w:pPr>
        <w:jc w:val="both"/>
        <w:spacing w:after="0" w:line="288" w:lineRule="auto"/>
        <w:rPr>
          <w:sz w:val="20"/>
          <w:szCs w:val="20"/>
          <w:color w:val="auto"/>
        </w:rPr>
      </w:pPr>
      <w:r>
        <w:rPr>
          <w:rFonts w:ascii="Arial" w:cs="Arial" w:eastAsia="Arial" w:hAnsi="Arial"/>
          <w:sz w:val="19"/>
          <w:szCs w:val="19"/>
          <w:color w:val="auto"/>
        </w:rPr>
        <w:t>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83" w:lineRule="exact"/>
        <w:rPr>
          <w:sz w:val="20"/>
          <w:szCs w:val="20"/>
          <w:color w:val="auto"/>
        </w:rPr>
      </w:pPr>
    </w:p>
    <w:p>
      <w:pPr>
        <w:jc w:val="both"/>
        <w:ind w:firstLine="645"/>
        <w:spacing w:after="0" w:line="274" w:lineRule="auto"/>
        <w:tabs>
          <w:tab w:leader="none" w:pos="1100"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2" w:lineRule="exact"/>
        <w:rPr>
          <w:rFonts w:ascii="Arial" w:cs="Arial" w:eastAsia="Arial" w:hAnsi="Arial"/>
          <w:sz w:val="20"/>
          <w:szCs w:val="20"/>
          <w:color w:val="auto"/>
        </w:rPr>
      </w:pPr>
    </w:p>
    <w:p>
      <w:pPr>
        <w:ind w:left="1660" w:hanging="367"/>
        <w:spacing w:after="0"/>
        <w:tabs>
          <w:tab w:leader="none" w:pos="1660" w:val="left"/>
        </w:tabs>
        <w:numPr>
          <w:ilvl w:val="1"/>
          <w:numId w:val="239"/>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firstLine="641"/>
        <w:spacing w:after="0" w:line="274" w:lineRule="auto"/>
        <w:tabs>
          <w:tab w:leader="none" w:pos="2430" w:val="left"/>
        </w:tabs>
        <w:numPr>
          <w:ilvl w:val="2"/>
          <w:numId w:val="239"/>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 the related Loans at the time owing to it (in each case with respect to any credit facility provided hereunder) or in the case of an assignment to a Lender, an Affiliate of a Lender or an Approved Fund, no minimum amount need be assigned; and</w:t>
      </w:r>
    </w:p>
    <w:p>
      <w:pPr>
        <w:spacing w:after="0" w:line="192" w:lineRule="exact"/>
        <w:rPr>
          <w:rFonts w:ascii="Arial" w:cs="Arial" w:eastAsia="Arial" w:hAnsi="Arial"/>
          <w:sz w:val="20"/>
          <w:szCs w:val="20"/>
          <w:color w:val="auto"/>
        </w:rPr>
      </w:pPr>
    </w:p>
    <w:p>
      <w:pPr>
        <w:jc w:val="both"/>
        <w:ind w:left="1300" w:firstLine="641"/>
        <w:spacing w:after="0" w:line="302" w:lineRule="auto"/>
        <w:tabs>
          <w:tab w:leader="none" w:pos="2608" w:val="left"/>
        </w:tabs>
        <w:numPr>
          <w:ilvl w:val="2"/>
          <w:numId w:val="239"/>
        </w:numPr>
        <w:rPr>
          <w:rFonts w:ascii="Arial" w:cs="Arial" w:eastAsia="Arial" w:hAnsi="Arial"/>
          <w:sz w:val="18"/>
          <w:szCs w:val="18"/>
          <w:color w:val="auto"/>
        </w:rPr>
      </w:pPr>
      <w:r>
        <w:rPr>
          <w:rFonts w:ascii="Arial" w:cs="Arial" w:eastAsia="Arial" w:hAnsi="Arial"/>
          <w:sz w:val="18"/>
          <w:szCs w:val="18"/>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any revolving credit facility provided hereunder and $1,000,000 in the case of any assignment in respect of any term loan facility provided hereunder, unless each of the Administrative Agent and, so long as no Event of Default has occurred and is continuing, the Company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assignee (or to an assignee and members of its Assignee Group) will be treated as a single assignment for purposes of determining whether such minimum amount has been met;</w:t>
      </w:r>
    </w:p>
    <w:p>
      <w:pPr>
        <w:spacing w:after="0" w:line="169" w:lineRule="exact"/>
        <w:rPr>
          <w:rFonts w:ascii="Arial" w:cs="Arial" w:eastAsia="Arial" w:hAnsi="Arial"/>
          <w:sz w:val="18"/>
          <w:szCs w:val="18"/>
          <w:color w:val="auto"/>
        </w:rPr>
      </w:pPr>
    </w:p>
    <w:p>
      <w:pPr>
        <w:ind w:left="640" w:firstLine="653"/>
        <w:spacing w:after="0" w:line="289" w:lineRule="auto"/>
        <w:tabs>
          <w:tab w:leader="none" w:pos="1926" w:val="left"/>
        </w:tabs>
        <w:numPr>
          <w:ilvl w:val="1"/>
          <w:numId w:val="239"/>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75" w:lineRule="exact"/>
        <w:rPr>
          <w:rFonts w:ascii="Arial" w:cs="Arial" w:eastAsia="Arial" w:hAnsi="Arial"/>
          <w:sz w:val="20"/>
          <w:szCs w:val="20"/>
          <w:color w:val="auto"/>
        </w:rPr>
      </w:pPr>
    </w:p>
    <w:p>
      <w:pPr>
        <w:ind w:left="1300" w:firstLine="641"/>
        <w:spacing w:after="0" w:line="289" w:lineRule="auto"/>
        <w:tabs>
          <w:tab w:leader="none" w:pos="2416" w:val="left"/>
        </w:tabs>
        <w:numPr>
          <w:ilvl w:val="2"/>
          <w:numId w:val="239"/>
        </w:numPr>
        <w:rPr>
          <w:rFonts w:ascii="Arial" w:cs="Arial" w:eastAsia="Arial" w:hAnsi="Arial"/>
          <w:sz w:val="20"/>
          <w:szCs w:val="20"/>
          <w:color w:val="auto"/>
        </w:rPr>
      </w:pPr>
      <w:r>
        <w:rPr>
          <w:rFonts w:ascii="Arial" w:cs="Arial" w:eastAsia="Arial" w:hAnsi="Arial"/>
          <w:sz w:val="20"/>
          <w:szCs w:val="20"/>
          <w:color w:val="auto"/>
        </w:rPr>
        <w:t>the consent of the Company (such consent not to be unreasonably withheld or delayed) shall be required unless (1) an Event of Default has occurred</w:t>
      </w: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152</w:t>
      </w:r>
    </w:p>
    <w:p>
      <w:pPr>
        <w:sectPr>
          <w:pgSz w:w="11900" w:h="16838" w:orient="portrait"/>
          <w:cols w:equalWidth="0" w:num="1">
            <w:col w:w="10760"/>
          </w:cols>
          <w:pgMar w:left="900" w:top="771" w:right="239" w:bottom="1440" w:gutter="0" w:footer="0" w:header="0"/>
        </w:sectPr>
      </w:pPr>
    </w:p>
    <w:bookmarkStart w:id="273" w:name="page274"/>
    <w:bookmarkEnd w:id="273"/>
    <w:p>
      <w:pPr>
        <w:jc w:val="both"/>
        <w:ind w:left="760"/>
        <w:spacing w:after="0" w:line="273" w:lineRule="auto"/>
        <w:rPr>
          <w:sz w:val="20"/>
          <w:szCs w:val="20"/>
          <w:color w:val="auto"/>
        </w:rPr>
      </w:pPr>
      <w:r>
        <w:rPr>
          <w:rFonts w:ascii="Arial" w:cs="Arial" w:eastAsia="Arial" w:hAnsi="Arial"/>
          <w:sz w:val="20"/>
          <w:szCs w:val="20"/>
          <w:color w:val="auto"/>
        </w:rPr>
        <w:t xml:space="preserve">and is continuing at the time of such assignment or (2)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Company’s consent shall not be required during the primary syndication of the credit facilities provided herein;</w:t>
      </w:r>
    </w:p>
    <w:p>
      <w:pPr>
        <w:spacing w:after="0" w:line="191" w:lineRule="exact"/>
        <w:rPr>
          <w:sz w:val="20"/>
          <w:szCs w:val="20"/>
          <w:color w:val="auto"/>
        </w:rPr>
      </w:pPr>
    </w:p>
    <w:p>
      <w:pPr>
        <w:jc w:val="both"/>
        <w:ind w:left="760" w:firstLine="641"/>
        <w:spacing w:after="0" w:line="272" w:lineRule="auto"/>
        <w:tabs>
          <w:tab w:leader="none" w:pos="1866" w:val="left"/>
        </w:tabs>
        <w:numPr>
          <w:ilvl w:val="1"/>
          <w:numId w:val="240"/>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(i) any unfunded commitment to a term loan facility provided hereunder or any Revolving Commitment if such assignment is to a Person that is not a Lender with a Commitment in respect of the applicable credit facility subject to such assignment, an Affiliate of such Lender or an Approved Fund with respect to such Lender or (ii) any term loan facility to a Person that is not a Lender, an Affiliate of a Lender or an Approved Fund;</w:t>
      </w:r>
    </w:p>
    <w:p>
      <w:pPr>
        <w:spacing w:after="0" w:line="191" w:lineRule="exact"/>
        <w:rPr>
          <w:rFonts w:ascii="Arial" w:cs="Arial" w:eastAsia="Arial" w:hAnsi="Arial"/>
          <w:sz w:val="20"/>
          <w:szCs w:val="20"/>
          <w:color w:val="auto"/>
        </w:rPr>
      </w:pPr>
    </w:p>
    <w:p>
      <w:pPr>
        <w:jc w:val="both"/>
        <w:ind w:left="760" w:firstLine="641"/>
        <w:spacing w:after="0" w:line="278" w:lineRule="auto"/>
        <w:tabs>
          <w:tab w:leader="none" w:pos="1852" w:val="left"/>
        </w:tabs>
        <w:numPr>
          <w:ilvl w:val="1"/>
          <w:numId w:val="240"/>
        </w:numPr>
        <w:rPr>
          <w:rFonts w:ascii="Arial" w:cs="Arial" w:eastAsia="Arial" w:hAnsi="Arial"/>
          <w:sz w:val="20"/>
          <w:szCs w:val="20"/>
          <w:color w:val="auto"/>
        </w:rPr>
      </w:pPr>
      <w:r>
        <w:rPr>
          <w:rFonts w:ascii="Arial" w:cs="Arial" w:eastAsia="Arial" w:hAnsi="Arial"/>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86" w:lineRule="exact"/>
        <w:rPr>
          <w:rFonts w:ascii="Arial" w:cs="Arial" w:eastAsia="Arial" w:hAnsi="Arial"/>
          <w:sz w:val="20"/>
          <w:szCs w:val="20"/>
          <w:color w:val="auto"/>
        </w:rPr>
      </w:pPr>
    </w:p>
    <w:p>
      <w:pPr>
        <w:jc w:val="both"/>
        <w:ind w:left="760" w:firstLine="641"/>
        <w:spacing w:after="0" w:line="272" w:lineRule="auto"/>
        <w:tabs>
          <w:tab w:leader="none" w:pos="1917" w:val="left"/>
        </w:tabs>
        <w:numPr>
          <w:ilvl w:val="1"/>
          <w:numId w:val="240"/>
        </w:numPr>
        <w:rPr>
          <w:rFonts w:ascii="Arial" w:cs="Arial" w:eastAsia="Arial" w:hAnsi="Arial"/>
          <w:sz w:val="20"/>
          <w:szCs w:val="20"/>
          <w:color w:val="auto"/>
        </w:rPr>
      </w:pPr>
      <w:r>
        <w:rPr>
          <w:rFonts w:ascii="Arial" w:cs="Arial" w:eastAsia="Arial" w:hAnsi="Arial"/>
          <w:sz w:val="20"/>
          <w:szCs w:val="20"/>
          <w:color w:val="auto"/>
        </w:rPr>
        <w:t>the consent of the Swing Line Lender (such consent not to unreasonably withheld or delayed) shall be required for (i) any assignment in respect of a Revolving A Commitment if such assignment is to a Person that is not a Lender with a Revolving A Commitment, an Affiliate of such Lender or an Approved Fund with respect to such Lender, and (ii) any assignment in respect of a Revolving B Commitment if such assignment is to a Person that is not a Lender with a Revolving B Commitment, an Affiliate of such Lender or an Approved Fund with respect to such Lender.</w:t>
      </w:r>
    </w:p>
    <w:p>
      <w:pPr>
        <w:spacing w:after="0" w:line="191" w:lineRule="exact"/>
        <w:rPr>
          <w:rFonts w:ascii="Arial" w:cs="Arial" w:eastAsia="Arial" w:hAnsi="Arial"/>
          <w:sz w:val="20"/>
          <w:szCs w:val="20"/>
          <w:color w:val="auto"/>
        </w:rPr>
      </w:pPr>
    </w:p>
    <w:p>
      <w:pPr>
        <w:jc w:val="both"/>
        <w:ind w:left="100" w:firstLine="653"/>
        <w:spacing w:after="0" w:line="273" w:lineRule="auto"/>
        <w:tabs>
          <w:tab w:leader="none" w:pos="1306"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1" w:lineRule="exact"/>
        <w:rPr>
          <w:rFonts w:ascii="Arial" w:cs="Arial" w:eastAsia="Arial" w:hAnsi="Arial"/>
          <w:sz w:val="20"/>
          <w:szCs w:val="20"/>
          <w:color w:val="auto"/>
        </w:rPr>
      </w:pPr>
    </w:p>
    <w:p>
      <w:pPr>
        <w:jc w:val="both"/>
        <w:ind w:left="100" w:firstLine="653"/>
        <w:spacing w:after="0" w:line="322" w:lineRule="auto"/>
        <w:tabs>
          <w:tab w:leader="none" w:pos="1268"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Parent or any of the Parent’s Affiliates or Subsidiaries, or (B) to any Defaulting Lender or any of its Subsidiaries, or any Person who, upon becoming a Lender hereunder, would constitute any of the foregoing Persons described in this clause (B), or (C) to a natural person.</w:t>
      </w:r>
    </w:p>
    <w:p>
      <w:pPr>
        <w:spacing w:after="0" w:line="152" w:lineRule="exact"/>
        <w:rPr>
          <w:rFonts w:ascii="Arial" w:cs="Arial" w:eastAsia="Arial" w:hAnsi="Arial"/>
          <w:sz w:val="18"/>
          <w:szCs w:val="18"/>
          <w:color w:val="auto"/>
        </w:rPr>
      </w:pPr>
    </w:p>
    <w:p>
      <w:pPr>
        <w:jc w:val="both"/>
        <w:ind w:left="100" w:firstLine="653"/>
        <w:spacing w:after="0" w:line="278" w:lineRule="auto"/>
        <w:tabs>
          <w:tab w:leader="none" w:pos="1253"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Certain Additional Payments</w:t>
      </w:r>
      <w:r>
        <w:rPr>
          <w:rFonts w:ascii="Arial" w:cs="Arial" w:eastAsia="Arial" w:hAnsi="Arial"/>
          <w:sz w:val="20"/>
          <w:szCs w:val="20"/>
          <w:color w:val="auto"/>
        </w:rPr>
        <w:t>. In connection with any assignment of rights and obligations of any Defaulting Lender hereunder, no such assignment shall be effective unless and until, in addition to the other conditions thereto set forth herein, the parties to</w:t>
      </w: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153</w:t>
      </w:r>
    </w:p>
    <w:p>
      <w:pPr>
        <w:sectPr>
          <w:pgSz w:w="11900" w:h="16838" w:orient="portrait"/>
          <w:cols w:equalWidth="0" w:num="1">
            <w:col w:w="10220"/>
          </w:cols>
          <w:pgMar w:left="1440" w:top="771" w:right="239" w:bottom="1440" w:gutter="0" w:footer="0" w:header="0"/>
        </w:sectPr>
      </w:pPr>
    </w:p>
    <w:bookmarkStart w:id="274" w:name="page275"/>
    <w:bookmarkEnd w:id="274"/>
    <w:p>
      <w:pPr>
        <w:jc w:val="both"/>
        <w:ind w:left="1300"/>
        <w:spacing w:after="0" w:line="302" w:lineRule="auto"/>
        <w:rPr>
          <w:sz w:val="20"/>
          <w:szCs w:val="20"/>
          <w:color w:val="auto"/>
        </w:rPr>
      </w:pPr>
      <w:r>
        <w:rPr>
          <w:rFonts w:ascii="Arial" w:cs="Arial" w:eastAsia="Arial" w:hAnsi="Arial"/>
          <w:sz w:val="18"/>
          <w:szCs w:val="18"/>
          <w:color w:val="auto"/>
        </w:rPr>
        <w:t>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4" w:lineRule="exact"/>
        <w:rPr>
          <w:sz w:val="20"/>
          <w:szCs w:val="20"/>
          <w:color w:val="auto"/>
        </w:rPr>
      </w:pPr>
    </w:p>
    <w:p>
      <w:pPr>
        <w:jc w:val="both"/>
        <w:ind w:left="1300" w:firstLine="653"/>
        <w:spacing w:after="0" w:line="255" w:lineRule="exact"/>
        <w:tabs>
          <w:tab w:leader="none" w:pos="2414"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Loans and Commitments assigned, except that this clause (vi) shall not (A) apply to the Swing Line Lender’s rights and obligations in respect of Swing Line Loans or (B) prohibit any Lender from assigning all or a portion of its rights and obligations among any revolving credit facility or term loan facility provided hereunder on a non</w:t>
      </w:r>
      <w:r>
        <w:rPr>
          <w:rFonts w:ascii="MS PGothic" w:cs="MS PGothic" w:eastAsia="MS PGothic" w:hAnsi="MS PGothic"/>
          <w:sz w:val="20"/>
          <w:szCs w:val="20"/>
          <w:color w:val="auto"/>
        </w:rPr>
        <w:t>‑</w:t>
      </w:r>
      <w:r>
        <w:rPr>
          <w:rFonts w:ascii="Arial" w:cs="Arial" w:eastAsia="Arial" w:hAnsi="Arial"/>
          <w:sz w:val="20"/>
          <w:szCs w:val="20"/>
          <w:color w:val="auto"/>
        </w:rPr>
        <w:t>pro rata basis.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9" w:lineRule="exact"/>
        <w:rPr>
          <w:sz w:val="20"/>
          <w:szCs w:val="20"/>
          <w:color w:val="auto"/>
        </w:rPr>
      </w:pPr>
    </w:p>
    <w:p>
      <w:pPr>
        <w:jc w:val="both"/>
        <w:ind w:left="660" w:firstLine="645"/>
        <w:spacing w:after="0" w:line="272" w:lineRule="auto"/>
        <w:tabs>
          <w:tab w:leader="none" w:pos="1749" w:val="left"/>
        </w:tabs>
        <w:numPr>
          <w:ilvl w:val="0"/>
          <w:numId w:val="243"/>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Borrowers, the Administrative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ectPr>
          <w:pgSz w:w="11900" w:h="16838" w:orient="portrait"/>
          <w:cols w:equalWidth="0" w:num="1">
            <w:col w:w="11420"/>
          </w:cols>
          <w:pgMar w:left="240" w:top="771" w:right="239" w:bottom="1440" w:gutter="0" w:footer="0" w:header="0"/>
        </w:sectPr>
      </w:pPr>
    </w:p>
    <w:bookmarkStart w:id="275" w:name="page276"/>
    <w:bookmarkEnd w:id="275"/>
    <w:p>
      <w:pPr>
        <w:jc w:val="both"/>
        <w:spacing w:after="0" w:line="273" w:lineRule="auto"/>
        <w:rPr>
          <w:sz w:val="20"/>
          <w:szCs w:val="20"/>
          <w:color w:val="auto"/>
        </w:rPr>
      </w:pPr>
      <w:r>
        <w:rPr>
          <w:rFonts w:ascii="Arial" w:cs="Arial" w:eastAsia="Arial" w:hAnsi="Arial"/>
          <w:sz w:val="20"/>
          <w:szCs w:val="20"/>
          <w:color w:val="auto"/>
        </w:rPr>
        <w:t>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each of the Borrowers and any Lender, at any reasonable time and from time to time upon reasonable prior notice.</w:t>
      </w:r>
    </w:p>
    <w:p>
      <w:pPr>
        <w:spacing w:after="0" w:line="191" w:lineRule="exact"/>
        <w:rPr>
          <w:sz w:val="20"/>
          <w:szCs w:val="20"/>
          <w:color w:val="auto"/>
        </w:rPr>
      </w:pPr>
    </w:p>
    <w:p>
      <w:pPr>
        <w:jc w:val="both"/>
        <w:ind w:firstLine="645"/>
        <w:spacing w:after="0" w:line="301" w:lineRule="auto"/>
        <w:tabs>
          <w:tab w:leader="none" w:pos="1059"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any Borrower, the Administrative Agent, the L/C Issuer or the Swing Line Lender, sell participations to any Person (other than a natural person, a Defaulting Lender or the Parent or any of the Parent’s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other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clauses (i) through (viii) of the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that affects such Participant.</w:t>
      </w:r>
    </w:p>
    <w:p>
      <w:pPr>
        <w:spacing w:after="0" w:line="164"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 xml:space="preserve">Each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w:t>
      </w:r>
      <w:r>
        <w:rPr>
          <w:rFonts w:ascii="MS PGothic" w:cs="MS PGothic" w:eastAsia="MS PGothic" w:hAnsi="MS PGothic"/>
          <w:sz w:val="18"/>
          <w:szCs w:val="18"/>
          <w:color w:val="auto"/>
        </w:rPr>
        <w:t>‑</w:t>
      </w:r>
      <w:r>
        <w:rPr>
          <w:rFonts w:ascii="Arial" w:cs="Arial" w:eastAsia="Arial" w:hAnsi="Arial"/>
          <w:sz w:val="18"/>
          <w:szCs w:val="18"/>
          <w:color w:val="auto"/>
        </w:rPr>
        <w:t>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w:t>
      </w:r>
    </w:p>
    <w:p>
      <w:pPr>
        <w:spacing w:after="0" w:line="200" w:lineRule="exact"/>
        <w:rPr>
          <w:sz w:val="20"/>
          <w:szCs w:val="20"/>
          <w:color w:val="auto"/>
        </w:rPr>
      </w:pPr>
    </w:p>
    <w:p>
      <w:pPr>
        <w:spacing w:after="0" w:line="262"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155</w:t>
      </w:r>
    </w:p>
    <w:p>
      <w:pPr>
        <w:sectPr>
          <w:pgSz w:w="11900" w:h="16838" w:orient="portrait"/>
          <w:cols w:equalWidth="0" w:num="1">
            <w:col w:w="10760"/>
          </w:cols>
          <w:pgMar w:left="900" w:top="771" w:right="239" w:bottom="1440" w:gutter="0" w:footer="0" w:header="0"/>
        </w:sectPr>
      </w:pPr>
    </w:p>
    <w:bookmarkStart w:id="276" w:name="page277"/>
    <w:bookmarkEnd w:id="276"/>
    <w:p>
      <w:pPr>
        <w:jc w:val="both"/>
        <w:spacing w:after="0" w:line="234" w:lineRule="exact"/>
        <w:rPr>
          <w:sz w:val="20"/>
          <w:szCs w:val="20"/>
          <w:color w:val="auto"/>
        </w:rPr>
      </w:pPr>
      <w:r>
        <w:rPr>
          <w:rFonts w:ascii="Arial" w:cs="Arial" w:eastAsia="Arial" w:hAnsi="Arial"/>
          <w:sz w:val="19"/>
          <w:szCs w:val="19"/>
          <w:color w:val="auto"/>
        </w:rPr>
        <w:t>is necessary to establish that such commitment, loan, letter of credit or other obligation is in registered form under Section 5f.103</w:t>
      </w:r>
      <w:r>
        <w:rPr>
          <w:rFonts w:ascii="MS PGothic" w:cs="MS PGothic" w:eastAsia="MS PGothic" w:hAnsi="MS PGothic"/>
          <w:sz w:val="19"/>
          <w:szCs w:val="19"/>
          <w:color w:val="auto"/>
        </w:rPr>
        <w:t>‑</w:t>
      </w:r>
      <w:r>
        <w:rPr>
          <w:rFonts w:ascii="Arial" w:cs="Arial" w:eastAsia="Arial" w:hAnsi="Arial"/>
          <w:sz w:val="19"/>
          <w:szCs w:val="19"/>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12" w:lineRule="exact"/>
        <w:rPr>
          <w:sz w:val="20"/>
          <w:szCs w:val="20"/>
          <w:color w:val="auto"/>
        </w:rPr>
      </w:pPr>
    </w:p>
    <w:p>
      <w:pPr>
        <w:jc w:val="both"/>
        <w:ind w:firstLine="645"/>
        <w:spacing w:after="0" w:line="293" w:lineRule="auto"/>
        <w:tabs>
          <w:tab w:leader="none" w:pos="1075"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5" w:lineRule="exact"/>
        <w:rPr>
          <w:rFonts w:ascii="Arial" w:cs="Arial" w:eastAsia="Arial" w:hAnsi="Arial"/>
          <w:sz w:val="19"/>
          <w:szCs w:val="19"/>
          <w:color w:val="auto"/>
        </w:rPr>
      </w:pPr>
    </w:p>
    <w:p>
      <w:pPr>
        <w:jc w:val="both"/>
        <w:ind w:left="1300" w:hanging="655"/>
        <w:spacing w:after="0" w:line="301" w:lineRule="auto"/>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Resignation as L/C Issuer after Assignment</w:t>
      </w:r>
      <w:r>
        <w:rPr>
          <w:rFonts w:ascii="Arial" w:cs="Arial" w:eastAsia="Arial" w:hAnsi="Arial"/>
          <w:sz w:val="18"/>
          <w:szCs w:val="18"/>
          <w:color w:val="auto"/>
        </w:rPr>
        <w:t xml:space="preserve">. Notwithstanding anything to the contrary contained herein, if at any time Bank of America assigns all of its Revolving A Commitment and Revolving A Loans pursuant to subsection (b) above, Bank of America may, upon thirty days’ notice to the Company and the Lenders, resign as L/C Issuer. In the event of any such resignation as L/C Issuer, the Company shall be entitled to appoint from among the Lenders a successor L/C Issuer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the Company to appoint any such successor shall affect the resignation of Bank of America as L/C Issuer.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Upon the appointment of a successor L/C Issuer, (1) such successor shall succeed to and become vested with all of the rights, powers, privileges and duties of the retiring L/C Issuer,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4" w:lineRule="exact"/>
        <w:rPr>
          <w:rFonts w:ascii="Arial" w:cs="Arial" w:eastAsia="Arial" w:hAnsi="Arial"/>
          <w:sz w:val="18"/>
          <w:szCs w:val="18"/>
          <w:color w:val="auto"/>
        </w:rPr>
      </w:pPr>
    </w:p>
    <w:p>
      <w:pPr>
        <w:jc w:val="both"/>
        <w:ind w:left="1300" w:firstLine="641"/>
        <w:spacing w:after="0" w:line="286" w:lineRule="auto"/>
        <w:tabs>
          <w:tab w:leader="none" w:pos="2403" w:val="left"/>
        </w:tabs>
        <w:numPr>
          <w:ilvl w:val="1"/>
          <w:numId w:val="245"/>
        </w:numPr>
        <w:rPr>
          <w:rFonts w:ascii="Arial" w:cs="Arial" w:eastAsia="Arial" w:hAnsi="Arial"/>
          <w:sz w:val="19"/>
          <w:szCs w:val="19"/>
          <w:color w:val="auto"/>
        </w:rPr>
      </w:pPr>
      <w:r>
        <w:rPr>
          <w:rFonts w:ascii="Arial" w:cs="Arial" w:eastAsia="Arial" w:hAnsi="Arial"/>
          <w:sz w:val="19"/>
          <w:szCs w:val="19"/>
          <w:u w:val="single" w:color="auto"/>
          <w:color w:val="auto"/>
        </w:rPr>
        <w:t>Resignation as Swing Line Lender after Assignment</w:t>
      </w:r>
      <w:r>
        <w:rPr>
          <w:rFonts w:ascii="Arial" w:cs="Arial" w:eastAsia="Arial" w:hAnsi="Arial"/>
          <w:sz w:val="19"/>
          <w:szCs w:val="19"/>
          <w:color w:val="auto"/>
        </w:rPr>
        <w:t xml:space="preserve">. Notwithstanding anything to the contrary contained herein, if at any time Bank of America assigns all of its Revolving A Commitment and its Revolving B Commitment, and all of its Revolving A Loans and Revolving B Loans pursuant to subsection (b) above, Bank of America may, upon thirty days’ notice to the Company, resign as Swing Line Lender. In the event of any such resignation as Swing Line Lender, the Company shall be entitled to appoint from among the Lenders a successor Swing Line Lender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failure by the Company to appoint any such successor shall affect the resignation of Bank of America as Swing Line Lender. If Bank of America resigns as Swing Line Lender, it shall retain all the rights of the Swing Line Lender provided for</w:t>
      </w:r>
    </w:p>
    <w:p>
      <w:pPr>
        <w:spacing w:after="0" w:line="200" w:lineRule="exact"/>
        <w:rPr>
          <w:sz w:val="20"/>
          <w:szCs w:val="20"/>
          <w:color w:val="auto"/>
        </w:rPr>
      </w:pPr>
    </w:p>
    <w:p>
      <w:pPr>
        <w:spacing w:after="0" w:line="229"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156</w:t>
      </w:r>
    </w:p>
    <w:p>
      <w:pPr>
        <w:sectPr>
          <w:pgSz w:w="11900" w:h="16838" w:orient="portrait"/>
          <w:cols w:equalWidth="0" w:num="1">
            <w:col w:w="10760"/>
          </w:cols>
          <w:pgMar w:left="900" w:top="757" w:right="239" w:bottom="1440" w:gutter="0" w:footer="0" w:header="0"/>
        </w:sectPr>
      </w:pPr>
    </w:p>
    <w:bookmarkStart w:id="277" w:name="page278"/>
    <w:bookmarkEnd w:id="277"/>
    <w:p>
      <w:pPr>
        <w:jc w:val="both"/>
        <w:ind w:left="1960"/>
        <w:spacing w:after="0" w:line="314" w:lineRule="auto"/>
        <w:rPr>
          <w:sz w:val="20"/>
          <w:szCs w:val="20"/>
          <w:color w:val="auto"/>
        </w:rPr>
      </w:pPr>
      <w:r>
        <w:rPr>
          <w:rFonts w:ascii="Arial" w:cs="Arial" w:eastAsia="Arial" w:hAnsi="Arial"/>
          <w:sz w:val="18"/>
          <w:szCs w:val="18"/>
          <w:color w:val="auto"/>
        </w:rPr>
        <w:t xml:space="preserve">hereunder with respect to Swing Line Loans made by it and outstanding as of the effective date of such resignation, including the right to require the Lenders to make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Swing Line Lender, such successor shall succeed to and become vested with all of the rights, powers, privileges and duties of the retiring Swing Line Lender.</w:t>
      </w:r>
    </w:p>
    <w:p>
      <w:pPr>
        <w:spacing w:after="0" w:line="15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Each of the Administrative Agent, the Lenders and the L/C Issuer agrees to maintain the confidentiality of the Information (as defined below), except that Information may be disclosed (a) to its Affiliates and to its and its Affiliates’ respective partners, directors, officers, employees, agents, advisors and representatives and to any direct or indirect contractual counterparty (or such contractual counterparty’s professional advisor) under any Swap Contract relating to Loans outstanding under this Agreement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w:t>
      </w:r>
      <w:r>
        <w:rPr>
          <w:rFonts w:ascii="MS PGothic" w:cs="MS PGothic" w:eastAsia="MS PGothic" w:hAnsi="MS PGothic"/>
          <w:sz w:val="18"/>
          <w:szCs w:val="18"/>
          <w:color w:val="auto"/>
        </w:rPr>
        <w:t>‑</w:t>
      </w:r>
      <w:r>
        <w:rPr>
          <w:rFonts w:ascii="Arial" w:cs="Arial" w:eastAsia="Arial" w:hAnsi="Arial"/>
          <w:sz w:val="18"/>
          <w:szCs w:val="18"/>
          <w:color w:val="auto"/>
        </w:rPr>
        <w:t>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(or at least as restrictive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 Loan Party and its obligations, (g) on a confidential basis to (i) any rating agency in connection with rating the Parent or any of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Company, (i) to any actual or prospective credit insurance provider relating to the Borrowers and their obligations, or (j) to the extent such Information (i) becomes publicly available other than as a result of a breach of this Section or (ii) becomes available to the Administrative Agent, any Lender, the L/C Issuer or any of their respective Affiliates on a nonconfidential basis from a source other than the Company.</w:t>
      </w:r>
    </w:p>
    <w:p>
      <w:pPr>
        <w:spacing w:after="0" w:line="2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a Loan Party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9"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20"/>
          <w:szCs w:val="20"/>
          <w:color w:val="auto"/>
        </w:rPr>
        <w:t>Each of the Administrative Agent, the Lenders and the L/C Issuer acknowledges that (a) the Information may include material non</w:t>
      </w:r>
      <w:r>
        <w:rPr>
          <w:rFonts w:ascii="MS PGothic" w:cs="MS PGothic" w:eastAsia="MS PGothic" w:hAnsi="MS PGothic"/>
          <w:sz w:val="20"/>
          <w:szCs w:val="20"/>
          <w:color w:val="auto"/>
        </w:rPr>
        <w:t>‑</w:t>
      </w:r>
      <w:r>
        <w:rPr>
          <w:rFonts w:ascii="Arial" w:cs="Arial" w:eastAsia="Arial" w:hAnsi="Arial"/>
          <w:sz w:val="20"/>
          <w:szCs w:val="20"/>
          <w:color w:val="auto"/>
        </w:rPr>
        <w:t>public information concerning the Parent or a Subsidiary, as the case may be, (b) it has developed compliance procedures regarding the use of material non</w:t>
      </w:r>
      <w:r>
        <w:rPr>
          <w:rFonts w:ascii="MS PGothic" w:cs="MS PGothic" w:eastAsia="MS PGothic" w:hAnsi="MS PGothic"/>
          <w:sz w:val="20"/>
          <w:szCs w:val="20"/>
          <w:color w:val="auto"/>
        </w:rPr>
        <w:t>‑</w:t>
      </w:r>
      <w:r>
        <w:rPr>
          <w:rFonts w:ascii="Arial" w:cs="Arial" w:eastAsia="Arial" w:hAnsi="Arial"/>
          <w:sz w:val="20"/>
          <w:szCs w:val="20"/>
          <w:color w:val="auto"/>
        </w:rPr>
        <w:t>public information and (c) it will handle such material non</w:t>
      </w:r>
      <w:r>
        <w:rPr>
          <w:rFonts w:ascii="MS PGothic" w:cs="MS PGothic" w:eastAsia="MS PGothic" w:hAnsi="MS PGothic"/>
          <w:sz w:val="20"/>
          <w:szCs w:val="20"/>
          <w:color w:val="auto"/>
        </w:rPr>
        <w:t>‑</w:t>
      </w:r>
      <w:r>
        <w:rPr>
          <w:rFonts w:ascii="Arial" w:cs="Arial" w:eastAsia="Arial" w:hAnsi="Arial"/>
          <w:sz w:val="20"/>
          <w:szCs w:val="20"/>
          <w:color w:val="auto"/>
        </w:rPr>
        <w:t>public information in accordance with applicable Law, including United States Federal and state securities Laws.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ectPr>
          <w:pgSz w:w="11900" w:h="16838" w:orient="portrait"/>
          <w:cols w:equalWidth="0" w:num="1">
            <w:col w:w="11420"/>
          </w:cols>
          <w:pgMar w:left="240" w:top="771" w:right="239" w:bottom="1440" w:gutter="0" w:footer="0" w:header="0"/>
        </w:sectPr>
      </w:pPr>
    </w:p>
    <w:bookmarkStart w:id="278" w:name="page279"/>
    <w:bookmarkEnd w:id="278"/>
    <w:p>
      <w:pPr>
        <w:ind w:left="660"/>
        <w:spacing w:after="0" w:line="230" w:lineRule="exact"/>
        <w:tabs>
          <w:tab w:leader="none" w:pos="126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u w:val="single" w:color="auto"/>
          <w:color w:val="auto"/>
        </w:rPr>
        <w:t>Set</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off</w:t>
      </w:r>
      <w:r>
        <w:rPr>
          <w:rFonts w:ascii="MS PGothic" w:cs="MS PGothic" w:eastAsia="MS PGothic" w:hAnsi="MS PGothic"/>
          <w:sz w:val="18"/>
          <w:szCs w:val="18"/>
          <w:u w:val="single" w:color="auto"/>
          <w:color w:val="auto"/>
        </w:rPr>
        <w: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u w:val="single" w:color="auto"/>
          <w:color w:val="auto"/>
        </w:rPr>
        <w:t>Interest Rate Limitation.</w:t>
      </w:r>
    </w:p>
    <w:p>
      <w:pPr>
        <w:spacing w:after="0" w:line="229"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w:t>
      </w:r>
      <w:r>
        <w:rPr>
          <w:rFonts w:ascii="MS PGothic" w:cs="MS PGothic" w:eastAsia="MS PGothic" w:hAnsi="MS PGothic"/>
          <w:sz w:val="19"/>
          <w:szCs w:val="19"/>
          <w:color w:val="auto"/>
        </w:rPr>
        <w:t>‑</w:t>
      </w:r>
      <w:r>
        <w:rPr>
          <w:rFonts w:ascii="Arial" w:cs="Arial" w:eastAsia="Arial" w:hAnsi="Arial"/>
          <w:sz w:val="19"/>
          <w:szCs w:val="19"/>
          <w:color w:val="auto"/>
        </w:rPr>
        <w:t>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the Administrative Agent and when the Administrative Agent shall have received counterparts hereof in accordance with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that, when taken together, bear the signatures of each of the other parties hereto. Delivery of an executed counterpart of a signature page of this Agreement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ectPr>
          <w:pgSz w:w="11900" w:h="16838" w:orient="portrait"/>
          <w:cols w:equalWidth="0" w:num="1">
            <w:col w:w="11420"/>
          </w:cols>
          <w:pgMar w:left="240" w:top="771" w:right="239" w:bottom="1440" w:gutter="0" w:footer="0" w:header="0"/>
        </w:sectPr>
      </w:pPr>
    </w:p>
    <w:bookmarkStart w:id="279" w:name="page280"/>
    <w:bookmarkEnd w:id="279"/>
    <w:p>
      <w:pPr>
        <w:spacing w:after="0"/>
        <w:rPr>
          <w:sz w:val="20"/>
          <w:szCs w:val="20"/>
          <w:color w:val="auto"/>
        </w:rPr>
      </w:pPr>
      <w:r>
        <w:rPr>
          <w:rFonts w:ascii="Arial" w:cs="Arial" w:eastAsia="Arial" w:hAnsi="Arial"/>
          <w:sz w:val="19"/>
          <w:szCs w:val="19"/>
          <w:color w:val="auto"/>
        </w:rPr>
        <w:t>by telecopy or other electronic imaging means shall be effective as delivery of a manually executed counterpart of this Agreement.</w:t>
      </w:r>
    </w:p>
    <w:p>
      <w:pPr>
        <w:spacing w:after="0" w:line="24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spacing w:after="0" w:line="1" w:lineRule="exact"/>
        <w:rPr>
          <w:sz w:val="20"/>
          <w:szCs w:val="20"/>
          <w:color w:val="auto"/>
        </w:rPr>
      </w:pPr>
    </w:p>
    <w:p>
      <w:pPr>
        <w:jc w:val="both"/>
        <w:ind w:firstLine="8"/>
        <w:spacing w:after="0" w:line="255" w:lineRule="auto"/>
        <w:tabs>
          <w:tab w:leader="none" w:pos="30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11.12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9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 xml:space="preserve">If (i)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(ii) the Company is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or (iii) a Lender is a Non</w:t>
      </w:r>
      <w:r>
        <w:rPr>
          <w:rFonts w:ascii="MS PGothic" w:cs="MS PGothic" w:eastAsia="MS PGothic" w:hAnsi="MS PGothic"/>
          <w:sz w:val="19"/>
          <w:szCs w:val="19"/>
          <w:color w:val="auto"/>
        </w:rPr>
        <w:t>‑</w:t>
      </w:r>
      <w:r>
        <w:rPr>
          <w:rFonts w:ascii="Arial" w:cs="Arial" w:eastAsia="Arial" w:hAnsi="Arial"/>
          <w:sz w:val="19"/>
          <w:szCs w:val="19"/>
          <w:color w:val="auto"/>
        </w:rPr>
        <w:t xml:space="preserve">Consenting Lender, or (iv) any Lender is a Defaulting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12" w:lineRule="exact"/>
        <w:rPr>
          <w:sz w:val="20"/>
          <w:szCs w:val="20"/>
          <w:color w:val="auto"/>
        </w:rPr>
      </w:pPr>
    </w:p>
    <w:p>
      <w:pPr>
        <w:ind w:left="1700" w:hanging="395"/>
        <w:spacing w:after="0"/>
        <w:tabs>
          <w:tab w:leader="none" w:pos="17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 xml:space="preserve">the Company shall have paid to the Administrative Agent the assignment fee specified in </w:t>
      </w:r>
      <w:r>
        <w:rPr>
          <w:rFonts w:ascii="Arial" w:cs="Arial" w:eastAsia="Arial" w:hAnsi="Arial"/>
          <w:sz w:val="20"/>
          <w:szCs w:val="20"/>
          <w:u w:val="single" w:color="auto"/>
          <w:color w:val="auto"/>
        </w:rPr>
        <w:t>Section 11.06(b)</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5"/>
        <w:spacing w:after="0" w:line="314" w:lineRule="auto"/>
        <w:tabs>
          <w:tab w:leader="none" w:pos="173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one hundred percent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Company or applicable Designated Borrower (in the case of all other amounts);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ectPr>
          <w:pgSz w:w="11900" w:h="16838" w:orient="portrait"/>
          <w:cols w:equalWidth="0" w:num="1">
            <w:col w:w="11420"/>
          </w:cols>
          <w:pgMar w:left="240" w:top="758" w:right="239" w:bottom="1440" w:gutter="0" w:footer="0" w:header="0"/>
        </w:sectPr>
      </w:pPr>
    </w:p>
    <w:bookmarkStart w:id="280" w:name="page281"/>
    <w:bookmarkEnd w:id="280"/>
    <w:p>
      <w:pPr>
        <w:ind w:left="660" w:firstLine="645"/>
        <w:spacing w:after="0" w:line="347" w:lineRule="auto"/>
        <w:tabs>
          <w:tab w:leader="none" w:pos="170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24" w:lineRule="exact"/>
        <w:rPr>
          <w:rFonts w:ascii="Arial" w:cs="Arial" w:eastAsia="Arial" w:hAnsi="Arial"/>
          <w:sz w:val="18"/>
          <w:szCs w:val="18"/>
          <w:color w:val="auto"/>
        </w:rPr>
      </w:pPr>
    </w:p>
    <w:p>
      <w:pPr>
        <w:ind w:left="1720" w:hanging="415"/>
        <w:spacing w:after="0"/>
        <w:tabs>
          <w:tab w:leader="none" w:pos="172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r>
        <w:rPr>
          <w:rFonts w:ascii="Arial" w:cs="Arial" w:eastAsia="Arial" w:hAnsi="Arial"/>
          <w:sz w:val="20"/>
          <w:szCs w:val="20"/>
          <w:b w:val="1"/>
          <w:bCs w:val="1"/>
          <w:color w:val="auto"/>
        </w:rPr>
        <w:t>;</w:t>
      </w:r>
      <w:r>
        <w:rPr>
          <w:rFonts w:ascii="Arial" w:cs="Arial" w:eastAsia="Arial" w:hAnsi="Arial"/>
          <w:sz w:val="20"/>
          <w:szCs w:val="20"/>
          <w:color w:val="auto"/>
        </w:rPr>
        <w:t xml:space="preserve"> and</w:t>
      </w:r>
    </w:p>
    <w:p>
      <w:pPr>
        <w:spacing w:after="0" w:line="248" w:lineRule="exact"/>
        <w:rPr>
          <w:rFonts w:ascii="Arial" w:cs="Arial" w:eastAsia="Arial" w:hAnsi="Arial"/>
          <w:sz w:val="20"/>
          <w:szCs w:val="20"/>
          <w:color w:val="auto"/>
        </w:rPr>
      </w:pPr>
    </w:p>
    <w:p>
      <w:pPr>
        <w:jc w:val="both"/>
        <w:ind w:left="660" w:firstLine="645"/>
        <w:spacing w:after="0" w:line="255" w:lineRule="exact"/>
        <w:tabs>
          <w:tab w:leader="none" w:pos="1762"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in the case of any such assignment resulting from a Non</w:t>
      </w:r>
      <w:r>
        <w:rPr>
          <w:rFonts w:ascii="MS PGothic" w:cs="MS PGothic" w:eastAsia="MS PGothic" w:hAnsi="MS PGothic"/>
          <w:sz w:val="20"/>
          <w:szCs w:val="20"/>
          <w:color w:val="auto"/>
        </w:rPr>
        <w:t>‑</w:t>
      </w:r>
      <w:r>
        <w:rPr>
          <w:rFonts w:ascii="Arial" w:cs="Arial" w:eastAsia="Arial" w:hAnsi="Arial"/>
          <w:sz w:val="20"/>
          <w:szCs w:val="20"/>
          <w:color w:val="auto"/>
        </w:rPr>
        <w:t xml:space="preserve">Consenting Lender’s failure to consent to a proposed change, waiver, discharge or termination with respect to any Loan Document, the applicable assignee consents to the proposed change, waiver, discharge or 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by such Non</w:t>
      </w:r>
      <w:r>
        <w:rPr>
          <w:rFonts w:ascii="MS PGothic" w:cs="MS PGothic" w:eastAsia="MS PGothic" w:hAnsi="MS PGothic"/>
          <w:sz w:val="20"/>
          <w:szCs w:val="20"/>
          <w:color w:val="auto"/>
        </w:rPr>
        <w:t>‑</w:t>
      </w:r>
      <w:r>
        <w:rPr>
          <w:rFonts w:ascii="Arial" w:cs="Arial" w:eastAsia="Arial" w:hAnsi="Arial"/>
          <w:sz w:val="20"/>
          <w:szCs w:val="20"/>
          <w:color w:val="auto"/>
        </w:rPr>
        <w:t>Consenting Lender to execute and deliver an Assignment and Assumption shall not impair the validity of the removal of such Non</w:t>
      </w:r>
      <w:r>
        <w:rPr>
          <w:rFonts w:ascii="MS PGothic" w:cs="MS PGothic" w:eastAsia="MS PGothic" w:hAnsi="MS PGothic"/>
          <w:sz w:val="20"/>
          <w:szCs w:val="20"/>
          <w:color w:val="auto"/>
        </w:rPr>
        <w:t>‑</w:t>
      </w:r>
      <w:r>
        <w:rPr>
          <w:rFonts w:ascii="Arial" w:cs="Arial" w:eastAsia="Arial" w:hAnsi="Arial"/>
          <w:sz w:val="20"/>
          <w:szCs w:val="20"/>
          <w:color w:val="auto"/>
        </w:rPr>
        <w:t>Consenting Lender and the mandatory assignment of such Non</w:t>
      </w:r>
      <w:r>
        <w:rPr>
          <w:rFonts w:ascii="MS PGothic" w:cs="MS PGothic" w:eastAsia="MS PGothic" w:hAnsi="MS PGothic"/>
          <w:sz w:val="20"/>
          <w:szCs w:val="20"/>
          <w:color w:val="auto"/>
        </w:rPr>
        <w:t>‑</w:t>
      </w:r>
      <w:r>
        <w:rPr>
          <w:rFonts w:ascii="Arial" w:cs="Arial" w:eastAsia="Arial" w:hAnsi="Arial"/>
          <w:sz w:val="20"/>
          <w:szCs w:val="20"/>
          <w:color w:val="auto"/>
        </w:rPr>
        <w:t xml:space="preserve">Consenting Lender’s Commitments and outstanding Loans and participations in L/C Obligations and Swing Line Loans pursuant to this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shall nevertheless be effective without the execution by such Non</w:t>
      </w:r>
      <w:r>
        <w:rPr>
          <w:rFonts w:ascii="MS PGothic" w:cs="MS PGothic" w:eastAsia="MS PGothic" w:hAnsi="MS PGothic"/>
          <w:sz w:val="20"/>
          <w:szCs w:val="20"/>
          <w:color w:val="auto"/>
        </w:rPr>
        <w:t>‑</w:t>
      </w:r>
      <w:r>
        <w:rPr>
          <w:rFonts w:ascii="Arial" w:cs="Arial" w:eastAsia="Arial" w:hAnsi="Arial"/>
          <w:sz w:val="20"/>
          <w:szCs w:val="20"/>
          <w:color w:val="auto"/>
        </w:rPr>
        <w:t>Consenting Lender of an Assignment and Assumption.</w:t>
      </w:r>
    </w:p>
    <w:p>
      <w:pPr>
        <w:spacing w:after="0" w:line="21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9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5"/>
        <w:spacing w:after="0" w:line="255" w:lineRule="exact"/>
        <w:tabs>
          <w:tab w:leader="none" w:pos="1803"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 OF THE STATE OF NEW YORK (INCLUDING SECTION 5</w:t>
      </w:r>
      <w:r>
        <w:rPr>
          <w:rFonts w:ascii="MS PGothic" w:cs="MS PGothic" w:eastAsia="MS PGothic" w:hAnsi="MS PGothic"/>
          <w:sz w:val="19"/>
          <w:szCs w:val="19"/>
          <w:color w:val="auto"/>
        </w:rPr>
        <w:t>‑</w:t>
      </w:r>
      <w:r>
        <w:rPr>
          <w:rFonts w:ascii="Arial" w:cs="Arial" w:eastAsia="Arial" w:hAnsi="Arial"/>
          <w:sz w:val="19"/>
          <w:szCs w:val="19"/>
          <w:color w:val="auto"/>
        </w:rPr>
        <w:t>1401 AND SECTION 5</w:t>
      </w:r>
      <w:r>
        <w:rPr>
          <w:rFonts w:ascii="MS PGothic" w:cs="MS PGothic" w:eastAsia="MS PGothic" w:hAnsi="MS PGothic"/>
          <w:sz w:val="19"/>
          <w:szCs w:val="19"/>
          <w:color w:val="auto"/>
        </w:rPr>
        <w:t>‑</w:t>
      </w:r>
      <w:r>
        <w:rPr>
          <w:rFonts w:ascii="Arial" w:cs="Arial" w:eastAsia="Arial" w:hAnsi="Arial"/>
          <w:sz w:val="19"/>
          <w:szCs w:val="19"/>
          <w:color w:val="auto"/>
        </w:rPr>
        <w:t>1402 OF THE GENERAL OBLIGATIONS LAW OF THE STATE OF NEW YORK) WITHOUT REGARD TO CONFLICTS OF LAW PRINCIPLES THAT WOULD REQUIRE APPLICATION OF THE LAWS OF ANOTHER JURISDICTION.</w:t>
      </w:r>
    </w:p>
    <w:p>
      <w:pPr>
        <w:spacing w:after="0" w:line="222" w:lineRule="exact"/>
        <w:rPr>
          <w:rFonts w:ascii="Arial" w:cs="Arial" w:eastAsia="Arial" w:hAnsi="Arial"/>
          <w:sz w:val="19"/>
          <w:szCs w:val="19"/>
          <w:color w:val="auto"/>
        </w:rPr>
      </w:pPr>
    </w:p>
    <w:p>
      <w:pPr>
        <w:jc w:val="both"/>
        <w:ind w:left="660" w:firstLine="645"/>
        <w:spacing w:after="0" w:line="284" w:lineRule="auto"/>
        <w:tabs>
          <w:tab w:leader="none" w:pos="2286"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OF THE PARTIES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PARTY HERETO MAY OTHERWISE HAVE TO BRING ANY ACTION OR PROCEEDING RELATING TO THIS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ectPr>
          <w:pgSz w:w="11900" w:h="16838" w:orient="portrait"/>
          <w:cols w:equalWidth="0" w:num="1">
            <w:col w:w="11420"/>
          </w:cols>
          <w:pgMar w:left="240" w:top="771" w:right="239" w:bottom="1440" w:gutter="0" w:footer="0" w:header="0"/>
        </w:sectPr>
      </w:pPr>
    </w:p>
    <w:bookmarkStart w:id="281" w:name="page282"/>
    <w:bookmarkEnd w:id="281"/>
    <w:p>
      <w:pPr>
        <w:ind w:left="660" w:right="20"/>
        <w:spacing w:after="0" w:line="289" w:lineRule="auto"/>
        <w:rPr>
          <w:sz w:val="20"/>
          <w:szCs w:val="20"/>
          <w:color w:val="auto"/>
        </w:rPr>
      </w:pPr>
      <w:r>
        <w:rPr>
          <w:rFonts w:ascii="Arial" w:cs="Arial" w:eastAsia="Arial" w:hAnsi="Arial"/>
          <w:sz w:val="20"/>
          <w:szCs w:val="20"/>
          <w:color w:val="auto"/>
        </w:rPr>
        <w:t>AGREEMENT OR ANY OTHER LOAN DOCUMENT AGAINST ANY OTHER PARTY HERETO OR ITS PROPERTIES IN THE COURTS OF ANY JURISDICTION.</w:t>
      </w:r>
    </w:p>
    <w:p>
      <w:pPr>
        <w:spacing w:after="0" w:line="175" w:lineRule="exact"/>
        <w:rPr>
          <w:sz w:val="20"/>
          <w:szCs w:val="20"/>
          <w:color w:val="auto"/>
        </w:rPr>
      </w:pPr>
    </w:p>
    <w:p>
      <w:pPr>
        <w:jc w:val="both"/>
        <w:ind w:left="660" w:firstLine="645"/>
        <w:spacing w:after="0" w:line="271" w:lineRule="auto"/>
        <w:tabs>
          <w:tab w:leader="none" w:pos="1749"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4" w:lineRule="exact"/>
        <w:rPr>
          <w:rFonts w:ascii="Arial" w:cs="Arial" w:eastAsia="Arial" w:hAnsi="Arial"/>
          <w:sz w:val="20"/>
          <w:szCs w:val="20"/>
          <w:color w:val="auto"/>
        </w:rPr>
      </w:pPr>
    </w:p>
    <w:p>
      <w:pPr>
        <w:jc w:val="both"/>
        <w:ind w:left="660" w:firstLine="645"/>
        <w:spacing w:after="0" w:line="299" w:lineRule="auto"/>
        <w:tabs>
          <w:tab w:leader="none" w:pos="1814"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11.02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16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8"/>
          <w:szCs w:val="18"/>
          <w:u w:val="single" w:color="auto"/>
          <w:color w:val="auto"/>
        </w:rPr>
        <w:t>Waiver of Right to Trial by Jury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w:t>
      </w:r>
      <w:r>
        <w:rPr>
          <w:rFonts w:ascii="MS PGothic" w:cs="MS PGothic" w:eastAsia="MS PGothic" w:hAnsi="MS PGothic"/>
          <w:sz w:val="19"/>
          <w:szCs w:val="19"/>
          <w:color w:val="auto"/>
        </w:rPr>
        <w:t>‑</w:t>
      </w:r>
      <w:r>
        <w:rPr>
          <w:rFonts w:ascii="Arial" w:cs="Arial" w:eastAsia="Arial" w:hAnsi="Arial"/>
          <w:sz w:val="19"/>
          <w:szCs w:val="19"/>
          <w:color w:val="auto"/>
        </w:rPr>
        <w:t xml:space="preserve">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contained herein to the contrary neither the Administrative Agent, the L/C Issuer nor any Lender is under any obligation to agree to accept electronic signatures in any form or in any format unless expressly agreed to by the Administrative Agent, the L/C Issuer or such Lender pursuant to procedures approved by it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without limiting</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161</w:t>
      </w:r>
    </w:p>
    <w:p>
      <w:pPr>
        <w:sectPr>
          <w:pgSz w:w="11900" w:h="16838" w:orient="portrait"/>
          <w:cols w:equalWidth="0" w:num="1">
            <w:col w:w="11420"/>
          </w:cols>
          <w:pgMar w:left="240" w:top="771"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the foregoing, upon the request of any party, any electronic signature shall be promptly followed by such manually executed counterpart.</w:t>
      </w:r>
    </w:p>
    <w:p>
      <w:pPr>
        <w:spacing w:after="0" w:line="25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Loan Parties that pursuant to the requirements of the USA Patriot Act (Title III of Pub. L. 107</w:t>
      </w:r>
      <w:r>
        <w:rPr>
          <w:rFonts w:ascii="MS PGothic" w:cs="MS PGothic" w:eastAsia="MS PGothic" w:hAnsi="MS PGothic"/>
          <w:sz w:val="18"/>
          <w:szCs w:val="18"/>
          <w:color w:val="auto"/>
        </w:rPr>
        <w:t>‑</w:t>
      </w:r>
      <w:r>
        <w:rPr>
          <w:rFonts w:ascii="Arial" w:cs="Arial" w:eastAsia="Arial" w:hAnsi="Arial"/>
          <w:sz w:val="18"/>
          <w:szCs w:val="18"/>
          <w:color w:val="auto"/>
        </w:rPr>
        <w:t>56 (signed into law October 26, 2001)) (the “Act”), it is required to obtain, verify and record information that identifies the Loan Parties, which information includes the name and address of each Loan Party and other information that will allow such Lender or the Administrative Agent, as applicable, to identify such Loan Party in accordance with the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w:t>
      </w:r>
      <w:r>
        <w:rPr>
          <w:rFonts w:ascii="MS PGothic" w:cs="MS PGothic" w:eastAsia="MS PGothic" w:hAnsi="MS PGothic"/>
          <w:sz w:val="18"/>
          <w:szCs w:val="18"/>
          <w:color w:val="auto"/>
        </w:rPr>
        <w:t>‑</w:t>
      </w:r>
      <w:r>
        <w:rPr>
          <w:rFonts w:ascii="Arial" w:cs="Arial" w:eastAsia="Arial" w:hAnsi="Arial"/>
          <w:sz w:val="18"/>
          <w:szCs w:val="18"/>
          <w:color w:val="auto"/>
        </w:rPr>
        <w:t>money laundering rules and regulations, including the Act.</w:t>
      </w:r>
    </w:p>
    <w:p>
      <w:pPr>
        <w:spacing w:after="0" w:line="21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each Borrower acknowledges and agrees, and acknowledges its Affiliates’ understanding, that: (a)(i) the arranging and other services regarding this Agreement provided by the Administrative Agent, the Arrangers and the Lenders are arm’s</w:t>
      </w:r>
      <w:r>
        <w:rPr>
          <w:rFonts w:ascii="MS PGothic" w:cs="MS PGothic" w:eastAsia="MS PGothic" w:hAnsi="MS PGothic"/>
          <w:sz w:val="18"/>
          <w:szCs w:val="18"/>
          <w:color w:val="auto"/>
        </w:rPr>
        <w:t>‑</w:t>
      </w:r>
      <w:r>
        <w:rPr>
          <w:rFonts w:ascii="Arial" w:cs="Arial" w:eastAsia="Arial" w:hAnsi="Arial"/>
          <w:sz w:val="18"/>
          <w:szCs w:val="18"/>
          <w:color w:val="auto"/>
        </w:rPr>
        <w:t>length commercial transactions between each Borrower and its Affiliates, on the one hand, and the Administrative Agent, the Arrangers and the Lenders, on the other hand, (ii) each Borrower has consulted its own legal, accounting, regulatory and tax advisors to the extent it has deemed appropriate, and (iii) each Borrower is capable of evaluating, and understands and accepts, the terms, risks and conditions of the transactions contemplated hereby and by the other Loan Documents; (b)(i) the Administrative Agent, each Arranger and each Lender is and has been acting solely as a principal and, except as expressly agreed in writing by the relevant parties, has not been, is not and will not be acting as an advisor, agent or fiduciary, for each Borrower or any of Affiliates or any other Person and (ii) neither the Administrative Agent, nor any Arranger nor any Lender has any obligation to any Borrower or any of its Affiliates with respect to the transactions contemplated hereby except those obligations expressly set forth herein and in the other Loan Documents; and (c) the Administrative Agent, each Arranger and each Lender and their respective Affiliates may be engaged in a broad range of transactions that involve interests that differ from those of such Borrower and its Affiliates, and neither the Administrative Agent nor any Arranger nor any Lender has any obligation to disclose any of such interests to such Borrower or its Affiliates. To the fullest extent permitted by law, each Borrower hereby (i) waives and releases any claims that it may have against the Administrative Agent, any Arranger or any Lender with respect to any breach or alleged breach of agency or fiduciary duty and (ii) agrees not to assert any fiduciary or similar duty is owed to it by the Administrative Agent, any Arranger or any Lender, in each case in connection with any aspect of any transaction contemplated hereby.</w:t>
      </w:r>
    </w:p>
    <w:p>
      <w:pPr>
        <w:spacing w:after="0" w:line="21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6"/>
          <w:szCs w:val="16"/>
          <w:u w:val="single" w:color="auto"/>
          <w:color w:val="auto"/>
        </w:rPr>
        <w:t>Judgment Currency.</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the Lenders hereunder or under the other Loan Documents shall, notwithstanding any judgment in a currency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w:t>
      </w:r>
    </w:p>
    <w:p>
      <w:pPr>
        <w:sectPr>
          <w:pgSz w:w="11900" w:h="16838" w:orient="portrait"/>
          <w:cols w:equalWidth="0" w:num="1">
            <w:col w:w="11420"/>
          </w:cols>
          <w:pgMar w:left="240" w:top="758" w:right="239" w:bottom="1440" w:gutter="0" w:footer="0" w:header="0"/>
        </w:sectPr>
      </w:pPr>
    </w:p>
    <w:bookmarkStart w:id="283" w:name="page284"/>
    <w:bookmarkEnd w:id="283"/>
    <w:p>
      <w:pPr>
        <w:jc w:val="both"/>
        <w:spacing w:after="0" w:line="256"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any Borrower in the Agreement Currency, such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such Borrower (or to any other Person who may be entitled thereto under applicable law).</w:t>
      </w:r>
    </w:p>
    <w:p>
      <w:pPr>
        <w:spacing w:after="0" w:line="198" w:lineRule="exact"/>
        <w:rPr>
          <w:sz w:val="20"/>
          <w:szCs w:val="20"/>
          <w:color w:val="auto"/>
        </w:rPr>
      </w:pPr>
    </w:p>
    <w:p>
      <w:pPr>
        <w:ind w:left="660"/>
        <w:spacing w:after="0" w:line="230" w:lineRule="exact"/>
        <w:tabs>
          <w:tab w:leader="none" w:pos="126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8"/>
          <w:szCs w:val="18"/>
          <w:u w:val="single" w:color="auto"/>
          <w:color w:val="auto"/>
        </w:rPr>
        <w:t>Acknowledgement and Consent to Bail</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In of EEA Financial Institutions</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w:t>
      </w:r>
    </w:p>
    <w:p>
      <w:pPr>
        <w:spacing w:after="0" w:line="229"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w:t>
      </w:r>
      <w:r>
        <w:rPr>
          <w:rFonts w:ascii="MS PGothic" w:cs="MS PGothic" w:eastAsia="MS PGothic" w:hAnsi="MS PGothic"/>
          <w:sz w:val="19"/>
          <w:szCs w:val="19"/>
          <w:color w:val="auto"/>
        </w:rPr>
        <w:t>‑</w:t>
      </w:r>
      <w:r>
        <w:rPr>
          <w:rFonts w:ascii="Arial" w:cs="Arial" w:eastAsia="Arial" w:hAnsi="Arial"/>
          <w:sz w:val="19"/>
          <w:szCs w:val="19"/>
          <w:color w:val="auto"/>
        </w:rPr>
        <w:t>down and conversion powers of an EEA Resolution Authority and agrees and consents to, and acknowledges and agrees to be bound by: (a) the application of any Write</w:t>
      </w:r>
      <w:r>
        <w:rPr>
          <w:rFonts w:ascii="MS PGothic" w:cs="MS PGothic" w:eastAsia="MS PGothic" w:hAnsi="MS PGothic"/>
          <w:sz w:val="19"/>
          <w:szCs w:val="19"/>
          <w:color w:val="auto"/>
        </w:rPr>
        <w:t>‑</w:t>
      </w:r>
      <w:r>
        <w:rPr>
          <w:rFonts w:ascii="Arial" w:cs="Arial" w:eastAsia="Arial" w:hAnsi="Arial"/>
          <w:sz w:val="19"/>
          <w:szCs w:val="19"/>
          <w:color w:val="auto"/>
        </w:rPr>
        <w:t>Down and Conversion Powers by an EEA Resolution Authority to any such liabilities arising hereunder which may be payable to it by any Lender that is an EEA Financial Institution; and (b) the effects of any Bail</w:t>
      </w:r>
      <w:r>
        <w:rPr>
          <w:rFonts w:ascii="MS PGothic" w:cs="MS PGothic" w:eastAsia="MS PGothic" w:hAnsi="MS PGothic"/>
          <w:sz w:val="19"/>
          <w:szCs w:val="19"/>
          <w:color w:val="auto"/>
        </w:rPr>
        <w:t>‑</w:t>
      </w:r>
      <w:r>
        <w:rPr>
          <w:rFonts w:ascii="Arial" w:cs="Arial" w:eastAsia="Arial" w:hAnsi="Arial"/>
          <w:sz w:val="19"/>
          <w:szCs w:val="19"/>
          <w:color w:val="auto"/>
        </w:rPr>
        <w:t>in Action on any such liability, including, if applicable, (i) a reduction in full or in part or cancellation of any such liability; (ii)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w:t>
      </w:r>
      <w:r>
        <w:rPr>
          <w:rFonts w:ascii="MS PGothic" w:cs="MS PGothic" w:eastAsia="MS PGothic" w:hAnsi="MS PGothic"/>
          <w:sz w:val="19"/>
          <w:szCs w:val="19"/>
          <w:color w:val="auto"/>
        </w:rPr>
        <w:t>‑</w:t>
      </w:r>
      <w:r>
        <w:rPr>
          <w:rFonts w:ascii="Arial" w:cs="Arial" w:eastAsia="Arial" w:hAnsi="Arial"/>
          <w:sz w:val="19"/>
          <w:szCs w:val="19"/>
          <w:color w:val="auto"/>
        </w:rPr>
        <w:t>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OMITTED]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w:t>
      </w:r>
    </w:p>
    <w:p>
      <w:pPr>
        <w:sectPr>
          <w:pgSz w:w="11900" w:h="16838" w:orient="portrait"/>
          <w:cols w:equalWidth="0" w:num="1">
            <w:col w:w="11420"/>
          </w:cols>
          <w:pgMar w:left="240" w:top="758"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8, 2017</w:t>
      </w:r>
    </w:p>
    <w:p>
      <w:pPr>
        <w:sectPr>
          <w:pgSz w:w="11900" w:h="16838" w:orient="portrait"/>
          <w:cols w:equalWidth="0" w:num="1">
            <w:col w:w="11420"/>
          </w:cols>
          <w:pgMar w:left="240" w:top="585"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R. Dey, certify that:</w:t>
      </w:r>
    </w:p>
    <w:p>
      <w:pPr>
        <w:spacing w:after="0" w:line="117" w:lineRule="exact"/>
        <w:rPr>
          <w:sz w:val="20"/>
          <w:szCs w:val="20"/>
          <w:color w:val="auto"/>
        </w:rPr>
      </w:pPr>
    </w:p>
    <w:p>
      <w:pPr>
        <w:ind w:left="180" w:hanging="172"/>
        <w:spacing w:after="0"/>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8, 2017</w:t>
      </w:r>
    </w:p>
    <w:p>
      <w:pPr>
        <w:sectPr>
          <w:pgSz w:w="11900" w:h="16838" w:orient="portrait"/>
          <w:cols w:equalWidth="0" w:num="1">
            <w:col w:w="11420"/>
          </w:cols>
          <w:pgMar w:left="240" w:top="800"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Quarterly Report of FleetCor Technologies, Inc., a Delaware corporation (the “Company”), on Form 10-Q for the period ended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June 30, 2017, as filed with the Securities and Exchange Commission (the “Report”), Ronald F. Clarke, Chief Executive Officer of the Company, does hereby certify, pursuant to § 906 of the Sarbanes-Oxley Act of 2002 (18 U.S.C. § 1350), that to his knowledge:</w:t>
      </w:r>
    </w:p>
    <w:p>
      <w:pPr>
        <w:spacing w:after="0" w:line="76" w:lineRule="exact"/>
        <w:rPr>
          <w:sz w:val="20"/>
          <w:szCs w:val="20"/>
          <w:color w:val="auto"/>
        </w:rPr>
      </w:pPr>
    </w:p>
    <w:p>
      <w:pPr>
        <w:ind w:left="260" w:hanging="252"/>
        <w:spacing w:after="0"/>
        <w:tabs>
          <w:tab w:leader="none" w:pos="2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8, 2017</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p>
      <w:pPr>
        <w:sectPr>
          <w:pgSz w:w="11900" w:h="16838" w:orient="portrait"/>
          <w:cols w:equalWidth="0" w:num="1">
            <w:col w:w="11420"/>
          </w:cols>
          <w:pgMar w:left="240" w:top="585"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connection with the Quarterly Report of FleetCor Technologies, Inc., a Delaware corporation (the “Company”), on Form 10-Q for the period ended June 30, 2017, as filed with the Securities and Exchange Commission (the “Report”), Eric R. Dey, Chief Financial Officer of the Company, does hereby certify, pursuant to § 906 of the Sarbanes-Oxley Act of 2002 (18 U.S.C. § 1350), that to his knowledge:</w:t>
      </w:r>
    </w:p>
    <w:p>
      <w:pPr>
        <w:spacing w:after="0" w:line="73" w:lineRule="exact"/>
        <w:rPr>
          <w:sz w:val="20"/>
          <w:szCs w:val="20"/>
          <w:color w:val="auto"/>
        </w:rPr>
      </w:pPr>
    </w:p>
    <w:p>
      <w:pPr>
        <w:ind w:left="260" w:hanging="252"/>
        <w:spacing w:after="0"/>
        <w:tabs>
          <w:tab w:leader="none" w:pos="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8, 2017</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
      <w:numFmt w:val="bullet"/>
      <w:start w:val="1"/>
    </w:lvl>
  </w:abstractNum>
  <w:abstractNum w:abstractNumId="2">
    <w:nsid w:val="5399C654"/>
    <w:multiLevelType w:val="hybridMultilevel"/>
    <w:lvl w:ilvl="0">
      <w:lvlJc w:val="left"/>
      <w:lvlText w:val="1"/>
      <w:numFmt w:val="bullet"/>
      <w:start w:val="1"/>
    </w:lvl>
  </w:abstractNum>
  <w:abstractNum w:abstractNumId="3">
    <w:nsid w:val="20EE1348"/>
    <w:multiLevelType w:val="hybridMultilevel"/>
    <w:lvl w:ilvl="0">
      <w:lvlJc w:val="left"/>
      <w:lvlText w:val="1"/>
      <w:numFmt w:val="bullet"/>
      <w:start w:val="1"/>
    </w:lvl>
  </w:abstractNum>
  <w:abstractNum w:abstractNumId="4">
    <w:nsid w:val="4427069A"/>
    <w:multiLevelType w:val="hybridMultilevel"/>
    <w:lvl w:ilvl="0">
      <w:lvlJc w:val="left"/>
      <w:lvlText w:val="%1."/>
      <w:numFmt w:val="decimal"/>
      <w:start w:val="1"/>
    </w:lvl>
  </w:abstractNum>
  <w:abstractNum w:abstractNumId="5">
    <w:nsid w:val="B37E80A"/>
    <w:multiLevelType w:val="hybridMultilevel"/>
    <w:lvl w:ilvl="0">
      <w:lvlJc w:val="left"/>
      <w:lvlText w:val="•"/>
      <w:numFmt w:val="bullet"/>
      <w:start w:val="1"/>
    </w:lvl>
  </w:abstractNum>
  <w:abstractNum w:abstractNumId="6">
    <w:nsid w:val="2157F6BC"/>
    <w:multiLevelType w:val="hybridMultilevel"/>
    <w:lvl w:ilvl="0">
      <w:lvlJc w:val="left"/>
      <w:lvlText w:val="(%1)"/>
      <w:numFmt w:val="lowerLetter"/>
      <w:start w:val="1"/>
    </w:lvl>
  </w:abstractNum>
  <w:abstractNum w:abstractNumId="7">
    <w:nsid w:val="704E1DD5"/>
    <w:multiLevelType w:val="hybridMultilevel"/>
    <w:lvl w:ilvl="0">
      <w:lvlJc w:val="left"/>
      <w:lvlText w:val="(%1)"/>
      <w:numFmt w:val="lowerLetter"/>
      <w:start w:val="2"/>
    </w:lvl>
  </w:abstractNum>
  <w:abstractNum w:abstractNumId="8">
    <w:nsid w:val="57D2F10E"/>
    <w:multiLevelType w:val="hybridMultilevel"/>
    <w:lvl w:ilvl="0">
      <w:lvlJc w:val="left"/>
      <w:lvlText w:val="•"/>
      <w:numFmt w:val="bullet"/>
      <w:start w:val="1"/>
    </w:lvl>
  </w:abstractNum>
  <w:abstractNum w:abstractNumId="9">
    <w:nsid w:val="BFFAE18"/>
    <w:multiLevelType w:val="hybridMultilevel"/>
    <w:lvl w:ilvl="0">
      <w:lvlJc w:val="left"/>
      <w:lvlText w:val="•"/>
      <w:numFmt w:val="bullet"/>
      <w:start w:val="1"/>
    </w:lvl>
  </w:abstractNum>
  <w:abstractNum w:abstractNumId="10">
    <w:nsid w:val="E3E47A8"/>
    <w:multiLevelType w:val="hybridMultilevel"/>
    <w:lvl w:ilvl="0">
      <w:lvlJc w:val="left"/>
      <w:lvlText w:val="•"/>
      <w:numFmt w:val="bullet"/>
      <w:start w:val="1"/>
    </w:lvl>
  </w:abstractNum>
  <w:abstractNum w:abstractNumId="11">
    <w:nsid w:val="2E48F044"/>
    <w:multiLevelType w:val="hybridMultilevel"/>
    <w:lvl w:ilvl="0">
      <w:lvlJc w:val="left"/>
      <w:lvlText w:val="•"/>
      <w:numFmt w:val="bullet"/>
      <w:start w:val="1"/>
    </w:lvl>
  </w:abstractNum>
  <w:abstractNum w:abstractNumId="12">
    <w:nsid w:val="49D0FEAC"/>
    <w:multiLevelType w:val="hybridMultilevel"/>
    <w:lvl w:ilvl="0">
      <w:lvlJc w:val="left"/>
      <w:lvlText w:val="•"/>
      <w:numFmt w:val="bullet"/>
      <w:start w:val="1"/>
    </w:lvl>
  </w:abstractNum>
  <w:abstractNum w:abstractNumId="13">
    <w:nsid w:val="4BEE5A5B"/>
    <w:multiLevelType w:val="hybridMultilevel"/>
    <w:lvl w:ilvl="0">
      <w:lvlJc w:val="left"/>
      <w:lvlText w:val="•"/>
      <w:numFmt w:val="bullet"/>
      <w:start w:val="1"/>
    </w:lvl>
  </w:abstractNum>
  <w:abstractNum w:abstractNumId="14">
    <w:nsid w:val="5551B9F3"/>
    <w:multiLevelType w:val="hybridMultilevel"/>
    <w:lvl w:ilvl="0">
      <w:lvlJc w:val="left"/>
      <w:lvlText w:val="•"/>
      <w:numFmt w:val="bullet"/>
      <w:start w:val="1"/>
    </w:lvl>
  </w:abstractNum>
  <w:abstractNum w:abstractNumId="15">
    <w:nsid w:val="24F6AB8E"/>
    <w:multiLevelType w:val="hybridMultilevel"/>
    <w:lvl w:ilvl="0">
      <w:lvlJc w:val="left"/>
      <w:lvlText w:val="•"/>
      <w:numFmt w:val="bullet"/>
      <w:start w:val="1"/>
    </w:lvl>
  </w:abstractNum>
  <w:abstractNum w:abstractNumId="16">
    <w:nsid w:val="634C574C"/>
    <w:multiLevelType w:val="hybridMultilevel"/>
    <w:lvl w:ilvl="0">
      <w:lvlJc w:val="left"/>
      <w:lvlText w:val="•"/>
      <w:numFmt w:val="bullet"/>
      <w:start w:val="1"/>
    </w:lvl>
  </w:abstractNum>
  <w:abstractNum w:abstractNumId="17">
    <w:nsid w:val="24E99DD7"/>
    <w:multiLevelType w:val="hybridMultilevel"/>
    <w:lvl w:ilvl="0">
      <w:lvlJc w:val="left"/>
      <w:lvlText w:val="•"/>
      <w:numFmt w:val="bullet"/>
      <w:start w:val="1"/>
    </w:lvl>
  </w:abstractNum>
  <w:abstractNum w:abstractNumId="18">
    <w:nsid w:val="2A31B62D"/>
    <w:multiLevelType w:val="hybridMultilevel"/>
    <w:lvl w:ilvl="0">
      <w:lvlJc w:val="left"/>
      <w:lvlText w:val="(%1)"/>
      <w:numFmt w:val="lowerLetter"/>
      <w:start w:val="3"/>
    </w:lvl>
  </w:abstractNum>
  <w:abstractNum w:abstractNumId="19">
    <w:nsid w:val="1849C29B"/>
    <w:multiLevelType w:val="hybridMultilevel"/>
    <w:lvl w:ilvl="0">
      <w:lvlJc w:val="left"/>
      <w:lvlText w:val="%1"/>
      <w:numFmt w:val="decimal"/>
      <w:start w:val="101"/>
    </w:lvl>
  </w:abstractNum>
  <w:abstractNum w:abstractNumId="20">
    <w:nsid w:val="7DFF9D09"/>
    <w:multiLevelType w:val="hybridMultilevel"/>
    <w:lvl w:ilvl="0">
      <w:lvlJc w:val="left"/>
      <w:lvlText w:val="%1."/>
      <w:numFmt w:val="decimal"/>
      <w:start w:val="1"/>
    </w:lvl>
  </w:abstractNum>
  <w:abstractNum w:abstractNumId="21">
    <w:nsid w:val="754342"/>
    <w:multiLevelType w:val="hybridMultilevel"/>
    <w:lvl w:ilvl="0">
      <w:lvlJc w:val="left"/>
      <w:lvlText w:val="%1."/>
      <w:numFmt w:val="decimal"/>
      <w:start w:val="2"/>
    </w:lvl>
    <w:lvl w:ilvl="1">
      <w:lvlJc w:val="left"/>
      <w:lvlText w:val="(%2)"/>
      <w:numFmt w:val="lowerLetter"/>
      <w:start w:val="1"/>
    </w:lvl>
  </w:abstractNum>
  <w:abstractNum w:abstractNumId="22">
    <w:nsid w:val="69E7F3E5"/>
    <w:multiLevelType w:val="hybridMultilevel"/>
    <w:lvl w:ilvl="0">
      <w:lvlJc w:val="left"/>
      <w:lvlText w:val="%1"/>
      <w:numFmt w:val="decimal"/>
      <w:start w:val="1"/>
    </w:lvl>
    <w:lvl w:ilvl="1">
      <w:lvlJc w:val="left"/>
      <w:lvlText w:val="(%2)"/>
      <w:numFmt w:val="lowerLetter"/>
      <w:start w:val="4"/>
    </w:lvl>
  </w:abstractNum>
  <w:abstractNum w:abstractNumId="23">
    <w:nsid w:val="2A6DE806"/>
    <w:multiLevelType w:val="hybridMultilevel"/>
    <w:lvl w:ilvl="0">
      <w:lvlJc w:val="left"/>
      <w:lvlText w:val="%1."/>
      <w:numFmt w:val="decimal"/>
      <w:start w:val="3"/>
    </w:lvl>
    <w:lvl w:ilvl="1">
      <w:lvlJc w:val="left"/>
      <w:lvlText w:val="%2"/>
      <w:numFmt w:val="lowerLetter"/>
      <w:start w:val="1"/>
    </w:lvl>
  </w:abstractNum>
  <w:abstractNum w:abstractNumId="24">
    <w:nsid w:val="1816F8C4"/>
    <w:multiLevelType w:val="hybridMultilevel"/>
    <w:lvl w:ilvl="0">
      <w:lvlJc w:val="left"/>
      <w:lvlText w:val="%1."/>
      <w:numFmt w:val="decimal"/>
      <w:start w:val="5"/>
    </w:lvl>
    <w:lvl w:ilvl="1">
      <w:lvlJc w:val="left"/>
      <w:lvlText w:val="(%2)"/>
      <w:numFmt w:val="lowerLetter"/>
      <w:start w:val="1"/>
    </w:lvl>
  </w:abstractNum>
  <w:abstractNum w:abstractNumId="25">
    <w:nsid w:val="37DF2233"/>
    <w:multiLevelType w:val="hybridMultilevel"/>
    <w:lvl w:ilvl="0">
      <w:lvlJc w:val="left"/>
      <w:lvlText w:val="(%1)"/>
      <w:numFmt w:val="lowerLetter"/>
      <w:start w:val="6"/>
    </w:lvl>
  </w:abstractNum>
  <w:abstractNum w:abstractNumId="26">
    <w:nsid w:val="7AB49D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
    <w:nsid w:val="759F82CD"/>
    <w:multiLevelType w:val="hybridMultilevel"/>
    <w:lvl w:ilvl="0">
      <w:lvlJc w:val="left"/>
      <w:lvlText w:val="%1"/>
      <w:numFmt w:val="lowerLetter"/>
      <w:start w:val="1"/>
    </w:lvl>
    <w:lvl w:ilvl="1">
      <w:lvlJc w:val="left"/>
      <w:lvlText w:val="(%2)"/>
      <w:numFmt w:val="lowerRoman"/>
      <w:start w:val="5"/>
    </w:lvl>
  </w:abstractNum>
  <w:abstractNum w:abstractNumId="28">
    <w:nsid w:val="61E74EA3"/>
    <w:multiLevelType w:val="hybridMultilevel"/>
    <w:lvl w:ilvl="0">
      <w:lvlJc w:val="left"/>
      <w:lvlText w:val="(%1)"/>
      <w:numFmt w:val="lowerLetter"/>
      <w:start w:val="4"/>
    </w:lvl>
    <w:lvl w:ilvl="1">
      <w:lvlJc w:val="left"/>
      <w:lvlText w:val="%2"/>
      <w:numFmt w:val="lowerRoman"/>
      <w:start w:val="1"/>
    </w:lvl>
  </w:abstractNum>
  <w:abstractNum w:abstractNumId="29">
    <w:nsid w:val="597B4D84"/>
    <w:multiLevelType w:val="hybridMultilevel"/>
    <w:lvl w:ilvl="0">
      <w:lvlJc w:val="left"/>
      <w:lvlText w:val="(%1)"/>
      <w:numFmt w:val="lowerLetter"/>
      <w:start w:val="8"/>
    </w:lvl>
  </w:abstractNum>
  <w:abstractNum w:abstractNumId="30">
    <w:nsid w:val="F819E7F"/>
    <w:multiLevelType w:val="hybridMultilevel"/>
    <w:lvl w:ilvl="0">
      <w:lvlJc w:val="left"/>
      <w:lvlText w:val="%1."/>
      <w:numFmt w:val="decimal"/>
      <w:start w:val="1"/>
    </w:lvl>
  </w:abstractNum>
  <w:abstractNum w:abstractNumId="31">
    <w:nsid w:val="57C7D42D"/>
    <w:multiLevelType w:val="hybridMultilevel"/>
    <w:lvl w:ilvl="0">
      <w:lvlJc w:val="left"/>
      <w:lvlText w:val="%1."/>
      <w:numFmt w:val="decimal"/>
      <w:start w:val="3"/>
    </w:lvl>
  </w:abstractNum>
  <w:abstractNum w:abstractNumId="32">
    <w:nsid w:val="312167AD"/>
    <w:multiLevelType w:val="hybridMultilevel"/>
    <w:lvl w:ilvl="0">
      <w:lvlJc w:val="left"/>
      <w:lvlText w:val="%1."/>
      <w:numFmt w:val="decimal"/>
      <w:start w:val="1"/>
    </w:lvl>
  </w:abstractNum>
  <w:abstractNum w:abstractNumId="33">
    <w:nsid w:val="631B64D4"/>
    <w:multiLevelType w:val="hybridMultilevel"/>
    <w:lvl w:ilvl="0">
      <w:lvlJc w:val="left"/>
      <w:lvlText w:val="%1."/>
      <w:numFmt w:val="decimal"/>
      <w:start w:val="3"/>
    </w:lvl>
  </w:abstractNum>
  <w:abstractNum w:abstractNumId="34">
    <w:nsid w:val="78B5E776"/>
    <w:multiLevelType w:val="hybridMultilevel"/>
    <w:lvl w:ilvl="0">
      <w:lvlJc w:val="left"/>
      <w:lvlText w:val="%1."/>
      <w:numFmt w:val="decimal"/>
      <w:start w:val="2"/>
    </w:lvl>
  </w:abstractNum>
  <w:abstractNum w:abstractNumId="35">
    <w:nsid w:val="75486E47"/>
    <w:multiLevelType w:val="hybridMultilevel"/>
    <w:lvl w:ilvl="0">
      <w:lvlJc w:val="left"/>
      <w:lvlText w:val="%1."/>
      <w:numFmt w:val="decimal"/>
      <w:start w:val="4"/>
    </w:lvl>
  </w:abstractNum>
  <w:abstractNum w:abstractNumId="36">
    <w:nsid w:val="6E534CDE"/>
    <w:multiLevelType w:val="hybridMultilevel"/>
    <w:lvl w:ilvl="0">
      <w:lvlJc w:val="left"/>
      <w:lvlText w:val="%1."/>
      <w:numFmt w:val="decimal"/>
      <w:start w:val="4"/>
    </w:lvl>
  </w:abstractNum>
  <w:abstractNum w:abstractNumId="37">
    <w:nsid w:val="1A0DDE32"/>
    <w:multiLevelType w:val="hybridMultilevel"/>
    <w:lvl w:ilvl="0">
      <w:lvlJc w:val="left"/>
      <w:lvlText w:val="%1."/>
      <w:numFmt w:val="decimal"/>
      <w:start w:val="7"/>
    </w:lvl>
  </w:abstractNum>
  <w:abstractNum w:abstractNumId="38">
    <w:nsid w:val="65968C1C"/>
    <w:multiLevelType w:val="hybridMultilevel"/>
    <w:lvl w:ilvl="0">
      <w:lvlJc w:val="left"/>
      <w:lvlText w:val="%1."/>
      <w:numFmt w:val="decimal"/>
      <w:start w:val="1"/>
    </w:lvl>
  </w:abstractNum>
  <w:abstractNum w:abstractNumId="39">
    <w:nsid w:val="46263DEC"/>
    <w:multiLevelType w:val="hybridMultilevel"/>
    <w:lvl w:ilvl="0">
      <w:lvlJc w:val="left"/>
      <w:lvlText w:val="%1."/>
      <w:numFmt w:val="decimal"/>
      <w:start w:val="2"/>
    </w:lvl>
  </w:abstractNum>
  <w:abstractNum w:abstractNumId="40">
    <w:nsid w:val="260D8C4A"/>
    <w:multiLevelType w:val="hybridMultilevel"/>
    <w:lvl w:ilvl="0">
      <w:lvlJc w:val="left"/>
      <w:lvlText w:val="%1."/>
      <w:numFmt w:val="decimal"/>
      <w:start w:val="3"/>
    </w:lvl>
  </w:abstractNum>
  <w:abstractNum w:abstractNumId="41">
    <w:nsid w:val="73D4D3C4"/>
    <w:multiLevelType w:val="hybridMultilevel"/>
    <w:lvl w:ilvl="0">
      <w:lvlJc w:val="left"/>
      <w:lvlText w:val="%1."/>
      <w:numFmt w:val="decimal"/>
      <w:start w:val="1"/>
    </w:lvl>
  </w:abstractNum>
  <w:abstractNum w:abstractNumId="42">
    <w:nsid w:val="746F2E30"/>
    <w:multiLevelType w:val="hybridMultilevel"/>
    <w:lvl w:ilvl="0">
      <w:lvlJc w:val="left"/>
      <w:lvlText w:val="%1."/>
      <w:numFmt w:val="decimal"/>
      <w:start w:val="5"/>
    </w:lvl>
  </w:abstractNum>
  <w:abstractNum w:abstractNumId="43">
    <w:nsid w:val="6FDE8AF6"/>
    <w:multiLevelType w:val="hybridMultilevel"/>
    <w:lvl w:ilvl="0">
      <w:lvlJc w:val="left"/>
      <w:lvlText w:val="%1."/>
      <w:numFmt w:val="decimal"/>
      <w:start w:val="7"/>
    </w:lvl>
  </w:abstractNum>
  <w:abstractNum w:abstractNumId="44">
    <w:nsid w:val="3FC32E20"/>
    <w:multiLevelType w:val="hybridMultilevel"/>
    <w:lvl w:ilvl="0">
      <w:lvlJc w:val="left"/>
      <w:lvlText w:val="A"/>
      <w:numFmt w:val="bullet"/>
      <w:start w:val="1"/>
    </w:lvl>
  </w:abstractNum>
  <w:abstractNum w:abstractNumId="45">
    <w:nsid w:val="49C0E823"/>
    <w:multiLevelType w:val="hybridMultilevel"/>
    <w:lvl w:ilvl="0">
      <w:lvlJc w:val="left"/>
      <w:lvlText w:val="B"/>
      <w:numFmt w:val="bullet"/>
      <w:start w:val="1"/>
    </w:lvl>
  </w:abstractNum>
  <w:abstractNum w:abstractNumId="46">
    <w:nsid w:val="14D53685"/>
    <w:multiLevelType w:val="hybridMultilevel"/>
    <w:lvl w:ilvl="0">
      <w:lvlJc w:val="left"/>
      <w:lvlText w:val="(%1)"/>
      <w:numFmt w:val="lowerRoman"/>
      <w:start w:val="2"/>
    </w:lvl>
  </w:abstractNum>
  <w:abstractNum w:abstractNumId="47">
    <w:nsid w:val="230F856C"/>
    <w:multiLevelType w:val="hybridMultilevel"/>
    <w:lvl w:ilvl="0">
      <w:lvlJc w:val="left"/>
      <w:lvlText w:val="(%1)"/>
      <w:numFmt w:val="lowerLetter"/>
      <w:start w:val="1"/>
    </w:lvl>
  </w:abstractNum>
  <w:abstractNum w:abstractNumId="48">
    <w:nsid w:val="6EAA85FB"/>
    <w:multiLevelType w:val="hybridMultilevel"/>
    <w:lvl w:ilvl="0">
      <w:lvlJc w:val="left"/>
      <w:lvlText w:val="(%1)"/>
      <w:numFmt w:val="lowerLetter"/>
      <w:start w:val="2"/>
    </w:lvl>
  </w:abstractNum>
  <w:abstractNum w:abstractNumId="49">
    <w:nsid w:val="3F06ECB2"/>
    <w:multiLevelType w:val="hybridMultilevel"/>
    <w:lvl w:ilvl="0">
      <w:lvlJc w:val="left"/>
      <w:lvlText w:val="(%1)"/>
      <w:numFmt w:val="lowerRoman"/>
      <w:start w:val="2"/>
    </w:lvl>
  </w:abstractNum>
  <w:abstractNum w:abstractNumId="50">
    <w:nsid w:val="3B594807"/>
    <w:multiLevelType w:val="hybridMultilevel"/>
    <w:lvl w:ilvl="0">
      <w:lvlJc w:val="left"/>
      <w:lvlText w:val="(%1)"/>
      <w:numFmt w:val="lowerLetter"/>
      <w:start w:val="1"/>
    </w:lvl>
    <w:lvl w:ilvl="1">
      <w:lvlJc w:val="left"/>
      <w:lvlText w:val="(%2)"/>
      <w:numFmt w:val="lowerRoman"/>
      <w:start w:val="1"/>
    </w:lvl>
  </w:abstractNum>
  <w:abstractNum w:abstractNumId="51">
    <w:nsid w:val="6CAA2304"/>
    <w:multiLevelType w:val="hybridMultilevel"/>
    <w:lvl w:ilvl="0">
      <w:lvlJc w:val="left"/>
      <w:lvlText w:val="(%1)"/>
      <w:numFmt w:val="lowerLetter"/>
      <w:start w:val="1"/>
    </w:lvl>
  </w:abstractNum>
  <w:abstractNum w:abstractNumId="52">
    <w:nsid w:val="3F7C2FF4"/>
    <w:multiLevelType w:val="hybridMultilevel"/>
    <w:lvl w:ilvl="0">
      <w:lvlJc w:val="left"/>
      <w:lvlText w:val="(%1)"/>
      <w:numFmt w:val="lowerLetter"/>
      <w:start w:val="8"/>
    </w:lvl>
  </w:abstractNum>
  <w:abstractNum w:abstractNumId="53">
    <w:nsid w:val="25413BEC"/>
    <w:multiLevelType w:val="hybridMultilevel"/>
    <w:lvl w:ilvl="0">
      <w:lvlJc w:val="left"/>
      <w:lvlText w:val="(%1)"/>
      <w:numFmt w:val="lowerLetter"/>
      <w:start w:val="1"/>
    </w:lvl>
  </w:abstractNum>
  <w:abstractNum w:abstractNumId="54">
    <w:nsid w:val="17180B0B"/>
    <w:multiLevelType w:val="hybridMultilevel"/>
    <w:lvl w:ilvl="0">
      <w:lvlJc w:val="left"/>
      <w:lvlText w:val="(%1)"/>
      <w:numFmt w:val="lowerLetter"/>
      <w:start w:val="1"/>
    </w:lvl>
  </w:abstractNum>
  <w:abstractNum w:abstractNumId="55">
    <w:nsid w:val="579328B9"/>
    <w:multiLevelType w:val="hybridMultilevel"/>
    <w:lvl w:ilvl="0">
      <w:lvlJc w:val="left"/>
      <w:lvlText w:val="(%1)"/>
      <w:numFmt w:val="lowerRoman"/>
      <w:start w:val="1"/>
    </w:lvl>
  </w:abstractNum>
  <w:abstractNum w:abstractNumId="56">
    <w:nsid w:val="5D205E20"/>
    <w:multiLevelType w:val="hybridMultilevel"/>
    <w:lvl w:ilvl="0">
      <w:lvlJc w:val="left"/>
      <w:lvlText w:val="(%1)"/>
      <w:numFmt w:val="lowerLetter"/>
      <w:start w:val="2"/>
    </w:lvl>
  </w:abstractNum>
  <w:abstractNum w:abstractNumId="57">
    <w:nsid w:val="11CCA8BA"/>
    <w:multiLevelType w:val="hybridMultilevel"/>
    <w:lvl w:ilvl="0">
      <w:lvlJc w:val="left"/>
      <w:lvlText w:val="(%1)"/>
      <w:numFmt w:val="lowerRoman"/>
      <w:start w:val="3"/>
    </w:lvl>
  </w:abstractNum>
  <w:abstractNum w:abstractNumId="58">
    <w:nsid w:val="4D32AB86"/>
    <w:multiLevelType w:val="hybridMultilevel"/>
    <w:lvl w:ilvl="0">
      <w:lvlJc w:val="left"/>
      <w:lvlText w:val="(%1)"/>
      <w:numFmt w:val="lowerLetter"/>
      <w:start w:val="25"/>
    </w:lvl>
  </w:abstractNum>
  <w:abstractNum w:abstractNumId="59">
    <w:nsid w:val="3F07ACC3"/>
    <w:multiLevelType w:val="hybridMultilevel"/>
    <w:lvl w:ilvl="0">
      <w:lvlJc w:val="left"/>
      <w:lvlText w:val="(%1)"/>
      <w:numFmt w:val="lowerLetter"/>
      <w:start w:val="1"/>
    </w:lvl>
  </w:abstractNum>
  <w:abstractNum w:abstractNumId="60">
    <w:nsid w:val="6B47F63E"/>
    <w:multiLevelType w:val="hybridMultilevel"/>
    <w:lvl w:ilvl="0">
      <w:lvlJc w:val="left"/>
      <w:lvlText w:val="(%1)"/>
      <w:numFmt w:val="lowerLetter"/>
      <w:start w:val="1"/>
    </w:lvl>
  </w:abstractNum>
  <w:abstractNum w:abstractNumId="61">
    <w:nsid w:val="5CB44A05"/>
    <w:multiLevelType w:val="hybridMultilevel"/>
    <w:lvl w:ilvl="0">
      <w:lvlJc w:val="left"/>
      <w:lvlText w:val="(%1)"/>
      <w:numFmt w:val="lowerLetter"/>
      <w:start w:val="2"/>
    </w:lvl>
  </w:abstractNum>
  <w:abstractNum w:abstractNumId="62">
    <w:nsid w:val="16CF80F1"/>
    <w:multiLevelType w:val="hybridMultilevel"/>
    <w:lvl w:ilvl="0">
      <w:lvlJc w:val="left"/>
      <w:lvlText w:val="(%1)"/>
      <w:numFmt w:val="lowerLetter"/>
      <w:start w:val="1"/>
    </w:lvl>
  </w:abstractNum>
  <w:abstractNum w:abstractNumId="63">
    <w:nsid w:val="1C695DEC"/>
    <w:multiLevelType w:val="hybridMultilevel"/>
    <w:lvl w:ilvl="0">
      <w:lvlJc w:val="left"/>
      <w:lvlText w:val="(%1)"/>
      <w:numFmt w:val="lowerLetter"/>
      <w:start w:val="2"/>
    </w:lvl>
  </w:abstractNum>
  <w:abstractNum w:abstractNumId="64">
    <w:nsid w:val="3FCFAED9"/>
    <w:multiLevelType w:val="hybridMultilevel"/>
    <w:lvl w:ilvl="0">
      <w:lvlJc w:val="left"/>
      <w:lvlText w:val="(%1)"/>
      <w:numFmt w:val="lowerLetter"/>
      <w:start w:val="1"/>
    </w:lvl>
  </w:abstractNum>
  <w:abstractNum w:abstractNumId="65">
    <w:nsid w:val="F856867"/>
    <w:multiLevelType w:val="hybridMultilevel"/>
    <w:lvl w:ilvl="0">
      <w:lvlJc w:val="left"/>
      <w:lvlText w:val="(%1)"/>
      <w:numFmt w:val="lowerLetter"/>
      <w:start w:val="1"/>
    </w:lvl>
  </w:abstractNum>
  <w:abstractNum w:abstractNumId="66">
    <w:nsid w:val="11B1CC33"/>
    <w:multiLevelType w:val="hybridMultilevel"/>
    <w:lvl w:ilvl="0">
      <w:lvlJc w:val="left"/>
      <w:lvlText w:val="(%1)"/>
      <w:numFmt w:val="lowerLetter"/>
      <w:start w:val="1"/>
    </w:lvl>
  </w:abstractNum>
  <w:abstractNum w:abstractNumId="67">
    <w:nsid w:val="2E22FBB7"/>
    <w:multiLevelType w:val="hybridMultilevel"/>
    <w:lvl w:ilvl="0">
      <w:lvlJc w:val="left"/>
      <w:lvlText w:val="(%1)"/>
      <w:numFmt w:val="lowerLetter"/>
      <w:start w:val="3"/>
    </w:lvl>
  </w:abstractNum>
  <w:abstractNum w:abstractNumId="68">
    <w:nsid w:val="29934699"/>
    <w:multiLevelType w:val="hybridMultilevel"/>
    <w:lvl w:ilvl="0">
      <w:lvlJc w:val="left"/>
      <w:lvlText w:val="%1"/>
      <w:numFmt w:val="lowerLetter"/>
      <w:start w:val="1"/>
    </w:lvl>
    <w:lvl w:ilvl="1">
      <w:lvlJc w:val="left"/>
      <w:lvlText w:val="(%2)"/>
      <w:numFmt w:val="lowerLetter"/>
      <w:start w:val="1"/>
    </w:lvl>
  </w:abstractNum>
  <w:abstractNum w:abstractNumId="69">
    <w:nsid w:val="77485850"/>
    <w:multiLevelType w:val="hybridMultilevel"/>
    <w:lvl w:ilvl="0">
      <w:lvlJc w:val="left"/>
      <w:lvlText w:val="(%1)"/>
      <w:numFmt w:val="lowerLetter"/>
      <w:start w:val="9"/>
    </w:lvl>
    <w:lvl w:ilvl="1">
      <w:lvlJc w:val="left"/>
      <w:lvlText w:val="%2"/>
      <w:numFmt w:val="lowerLetter"/>
      <w:start w:val="1"/>
    </w:lvl>
  </w:abstractNum>
  <w:abstractNum w:abstractNumId="70">
    <w:nsid w:val="744939A3"/>
    <w:multiLevelType w:val="hybridMultilevel"/>
    <w:lvl w:ilvl="0">
      <w:lvlJc w:val="left"/>
      <w:lvlText w:val="(%1)"/>
      <w:numFmt w:val="lowerLetter"/>
      <w:start w:val="2"/>
    </w:lvl>
  </w:abstractNum>
  <w:abstractNum w:abstractNumId="71">
    <w:nsid w:val="4FA0D2E3"/>
    <w:multiLevelType w:val="hybridMultilevel"/>
    <w:lvl w:ilvl="0">
      <w:lvlJc w:val="left"/>
      <w:lvlText w:val="(%1)"/>
      <w:numFmt w:val="upperLetter"/>
      <w:start w:val="1"/>
    </w:lvl>
  </w:abstractNum>
  <w:abstractNum w:abstractNumId="72">
    <w:nsid w:val="6B1D2C14"/>
    <w:multiLevelType w:val="hybridMultilevel"/>
    <w:lvl w:ilvl="0">
      <w:lvlJc w:val="left"/>
      <w:lvlText w:val="(%1)"/>
      <w:numFmt w:val="lowerRoman"/>
      <w:start w:val="2"/>
    </w:lvl>
    <w:lvl w:ilvl="1">
      <w:lvlJc w:val="left"/>
      <w:lvlText w:val="(%2)"/>
      <w:numFmt w:val="upperLetter"/>
      <w:start w:val="1"/>
    </w:lvl>
  </w:abstractNum>
  <w:abstractNum w:abstractNumId="73">
    <w:nsid w:val="68B867D3"/>
    <w:multiLevelType w:val="hybridMultilevel"/>
    <w:lvl w:ilvl="0">
      <w:lvlJc w:val="left"/>
      <w:lvlText w:val="(%1)"/>
      <w:numFmt w:val="upperLetter"/>
      <w:start w:val="5"/>
    </w:lvl>
  </w:abstractNum>
  <w:abstractNum w:abstractNumId="74">
    <w:nsid w:val="3F7F5DD9"/>
    <w:multiLevelType w:val="hybridMultilevel"/>
    <w:lvl w:ilvl="0">
      <w:lvlJc w:val="left"/>
      <w:lvlText w:val="(%1)"/>
      <w:numFmt w:val="lowerRoman"/>
      <w:start w:val="3"/>
    </w:lvl>
  </w:abstractNum>
  <w:abstractNum w:abstractNumId="75">
    <w:nsid w:val="2AE05A34"/>
    <w:multiLevelType w:val="hybridMultilevel"/>
    <w:lvl w:ilvl="0">
      <w:lvlJc w:val="left"/>
      <w:lvlText w:val="(%1)"/>
      <w:numFmt w:val="upperLetter"/>
      <w:start w:val="1"/>
    </w:lvl>
  </w:abstractNum>
  <w:abstractNum w:abstractNumId="76">
    <w:nsid w:val="32794FF7"/>
    <w:multiLevelType w:val="hybridMultilevel"/>
    <w:lvl w:ilvl="0">
      <w:lvlJc w:val="left"/>
      <w:lvlText w:val="(%1)"/>
      <w:numFmt w:val="upperLetter"/>
      <w:start w:val="9"/>
    </w:lvl>
  </w:abstractNum>
  <w:abstractNum w:abstractNumId="77">
    <w:nsid w:val="5454945E"/>
    <w:multiLevelType w:val="hybridMultilevel"/>
    <w:lvl w:ilvl="0">
      <w:lvlJc w:val="left"/>
      <w:lvlText w:val="(%1)"/>
      <w:numFmt w:val="upperLetter"/>
      <w:start w:val="35"/>
    </w:lvl>
  </w:abstractNum>
  <w:abstractNum w:abstractNumId="78">
    <w:nsid w:val="4DEFDFA0"/>
    <w:multiLevelType w:val="hybridMultilevel"/>
    <w:lvl w:ilvl="0">
      <w:lvlJc w:val="left"/>
      <w:lvlText w:val="(%1)"/>
      <w:numFmt w:val="upperLetter"/>
      <w:start w:val="61"/>
    </w:lvl>
  </w:abstractNum>
  <w:abstractNum w:abstractNumId="79">
    <w:nsid w:val="2123D5F2"/>
    <w:multiLevelType w:val="hybridMultilevel"/>
    <w:lvl w:ilvl="0">
      <w:lvlJc w:val="left"/>
      <w:lvlText w:val="(%1)"/>
      <w:numFmt w:val="upperLetter"/>
      <w:start w:val="5"/>
    </w:lvl>
    <w:lvl w:ilvl="1">
      <w:lvlJc w:val="left"/>
      <w:lvlText w:val="(%2)"/>
      <w:numFmt w:val="upperLetter"/>
      <w:start w:val="9"/>
    </w:lvl>
  </w:abstractNum>
  <w:abstractNum w:abstractNumId="80">
    <w:nsid w:val="135B8110"/>
    <w:multiLevelType w:val="hybridMultilevel"/>
    <w:lvl w:ilvl="0">
      <w:lvlJc w:val="left"/>
      <w:lvlText w:val="(%1)"/>
      <w:numFmt w:val="upperLetter"/>
      <w:start w:val="35"/>
    </w:lvl>
  </w:abstractNum>
  <w:abstractNum w:abstractNumId="81">
    <w:nsid w:val="94927A8"/>
    <w:multiLevelType w:val="hybridMultilevel"/>
    <w:lvl w:ilvl="0">
      <w:lvlJc w:val="left"/>
      <w:lvlText w:val="(%1)"/>
      <w:numFmt w:val="upperLetter"/>
      <w:start w:val="61"/>
    </w:lvl>
  </w:abstractNum>
  <w:abstractNum w:abstractNumId="82">
    <w:nsid w:val="DCDF8F6"/>
    <w:multiLevelType w:val="hybridMultilevel"/>
    <w:lvl w:ilvl="0">
      <w:lvlJc w:val="left"/>
      <w:lvlText w:val="%1"/>
      <w:numFmt w:val="upperLetter"/>
      <w:start w:val="1"/>
    </w:lvl>
    <w:lvl w:ilvl="1">
      <w:lvlJc w:val="left"/>
      <w:lvlText w:val="(%2)"/>
      <w:numFmt w:val="upperLetter"/>
      <w:start w:val="22"/>
    </w:lvl>
  </w:abstractNum>
  <w:abstractNum w:abstractNumId="83">
    <w:nsid w:val="52D7B105"/>
    <w:multiLevelType w:val="hybridMultilevel"/>
    <w:lvl w:ilvl="0">
      <w:lvlJc w:val="left"/>
      <w:lvlText w:val="(%1)"/>
      <w:numFmt w:val="upperLetter"/>
      <w:start w:val="6"/>
    </w:lvl>
    <w:lvl w:ilvl="1">
      <w:lvlJc w:val="left"/>
      <w:lvlText w:val="%2"/>
      <w:numFmt w:val="upperLetter"/>
      <w:start w:val="1"/>
    </w:lvl>
  </w:abstractNum>
  <w:abstractNum w:abstractNumId="84">
    <w:nsid w:val="2E8A6394"/>
    <w:multiLevelType w:val="hybridMultilevel"/>
    <w:lvl w:ilvl="0">
      <w:lvlJc w:val="left"/>
      <w:lvlText w:val="%1"/>
      <w:numFmt w:val="lowerRoman"/>
      <w:start w:val="1"/>
    </w:lvl>
    <w:lvl w:ilvl="1">
      <w:lvlJc w:val="left"/>
      <w:lvlText w:val="(%2)"/>
      <w:numFmt w:val="upperLetter"/>
      <w:start w:val="9"/>
    </w:lvl>
  </w:abstractNum>
  <w:abstractNum w:abstractNumId="85">
    <w:nsid w:val="24E60401"/>
    <w:multiLevelType w:val="hybridMultilevel"/>
    <w:lvl w:ilvl="0">
      <w:lvlJc w:val="left"/>
      <w:lvlText w:val="(%1)"/>
      <w:numFmt w:val="lowerRoman"/>
      <w:start w:val="4"/>
    </w:lvl>
    <w:lvl w:ilvl="1">
      <w:lvlJc w:val="left"/>
      <w:lvlText w:val="%2"/>
      <w:numFmt w:val="upperLetter"/>
      <w:start w:val="1"/>
    </w:lvl>
  </w:abstractNum>
  <w:abstractNum w:abstractNumId="86">
    <w:nsid w:val="2A6AD9BE"/>
    <w:multiLevelType w:val="hybridMultilevel"/>
    <w:lvl w:ilvl="0">
      <w:lvlJc w:val="left"/>
      <w:lvlText w:val="(%1)"/>
      <w:numFmt w:val="lowerLetter"/>
      <w:start w:val="7"/>
    </w:lvl>
  </w:abstractNum>
  <w:abstractNum w:abstractNumId="87">
    <w:nsid w:val="BAAC1B4"/>
    <w:multiLevelType w:val="hybridMultilevel"/>
    <w:lvl w:ilvl="0">
      <w:lvlJc w:val="left"/>
      <w:lvlText w:val="(%1)"/>
      <w:numFmt w:val="lowerLetter"/>
      <w:start w:val="1"/>
    </w:lvl>
    <w:lvl w:ilvl="1">
      <w:lvlJc w:val="left"/>
      <w:lvlText w:val="(%2)"/>
      <w:numFmt w:val="lowerLetter"/>
      <w:start w:val="9"/>
    </w:lvl>
  </w:abstractNum>
  <w:abstractNum w:abstractNumId="88">
    <w:nsid w:val="36B2ACBC"/>
    <w:multiLevelType w:val="hybridMultilevel"/>
    <w:lvl w:ilvl="0">
      <w:lvlJc w:val="left"/>
      <w:lvlText w:val="(%1)"/>
      <w:numFmt w:val="lowerRoman"/>
      <w:start w:val="2"/>
    </w:lvl>
    <w:lvl w:ilvl="1">
      <w:lvlJc w:val="left"/>
      <w:lvlText w:val="(%2)"/>
      <w:numFmt w:val="upperLetter"/>
      <w:start w:val="1"/>
    </w:lvl>
  </w:abstractNum>
  <w:abstractNum w:abstractNumId="89">
    <w:nsid w:val="779D8544"/>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90">
    <w:nsid w:val="4AB26E78"/>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91">
    <w:nsid w:val="21FAA2FA"/>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92">
    <w:nsid w:val="5451CF49"/>
    <w:multiLevelType w:val="hybridMultilevel"/>
    <w:lvl w:ilvl="0">
      <w:lvlJc w:val="left"/>
      <w:lvlText w:val="(%1)"/>
      <w:numFmt w:val="lowerLetter"/>
      <w:start w:val="2"/>
    </w:lvl>
    <w:lvl w:ilvl="1">
      <w:lvlJc w:val="left"/>
      <w:lvlText w:val="(%2)"/>
      <w:numFmt w:val="lowerLetter"/>
      <w:start w:val="9"/>
    </w:lvl>
  </w:abstractNum>
  <w:abstractNum w:abstractNumId="93">
    <w:nsid w:val="6181EF69"/>
    <w:multiLevelType w:val="hybridMultilevel"/>
    <w:lvl w:ilvl="0">
      <w:lvlJc w:val="left"/>
      <w:lvlText w:val="(%1)"/>
      <w:numFmt w:val="upperLetter"/>
      <w:start w:val="5"/>
    </w:lvl>
    <w:lvl w:ilvl="1">
      <w:lvlJc w:val="left"/>
      <w:lvlText w:val="(%2)"/>
      <w:numFmt w:val="lowerRoman"/>
      <w:start w:val="2"/>
    </w:lvl>
  </w:abstractNum>
  <w:abstractNum w:abstractNumId="94">
    <w:nsid w:val="3E6400E6"/>
    <w:multiLevelType w:val="hybridMultilevel"/>
    <w:lvl w:ilvl="0">
      <w:lvlJc w:val="left"/>
      <w:lvlText w:val="(%1)"/>
      <w:numFmt w:val="upperLetter"/>
      <w:start w:val="1"/>
    </w:lvl>
    <w:lvl w:ilvl="1">
      <w:lvlJc w:val="left"/>
      <w:lvlText w:val="(%2)"/>
      <w:numFmt w:val="lowerRoman"/>
      <w:start w:val="4"/>
    </w:lvl>
  </w:abstractNum>
  <w:abstractNum w:abstractNumId="95">
    <w:nsid w:val="14217E23"/>
    <w:multiLevelType w:val="hybridMultilevel"/>
    <w:lvl w:ilvl="0">
      <w:lvlJc w:val="left"/>
      <w:lvlText w:val="(%1)"/>
      <w:numFmt w:val="lowerLetter"/>
      <w:start w:val="3"/>
    </w:lvl>
    <w:lvl w:ilvl="1">
      <w:lvlJc w:val="left"/>
      <w:lvlText w:val="(%2)"/>
      <w:numFmt w:val="lowerLetter"/>
      <w:start w:val="9"/>
    </w:lvl>
  </w:abstractNum>
  <w:abstractNum w:abstractNumId="96">
    <w:nsid w:val="710757D0"/>
    <w:multiLevelType w:val="hybridMultilevel"/>
    <w:lvl w:ilvl="0">
      <w:lvlJc w:val="left"/>
      <w:lvlText w:val="(%1)"/>
      <w:numFmt w:val="lowerRoman"/>
      <w:start w:val="2"/>
    </w:lvl>
  </w:abstractNum>
  <w:abstractNum w:abstractNumId="97">
    <w:nsid w:val="5015CD1A"/>
    <w:multiLevelType w:val="hybridMultilevel"/>
    <w:lvl w:ilvl="0">
      <w:lvlJc w:val="left"/>
      <w:lvlText w:val="%1"/>
      <w:numFmt w:val="lowerLetter"/>
      <w:start w:val="1"/>
    </w:lvl>
    <w:lvl w:ilvl="1">
      <w:lvlJc w:val="left"/>
      <w:lvlText w:val="(%2)"/>
      <w:numFmt w:val="lowerRoman"/>
      <w:start w:val="4"/>
    </w:lvl>
  </w:abstractNum>
  <w:abstractNum w:abstractNumId="98">
    <w:nsid w:val="424479DA"/>
    <w:multiLevelType w:val="hybridMultilevel"/>
    <w:lvl w:ilvl="0">
      <w:lvlJc w:val="left"/>
      <w:lvlText w:val="(%1)"/>
      <w:numFmt w:val="lowerLetter"/>
      <w:start w:val="4"/>
    </w:lvl>
    <w:lvl w:ilvl="1">
      <w:lvlJc w:val="left"/>
      <w:lvlText w:val="(%2)"/>
      <w:numFmt w:val="lowerRoman"/>
      <w:start w:val="1"/>
    </w:lvl>
  </w:abstractNum>
  <w:abstractNum w:abstractNumId="99">
    <w:nsid w:val="1A9A9E69"/>
    <w:multiLevelType w:val="hybridMultilevel"/>
    <w:lvl w:ilvl="0">
      <w:lvlJc w:val="left"/>
      <w:lvlText w:val="%1"/>
      <w:numFmt w:val="lowerRoman"/>
      <w:start w:val="1"/>
    </w:lvl>
    <w:lvl w:ilvl="1">
      <w:lvlJc w:val="left"/>
      <w:lvlText w:val="(%2)"/>
      <w:numFmt w:val="lowerRoman"/>
      <w:start w:val="2"/>
    </w:lvl>
  </w:abstractNum>
  <w:abstractNum w:abstractNumId="100">
    <w:nsid w:val="475E256A"/>
    <w:multiLevelType w:val="hybridMultilevel"/>
    <w:lvl w:ilvl="0">
      <w:lvlJc w:val="left"/>
      <w:lvlText w:val="(%1)"/>
      <w:numFmt w:val="lowerRoman"/>
      <w:start w:val="1"/>
    </w:lvl>
    <w:lvl w:ilvl="1">
      <w:lvlJc w:val="left"/>
      <w:lvlText w:val="%2"/>
      <w:numFmt w:val="lowerRoman"/>
      <w:start w:val="1"/>
    </w:lvl>
  </w:abstractNum>
  <w:abstractNum w:abstractNumId="101">
    <w:nsid w:val="368DB37E"/>
    <w:multiLevelType w:val="hybridMultilevel"/>
    <w:lvl w:ilvl="0">
      <w:lvlJc w:val="left"/>
      <w:lvlText w:val="(%1)"/>
      <w:numFmt w:val="lowerLetter"/>
      <w:start w:val="5"/>
    </w:lvl>
    <w:lvl w:ilvl="1">
      <w:lvlJc w:val="left"/>
      <w:lvlText w:val="(%2)"/>
      <w:numFmt w:val="lowerRoman"/>
      <w:start w:val="1"/>
    </w:lvl>
  </w:abstractNum>
  <w:abstractNum w:abstractNumId="102">
    <w:nsid w:val="6A3B714C"/>
    <w:multiLevelType w:val="hybridMultilevel"/>
    <w:lvl w:ilvl="0">
      <w:lvlJc w:val="left"/>
      <w:lvlText w:val="(%1)"/>
      <w:numFmt w:val="lowerRoman"/>
      <w:start w:val="6"/>
    </w:lvl>
  </w:abstractNum>
  <w:abstractNum w:abstractNumId="103">
    <w:nsid w:val="327B517E"/>
    <w:multiLevelType w:val="hybridMultilevel"/>
    <w:lvl w:ilvl="0">
      <w:lvlJc w:val="left"/>
      <w:lvlText w:val="(%1)"/>
      <w:numFmt w:val="lowerLetter"/>
      <w:start w:val="6"/>
    </w:lvl>
  </w:abstractNum>
  <w:abstractNum w:abstractNumId="104">
    <w:nsid w:val="1F461B51"/>
    <w:multiLevelType w:val="hybridMultilevel"/>
    <w:lvl w:ilvl="0">
      <w:lvlJc w:val="left"/>
      <w:lvlText w:val="(%1)"/>
      <w:numFmt w:val="lowerLetter"/>
      <w:start w:val="7"/>
    </w:lvl>
  </w:abstractNum>
  <w:abstractNum w:abstractNumId="105">
    <w:nsid w:val="29BACF25"/>
    <w:multiLevelType w:val="hybridMultilevel"/>
    <w:lvl w:ilvl="0">
      <w:lvlJc w:val="left"/>
      <w:lvlText w:val="(%1)"/>
      <w:numFmt w:val="lowerLetter"/>
      <w:start w:val="9"/>
    </w:lvl>
  </w:abstractNum>
  <w:abstractNum w:abstractNumId="106">
    <w:nsid w:val="5D5BABB3"/>
    <w:multiLevelType w:val="hybridMultilevel"/>
    <w:lvl w:ilvl="0">
      <w:lvlJc w:val="left"/>
      <w:lvlText w:val="(%1)"/>
      <w:numFmt w:val="lowerLetter"/>
      <w:start w:val="1"/>
    </w:lvl>
    <w:lvl w:ilvl="1">
      <w:lvlJc w:val="left"/>
      <w:lvlText w:val="(%2)"/>
      <w:numFmt w:val="lowerLetter"/>
      <w:start w:val="9"/>
    </w:lvl>
  </w:abstractNum>
  <w:abstractNum w:abstractNumId="107">
    <w:nsid w:val="51BF6B48"/>
    <w:multiLevelType w:val="hybridMultilevel"/>
    <w:lvl w:ilvl="0">
      <w:lvlJc w:val="left"/>
      <w:lvlText w:val="(%1)"/>
      <w:numFmt w:val="lowerRoman"/>
      <w:start w:val="2"/>
    </w:lvl>
  </w:abstractNum>
  <w:abstractNum w:abstractNumId="108">
    <w:nsid w:val="7E0F6384"/>
    <w:multiLevelType w:val="hybridMultilevel"/>
    <w:lvl w:ilvl="0">
      <w:lvlJc w:val="left"/>
      <w:lvlText w:val="(%1)"/>
      <w:numFmt w:val="lowerLetter"/>
      <w:start w:val="2"/>
    </w:lvl>
    <w:lvl w:ilvl="1">
      <w:lvlJc w:val="left"/>
      <w:lvlText w:val="(%2)"/>
      <w:numFmt w:val="lowerRoman"/>
      <w:start w:val="1"/>
    </w:lvl>
  </w:abstractNum>
  <w:abstractNum w:abstractNumId="109">
    <w:nsid w:val="2B4B8B53"/>
    <w:multiLevelType w:val="hybridMultilevel"/>
    <w:lvl w:ilvl="0">
      <w:lvlJc w:val="left"/>
      <w:lvlText w:val="(%1)"/>
      <w:numFmt w:val="lowerLetter"/>
      <w:start w:val="3"/>
    </w:lvl>
    <w:lvl w:ilvl="1">
      <w:lvlJc w:val="left"/>
      <w:lvlText w:val="(%2)"/>
      <w:numFmt w:val="lowerLetter"/>
      <w:start w:val="9"/>
    </w:lvl>
  </w:abstractNum>
  <w:abstractNum w:abstractNumId="110">
    <w:nsid w:val="72E3413A"/>
    <w:multiLevelType w:val="hybridMultilevel"/>
    <w:lvl w:ilvl="0">
      <w:lvlJc w:val="left"/>
      <w:lvlText w:val="%1"/>
      <w:numFmt w:val="lowerRoman"/>
      <w:start w:val="1"/>
    </w:lvl>
    <w:lvl w:ilvl="1">
      <w:lvlJc w:val="left"/>
      <w:lvlText w:val="(%2)"/>
      <w:numFmt w:val="upperLetter"/>
      <w:start w:val="1"/>
    </w:lvl>
  </w:abstractNum>
  <w:abstractNum w:abstractNumId="111">
    <w:nsid w:val="116AE494"/>
    <w:multiLevelType w:val="hybridMultilevel"/>
    <w:lvl w:ilvl="0">
      <w:lvlJc w:val="left"/>
      <w:lvlText w:val="(%1)"/>
      <w:numFmt w:val="lowerRoman"/>
      <w:start w:val="2"/>
    </w:lvl>
    <w:lvl w:ilvl="1">
      <w:lvlJc w:val="left"/>
      <w:lvlText w:val="(%2)"/>
      <w:numFmt w:val="upperLetter"/>
      <w:start w:val="1"/>
    </w:lvl>
  </w:abstractNum>
  <w:abstractNum w:abstractNumId="112">
    <w:nsid w:val="3494B2FB"/>
    <w:multiLevelType w:val="hybridMultilevel"/>
    <w:lvl w:ilvl="0">
      <w:lvlJc w:val="left"/>
      <w:lvlText w:val="(%1)"/>
      <w:numFmt w:val="lowerRoman"/>
      <w:start w:val="3"/>
    </w:lvl>
    <w:lvl w:ilvl="1">
      <w:lvlJc w:val="left"/>
      <w:lvlText w:val="(%2)"/>
      <w:numFmt w:val="upperLetter"/>
      <w:start w:val="1"/>
    </w:lvl>
  </w:abstractNum>
  <w:abstractNum w:abstractNumId="113">
    <w:nsid w:val="B13A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4">
    <w:nsid w:val="6442959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5">
    <w:nsid w:val="631F1690"/>
    <w:multiLevelType w:val="hybridMultilevel"/>
    <w:lvl w:ilvl="0">
      <w:lvlJc w:val="left"/>
      <w:lvlText w:val="%1"/>
      <w:numFmt w:val="lowerLetter"/>
      <w:start w:val="1"/>
    </w:lvl>
    <w:lvl w:ilvl="1">
      <w:lvlJc w:val="left"/>
      <w:lvlText w:val="(%2)"/>
      <w:numFmt w:val="upperLetter"/>
      <w:start w:val="1"/>
    </w:lvl>
  </w:abstractNum>
  <w:abstractNum w:abstractNumId="116">
    <w:nsid w:val="25973E32"/>
    <w:multiLevelType w:val="hybridMultilevel"/>
    <w:lvl w:ilvl="0">
      <w:lvlJc w:val="left"/>
      <w:lvlText w:val="(%1)"/>
      <w:numFmt w:val="lowerLetter"/>
      <w:start w:val="5"/>
    </w:lvl>
    <w:lvl w:ilvl="1">
      <w:lvlJc w:val="left"/>
      <w:lvlText w:val="%2"/>
      <w:numFmt w:val="upperLetter"/>
      <w:start w:val="1"/>
    </w:lvl>
  </w:abstractNum>
  <w:abstractNum w:abstractNumId="117">
    <w:nsid w:val="EAD6F57"/>
    <w:multiLevelType w:val="hybridMultilevel"/>
    <w:lvl w:ilvl="0">
      <w:lvlJc w:val="left"/>
      <w:lvlText w:val="(%1)"/>
      <w:numFmt w:val="lowerLetter"/>
      <w:start w:val="1"/>
    </w:lvl>
    <w:lvl w:ilvl="1">
      <w:lvlJc w:val="left"/>
      <w:lvlText w:val="(%2)"/>
      <w:numFmt w:val="lowerLetter"/>
      <w:start w:val="9"/>
    </w:lvl>
  </w:abstractNum>
  <w:abstractNum w:abstractNumId="118">
    <w:nsid w:val="6EC9D844"/>
    <w:multiLevelType w:val="hybridMultilevel"/>
    <w:lvl w:ilvl="0">
      <w:lvlJc w:val="left"/>
      <w:lvlText w:val="(%1)"/>
      <w:numFmt w:val="lowerRoman"/>
      <w:start w:val="2"/>
    </w:lvl>
  </w:abstractNum>
  <w:abstractNum w:abstractNumId="119">
    <w:nsid w:val="5C49EAE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0">
    <w:nsid w:val="64AF49B"/>
    <w:multiLevelType w:val="hybridMultilevel"/>
    <w:lvl w:ilvl="0">
      <w:lvlJc w:val="left"/>
      <w:lvlText w:val="(%1)"/>
      <w:numFmt w:val="lowerRoman"/>
      <w:start w:val="3"/>
    </w:lvl>
    <w:lvl w:ilvl="1">
      <w:lvlJc w:val="left"/>
      <w:lvlText w:val="(%2)"/>
      <w:numFmt w:val="upperLetter"/>
      <w:start w:val="1"/>
    </w:lvl>
  </w:abstractNum>
  <w:abstractNum w:abstractNumId="121">
    <w:nsid w:val="397C46BC"/>
    <w:multiLevelType w:val="hybridMultilevel"/>
    <w:lvl w:ilvl="0">
      <w:lvlJc w:val="left"/>
      <w:lvlText w:val="(%1)"/>
      <w:numFmt w:val="lowerLetter"/>
      <w:start w:val="1"/>
    </w:lvl>
  </w:abstractNum>
  <w:abstractNum w:abstractNumId="122">
    <w:nsid w:val="7E448DE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3">
    <w:nsid w:val="5A9CC3E5"/>
    <w:multiLevelType w:val="hybridMultilevel"/>
    <w:lvl w:ilvl="0">
      <w:lvlJc w:val="left"/>
      <w:lvlText w:val="(%1)"/>
      <w:numFmt w:val="lowerLetter"/>
      <w:start w:val="1"/>
    </w:lvl>
  </w:abstractNum>
  <w:abstractNum w:abstractNumId="124">
    <w:nsid w:val="1AFE3625"/>
    <w:multiLevelType w:val="hybridMultilevel"/>
    <w:lvl w:ilvl="0">
      <w:lvlJc w:val="left"/>
      <w:lvlText w:val="(%1)"/>
      <w:numFmt w:val="lowerLetter"/>
      <w:start w:val="2"/>
    </w:lvl>
  </w:abstractNum>
  <w:abstractNum w:abstractNumId="125">
    <w:nsid w:val="3CA88ECF"/>
    <w:multiLevelType w:val="hybridMultilevel"/>
    <w:lvl w:ilvl="0">
      <w:lvlJc w:val="left"/>
      <w:lvlText w:val="(%1)"/>
      <w:numFmt w:val="lowerLetter"/>
      <w:start w:val="4"/>
    </w:lvl>
  </w:abstractNum>
  <w:abstractNum w:abstractNumId="126">
    <w:nsid w:val="6EBE4208"/>
    <w:multiLevelType w:val="hybridMultilevel"/>
    <w:lvl w:ilvl="0">
      <w:lvlJc w:val="left"/>
      <w:lvlText w:val="(%1)"/>
      <w:numFmt w:val="lowerLetter"/>
      <w:start w:val="5"/>
    </w:lvl>
  </w:abstractNum>
  <w:abstractNum w:abstractNumId="127">
    <w:nsid w:val="C058DF5"/>
    <w:multiLevelType w:val="hybridMultilevel"/>
    <w:lvl w:ilvl="0">
      <w:lvlJc w:val="left"/>
      <w:lvlText w:val="(%1)"/>
      <w:numFmt w:val="lowerLetter"/>
      <w:start w:val="1"/>
    </w:lvl>
    <w:lvl w:ilvl="1">
      <w:lvlJc w:val="left"/>
      <w:lvlText w:val="(%2)"/>
      <w:numFmt w:val="lowerRoman"/>
      <w:start w:val="1"/>
    </w:lvl>
  </w:abstractNum>
  <w:abstractNum w:abstractNumId="128">
    <w:nsid w:val="CBE5BE9"/>
    <w:multiLevelType w:val="hybridMultilevel"/>
    <w:lvl w:ilvl="0">
      <w:lvlJc w:val="left"/>
      <w:lvlText w:val="%1"/>
      <w:numFmt w:val="lowerLetter"/>
      <w:start w:val="1"/>
    </w:lvl>
    <w:lvl w:ilvl="1">
      <w:lvlJc w:val="left"/>
      <w:lvlText w:val="(%2)"/>
      <w:numFmt w:val="lowerRoman"/>
      <w:start w:val="3"/>
    </w:lvl>
  </w:abstractNum>
  <w:abstractNum w:abstractNumId="129">
    <w:nsid w:val="3102BBE2"/>
    <w:multiLevelType w:val="hybridMultilevel"/>
    <w:lvl w:ilvl="0">
      <w:lvlJc w:val="left"/>
      <w:lvlText w:val="(%1)"/>
      <w:numFmt w:val="lowerLetter"/>
      <w:start w:val="3"/>
    </w:lvl>
    <w:lvl w:ilvl="1">
      <w:lvlJc w:val="left"/>
      <w:lvlText w:val="%2"/>
      <w:numFmt w:val="lowerRoman"/>
      <w:start w:val="1"/>
    </w:lvl>
  </w:abstractNum>
  <w:abstractNum w:abstractNumId="130">
    <w:nsid w:val="26A02C5E"/>
    <w:multiLevelType w:val="hybridMultilevel"/>
    <w:lvl w:ilvl="0">
      <w:lvlJc w:val="left"/>
      <w:lvlText w:val="(%1)"/>
      <w:numFmt w:val="lowerLetter"/>
      <w:start w:val="1"/>
    </w:lvl>
  </w:abstractNum>
  <w:abstractNum w:abstractNumId="131">
    <w:nsid w:val="541C8153"/>
    <w:multiLevelType w:val="hybridMultilevel"/>
    <w:lvl w:ilvl="0">
      <w:lvlJc w:val="left"/>
      <w:lvlText w:val="(%1)"/>
      <w:numFmt w:val="lowerLetter"/>
      <w:start w:val="2"/>
    </w:lvl>
  </w:abstractNum>
  <w:abstractNum w:abstractNumId="132">
    <w:nsid w:val="67906F60"/>
    <w:multiLevelType w:val="hybridMultilevel"/>
    <w:lvl w:ilvl="0">
      <w:lvlJc w:val="left"/>
      <w:lvlText w:val="(%1)"/>
      <w:numFmt w:val="lowerLetter"/>
      <w:start w:val="1"/>
    </w:lvl>
  </w:abstractNum>
  <w:abstractNum w:abstractNumId="133">
    <w:nsid w:val="10DB9DAA"/>
    <w:multiLevelType w:val="hybridMultilevel"/>
    <w:lvl w:ilvl="0">
      <w:lvlJc w:val="left"/>
      <w:lvlText w:val="(%1)"/>
      <w:numFmt w:val="lowerLetter"/>
      <w:start w:val="1"/>
    </w:lvl>
  </w:abstractNum>
  <w:abstractNum w:abstractNumId="134">
    <w:nsid w:val="697D2D2"/>
    <w:multiLevelType w:val="hybridMultilevel"/>
    <w:lvl w:ilvl="0">
      <w:lvlJc w:val="left"/>
      <w:lvlText w:val="(%1)"/>
      <w:numFmt w:val="lowerLetter"/>
      <w:start w:val="2"/>
    </w:lvl>
  </w:abstractNum>
  <w:abstractNum w:abstractNumId="135">
    <w:nsid w:val="6D68AB2"/>
    <w:multiLevelType w:val="hybridMultilevel"/>
    <w:lvl w:ilvl="0">
      <w:lvlJc w:val="left"/>
      <w:lvlText w:val="(%1)"/>
      <w:numFmt w:val="lowerLetter"/>
      <w:start w:val="1"/>
    </w:lvl>
  </w:abstractNum>
  <w:abstractNum w:abstractNumId="136">
    <w:nsid w:val="3A966CD0"/>
    <w:multiLevelType w:val="hybridMultilevel"/>
    <w:lvl w:ilvl="0">
      <w:lvlJc w:val="left"/>
      <w:lvlText w:val="(%1)"/>
      <w:numFmt w:val="lowerLetter"/>
      <w:start w:val="2"/>
    </w:lvl>
    <w:lvl w:ilvl="1">
      <w:lvlJc w:val="left"/>
      <w:lvlText w:val="(%2)"/>
      <w:numFmt w:val="lowerLetter"/>
      <w:start w:val="9"/>
    </w:lvl>
  </w:abstractNum>
  <w:abstractNum w:abstractNumId="137">
    <w:nsid w:val="63F37E85"/>
    <w:multiLevelType w:val="hybridMultilevel"/>
    <w:lvl w:ilvl="0">
      <w:lvlJc w:val="left"/>
      <w:lvlText w:val="(%1)"/>
      <w:numFmt w:val="lowerLetter"/>
      <w:start w:val="3"/>
    </w:lvl>
  </w:abstractNum>
  <w:abstractNum w:abstractNumId="138">
    <w:nsid w:val="5895F5FA"/>
    <w:multiLevelType w:val="hybridMultilevel"/>
    <w:lvl w:ilvl="0">
      <w:lvlJc w:val="left"/>
      <w:lvlText w:val="(%1)"/>
      <w:numFmt w:val="lowerRoman"/>
      <w:start w:val="1"/>
    </w:lvl>
  </w:abstractNum>
  <w:abstractNum w:abstractNumId="139">
    <w:nsid w:val="38A5D054"/>
    <w:multiLevelType w:val="hybridMultilevel"/>
    <w:lvl w:ilvl="0">
      <w:lvlJc w:val="left"/>
      <w:lvlText w:val="(%1)"/>
      <w:numFmt w:val="lowerLetter"/>
      <w:start w:val="1"/>
    </w:lvl>
  </w:abstractNum>
  <w:abstractNum w:abstractNumId="140">
    <w:nsid w:val="F3F09D8"/>
    <w:multiLevelType w:val="hybridMultilevel"/>
    <w:lvl w:ilvl="0">
      <w:lvlJc w:val="left"/>
      <w:lvlText w:val="(%1)"/>
      <w:numFmt w:val="lowerLetter"/>
      <w:start w:val="4"/>
    </w:lvl>
  </w:abstractNum>
  <w:abstractNum w:abstractNumId="141">
    <w:nsid w:val="4B793735"/>
    <w:multiLevelType w:val="hybridMultilevel"/>
    <w:lvl w:ilvl="0">
      <w:lvlJc w:val="left"/>
      <w:lvlText w:val="(%1)"/>
      <w:numFmt w:val="lowerLetter"/>
      <w:start w:val="1"/>
    </w:lvl>
    <w:lvl w:ilvl="1">
      <w:lvlJc w:val="left"/>
      <w:lvlText w:val="(%2)"/>
      <w:numFmt w:val="lowerRoman"/>
      <w:start w:val="1"/>
    </w:lvl>
  </w:abstractNum>
  <w:abstractNum w:abstractNumId="142">
    <w:nsid w:val="4A10B4E8"/>
    <w:multiLevelType w:val="hybridMultilevel"/>
    <w:lvl w:ilvl="0">
      <w:lvlJc w:val="left"/>
      <w:lvlText w:val="(%1)"/>
      <w:numFmt w:val="lowerRoman"/>
      <w:start w:val="3"/>
    </w:lvl>
  </w:abstractNum>
  <w:abstractNum w:abstractNumId="143">
    <w:nsid w:val="43D3BCD4"/>
    <w:multiLevelType w:val="hybridMultilevel"/>
    <w:lvl w:ilvl="0">
      <w:lvlJc w:val="left"/>
      <w:lvlText w:val="%1"/>
      <w:numFmt w:val="lowerLetter"/>
      <w:start w:val="1"/>
    </w:lvl>
    <w:lvl w:ilvl="1">
      <w:lvlJc w:val="left"/>
      <w:lvlText w:val="(%2)"/>
      <w:numFmt w:val="lowerLetter"/>
      <w:start w:val="22"/>
    </w:lvl>
  </w:abstractNum>
  <w:abstractNum w:abstractNumId="144">
    <w:nsid w:val="4C2A7166"/>
    <w:multiLevelType w:val="hybridMultilevel"/>
    <w:lvl w:ilvl="0">
      <w:lvlJc w:val="left"/>
      <w:lvlText w:val="(%1)"/>
      <w:numFmt w:val="lowerLetter"/>
      <w:start w:val="25"/>
    </w:lvl>
    <w:lvl w:ilvl="1">
      <w:lvlJc w:val="left"/>
      <w:lvlText w:val="%2"/>
      <w:numFmt w:val="lowerLetter"/>
      <w:start w:val="1"/>
    </w:lvl>
  </w:abstractNum>
  <w:abstractNum w:abstractNumId="145">
    <w:nsid w:val="2E534A82"/>
    <w:multiLevelType w:val="hybridMultilevel"/>
    <w:lvl w:ilvl="0">
      <w:lvlJc w:val="left"/>
      <w:lvlText w:val="(%1)"/>
      <w:numFmt w:val="lowerLetter"/>
      <w:start w:val="2"/>
    </w:lvl>
  </w:abstractNum>
  <w:abstractNum w:abstractNumId="146">
    <w:nsid w:val="26F2D364"/>
    <w:multiLevelType w:val="hybridMultilevel"/>
    <w:lvl w:ilvl="0">
      <w:lvlJc w:val="left"/>
      <w:lvlText w:val="(%1)"/>
      <w:numFmt w:val="lowerLetter"/>
      <w:start w:val="1"/>
    </w:lvl>
  </w:abstractNum>
  <w:abstractNum w:abstractNumId="147">
    <w:nsid w:val="71C1AF98"/>
    <w:multiLevelType w:val="hybridMultilevel"/>
    <w:lvl w:ilvl="0">
      <w:lvlJc w:val="left"/>
      <w:lvlText w:val="(%1)"/>
      <w:numFmt w:val="lowerLetter"/>
      <w:start w:val="2"/>
    </w:lvl>
  </w:abstractNum>
  <w:abstractNum w:abstractNumId="148">
    <w:nsid w:val="3D00B9D9"/>
    <w:multiLevelType w:val="hybridMultilevel"/>
    <w:lvl w:ilvl="0">
      <w:lvlJc w:val="left"/>
      <w:lvlText w:val="(%1)"/>
      <w:numFmt w:val="lowerLetter"/>
      <w:start w:val="3"/>
    </w:lvl>
  </w:abstractNum>
  <w:abstractNum w:abstractNumId="149">
    <w:nsid w:val="15BCABA8"/>
    <w:multiLevelType w:val="hybridMultilevel"/>
    <w:lvl w:ilvl="0">
      <w:lvlJc w:val="left"/>
      <w:lvlText w:val="(%1)"/>
      <w:numFmt w:val="lowerLetter"/>
      <w:start w:val="1"/>
    </w:lvl>
  </w:abstractNum>
  <w:abstractNum w:abstractNumId="150">
    <w:nsid w:val="4E0B9A87"/>
    <w:multiLevelType w:val="hybridMultilevel"/>
    <w:lvl w:ilvl="0">
      <w:lvlJc w:val="left"/>
      <w:lvlText w:val="(%1)"/>
      <w:numFmt w:val="lowerRoman"/>
      <w:start w:val="2"/>
    </w:lvl>
  </w:abstractNum>
  <w:abstractNum w:abstractNumId="151">
    <w:nsid w:val="434BAE75"/>
    <w:multiLevelType w:val="hybridMultilevel"/>
    <w:lvl w:ilvl="0">
      <w:lvlJc w:val="left"/>
      <w:lvlText w:val="(%1)"/>
      <w:numFmt w:val="lowerLetter"/>
      <w:start w:val="1"/>
    </w:lvl>
  </w:abstractNum>
  <w:abstractNum w:abstractNumId="152">
    <w:nsid w:val="4F38F265"/>
    <w:multiLevelType w:val="hybridMultilevel"/>
    <w:lvl w:ilvl="0">
      <w:lvlJc w:val="left"/>
      <w:lvlText w:val="%1"/>
      <w:numFmt w:val="lowerLetter"/>
      <w:start w:val="1"/>
    </w:lvl>
    <w:lvl w:ilvl="1">
      <w:lvlJc w:val="left"/>
      <w:lvlText w:val="(%2)"/>
      <w:numFmt w:val="lowerLetter"/>
      <w:start w:val="3"/>
    </w:lvl>
  </w:abstractNum>
  <w:abstractNum w:abstractNumId="153">
    <w:nsid w:val="4C502870"/>
    <w:multiLevelType w:val="hybridMultilevel"/>
    <w:lvl w:ilvl="0">
      <w:lvlJc w:val="left"/>
      <w:lvlText w:val="(%1)"/>
      <w:numFmt w:val="lowerLetter"/>
      <w:start w:val="35"/>
    </w:lvl>
    <w:lvl w:ilvl="1">
      <w:lvlJc w:val="left"/>
      <w:lvlText w:val="%2"/>
      <w:numFmt w:val="lowerLetter"/>
      <w:start w:val="1"/>
    </w:lvl>
  </w:abstractNum>
  <w:abstractNum w:abstractNumId="154">
    <w:nsid w:val="1DE8725A"/>
    <w:multiLevelType w:val="hybridMultilevel"/>
    <w:lvl w:ilvl="0">
      <w:lvlJc w:val="left"/>
      <w:lvlText w:val="(%1)"/>
      <w:numFmt w:val="lowerLetter"/>
      <w:start w:val="1"/>
    </w:lvl>
    <w:lvl w:ilvl="1">
      <w:lvlJc w:val="left"/>
      <w:lvlText w:val="(%2)"/>
      <w:numFmt w:val="lowerRoman"/>
      <w:start w:val="1"/>
    </w:lvl>
  </w:abstractNum>
  <w:abstractNum w:abstractNumId="155">
    <w:nsid w:val="6A37288A"/>
    <w:multiLevelType w:val="hybridMultilevel"/>
    <w:lvl w:ilvl="0">
      <w:lvlJc w:val="left"/>
      <w:lvlText w:val="(%1)"/>
      <w:numFmt w:val="lowerLetter"/>
      <w:start w:val="2"/>
    </w:lvl>
    <w:lvl w:ilvl="1">
      <w:lvlJc w:val="left"/>
      <w:lvlText w:val="(%2)"/>
      <w:numFmt w:val="lowerLetter"/>
      <w:start w:val="9"/>
    </w:lvl>
  </w:abstractNum>
  <w:abstractNum w:abstractNumId="156">
    <w:nsid w:val="8F8B73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7">
    <w:nsid w:val="CA6B462"/>
    <w:multiLevelType w:val="hybridMultilevel"/>
    <w:lvl w:ilvl="0">
      <w:lvlJc w:val="left"/>
      <w:lvlText w:val="(%1)"/>
      <w:numFmt w:val="upperLetter"/>
      <w:start w:val="9"/>
    </w:lvl>
  </w:abstractNum>
  <w:abstractNum w:abstractNumId="158">
    <w:nsid w:val="763CB680"/>
    <w:multiLevelType w:val="hybridMultilevel"/>
    <w:lvl w:ilvl="0">
      <w:lvlJc w:val="left"/>
      <w:lvlText w:val="(%1)"/>
      <w:numFmt w:val="upperLetter"/>
      <w:start w:val="61"/>
    </w:lvl>
  </w:abstractNum>
  <w:abstractNum w:abstractNumId="159">
    <w:nsid w:val="15B71329"/>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2"/>
    </w:lvl>
  </w:abstractNum>
  <w:abstractNum w:abstractNumId="160">
    <w:nsid w:val="3DA97044"/>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161">
    <w:nsid w:val="1CDCE2DE"/>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62">
    <w:nsid w:val="69D3947C"/>
    <w:multiLevelType w:val="hybridMultilevel"/>
    <w:lvl w:ilvl="0">
      <w:lvlJc w:val="left"/>
      <w:lvlText w:val="(%1)"/>
      <w:numFmt w:val="lowerLetter"/>
      <w:start w:val="6"/>
    </w:lvl>
  </w:abstractNum>
  <w:abstractNum w:abstractNumId="163">
    <w:nsid w:val="2539DFA5"/>
    <w:multiLevelType w:val="hybridMultilevel"/>
    <w:lvl w:ilvl="0">
      <w:lvlJc w:val="left"/>
      <w:lvlText w:val="(%1)"/>
      <w:numFmt w:val="decimal"/>
      <w:start w:val="1"/>
    </w:lvl>
  </w:abstractNum>
  <w:abstractNum w:abstractNumId="164">
    <w:nsid w:val="2DB88089"/>
    <w:multiLevelType w:val="hybridMultilevel"/>
    <w:lvl w:ilvl="0">
      <w:lvlJc w:val="left"/>
      <w:lvlText w:val="(%1)"/>
      <w:numFmt w:val="lowerLetter"/>
      <w:start w:val="1"/>
    </w:lvl>
    <w:lvl w:ilvl="1">
      <w:lvlJc w:val="left"/>
      <w:lvlText w:val="(%2)"/>
      <w:numFmt w:val="lowerRoman"/>
      <w:start w:val="1"/>
    </w:lvl>
  </w:abstractNum>
  <w:abstractNum w:abstractNumId="165">
    <w:nsid w:val="706B674E"/>
    <w:multiLevelType w:val="hybridMultilevel"/>
    <w:lvl w:ilvl="0">
      <w:lvlJc w:val="left"/>
      <w:lvlText w:val="(%1)"/>
      <w:numFmt w:val="lowerLetter"/>
      <w:start w:val="2"/>
    </w:lvl>
  </w:abstractNum>
  <w:abstractNum w:abstractNumId="166">
    <w:nsid w:val="2C106A57"/>
    <w:multiLevelType w:val="hybridMultilevel"/>
    <w:lvl w:ilvl="0">
      <w:lvlJc w:val="left"/>
      <w:lvlText w:val="(%1)"/>
      <w:numFmt w:val="lowerLetter"/>
      <w:start w:val="1"/>
    </w:lvl>
  </w:abstractNum>
  <w:abstractNum w:abstractNumId="167">
    <w:nsid w:val="684EED59"/>
    <w:multiLevelType w:val="hybridMultilevel"/>
    <w:lvl w:ilvl="0">
      <w:lvlJc w:val="left"/>
      <w:lvlText w:val="(%1)"/>
      <w:numFmt w:val="lowerLetter"/>
      <w:start w:val="1"/>
    </w:lvl>
  </w:abstractNum>
  <w:abstractNum w:abstractNumId="168">
    <w:nsid w:val="545EE5D3"/>
    <w:multiLevelType w:val="hybridMultilevel"/>
    <w:lvl w:ilvl="0">
      <w:lvlJc w:val="left"/>
      <w:lvlText w:val="(%1)"/>
      <w:numFmt w:val="lowerLetter"/>
      <w:start w:val="2"/>
    </w:lvl>
  </w:abstractNum>
  <w:abstractNum w:abstractNumId="169">
    <w:nsid w:val="4A66051"/>
    <w:multiLevelType w:val="hybridMultilevel"/>
    <w:lvl w:ilvl="0">
      <w:lvlJc w:val="left"/>
      <w:lvlText w:val="(%1)"/>
      <w:numFmt w:val="lowerLetter"/>
      <w:start w:val="1"/>
    </w:lvl>
  </w:abstractNum>
  <w:abstractNum w:abstractNumId="170">
    <w:nsid w:val="20F4BDAD"/>
    <w:multiLevelType w:val="hybridMultilevel"/>
    <w:lvl w:ilvl="0">
      <w:lvlJc w:val="left"/>
      <w:lvlText w:val="(%1)"/>
      <w:numFmt w:val="lowerLetter"/>
      <w:start w:val="3"/>
    </w:lvl>
  </w:abstractNum>
  <w:abstractNum w:abstractNumId="171">
    <w:nsid w:val="639DEF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2">
    <w:nsid w:val="501F9786"/>
    <w:multiLevelType w:val="hybridMultilevel"/>
    <w:lvl w:ilvl="0">
      <w:lvlJc w:val="left"/>
      <w:lvlText w:val="(%1)"/>
      <w:numFmt w:val="lowerLetter"/>
      <w:start w:val="4"/>
    </w:lvl>
    <w:lvl w:ilvl="1">
      <w:lvlJc w:val="left"/>
      <w:lvlText w:val="(%2)"/>
      <w:numFmt w:val="lowerRoman"/>
      <w:start w:val="1"/>
    </w:lvl>
  </w:abstractNum>
  <w:abstractNum w:abstractNumId="173">
    <w:nsid w:val="6B057295"/>
    <w:multiLevelType w:val="hybridMultilevel"/>
    <w:lvl w:ilvl="0">
      <w:lvlJc w:val="left"/>
      <w:lvlText w:val="(%1)"/>
      <w:numFmt w:val="lowerLetter"/>
      <w:start w:val="6"/>
    </w:lvl>
  </w:abstractNum>
  <w:abstractNum w:abstractNumId="174">
    <w:nsid w:val="2771AC80"/>
    <w:multiLevelType w:val="hybridMultilevel"/>
    <w:lvl w:ilvl="0">
      <w:lvlJc w:val="left"/>
      <w:lvlText w:val="(%1)"/>
      <w:numFmt w:val="lowerLetter"/>
      <w:start w:val="11"/>
    </w:lvl>
  </w:abstractNum>
  <w:abstractNum w:abstractNumId="175">
    <w:nsid w:val="1C4A08EC"/>
    <w:multiLevelType w:val="hybridMultilevel"/>
    <w:lvl w:ilvl="0">
      <w:lvlJc w:val="left"/>
      <w:lvlText w:val="(%1)"/>
      <w:numFmt w:val="lowerLetter"/>
      <w:start w:val="1"/>
    </w:lvl>
  </w:abstractNum>
  <w:abstractNum w:abstractNumId="176">
    <w:nsid w:val="1958BD17"/>
    <w:multiLevelType w:val="hybridMultilevel"/>
    <w:lvl w:ilvl="0">
      <w:lvlJc w:val="left"/>
      <w:lvlText w:val="(%1)"/>
      <w:numFmt w:val="lowerLetter"/>
      <w:start w:val="2"/>
    </w:lvl>
  </w:abstractNum>
  <w:abstractNum w:abstractNumId="177">
    <w:nsid w:val="4E647FE4"/>
    <w:multiLevelType w:val="hybridMultilevel"/>
    <w:lvl w:ilvl="0">
      <w:lvlJc w:val="left"/>
      <w:lvlText w:val="(%1)"/>
      <w:numFmt w:val="lowerLetter"/>
      <w:start w:val="3"/>
    </w:lvl>
  </w:abstractNum>
  <w:abstractNum w:abstractNumId="178">
    <w:nsid w:val="E0BB885"/>
    <w:multiLevelType w:val="hybridMultilevel"/>
    <w:lvl w:ilvl="0">
      <w:lvlJc w:val="left"/>
      <w:lvlText w:val="(%1)"/>
      <w:numFmt w:val="lowerLetter"/>
      <w:start w:val="1"/>
    </w:lvl>
  </w:abstractNum>
  <w:abstractNum w:abstractNumId="179">
    <w:nsid w:val="565976F1"/>
    <w:multiLevelType w:val="hybridMultilevel"/>
    <w:lvl w:ilvl="0">
      <w:lvlJc w:val="left"/>
      <w:lvlText w:val="(%1)"/>
      <w:numFmt w:val="lowerLetter"/>
      <w:start w:val="3"/>
    </w:lvl>
  </w:abstractNum>
  <w:abstractNum w:abstractNumId="180">
    <w:nsid w:val="64212B8C"/>
    <w:multiLevelType w:val="hybridMultilevel"/>
    <w:lvl w:ilvl="0">
      <w:lvlJc w:val="left"/>
      <w:lvlText w:val="(%1)"/>
      <w:numFmt w:val="lowerLetter"/>
      <w:start w:val="1"/>
    </w:lvl>
  </w:abstractNum>
  <w:abstractNum w:abstractNumId="181">
    <w:nsid w:val="5C17530C"/>
    <w:multiLevelType w:val="hybridMultilevel"/>
    <w:lvl w:ilvl="0">
      <w:lvlJc w:val="left"/>
      <w:lvlText w:val="(%1)"/>
      <w:numFmt w:val="lowerRoman"/>
      <w:start w:val="6"/>
    </w:lvl>
    <w:lvl w:ilvl="1">
      <w:lvlJc w:val="left"/>
      <w:lvlText w:val="(%2)"/>
      <w:numFmt w:val="lowerLetter"/>
      <w:start w:val="4"/>
    </w:lvl>
  </w:abstractNum>
  <w:abstractNum w:abstractNumId="182">
    <w:nsid w:val="19A52566"/>
    <w:multiLevelType w:val="hybridMultilevel"/>
    <w:lvl w:ilvl="0">
      <w:lvlJc w:val="left"/>
      <w:lvlText w:val="(%1)"/>
      <w:numFmt w:val="lowerLetter"/>
      <w:start w:val="1"/>
    </w:lvl>
  </w:abstractNum>
  <w:abstractNum w:abstractNumId="183">
    <w:nsid w:val="335A1DF1"/>
    <w:multiLevelType w:val="hybridMultilevel"/>
    <w:lvl w:ilvl="0">
      <w:lvlJc w:val="left"/>
      <w:lvlText w:val="(%1)"/>
      <w:numFmt w:val="lowerRoman"/>
      <w:start w:val="3"/>
    </w:lvl>
  </w:abstractNum>
  <w:abstractNum w:abstractNumId="184">
    <w:nsid w:val="28677B7C"/>
    <w:multiLevelType w:val="hybridMultilevel"/>
    <w:lvl w:ilvl="0">
      <w:lvlJc w:val="left"/>
      <w:lvlText w:val="%1"/>
      <w:numFmt w:val="lowerLetter"/>
      <w:start w:val="1"/>
    </w:lvl>
    <w:lvl w:ilvl="1">
      <w:lvlJc w:val="left"/>
      <w:lvlText w:val="(%2)"/>
      <w:numFmt w:val="lowerLetter"/>
      <w:start w:val="1"/>
    </w:lvl>
  </w:abstractNum>
  <w:abstractNum w:abstractNumId="185">
    <w:nsid w:val="378D97C0"/>
    <w:multiLevelType w:val="hybridMultilevel"/>
    <w:lvl w:ilvl="0">
      <w:lvlJc w:val="left"/>
      <w:lvlText w:val="(%1)"/>
      <w:numFmt w:val="lowerLetter"/>
      <w:start w:val="9"/>
    </w:lvl>
    <w:lvl w:ilvl="1">
      <w:lvlJc w:val="left"/>
      <w:lvlText w:val="(%2)"/>
      <w:numFmt w:val="lowerLetter"/>
      <w:start w:val="4"/>
    </w:lvl>
  </w:abstractNum>
  <w:abstractNum w:abstractNumId="186">
    <w:nsid w:val="1D91467C"/>
    <w:multiLevelType w:val="hybridMultilevel"/>
    <w:lvl w:ilvl="0">
      <w:lvlJc w:val="left"/>
      <w:lvlText w:val="(%1)"/>
      <w:numFmt w:val="lowerLetter"/>
      <w:start w:val="1"/>
    </w:lvl>
  </w:abstractNum>
  <w:abstractNum w:abstractNumId="187">
    <w:nsid w:val="316032BB"/>
    <w:multiLevelType w:val="hybridMultilevel"/>
    <w:lvl w:ilvl="0">
      <w:lvlJc w:val="left"/>
      <w:lvlText w:val="(%1)"/>
      <w:numFmt w:val="lowerLetter"/>
      <w:start w:val="2"/>
    </w:lvl>
  </w:abstractNum>
  <w:abstractNum w:abstractNumId="188">
    <w:nsid w:val="44344C22"/>
    <w:multiLevelType w:val="hybridMultilevel"/>
    <w:lvl w:ilvl="0">
      <w:lvlJc w:val="left"/>
      <w:lvlText w:val="(%1)"/>
      <w:numFmt w:val="lowerLetter"/>
      <w:start w:val="1"/>
    </w:lvl>
  </w:abstractNum>
  <w:abstractNum w:abstractNumId="189">
    <w:nsid w:val="13CDFCFC"/>
    <w:multiLevelType w:val="hybridMultilevel"/>
    <w:lvl w:ilvl="0">
      <w:lvlJc w:val="left"/>
      <w:lvlText w:val="(%1)"/>
      <w:numFmt w:val="lowerLetter"/>
      <w:start w:val="7"/>
    </w:lvl>
  </w:abstractNum>
  <w:abstractNum w:abstractNumId="190">
    <w:nsid w:val="471745E4"/>
    <w:multiLevelType w:val="hybridMultilevel"/>
    <w:lvl w:ilvl="0">
      <w:lvlJc w:val="left"/>
      <w:lvlText w:val="(%1)"/>
      <w:numFmt w:val="lowerRoman"/>
      <w:start w:val="1"/>
    </w:lvl>
  </w:abstractNum>
  <w:abstractNum w:abstractNumId="191">
    <w:nsid w:val="1DDBC66"/>
    <w:multiLevelType w:val="hybridMultilevel"/>
    <w:lvl w:ilvl="0">
      <w:lvlJc w:val="left"/>
      <w:lvlText w:val="(%1)"/>
      <w:numFmt w:val="lowerLetter"/>
      <w:start w:val="1"/>
    </w:lvl>
  </w:abstractNum>
  <w:abstractNum w:abstractNumId="192">
    <w:nsid w:val="30AADFDA"/>
    <w:multiLevelType w:val="hybridMultilevel"/>
    <w:lvl w:ilvl="0">
      <w:lvlJc w:val="left"/>
      <w:lvlText w:val="(%1)"/>
      <w:numFmt w:val="lowerLetter"/>
      <w:start w:val="1"/>
    </w:lvl>
  </w:abstractNum>
  <w:abstractNum w:abstractNumId="193">
    <w:nsid w:val="30EADA61"/>
    <w:multiLevelType w:val="hybridMultilevel"/>
    <w:lvl w:ilvl="0">
      <w:lvlJc w:val="left"/>
      <w:lvlText w:val="(%1)"/>
      <w:numFmt w:val="lowerLetter"/>
      <w:start w:val="4"/>
    </w:lvl>
  </w:abstractNum>
  <w:abstractNum w:abstractNumId="194">
    <w:nsid w:val="27179C0B"/>
    <w:multiLevelType w:val="hybridMultilevel"/>
    <w:lvl w:ilvl="0">
      <w:lvlJc w:val="left"/>
      <w:lvlText w:val="(%1)"/>
      <w:numFmt w:val="lowerLetter"/>
      <w:start w:val="1"/>
    </w:lvl>
  </w:abstractNum>
  <w:abstractNum w:abstractNumId="195">
    <w:nsid w:val="5E636063"/>
    <w:multiLevelType w:val="hybridMultilevel"/>
    <w:lvl w:ilvl="0">
      <w:lvlJc w:val="left"/>
      <w:lvlText w:val="(%1)"/>
      <w:numFmt w:val="lowerLetter"/>
      <w:start w:val="1"/>
    </w:lvl>
  </w:abstractNum>
  <w:abstractNum w:abstractNumId="196">
    <w:nsid w:val="215641AF"/>
    <w:multiLevelType w:val="hybridMultilevel"/>
    <w:lvl w:ilvl="0">
      <w:lvlJc w:val="left"/>
      <w:lvlText w:val="(%1)"/>
      <w:numFmt w:val="lowerLetter"/>
      <w:start w:val="1"/>
    </w:lvl>
    <w:lvl w:ilvl="1">
      <w:lvlJc w:val="left"/>
      <w:lvlText w:val="(%2)"/>
      <w:numFmt w:val="lowerRoman"/>
      <w:start w:val="1"/>
    </w:lvl>
  </w:abstractNum>
  <w:abstractNum w:abstractNumId="197">
    <w:nsid w:val="53280662"/>
    <w:multiLevelType w:val="hybridMultilevel"/>
    <w:lvl w:ilvl="0">
      <w:lvlJc w:val="left"/>
      <w:lvlText w:val="(%1)"/>
      <w:numFmt w:val="lowerLetter"/>
      <w:start w:val="2"/>
    </w:lvl>
  </w:abstractNum>
  <w:abstractNum w:abstractNumId="198">
    <w:nsid w:val="46B24DBC"/>
    <w:multiLevelType w:val="hybridMultilevel"/>
    <w:lvl w:ilvl="0">
      <w:lvlJc w:val="left"/>
      <w:lvlText w:val="(%1)"/>
      <w:numFmt w:val="lowerLetter"/>
      <w:start w:val="1"/>
    </w:lvl>
  </w:abstractNum>
  <w:abstractNum w:abstractNumId="199">
    <w:nsid w:val="75B52783"/>
    <w:multiLevelType w:val="hybridMultilevel"/>
    <w:lvl w:ilvl="0">
      <w:lvlJc w:val="left"/>
      <w:lvlText w:val="(%1)"/>
      <w:numFmt w:val="lowerLetter"/>
      <w:start w:val="2"/>
    </w:lvl>
  </w:abstractNum>
  <w:abstractNum w:abstractNumId="200">
    <w:nsid w:val="57CE66B4"/>
    <w:multiLevelType w:val="hybridMultilevel"/>
    <w:lvl w:ilvl="0">
      <w:lvlJc w:val="left"/>
      <w:lvlText w:val="(%1)"/>
      <w:numFmt w:val="lowerLetter"/>
      <w:start w:val="1"/>
    </w:lvl>
  </w:abstractNum>
  <w:abstractNum w:abstractNumId="201">
    <w:nsid w:val="67A70B69"/>
    <w:multiLevelType w:val="hybridMultilevel"/>
    <w:lvl w:ilvl="0">
      <w:lvlJc w:val="left"/>
      <w:lvlText w:val="(%1)"/>
      <w:numFmt w:val="lowerLetter"/>
      <w:start w:val="7"/>
    </w:lvl>
  </w:abstractNum>
  <w:abstractNum w:abstractNumId="202">
    <w:nsid w:val="5953172F"/>
    <w:multiLevelType w:val="hybridMultilevel"/>
    <w:lvl w:ilvl="0">
      <w:lvlJc w:val="left"/>
      <w:lvlText w:val="(%1)"/>
      <w:numFmt w:val="lowerLetter"/>
      <w:start w:val="17"/>
    </w:lvl>
  </w:abstractNum>
  <w:abstractNum w:abstractNumId="203">
    <w:nsid w:val="27EDFE3A"/>
    <w:multiLevelType w:val="hybridMultilevel"/>
    <w:lvl w:ilvl="0">
      <w:lvlJc w:val="left"/>
      <w:lvlText w:val="(%1)"/>
      <w:numFmt w:val="lowerLetter"/>
      <w:start w:val="1"/>
    </w:lvl>
  </w:abstractNum>
  <w:abstractNum w:abstractNumId="204">
    <w:nsid w:val="52AC7DFF"/>
    <w:multiLevelType w:val="hybridMultilevel"/>
    <w:lvl w:ilvl="0">
      <w:lvlJc w:val="left"/>
      <w:lvlText w:val="(%1)"/>
      <w:numFmt w:val="lowerLetter"/>
      <w:start w:val="2"/>
    </w:lvl>
  </w:abstractNum>
  <w:abstractNum w:abstractNumId="205">
    <w:nsid w:val="C4C3AF"/>
    <w:multiLevelType w:val="hybridMultilevel"/>
    <w:lvl w:ilvl="0">
      <w:lvlJc w:val="left"/>
      <w:lvlText w:val="(%1)"/>
      <w:numFmt w:val="lowerLetter"/>
      <w:start w:val="16"/>
    </w:lvl>
  </w:abstractNum>
  <w:abstractNum w:abstractNumId="206">
    <w:nsid w:val="44380727"/>
    <w:multiLevelType w:val="hybridMultilevel"/>
    <w:lvl w:ilvl="0">
      <w:lvlJc w:val="left"/>
      <w:lvlText w:val="(%1)"/>
      <w:numFmt w:val="lowerLetter"/>
      <w:start w:val="1"/>
    </w:lvl>
  </w:abstractNum>
  <w:abstractNum w:abstractNumId="207">
    <w:nsid w:val="6C053B16"/>
    <w:multiLevelType w:val="hybridMultilevel"/>
    <w:lvl w:ilvl="0">
      <w:lvlJc w:val="left"/>
      <w:lvlText w:val="(%1)"/>
      <w:numFmt w:val="lowerLetter"/>
      <w:start w:val="5"/>
    </w:lvl>
  </w:abstractNum>
  <w:abstractNum w:abstractNumId="208">
    <w:nsid w:val="4F294393"/>
    <w:multiLevelType w:val="hybridMultilevel"/>
    <w:lvl w:ilvl="0">
      <w:lvlJc w:val="left"/>
      <w:lvlText w:val="(%1)"/>
      <w:numFmt w:val="lowerLetter"/>
      <w:start w:val="1"/>
    </w:lvl>
  </w:abstractNum>
  <w:abstractNum w:abstractNumId="209">
    <w:nsid w:val="5243BFAC"/>
    <w:multiLevelType w:val="hybridMultilevel"/>
    <w:lvl w:ilvl="0">
      <w:lvlJc w:val="left"/>
      <w:lvlText w:val="(%1)"/>
      <w:numFmt w:val="lowerLetter"/>
      <w:start w:val="4"/>
    </w:lvl>
  </w:abstractNum>
  <w:abstractNum w:abstractNumId="210">
    <w:nsid w:val="425EB207"/>
    <w:multiLevelType w:val="hybridMultilevel"/>
    <w:lvl w:ilvl="0">
      <w:lvlJc w:val="left"/>
      <w:lvlText w:val="%1"/>
      <w:numFmt w:val="lowerLetter"/>
      <w:start w:val="1"/>
    </w:lvl>
    <w:lvl w:ilvl="1">
      <w:lvlJc w:val="left"/>
      <w:lvlText w:val="(%2)"/>
      <w:numFmt w:val="lowerLetter"/>
      <w:start w:val="1"/>
    </w:lvl>
  </w:abstractNum>
  <w:abstractNum w:abstractNumId="211">
    <w:nsid w:val="334A6F1F"/>
    <w:multiLevelType w:val="hybridMultilevel"/>
    <w:lvl w:ilvl="0">
      <w:lvlJc w:val="left"/>
      <w:lvlText w:val="(%1)"/>
      <w:numFmt w:val="lowerLetter"/>
      <w:start w:val="9"/>
    </w:lvl>
    <w:lvl w:ilvl="1">
      <w:lvlJc w:val="left"/>
      <w:lvlText w:val="(%2)"/>
      <w:numFmt w:val="lowerLetter"/>
      <w:start w:val="2"/>
    </w:lvl>
  </w:abstractNum>
  <w:abstractNum w:abstractNumId="212">
    <w:nsid w:val="2E5B12B8"/>
    <w:multiLevelType w:val="hybridMultilevel"/>
    <w:lvl w:ilvl="0">
      <w:lvlJc w:val="left"/>
      <w:lvlText w:val="(%1)"/>
      <w:numFmt w:val="lowerLetter"/>
      <w:start w:val="1"/>
    </w:lvl>
  </w:abstractNum>
  <w:abstractNum w:abstractNumId="213">
    <w:nsid w:val="5C03D76D"/>
    <w:multiLevelType w:val="hybridMultilevel"/>
    <w:lvl w:ilvl="0">
      <w:lvlJc w:val="left"/>
      <w:lvlText w:val="(%1)"/>
      <w:numFmt w:val="lowerLetter"/>
      <w:start w:val="1"/>
    </w:lvl>
  </w:abstractNum>
  <w:abstractNum w:abstractNumId="214">
    <w:nsid w:val="66A48D11"/>
    <w:multiLevelType w:val="hybridMultilevel"/>
    <w:lvl w:ilvl="0">
      <w:lvlJc w:val="left"/>
      <w:lvlText w:val="(%1)"/>
      <w:numFmt w:val="lowerLetter"/>
      <w:start w:val="1"/>
    </w:lvl>
    <w:lvl w:ilvl="1">
      <w:lvlJc w:val="left"/>
      <w:lvlText w:val="(%2)"/>
      <w:numFmt w:val="lowerRoman"/>
      <w:start w:val="1"/>
    </w:lvl>
  </w:abstractNum>
  <w:abstractNum w:abstractNumId="215">
    <w:nsid w:val="56C28E34"/>
    <w:multiLevelType w:val="hybridMultilevel"/>
    <w:lvl w:ilvl="0">
      <w:lvlJc w:val="left"/>
      <w:lvlText w:val="(%1)"/>
      <w:numFmt w:val="lowerLetter"/>
      <w:start w:val="4"/>
    </w:lvl>
  </w:abstractNum>
  <w:abstractNum w:abstractNumId="216">
    <w:nsid w:val="13916F2D"/>
    <w:multiLevelType w:val="hybridMultilevel"/>
    <w:lvl w:ilvl="0">
      <w:lvlJc w:val="left"/>
      <w:lvlText w:val="(%1)"/>
      <w:numFmt w:val="lowerLetter"/>
      <w:start w:val="8"/>
    </w:lvl>
  </w:abstractNum>
  <w:abstractNum w:abstractNumId="217">
    <w:nsid w:val="435D38D"/>
    <w:multiLevelType w:val="hybridMultilevel"/>
    <w:lvl w:ilvl="0">
      <w:lvlJc w:val="left"/>
      <w:lvlText w:val="(%1)"/>
      <w:numFmt w:val="lowerLetter"/>
      <w:start w:val="1"/>
    </w:lvl>
  </w:abstractNum>
  <w:abstractNum w:abstractNumId="218">
    <w:nsid w:val="822C0EF"/>
    <w:multiLevelType w:val="hybridMultilevel"/>
    <w:lvl w:ilvl="0">
      <w:lvlJc w:val="left"/>
      <w:lvlText w:val="(%1)"/>
      <w:numFmt w:val="lowerLetter"/>
      <w:start w:val="2"/>
    </w:lvl>
  </w:abstractNum>
  <w:abstractNum w:abstractNumId="219">
    <w:nsid w:val="57C5BB4F"/>
    <w:multiLevelType w:val="hybridMultilevel"/>
    <w:lvl w:ilvl="0">
      <w:lvlJc w:val="left"/>
      <w:lvlText w:val="(%1)"/>
      <w:numFmt w:val="lowerLetter"/>
      <w:start w:val="1"/>
    </w:lvl>
  </w:abstractNum>
  <w:abstractNum w:abstractNumId="220">
    <w:nsid w:val="1803D089"/>
    <w:multiLevelType w:val="hybridMultilevel"/>
    <w:lvl w:ilvl="0">
      <w:lvlJc w:val="left"/>
      <w:lvlText w:val="(%1)"/>
      <w:numFmt w:val="lowerLetter"/>
      <w:start w:val="2"/>
    </w:lvl>
  </w:abstractNum>
  <w:abstractNum w:abstractNumId="221">
    <w:nsid w:val="4F3A06D4"/>
    <w:multiLevelType w:val="hybridMultilevel"/>
    <w:lvl w:ilvl="0">
      <w:lvlJc w:val="left"/>
      <w:lvlText w:val="(%1)"/>
      <w:numFmt w:val="lowerLetter"/>
      <w:start w:val="1"/>
    </w:lvl>
  </w:abstractNum>
  <w:abstractNum w:abstractNumId="222">
    <w:nsid w:val="59A377B6"/>
    <w:multiLevelType w:val="hybridMultilevel"/>
    <w:lvl w:ilvl="0">
      <w:lvlJc w:val="left"/>
      <w:lvlText w:val="(%1)"/>
      <w:numFmt w:val="lowerLetter"/>
      <w:start w:val="1"/>
    </w:lvl>
  </w:abstractNum>
  <w:abstractNum w:abstractNumId="223">
    <w:nsid w:val="48AEB063"/>
    <w:multiLevelType w:val="hybridMultilevel"/>
    <w:lvl w:ilvl="0">
      <w:lvlJc w:val="left"/>
      <w:lvlText w:val="(%1)"/>
      <w:numFmt w:val="lowerLetter"/>
      <w:start w:val="1"/>
    </w:lvl>
  </w:abstractNum>
  <w:abstractNum w:abstractNumId="224">
    <w:nsid w:val="24E135"/>
    <w:multiLevelType w:val="hybridMultilevel"/>
    <w:lvl w:ilvl="0">
      <w:lvlJc w:val="left"/>
      <w:lvlText w:val="(%1)"/>
      <w:numFmt w:val="lowerLetter"/>
      <w:start w:val="1"/>
    </w:lvl>
    <w:lvl w:ilvl="1">
      <w:lvlJc w:val="left"/>
      <w:lvlText w:val="(%2)"/>
      <w:numFmt w:val="lowerRoman"/>
      <w:start w:val="1"/>
    </w:lvl>
  </w:abstractNum>
  <w:abstractNum w:abstractNumId="225">
    <w:nsid w:val="BB13C1"/>
    <w:multiLevelType w:val="hybridMultilevel"/>
    <w:lvl w:ilvl="0">
      <w:lvlJc w:val="left"/>
      <w:lvlText w:val="%1"/>
      <w:numFmt w:val="lowerLetter"/>
      <w:start w:val="1"/>
    </w:lvl>
    <w:lvl w:ilvl="1">
      <w:lvlJc w:val="left"/>
      <w:lvlText w:val="(%2)"/>
      <w:numFmt w:val="lowerRoman"/>
      <w:start w:val="4"/>
    </w:lvl>
  </w:abstractNum>
  <w:abstractNum w:abstractNumId="226">
    <w:nsid w:val="271210C7"/>
    <w:multiLevelType w:val="hybridMultilevel"/>
    <w:lvl w:ilvl="0">
      <w:lvlJc w:val="left"/>
      <w:lvlText w:val="(%1)"/>
      <w:numFmt w:val="lowerLetter"/>
      <w:start w:val="2"/>
    </w:lvl>
    <w:lvl w:ilvl="1">
      <w:lvlJc w:val="left"/>
      <w:lvlText w:val="%2"/>
      <w:numFmt w:val="lowerRoman"/>
      <w:start w:val="1"/>
    </w:lvl>
  </w:abstractNum>
  <w:abstractNum w:abstractNumId="227">
    <w:nsid w:val="217B22E4"/>
    <w:multiLevelType w:val="hybridMultilevel"/>
    <w:lvl w:ilvl="0">
      <w:lvlJc w:val="left"/>
      <w:lvlText w:val="(%1)"/>
      <w:numFmt w:val="lowerLetter"/>
      <w:start w:val="3"/>
    </w:lvl>
  </w:abstractNum>
  <w:abstractNum w:abstractNumId="228">
    <w:nsid w:val="53E31A24"/>
    <w:multiLevelType w:val="hybridMultilevel"/>
    <w:lvl w:ilvl="0">
      <w:lvlJc w:val="left"/>
      <w:lvlText w:val="(%1)"/>
      <w:numFmt w:val="lowerRoman"/>
      <w:start w:val="7"/>
    </w:lvl>
  </w:abstractNum>
  <w:abstractNum w:abstractNumId="229">
    <w:nsid w:val="6DC45E83"/>
    <w:multiLevelType w:val="hybridMultilevel"/>
    <w:lvl w:ilvl="0">
      <w:lvlJc w:val="left"/>
      <w:lvlText w:val="(%1)"/>
      <w:numFmt w:val="lowerLetter"/>
      <w:start w:val="1"/>
    </w:lvl>
    <w:lvl w:ilvl="1">
      <w:lvlJc w:val="left"/>
      <w:lvlText w:val="(%2)"/>
      <w:numFmt w:val="lowerRoman"/>
      <w:start w:val="1"/>
    </w:lvl>
  </w:abstractNum>
  <w:abstractNum w:abstractNumId="230">
    <w:nsid w:val="17304A67"/>
    <w:multiLevelType w:val="hybridMultilevel"/>
    <w:lvl w:ilvl="0">
      <w:lvlJc w:val="left"/>
      <w:lvlText w:val="(%1)"/>
      <w:numFmt w:val="lowerLetter"/>
      <w:start w:val="2"/>
    </w:lvl>
  </w:abstractNum>
  <w:abstractNum w:abstractNumId="231">
    <w:nsid w:val="2BB180D8"/>
    <w:multiLevelType w:val="hybridMultilevel"/>
    <w:lvl w:ilvl="0">
      <w:lvlJc w:val="left"/>
      <w:lvlText w:val="(%1)"/>
      <w:numFmt w:val="lowerLetter"/>
      <w:start w:val="3"/>
    </w:lvl>
  </w:abstractNum>
  <w:abstractNum w:abstractNumId="232">
    <w:nsid w:val="556B69ED"/>
    <w:multiLevelType w:val="hybridMultilevel"/>
    <w:lvl w:ilvl="0">
      <w:lvlJc w:val="left"/>
      <w:lvlText w:val="%1"/>
      <w:numFmt w:val="lowerLetter"/>
      <w:start w:val="1"/>
    </w:lvl>
    <w:lvl w:ilvl="1">
      <w:lvlJc w:val="left"/>
      <w:lvlText w:val="(%2)"/>
      <w:numFmt w:val="lowerLetter"/>
      <w:start w:val="4"/>
    </w:lvl>
  </w:abstractNum>
  <w:abstractNum w:abstractNumId="233">
    <w:nsid w:val="70836196"/>
    <w:multiLevelType w:val="hybridMultilevel"/>
    <w:lvl w:ilvl="0">
      <w:lvlJc w:val="left"/>
      <w:lvlText w:val="(%1)"/>
      <w:numFmt w:val="lowerLetter"/>
      <w:start w:val="35"/>
    </w:lvl>
    <w:lvl w:ilvl="1">
      <w:lvlJc w:val="left"/>
      <w:lvlText w:val="%2"/>
      <w:numFmt w:val="lowerLetter"/>
      <w:start w:val="1"/>
    </w:lvl>
  </w:abstractNum>
  <w:abstractNum w:abstractNumId="234">
    <w:nsid w:val="539F7F12"/>
    <w:multiLevelType w:val="hybridMultilevel"/>
    <w:lvl w:ilvl="0">
      <w:lvlJc w:val="left"/>
      <w:lvlText w:val="(%1)"/>
      <w:numFmt w:val="lowerLetter"/>
      <w:start w:val="1"/>
    </w:lvl>
  </w:abstractNum>
  <w:abstractNum w:abstractNumId="235">
    <w:nsid w:val="2817E7EC"/>
    <w:multiLevelType w:val="hybridMultilevel"/>
    <w:lvl w:ilvl="0">
      <w:lvlJc w:val="left"/>
      <w:lvlText w:val="(%1)"/>
      <w:numFmt w:val="lowerLetter"/>
      <w:start w:val="3"/>
    </w:lvl>
  </w:abstractNum>
  <w:abstractNum w:abstractNumId="236">
    <w:nsid w:val="71482545"/>
    <w:multiLevelType w:val="hybridMultilevel"/>
    <w:lvl w:ilvl="0">
      <w:lvlJc w:val="left"/>
      <w:lvlText w:val="(%1)"/>
      <w:numFmt w:val="lowerLetter"/>
      <w:start w:val="4"/>
    </w:lvl>
  </w:abstractNum>
  <w:abstractNum w:abstractNumId="237">
    <w:nsid w:val="17D78639"/>
    <w:multiLevelType w:val="hybridMultilevel"/>
    <w:lvl w:ilvl="0">
      <w:lvlJc w:val="left"/>
      <w:lvlText w:val="(%1)"/>
      <w:numFmt w:val="lowerLetter"/>
      <w:start w:val="1"/>
    </w:lvl>
  </w:abstractNum>
  <w:abstractNum w:abstractNumId="238">
    <w:nsid w:val="141D23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9">
    <w:nsid w:val="407168D8"/>
    <w:multiLevelType w:val="hybridMultilevel"/>
    <w:lvl w:ilvl="0">
      <w:lvlJc w:val="left"/>
      <w:lvlText w:val="%1"/>
      <w:numFmt w:val="lowerRoman"/>
      <w:start w:val="1"/>
    </w:lvl>
    <w:lvl w:ilvl="1">
      <w:lvlJc w:val="left"/>
      <w:lvlText w:val="(%2)"/>
      <w:numFmt w:val="upperLetter"/>
      <w:start w:val="2"/>
    </w:lvl>
  </w:abstractNum>
  <w:abstractNum w:abstractNumId="240">
    <w:nsid w:val="6A1B45E5"/>
    <w:multiLevelType w:val="hybridMultilevel"/>
    <w:lvl w:ilvl="0">
      <w:lvlJc w:val="left"/>
      <w:lvlText w:val="(%1)"/>
      <w:numFmt w:val="lowerRoman"/>
      <w:start w:val="3"/>
    </w:lvl>
    <w:lvl w:ilvl="1">
      <w:lvlJc w:val="left"/>
      <w:lvlText w:val="%2"/>
      <w:numFmt w:val="upperLetter"/>
      <w:start w:val="1"/>
    </w:lvl>
  </w:abstractNum>
  <w:abstractNum w:abstractNumId="241">
    <w:nsid w:val="567BD50A"/>
    <w:multiLevelType w:val="hybridMultilevel"/>
    <w:lvl w:ilvl="0">
      <w:lvlJc w:val="left"/>
      <w:lvlText w:val="(%1)"/>
      <w:numFmt w:val="lowerRoman"/>
      <w:start w:val="6"/>
    </w:lvl>
  </w:abstractNum>
  <w:abstractNum w:abstractNumId="242">
    <w:nsid w:val="73BBD7F8"/>
    <w:multiLevelType w:val="hybridMultilevel"/>
    <w:lvl w:ilvl="0">
      <w:lvlJc w:val="left"/>
      <w:lvlText w:val="(%1)"/>
      <w:numFmt w:val="lowerLetter"/>
      <w:start w:val="3"/>
    </w:lvl>
  </w:abstractNum>
  <w:abstractNum w:abstractNumId="243">
    <w:nsid w:val="1876589D"/>
    <w:multiLevelType w:val="hybridMultilevel"/>
    <w:lvl w:ilvl="0">
      <w:lvlJc w:val="left"/>
      <w:lvlText w:val="(%1)"/>
      <w:numFmt w:val="lowerLetter"/>
      <w:start w:val="4"/>
    </w:lvl>
  </w:abstractNum>
  <w:abstractNum w:abstractNumId="244">
    <w:nsid w:val="327FAC77"/>
    <w:multiLevelType w:val="hybridMultilevel"/>
    <w:lvl w:ilvl="0">
      <w:lvlJc w:val="left"/>
      <w:lvlText w:val="(%1)"/>
      <w:numFmt w:val="lowerLetter"/>
      <w:start w:val="5"/>
    </w:lvl>
    <w:lvl w:ilvl="1">
      <w:lvlJc w:val="left"/>
      <w:lvlText w:val="(%2)"/>
      <w:numFmt w:val="upperLetter"/>
      <w:start w:val="1"/>
    </w:lvl>
  </w:abstractNum>
  <w:abstractNum w:abstractNumId="245">
    <w:nsid w:val="5A606509"/>
    <w:multiLevelType w:val="hybridMultilevel"/>
    <w:lvl w:ilvl="0">
      <w:lvlJc w:val="left"/>
      <w:lvlText w:val="(%1)"/>
      <w:numFmt w:val="lowerLetter"/>
      <w:start w:val="2"/>
    </w:lvl>
  </w:abstractNum>
  <w:abstractNum w:abstractNumId="246">
    <w:nsid w:val="6F38E6D1"/>
    <w:multiLevelType w:val="hybridMultilevel"/>
    <w:lvl w:ilvl="0">
      <w:lvlJc w:val="left"/>
      <w:lvlText w:val="(%1)"/>
      <w:numFmt w:val="lowerLetter"/>
      <w:start w:val="1"/>
    </w:lvl>
  </w:abstractNum>
  <w:abstractNum w:abstractNumId="247">
    <w:nsid w:val="46111BA5"/>
    <w:multiLevelType w:val="hybridMultilevel"/>
    <w:lvl w:ilvl="0">
      <w:lvlJc w:val="left"/>
      <w:lvlText w:val="(%1)"/>
      <w:numFmt w:val="lowerLetter"/>
      <w:start w:val="3"/>
    </w:lvl>
  </w:abstractNum>
  <w:abstractNum w:abstractNumId="248">
    <w:nsid w:val="5E963896"/>
    <w:multiLevelType w:val="hybridMultilevel"/>
    <w:lvl w:ilvl="0">
      <w:lvlJc w:val="left"/>
      <w:lvlText w:val="(%1)"/>
      <w:numFmt w:val="lowerLetter"/>
      <w:start w:val="1"/>
    </w:lvl>
  </w:abstractNum>
  <w:abstractNum w:abstractNumId="249">
    <w:nsid w:val="775BA7C1"/>
    <w:multiLevelType w:val="hybridMultilevel"/>
    <w:lvl w:ilvl="0">
      <w:lvlJc w:val="left"/>
      <w:lvlText w:val="(%1)"/>
      <w:numFmt w:val="lowerLetter"/>
      <w:start w:val="3"/>
    </w:lvl>
  </w:abstractNum>
  <w:abstractNum w:abstractNumId="250">
    <w:nsid w:val="1DD6D6F4"/>
    <w:multiLevelType w:val="hybridMultilevel"/>
    <w:lvl w:ilvl="0">
      <w:lvlJc w:val="left"/>
      <w:lvlText w:val="%1."/>
      <w:numFmt w:val="decimal"/>
      <w:start w:val="1"/>
    </w:lvl>
  </w:abstractNum>
  <w:abstractNum w:abstractNumId="251">
    <w:nsid w:val="769A091F"/>
    <w:multiLevelType w:val="hybridMultilevel"/>
    <w:lvl w:ilvl="0">
      <w:lvlJc w:val="left"/>
      <w:lvlText w:val="%1)"/>
      <w:numFmt w:val="lowerLetter"/>
      <w:start w:val="1"/>
    </w:lvl>
  </w:abstractNum>
  <w:abstractNum w:abstractNumId="252">
    <w:nsid w:val="4695AE95"/>
    <w:multiLevelType w:val="hybridMultilevel"/>
    <w:lvl w:ilvl="0">
      <w:lvlJc w:val="left"/>
      <w:lvlText w:val="%1."/>
      <w:numFmt w:val="decimal"/>
      <w:start w:val="5"/>
    </w:lvl>
  </w:abstractNum>
  <w:abstractNum w:abstractNumId="253">
    <w:nsid w:val="777A4EAA"/>
    <w:multiLevelType w:val="hybridMultilevel"/>
    <w:lvl w:ilvl="0">
      <w:lvlJc w:val="left"/>
      <w:lvlText w:val="%1)"/>
      <w:numFmt w:val="lowerLetter"/>
      <w:start w:val="1"/>
    </w:lvl>
  </w:abstractNum>
  <w:abstractNum w:abstractNumId="254">
    <w:nsid w:val="3F48B982"/>
    <w:multiLevelType w:val="hybridMultilevel"/>
    <w:lvl w:ilvl="0">
      <w:lvlJc w:val="left"/>
      <w:lvlText w:val="%1."/>
      <w:numFmt w:val="decimal"/>
      <w:start w:val="1"/>
    </w:lvl>
  </w:abstractNum>
  <w:abstractNum w:abstractNumId="255">
    <w:nsid w:val="46BA8FCA"/>
    <w:multiLevelType w:val="hybridMultilevel"/>
    <w:lvl w:ilvl="0">
      <w:lvlJc w:val="left"/>
      <w:lvlText w:val="%1)"/>
      <w:numFmt w:val="lowerLetter"/>
      <w:start w:val="1"/>
    </w:lvl>
  </w:abstractNum>
  <w:abstractNum w:abstractNumId="256">
    <w:nsid w:val="7835626C"/>
    <w:multiLevelType w:val="hybridMultilevel"/>
    <w:lvl w:ilvl="0">
      <w:lvlJc w:val="left"/>
      <w:lvlText w:val="%1."/>
      <w:numFmt w:val="decimal"/>
      <w:start w:val="5"/>
    </w:lvl>
  </w:abstractNum>
  <w:abstractNum w:abstractNumId="257">
    <w:nsid w:val="665ACA49"/>
    <w:multiLevelType w:val="hybridMultilevel"/>
    <w:lvl w:ilvl="0">
      <w:lvlJc w:val="left"/>
      <w:lvlText w:val="%1)"/>
      <w:numFmt w:val="lowerLetter"/>
      <w:start w:val="1"/>
    </w:lvl>
  </w:abstractNum>
  <w:abstractNum w:abstractNumId="258">
    <w:nsid w:val="6835B2AE"/>
    <w:multiLevelType w:val="hybridMultilevel"/>
    <w:lvl w:ilvl="0">
      <w:lvlJc w:val="left"/>
      <w:lvlText w:val="(%1)"/>
      <w:numFmt w:val="decimal"/>
      <w:start w:val="1"/>
    </w:lvl>
  </w:abstractNum>
  <w:abstractNum w:abstractNumId="259">
    <w:nsid w:val="4C187C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2019-12-29T05:06:34Z</dcterms:created>
  <dcterms:modified xsi:type="dcterms:W3CDTF">2019-12-29T05:06:34Z</dcterms:modified>
</cp:coreProperties>
</file>